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7D275" w14:textId="77777777" w:rsidR="00754C9A" w:rsidRDefault="00754C9A" w:rsidP="00441B6F">
      <w:pPr>
        <w:pStyle w:val="Title"/>
        <w:spacing w:after="0"/>
        <w:jc w:val="both"/>
        <w:rPr>
          <w:rFonts w:ascii="Arial" w:hAnsi="Arial" w:cs="Arial"/>
        </w:rPr>
      </w:pPr>
    </w:p>
    <w:p w14:paraId="6D9AAA4F" w14:textId="77777777" w:rsidR="00AA2A8C" w:rsidRDefault="00AA2A8C" w:rsidP="00AA2A8C">
      <w:pPr>
        <w:spacing w:line="360" w:lineRule="auto"/>
        <w:jc w:val="both"/>
        <w:rPr>
          <w:rFonts w:ascii="Times New Roman" w:hAnsi="Times New Roman"/>
          <w:b/>
          <w:bCs/>
          <w:sz w:val="24"/>
          <w:szCs w:val="24"/>
        </w:rPr>
      </w:pPr>
      <w:r w:rsidRPr="00D95A6F">
        <w:rPr>
          <w:rFonts w:ascii="Times New Roman" w:hAnsi="Times New Roman"/>
          <w:b/>
          <w:bCs/>
          <w:sz w:val="24"/>
          <w:szCs w:val="24"/>
        </w:rPr>
        <w:t>Maintenance Decision-Making in Complex Energy Systems: Analytical Perspectives on Probabilistic Risk Assessment.</w:t>
      </w:r>
    </w:p>
    <w:p w14:paraId="3AA7F3D0" w14:textId="77777777" w:rsidR="00A258C3" w:rsidRPr="00790ADA" w:rsidRDefault="00A258C3" w:rsidP="00441B6F">
      <w:pPr>
        <w:pStyle w:val="Author"/>
        <w:spacing w:line="240" w:lineRule="auto"/>
        <w:jc w:val="both"/>
        <w:rPr>
          <w:rFonts w:ascii="Arial" w:hAnsi="Arial" w:cs="Arial"/>
          <w:sz w:val="36"/>
        </w:rPr>
      </w:pPr>
    </w:p>
    <w:p w14:paraId="26F9CEC8" w14:textId="77777777" w:rsidR="00790ADA" w:rsidRDefault="00790ADA" w:rsidP="00441B6F">
      <w:pPr>
        <w:pStyle w:val="Affiliation"/>
        <w:spacing w:after="0" w:line="240" w:lineRule="auto"/>
        <w:jc w:val="both"/>
        <w:rPr>
          <w:rFonts w:ascii="Arial" w:hAnsi="Arial" w:cs="Arial"/>
        </w:rPr>
      </w:pPr>
      <w:bookmarkStart w:id="0" w:name="_GoBack"/>
      <w:bookmarkEnd w:id="0"/>
    </w:p>
    <w:p w14:paraId="587EA067" w14:textId="77777777" w:rsidR="002C57D2" w:rsidRPr="00FB3A86" w:rsidRDefault="002C57D2" w:rsidP="00441B6F">
      <w:pPr>
        <w:pStyle w:val="Affiliation"/>
        <w:spacing w:after="0" w:line="240" w:lineRule="auto"/>
        <w:jc w:val="both"/>
        <w:rPr>
          <w:rFonts w:ascii="Arial" w:hAnsi="Arial" w:cs="Arial"/>
        </w:rPr>
      </w:pPr>
    </w:p>
    <w:p w14:paraId="6944A5CA" w14:textId="77777777" w:rsidR="00B01FCD" w:rsidRPr="00FB3A86" w:rsidRDefault="00A32071" w:rsidP="00441B6F">
      <w:pPr>
        <w:pStyle w:val="Copyright"/>
        <w:spacing w:after="0" w:line="240" w:lineRule="auto"/>
        <w:jc w:val="both"/>
        <w:rPr>
          <w:rFonts w:ascii="Arial" w:hAnsi="Arial" w:cs="Arial"/>
        </w:rPr>
        <w:sectPr w:rsidR="00B01FCD" w:rsidRPr="00FB3A86" w:rsidSect="0005266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9991C3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5843528" w14:textId="2C052FA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6C74DCA" w14:textId="77777777" w:rsidR="003B2D69" w:rsidRPr="00BA1B01" w:rsidRDefault="003B2D69" w:rsidP="003B2D69">
      <w:pPr>
        <w:pStyle w:val="Body"/>
        <w:spacing w:after="0"/>
        <w:rPr>
          <w:rFonts w:ascii="Arial" w:eastAsia="Calibri" w:hAnsi="Arial" w:cs="Arial"/>
          <w:szCs w:val="22"/>
        </w:rPr>
      </w:pPr>
    </w:p>
    <w:p w14:paraId="2BF8174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1EBAEB9" w14:textId="77777777" w:rsidTr="001E44FE">
        <w:tc>
          <w:tcPr>
            <w:tcW w:w="9576" w:type="dxa"/>
            <w:shd w:val="clear" w:color="auto" w:fill="F2F2F2"/>
          </w:tcPr>
          <w:p w14:paraId="0DEF9C73" w14:textId="77777777" w:rsidR="003C2402" w:rsidRPr="001B2629" w:rsidRDefault="003C2402" w:rsidP="003C2402">
            <w:pPr>
              <w:spacing w:line="360" w:lineRule="auto"/>
              <w:rPr>
                <w:rFonts w:ascii="Arial" w:hAnsi="Arial" w:cs="Arial"/>
                <w:sz w:val="22"/>
                <w:szCs w:val="22"/>
              </w:rPr>
            </w:pPr>
            <w:r w:rsidRPr="001B2629">
              <w:rPr>
                <w:rFonts w:ascii="Arial" w:hAnsi="Arial" w:cs="Arial"/>
                <w:sz w:val="22"/>
                <w:szCs w:val="22"/>
              </w:rPr>
              <w:t>The issues of asset aging, interdependence of systems, uncertainty in the operations, and the high cost of failure are raising challenges in making maintenance decisions in complex energy systems. The old-fashioned, deterministic and reliability-driven methods of maintenance usually are insufficient to deal with these problems, especially in infrastructure of high risk and that heavily interconnected. Probabilistic Risk Assessment (PRA) has thus developed as a foundational analysis model to underpin risk-based maintenance decisions through the explicit combination of the probability of failure, the severity of consequences and uncertainty. The given review represents an analytical synthesis of PRA-based maintenance decision-making frameworks that are used in complex energy systems. The paper reviews the main theoretical underpinnings, applied PRA approaches, and industry-related applications to nuclear energy, power generation and transmission and renewable and hybrid energy systems. Some of the important strategies that have been discussed are risk-based maintenance, condition-based and dynamic PRA, Bayesian network models, decision-theoretic frameworks, predictive and opportunistic maintenance strategies. A critical comparison points out the relative advantages of the static approach and the dynamic approach as well as component-level approach and system-level approach and the inherent limitations that address the issue of data availability, computation burden, biases of human decisions, and real-time implementation. This review presents a synthesized view on the analysis of the theme of PRA-based maintenance decision-making and establishes important research avenues to improve asset management based on risks within complex energy system.</w:t>
            </w:r>
          </w:p>
          <w:p w14:paraId="507E8CC8" w14:textId="0A1976CF" w:rsidR="00505F06" w:rsidRPr="00BA1B01" w:rsidRDefault="00505F06" w:rsidP="00441B6F">
            <w:pPr>
              <w:pStyle w:val="Body"/>
              <w:spacing w:after="0"/>
              <w:rPr>
                <w:rFonts w:ascii="Arial" w:eastAsia="Calibri" w:hAnsi="Arial" w:cs="Arial"/>
                <w:szCs w:val="22"/>
              </w:rPr>
            </w:pPr>
          </w:p>
        </w:tc>
      </w:tr>
    </w:tbl>
    <w:p w14:paraId="699AAF6B" w14:textId="77777777" w:rsidR="00636EB2" w:rsidRDefault="00636EB2" w:rsidP="00441B6F">
      <w:pPr>
        <w:pStyle w:val="Body"/>
        <w:spacing w:after="0"/>
        <w:rPr>
          <w:rFonts w:ascii="Arial" w:hAnsi="Arial" w:cs="Arial"/>
          <w:i/>
        </w:rPr>
      </w:pPr>
    </w:p>
    <w:p w14:paraId="70ACCCB0" w14:textId="0B2336BC" w:rsidR="00790ADA" w:rsidRDefault="00A24E7E" w:rsidP="00441B6F">
      <w:pPr>
        <w:pStyle w:val="Body"/>
        <w:spacing w:after="0"/>
        <w:rPr>
          <w:rFonts w:ascii="Arial" w:hAnsi="Arial" w:cs="Arial"/>
          <w:i/>
        </w:rPr>
      </w:pPr>
      <w:r>
        <w:rPr>
          <w:rFonts w:ascii="Arial" w:hAnsi="Arial" w:cs="Arial"/>
          <w:i/>
        </w:rPr>
        <w:t xml:space="preserve">Keywords: </w:t>
      </w:r>
      <w:r w:rsidR="006F6096" w:rsidRPr="00C654D0">
        <w:rPr>
          <w:rFonts w:ascii="Arial" w:hAnsi="Arial" w:cs="Arial"/>
          <w:i/>
          <w:iCs/>
        </w:rPr>
        <w:t>Probabilistic risk assessment, Maintenance decision-making, Complex energy systems, Risk-based maintenance, Asset reliability and resilience</w:t>
      </w:r>
    </w:p>
    <w:p w14:paraId="46606FB0" w14:textId="77777777" w:rsidR="0024282C" w:rsidRDefault="0024282C" w:rsidP="00441B6F">
      <w:pPr>
        <w:pStyle w:val="Body"/>
        <w:spacing w:after="0"/>
        <w:rPr>
          <w:rFonts w:ascii="Arial" w:hAnsi="Arial" w:cs="Arial"/>
          <w:i/>
          <w:sz w:val="18"/>
        </w:rPr>
      </w:pPr>
    </w:p>
    <w:p w14:paraId="7CA98342" w14:textId="77777777" w:rsidR="00505F06" w:rsidRPr="00A24E7E" w:rsidRDefault="00505F06" w:rsidP="00441B6F">
      <w:pPr>
        <w:pStyle w:val="Body"/>
        <w:spacing w:after="0"/>
        <w:rPr>
          <w:rFonts w:ascii="Arial" w:hAnsi="Arial" w:cs="Arial"/>
          <w:i/>
        </w:rPr>
      </w:pPr>
    </w:p>
    <w:p w14:paraId="762B6849"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1. Introduction</w:t>
      </w:r>
    </w:p>
    <w:p w14:paraId="7A4CBF50"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lastRenderedPageBreak/>
        <w:t xml:space="preserve">A modern energy system such as electric power grids, nuclear plants, thermal generation plants, and infrastructures that facilitate renewable energy are vital socio-technical systems that support the stability of an economy and the well-being of a society (Haimes, 2018). They must operate safely and reliably because any disruptions can lead to serious safety accidents, considerable financial losses, and serious environmental impacts (Felder &amp; </w:t>
      </w:r>
      <w:proofErr w:type="spellStart"/>
      <w:r w:rsidRPr="00D95A6F">
        <w:rPr>
          <w:rFonts w:ascii="Times New Roman" w:hAnsi="Times New Roman"/>
          <w:sz w:val="24"/>
          <w:szCs w:val="24"/>
        </w:rPr>
        <w:t>Petitet</w:t>
      </w:r>
      <w:proofErr w:type="spellEnd"/>
      <w:r w:rsidRPr="00D95A6F">
        <w:rPr>
          <w:rFonts w:ascii="Times New Roman" w:hAnsi="Times New Roman"/>
          <w:sz w:val="24"/>
          <w:szCs w:val="24"/>
        </w:rPr>
        <w:t xml:space="preserve">, 2024; Zhang et al., 2024). The growing trends in electrification, digitalization, and decarbonization have added more connections, complexity, and operationality to systems, where failures in one infrastructure can cause cross-sectoral cross-systemic risks. In turn, the focus on risk-based planning, operation, and maintenance methods of energy systems has increased (Moradi &amp; </w:t>
      </w:r>
      <w:proofErr w:type="spellStart"/>
      <w:r w:rsidRPr="00D95A6F">
        <w:rPr>
          <w:rFonts w:ascii="Times New Roman" w:hAnsi="Times New Roman"/>
          <w:sz w:val="24"/>
          <w:szCs w:val="24"/>
        </w:rPr>
        <w:t>Groth</w:t>
      </w:r>
      <w:proofErr w:type="spellEnd"/>
      <w:r w:rsidRPr="00D95A6F">
        <w:rPr>
          <w:rFonts w:ascii="Times New Roman" w:hAnsi="Times New Roman"/>
          <w:sz w:val="24"/>
          <w:szCs w:val="24"/>
        </w:rPr>
        <w:t xml:space="preserve">, 2020; </w:t>
      </w:r>
      <w:proofErr w:type="spellStart"/>
      <w:r w:rsidRPr="00D95A6F">
        <w:rPr>
          <w:rFonts w:ascii="Times New Roman" w:hAnsi="Times New Roman"/>
          <w:sz w:val="24"/>
          <w:szCs w:val="24"/>
        </w:rPr>
        <w:t>Haimes</w:t>
      </w:r>
      <w:proofErr w:type="spellEnd"/>
      <w:r w:rsidRPr="00D95A6F">
        <w:rPr>
          <w:rFonts w:ascii="Times New Roman" w:hAnsi="Times New Roman"/>
          <w:sz w:val="24"/>
          <w:szCs w:val="24"/>
        </w:rPr>
        <w:t>, 2018).</w:t>
      </w:r>
    </w:p>
    <w:p w14:paraId="6D545792"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Complex adaptive systems also possess the following key features: high interconnectivity, nonlinearity, and emergent behavior in changing operating conditions, which characterize energy systems (Carmichael &amp; </w:t>
      </w:r>
      <w:proofErr w:type="spellStart"/>
      <w:r w:rsidRPr="00D95A6F">
        <w:rPr>
          <w:rFonts w:ascii="Times New Roman" w:hAnsi="Times New Roman"/>
          <w:sz w:val="24"/>
          <w:szCs w:val="24"/>
        </w:rPr>
        <w:t>Hadzikadic</w:t>
      </w:r>
      <w:proofErr w:type="spellEnd"/>
      <w:r w:rsidRPr="00D95A6F">
        <w:rPr>
          <w:rFonts w:ascii="Times New Roman" w:hAnsi="Times New Roman"/>
          <w:sz w:val="24"/>
          <w:szCs w:val="24"/>
        </w:rPr>
        <w:t>, 2019). There is much variation in performance and uncertainty of failures due to aging assets, stochastic degradation, and uncertain external forces (Barlow et al., 2021; Martinod et al., 2018). The operation risk and maintenance effectiveness is also influenced by human factors, organizational factors, and cyber-physical interactions (Panful et al., 2025; Angeli &amp; Montefusco, 2020). Deterministic maintenance strategies using constant time intervals or average failure rates are no longer useful in these conditions, which supports probabilistic and system-level maintenance models that can describe uncertainty spreads and dependencies (</w:t>
      </w:r>
      <w:proofErr w:type="spellStart"/>
      <w:r w:rsidRPr="00D95A6F">
        <w:rPr>
          <w:rFonts w:ascii="Times New Roman" w:hAnsi="Times New Roman"/>
          <w:sz w:val="24"/>
          <w:szCs w:val="24"/>
        </w:rPr>
        <w:t>Haimes</w:t>
      </w:r>
      <w:proofErr w:type="spellEnd"/>
      <w:r w:rsidRPr="00D95A6F">
        <w:rPr>
          <w:rFonts w:ascii="Times New Roman" w:hAnsi="Times New Roman"/>
          <w:sz w:val="24"/>
          <w:szCs w:val="24"/>
        </w:rPr>
        <w:t xml:space="preserve">, 2018; </w:t>
      </w:r>
      <w:proofErr w:type="spellStart"/>
      <w:r w:rsidRPr="00D95A6F">
        <w:rPr>
          <w:rFonts w:ascii="Times New Roman" w:hAnsi="Times New Roman"/>
          <w:sz w:val="24"/>
          <w:szCs w:val="24"/>
        </w:rPr>
        <w:t>Mohammadhasani</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Pirouzmand</w:t>
      </w:r>
      <w:proofErr w:type="spellEnd"/>
      <w:r w:rsidRPr="00D95A6F">
        <w:rPr>
          <w:rFonts w:ascii="Times New Roman" w:hAnsi="Times New Roman"/>
          <w:sz w:val="24"/>
          <w:szCs w:val="24"/>
        </w:rPr>
        <w:t>, 2021).</w:t>
      </w:r>
    </w:p>
    <w:p w14:paraId="57B07173" w14:textId="77777777" w:rsidR="008D34CC" w:rsidRPr="00D95A6F" w:rsidRDefault="008D34CC" w:rsidP="008D34CC">
      <w:pPr>
        <w:spacing w:line="360" w:lineRule="auto"/>
        <w:jc w:val="both"/>
        <w:rPr>
          <w:rFonts w:ascii="Times New Roman" w:hAnsi="Times New Roman"/>
          <w:sz w:val="24"/>
          <w:szCs w:val="24"/>
        </w:rPr>
      </w:pPr>
      <w:r w:rsidRPr="3DA560D4">
        <w:rPr>
          <w:rFonts w:ascii="Times New Roman" w:hAnsi="Times New Roman"/>
          <w:sz w:val="24"/>
          <w:szCs w:val="24"/>
        </w:rPr>
        <w:t>Condition-based and predictive models have been developed based on maintenance strategies that time-based ones have transformed into due to the progress of sensing, diagnostics, and analytics (Cai et al., 2023). More recently, risk-informed maintenance paradigm has conceptualized maintenance as a problem of uncertain and systematized decision-making (</w:t>
      </w:r>
      <w:proofErr w:type="spellStart"/>
      <w:r w:rsidRPr="3DA560D4">
        <w:rPr>
          <w:rFonts w:ascii="Times New Roman" w:hAnsi="Times New Roman"/>
          <w:sz w:val="24"/>
          <w:szCs w:val="24"/>
        </w:rPr>
        <w:t>Soltanali</w:t>
      </w:r>
      <w:proofErr w:type="spellEnd"/>
      <w:r w:rsidRPr="3DA560D4">
        <w:rPr>
          <w:rFonts w:ascii="Times New Roman" w:hAnsi="Times New Roman"/>
          <w:sz w:val="24"/>
          <w:szCs w:val="24"/>
        </w:rPr>
        <w:t xml:space="preserve"> et al., 2020; </w:t>
      </w:r>
      <w:proofErr w:type="spellStart"/>
      <w:r w:rsidRPr="3DA560D4">
        <w:rPr>
          <w:rFonts w:ascii="Times New Roman" w:hAnsi="Times New Roman"/>
          <w:sz w:val="24"/>
          <w:szCs w:val="24"/>
        </w:rPr>
        <w:t>Tiddens</w:t>
      </w:r>
      <w:proofErr w:type="spellEnd"/>
      <w:r w:rsidRPr="3DA560D4">
        <w:rPr>
          <w:rFonts w:ascii="Times New Roman" w:hAnsi="Times New Roman"/>
          <w:sz w:val="24"/>
          <w:szCs w:val="24"/>
        </w:rPr>
        <w:t xml:space="preserve"> et al., 2023). Probabilistic Risk Assessment (PRA) offers the analytical basis of such a transition by quantifying risk by both probability of failure and severity of consequences (Vesely, 2018; </w:t>
      </w:r>
      <w:proofErr w:type="spellStart"/>
      <w:r w:rsidRPr="3DA560D4">
        <w:rPr>
          <w:rFonts w:ascii="Times New Roman" w:hAnsi="Times New Roman"/>
          <w:sz w:val="24"/>
          <w:szCs w:val="24"/>
        </w:rPr>
        <w:t>Serbanescu</w:t>
      </w:r>
      <w:proofErr w:type="spellEnd"/>
      <w:r w:rsidRPr="3DA560D4">
        <w:rPr>
          <w:rFonts w:ascii="Times New Roman" w:hAnsi="Times New Roman"/>
          <w:sz w:val="24"/>
          <w:szCs w:val="24"/>
        </w:rPr>
        <w:t xml:space="preserve"> &amp; </w:t>
      </w:r>
      <w:proofErr w:type="spellStart"/>
      <w:r w:rsidRPr="3DA560D4">
        <w:rPr>
          <w:rFonts w:ascii="Times New Roman" w:hAnsi="Times New Roman"/>
          <w:sz w:val="24"/>
          <w:szCs w:val="24"/>
        </w:rPr>
        <w:t>Ulmeanu</w:t>
      </w:r>
      <w:proofErr w:type="spellEnd"/>
      <w:r w:rsidRPr="3DA560D4">
        <w:rPr>
          <w:rFonts w:ascii="Times New Roman" w:hAnsi="Times New Roman"/>
          <w:sz w:val="24"/>
          <w:szCs w:val="24"/>
        </w:rPr>
        <w:t xml:space="preserve">, 2020) and has an explicit model of uncertainty and system dependencies, not based on reliability-only methods (Moradi &amp; </w:t>
      </w:r>
      <w:proofErr w:type="spellStart"/>
      <w:r w:rsidRPr="3DA560D4">
        <w:rPr>
          <w:rFonts w:ascii="Times New Roman" w:hAnsi="Times New Roman"/>
          <w:sz w:val="24"/>
          <w:szCs w:val="24"/>
        </w:rPr>
        <w:t>Groth</w:t>
      </w:r>
      <w:proofErr w:type="spellEnd"/>
      <w:r w:rsidRPr="3DA560D4">
        <w:rPr>
          <w:rFonts w:ascii="Times New Roman" w:hAnsi="Times New Roman"/>
          <w:sz w:val="24"/>
          <w:szCs w:val="24"/>
        </w:rPr>
        <w:t>, 2020; Zhang et al., 2024). Based on this, PRA has currently become a key point of focus in the maintenance priority, inspection planning, and resource allocation of high-consequence energy infrastructures (</w:t>
      </w:r>
      <w:proofErr w:type="spellStart"/>
      <w:r w:rsidRPr="3DA560D4">
        <w:rPr>
          <w:rFonts w:ascii="Times New Roman" w:hAnsi="Times New Roman"/>
          <w:sz w:val="24"/>
          <w:szCs w:val="24"/>
        </w:rPr>
        <w:t>Hoseyni</w:t>
      </w:r>
      <w:proofErr w:type="spellEnd"/>
      <w:r w:rsidRPr="3DA560D4">
        <w:rPr>
          <w:rFonts w:ascii="Times New Roman" w:hAnsi="Times New Roman"/>
          <w:sz w:val="24"/>
          <w:szCs w:val="24"/>
        </w:rPr>
        <w:t xml:space="preserve"> et al., 2019; Wang et al., 2024). Although there has been a significant advancement, the literature is still divided in the nuclear engineering, power systems, and operations research and assets management areas (</w:t>
      </w:r>
      <w:proofErr w:type="spellStart"/>
      <w:r w:rsidRPr="3DA560D4">
        <w:rPr>
          <w:rFonts w:ascii="Times New Roman" w:hAnsi="Times New Roman"/>
          <w:sz w:val="24"/>
          <w:szCs w:val="24"/>
        </w:rPr>
        <w:t>Karanki</w:t>
      </w:r>
      <w:proofErr w:type="spellEnd"/>
      <w:r w:rsidRPr="3DA560D4">
        <w:rPr>
          <w:rFonts w:ascii="Times New Roman" w:hAnsi="Times New Roman"/>
          <w:sz w:val="24"/>
          <w:szCs w:val="24"/>
        </w:rPr>
        <w:t xml:space="preserve"> et al., 2019; Li et al., 2023; Adjei et al., 2026), lacking the cross-sector integration and comparative analysis (</w:t>
      </w:r>
      <w:proofErr w:type="spellStart"/>
      <w:r w:rsidRPr="3DA560D4">
        <w:rPr>
          <w:rFonts w:ascii="Times New Roman" w:hAnsi="Times New Roman"/>
          <w:sz w:val="24"/>
          <w:szCs w:val="24"/>
        </w:rPr>
        <w:t>Moinian</w:t>
      </w:r>
      <w:proofErr w:type="spellEnd"/>
      <w:r w:rsidRPr="3DA560D4">
        <w:rPr>
          <w:rFonts w:ascii="Times New Roman" w:hAnsi="Times New Roman"/>
          <w:sz w:val="24"/>
          <w:szCs w:val="24"/>
        </w:rPr>
        <w:t xml:space="preserve"> &amp; </w:t>
      </w:r>
      <w:proofErr w:type="spellStart"/>
      <w:r w:rsidRPr="3DA560D4">
        <w:rPr>
          <w:rFonts w:ascii="Times New Roman" w:hAnsi="Times New Roman"/>
          <w:sz w:val="24"/>
          <w:szCs w:val="24"/>
        </w:rPr>
        <w:t>Ameli</w:t>
      </w:r>
      <w:proofErr w:type="spellEnd"/>
      <w:r w:rsidRPr="3DA560D4">
        <w:rPr>
          <w:rFonts w:ascii="Times New Roman" w:hAnsi="Times New Roman"/>
          <w:sz w:val="24"/>
          <w:szCs w:val="24"/>
        </w:rPr>
        <w:t xml:space="preserve">, 2022; </w:t>
      </w:r>
      <w:proofErr w:type="spellStart"/>
      <w:r w:rsidRPr="3DA560D4">
        <w:rPr>
          <w:rFonts w:ascii="Times New Roman" w:hAnsi="Times New Roman"/>
          <w:sz w:val="24"/>
          <w:szCs w:val="24"/>
        </w:rPr>
        <w:t>Rocchetta</w:t>
      </w:r>
      <w:proofErr w:type="spellEnd"/>
      <w:r w:rsidRPr="3DA560D4">
        <w:rPr>
          <w:rFonts w:ascii="Times New Roman" w:hAnsi="Times New Roman"/>
          <w:sz w:val="24"/>
          <w:szCs w:val="24"/>
        </w:rPr>
        <w:t xml:space="preserve"> et al., 2025). New applications in the field of digital twins, cyber-physical systems, and advanced diagnostics bring additional importance to the idea of integrated analytical perspectives (Adeoye et al., 2025; Rony and Shafa, 2024). Thus, the review combines PRA-based analytical models of maintenance, the comparison of decision-making models of complex energy systems, and the determination of major limitations and gaps in the research (</w:t>
      </w:r>
      <w:proofErr w:type="spellStart"/>
      <w:r w:rsidRPr="3DA560D4">
        <w:rPr>
          <w:rFonts w:ascii="Times New Roman" w:hAnsi="Times New Roman"/>
          <w:sz w:val="24"/>
          <w:szCs w:val="24"/>
        </w:rPr>
        <w:t>Hoseyni</w:t>
      </w:r>
      <w:proofErr w:type="spellEnd"/>
      <w:r w:rsidRPr="3DA560D4">
        <w:rPr>
          <w:rFonts w:ascii="Times New Roman" w:hAnsi="Times New Roman"/>
          <w:sz w:val="24"/>
          <w:szCs w:val="24"/>
        </w:rPr>
        <w:t xml:space="preserve">, 2020; </w:t>
      </w:r>
      <w:proofErr w:type="spellStart"/>
      <w:r w:rsidRPr="3DA560D4">
        <w:rPr>
          <w:rFonts w:ascii="Times New Roman" w:hAnsi="Times New Roman"/>
          <w:sz w:val="24"/>
          <w:szCs w:val="24"/>
        </w:rPr>
        <w:t>Antwi</w:t>
      </w:r>
      <w:proofErr w:type="spellEnd"/>
      <w:r w:rsidRPr="3DA560D4">
        <w:rPr>
          <w:rFonts w:ascii="Times New Roman" w:hAnsi="Times New Roman"/>
          <w:sz w:val="24"/>
          <w:szCs w:val="24"/>
        </w:rPr>
        <w:t xml:space="preserve"> &amp; Nnaji, 2026).</w:t>
      </w:r>
    </w:p>
    <w:p w14:paraId="26FD3AE5"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lastRenderedPageBreak/>
        <w:t>2. Conceptual Foundations</w:t>
      </w:r>
    </w:p>
    <w:p w14:paraId="5BC92F2B" w14:textId="77777777" w:rsidR="008D34CC" w:rsidRPr="00D95A6F" w:rsidRDefault="008D34CC" w:rsidP="008D34CC">
      <w:pPr>
        <w:spacing w:line="360" w:lineRule="auto"/>
        <w:jc w:val="both"/>
        <w:rPr>
          <w:rFonts w:ascii="Times New Roman" w:hAnsi="Times New Roman"/>
          <w:b/>
          <w:bCs/>
          <w:sz w:val="24"/>
          <w:szCs w:val="24"/>
        </w:rPr>
      </w:pPr>
      <w:r w:rsidRPr="3A581654">
        <w:rPr>
          <w:rFonts w:ascii="Times New Roman" w:hAnsi="Times New Roman"/>
          <w:b/>
          <w:bCs/>
          <w:sz w:val="24"/>
          <w:szCs w:val="24"/>
        </w:rPr>
        <w:t>2.1 Complex Energy System</w:t>
      </w:r>
      <w:r>
        <w:rPr>
          <w:rFonts w:ascii="Times New Roman" w:hAnsi="Times New Roman"/>
          <w:b/>
          <w:bCs/>
          <w:sz w:val="24"/>
          <w:szCs w:val="24"/>
        </w:rPr>
        <w:t>s</w:t>
      </w:r>
    </w:p>
    <w:p w14:paraId="50236581"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An example of a critical socio-technical system that provides the foundation to economic stability and well-being of the society is modern energy systems like electric power grids, nuclear power plants, thermal generation facilities and renewable-integrated infrastructures (Haimes, 2018). These systems are imperative to operate safely and reliably because any disruption may lead to disastrous safety accidents, numerous economic losses, and severe environmental harm (Felder &amp; </w:t>
      </w:r>
      <w:proofErr w:type="spellStart"/>
      <w:r w:rsidRPr="00D95A6F">
        <w:rPr>
          <w:rFonts w:ascii="Times New Roman" w:hAnsi="Times New Roman"/>
          <w:sz w:val="24"/>
          <w:szCs w:val="24"/>
        </w:rPr>
        <w:t>Petitet</w:t>
      </w:r>
      <w:proofErr w:type="spellEnd"/>
      <w:r w:rsidRPr="00D95A6F">
        <w:rPr>
          <w:rFonts w:ascii="Times New Roman" w:hAnsi="Times New Roman"/>
          <w:sz w:val="24"/>
          <w:szCs w:val="24"/>
        </w:rPr>
        <w:t>, 2024; Zhang et al., 2024). The further rising electrification, digitalization, and decarbonization have added to the system interconnection and operational requirements. Subsequently, an energy infrastructure breakdown is not a single technical incident but a systemic risk whose effects have cataclysmic effects across multiple industries. This has contributed to an increased focus on risk-based planning, operating, and maintenance of energy systems (</w:t>
      </w:r>
      <w:proofErr w:type="spellStart"/>
      <w:r w:rsidRPr="00D95A6F">
        <w:rPr>
          <w:rFonts w:ascii="Times New Roman" w:hAnsi="Times New Roman"/>
          <w:sz w:val="24"/>
          <w:szCs w:val="24"/>
        </w:rPr>
        <w:t>Morabi</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Groth</w:t>
      </w:r>
      <w:proofErr w:type="spellEnd"/>
      <w:r w:rsidRPr="00D95A6F">
        <w:rPr>
          <w:rFonts w:ascii="Times New Roman" w:hAnsi="Times New Roman"/>
          <w:sz w:val="24"/>
          <w:szCs w:val="24"/>
        </w:rPr>
        <w:t>, 2020; Haimes, 2018).</w:t>
      </w:r>
    </w:p>
    <w:p w14:paraId="78F9DA61"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The main features of complex adaptive systems common to energy systems are high levels of interconnection between components, nonlinearity, and emergent behavior in response to changing operating conditions (Carmichael &amp; </w:t>
      </w:r>
      <w:proofErr w:type="spellStart"/>
      <w:r w:rsidRPr="00D95A6F">
        <w:rPr>
          <w:rFonts w:ascii="Times New Roman" w:hAnsi="Times New Roman"/>
          <w:sz w:val="24"/>
          <w:szCs w:val="24"/>
        </w:rPr>
        <w:t>Hadzikadic</w:t>
      </w:r>
      <w:proofErr w:type="spellEnd"/>
      <w:r w:rsidRPr="00D95A6F">
        <w:rPr>
          <w:rFonts w:ascii="Times New Roman" w:hAnsi="Times New Roman"/>
          <w:sz w:val="24"/>
          <w:szCs w:val="24"/>
        </w:rPr>
        <w:t>, 2019). The aging assets, randomized degradation effects and unpredictable outside stressors generate a massive uncertainty in the performance and failure behavior of systems (Barlow et al., 2021; Martinod et al., 2018). Besides, human and organizational factors and cyber-physical interactions also play a significant role in the operational risk and maintenance performance (Panful et al., 2025; Angeli &amp; Montefusco, 2020). In this kind of situation, deterministic maintenance planning and the maintenance planning of a fixed interval or average failure rates is typically insufficient. Such constraints indicate the necessity of probabilistic and system-level methods that can reflect the effects of uncertainty propagation and dependency (</w:t>
      </w:r>
      <w:proofErr w:type="spellStart"/>
      <w:r w:rsidRPr="00D95A6F">
        <w:rPr>
          <w:rFonts w:ascii="Times New Roman" w:hAnsi="Times New Roman"/>
          <w:sz w:val="24"/>
          <w:szCs w:val="24"/>
        </w:rPr>
        <w:t>Haimes</w:t>
      </w:r>
      <w:proofErr w:type="spellEnd"/>
      <w:r w:rsidRPr="00D95A6F">
        <w:rPr>
          <w:rFonts w:ascii="Times New Roman" w:hAnsi="Times New Roman"/>
          <w:sz w:val="24"/>
          <w:szCs w:val="24"/>
        </w:rPr>
        <w:t xml:space="preserve">, 2018; </w:t>
      </w:r>
      <w:proofErr w:type="spellStart"/>
      <w:r w:rsidRPr="00D95A6F">
        <w:rPr>
          <w:rFonts w:ascii="Times New Roman" w:hAnsi="Times New Roman"/>
          <w:sz w:val="24"/>
          <w:szCs w:val="24"/>
        </w:rPr>
        <w:t>Mohammadhasani</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Pirouzmand</w:t>
      </w:r>
      <w:proofErr w:type="spellEnd"/>
      <w:r w:rsidRPr="00D95A6F">
        <w:rPr>
          <w:rFonts w:ascii="Times New Roman" w:hAnsi="Times New Roman"/>
          <w:sz w:val="24"/>
          <w:szCs w:val="24"/>
        </w:rPr>
        <w:t>, 2021).</w:t>
      </w:r>
    </w:p>
    <w:p w14:paraId="243BB73F"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The condition-based and predictive approach to maintenance in energy systems has developed out of the conventional time-based maintenance due to the development of sensing, diagnostics, and data analytics (Cai et al., 2023). Recently, risk-informed maintenance models have become popular, making maintenance an explicitly defined decision-making problem in the face of uncertainty, but not a technical one (</w:t>
      </w:r>
      <w:proofErr w:type="spellStart"/>
      <w:r w:rsidRPr="00D95A6F">
        <w:rPr>
          <w:rFonts w:ascii="Times New Roman" w:hAnsi="Times New Roman"/>
          <w:sz w:val="24"/>
          <w:szCs w:val="24"/>
        </w:rPr>
        <w:t>Soltanali</w:t>
      </w:r>
      <w:proofErr w:type="spellEnd"/>
      <w:r w:rsidRPr="00D95A6F">
        <w:rPr>
          <w:rFonts w:ascii="Times New Roman" w:hAnsi="Times New Roman"/>
          <w:sz w:val="24"/>
          <w:szCs w:val="24"/>
        </w:rPr>
        <w:t xml:space="preserve"> et al., 2020; </w:t>
      </w:r>
      <w:proofErr w:type="spellStart"/>
      <w:r w:rsidRPr="00D95A6F">
        <w:rPr>
          <w:rFonts w:ascii="Times New Roman" w:hAnsi="Times New Roman"/>
          <w:sz w:val="24"/>
          <w:szCs w:val="24"/>
        </w:rPr>
        <w:t>Tiddens</w:t>
      </w:r>
      <w:proofErr w:type="spellEnd"/>
      <w:r w:rsidRPr="00D95A6F">
        <w:rPr>
          <w:rFonts w:ascii="Times New Roman" w:hAnsi="Times New Roman"/>
          <w:sz w:val="24"/>
          <w:szCs w:val="24"/>
        </w:rPr>
        <w:t xml:space="preserve"> et al., 2023). The analytical basis of this change is Probabilistic Risk Assessment (PRA), which measures risk based on the probability and the severity of consequences (Vesely, 2018; </w:t>
      </w:r>
      <w:proofErr w:type="spellStart"/>
      <w:r w:rsidRPr="00D95A6F">
        <w:rPr>
          <w:rFonts w:ascii="Times New Roman" w:hAnsi="Times New Roman"/>
          <w:sz w:val="24"/>
          <w:szCs w:val="24"/>
        </w:rPr>
        <w:t>Serbanescu</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Ulmeanu</w:t>
      </w:r>
      <w:proofErr w:type="spellEnd"/>
      <w:r w:rsidRPr="00D95A6F">
        <w:rPr>
          <w:rFonts w:ascii="Times New Roman" w:hAnsi="Times New Roman"/>
          <w:sz w:val="24"/>
          <w:szCs w:val="24"/>
        </w:rPr>
        <w:t xml:space="preserve">, 2020). Contrary to reliability-only methods, PRA allows modeling of uncertainty, dependencies and scenario-based outcomes that are essential in complex energy systems (Moradi &amp; </w:t>
      </w:r>
      <w:proofErr w:type="spellStart"/>
      <w:r w:rsidRPr="00D95A6F">
        <w:rPr>
          <w:rFonts w:ascii="Times New Roman" w:hAnsi="Times New Roman"/>
          <w:sz w:val="24"/>
          <w:szCs w:val="24"/>
        </w:rPr>
        <w:t>Groth</w:t>
      </w:r>
      <w:proofErr w:type="spellEnd"/>
      <w:r w:rsidRPr="00D95A6F">
        <w:rPr>
          <w:rFonts w:ascii="Times New Roman" w:hAnsi="Times New Roman"/>
          <w:sz w:val="24"/>
          <w:szCs w:val="24"/>
        </w:rPr>
        <w:t>, 2020; Zhang et al., 2024). Consequently, PRA has now taken the lead in prioritization of maintenance and inspection planning, as well as resource allocation in high-consequence energy systems (</w:t>
      </w:r>
      <w:proofErr w:type="spellStart"/>
      <w:r w:rsidRPr="00D95A6F">
        <w:rPr>
          <w:rFonts w:ascii="Times New Roman" w:hAnsi="Times New Roman"/>
          <w:sz w:val="24"/>
          <w:szCs w:val="24"/>
        </w:rPr>
        <w:t>Hoseyni</w:t>
      </w:r>
      <w:proofErr w:type="spellEnd"/>
      <w:r w:rsidRPr="00D95A6F">
        <w:rPr>
          <w:rFonts w:ascii="Times New Roman" w:hAnsi="Times New Roman"/>
          <w:sz w:val="24"/>
          <w:szCs w:val="24"/>
        </w:rPr>
        <w:t xml:space="preserve"> et al., 2019; Wang et al., 2024).</w:t>
      </w:r>
    </w:p>
    <w:p w14:paraId="21F1B70B"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Although there has been a massive progress, the body of work on PRA-based maintenance decision-making is still divided in different areas, including nuclear engineering, power systems, operations research, and asset </w:t>
      </w:r>
      <w:r w:rsidRPr="00D95A6F">
        <w:rPr>
          <w:rFonts w:ascii="Times New Roman" w:hAnsi="Times New Roman"/>
          <w:sz w:val="24"/>
          <w:szCs w:val="24"/>
        </w:rPr>
        <w:lastRenderedPageBreak/>
        <w:t>management (</w:t>
      </w:r>
      <w:proofErr w:type="spellStart"/>
      <w:r w:rsidRPr="00D95A6F">
        <w:rPr>
          <w:rFonts w:ascii="Times New Roman" w:hAnsi="Times New Roman"/>
          <w:sz w:val="24"/>
          <w:szCs w:val="24"/>
        </w:rPr>
        <w:t>Karanki</w:t>
      </w:r>
      <w:proofErr w:type="spellEnd"/>
      <w:r w:rsidRPr="00D95A6F">
        <w:rPr>
          <w:rFonts w:ascii="Times New Roman" w:hAnsi="Times New Roman"/>
          <w:sz w:val="24"/>
          <w:szCs w:val="24"/>
        </w:rPr>
        <w:t xml:space="preserve"> et al., 2019; Li et al., 2023). A significant portion of research is being devoted to either particular technologies or methods of analysis, which is not integrated across the sector and should not be compared (</w:t>
      </w:r>
      <w:proofErr w:type="spellStart"/>
      <w:r w:rsidRPr="00D95A6F">
        <w:rPr>
          <w:rFonts w:ascii="Times New Roman" w:hAnsi="Times New Roman"/>
          <w:sz w:val="24"/>
          <w:szCs w:val="24"/>
        </w:rPr>
        <w:t>Moinian</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Ameli</w:t>
      </w:r>
      <w:proofErr w:type="spellEnd"/>
      <w:r w:rsidRPr="00D95A6F">
        <w:rPr>
          <w:rFonts w:ascii="Times New Roman" w:hAnsi="Times New Roman"/>
          <w:sz w:val="24"/>
          <w:szCs w:val="24"/>
        </w:rPr>
        <w:t xml:space="preserve">, 2022; </w:t>
      </w:r>
      <w:proofErr w:type="spellStart"/>
      <w:r w:rsidRPr="00D95A6F">
        <w:rPr>
          <w:rFonts w:ascii="Times New Roman" w:hAnsi="Times New Roman"/>
          <w:sz w:val="24"/>
          <w:szCs w:val="24"/>
        </w:rPr>
        <w:t>Rocchetta</w:t>
      </w:r>
      <w:proofErr w:type="spellEnd"/>
      <w:r w:rsidRPr="00D95A6F">
        <w:rPr>
          <w:rFonts w:ascii="Times New Roman" w:hAnsi="Times New Roman"/>
          <w:sz w:val="24"/>
          <w:szCs w:val="24"/>
        </w:rPr>
        <w:t xml:space="preserve"> et al., 2025). Moreover, the new applications of the digital twin, cyber-physical and information-based diagnostics have exacerbated the necessity of integrated analytical views (Adeoye et al., 2025; Rony &amp; Shafa, 2024). To this end, this paper seeks to </w:t>
      </w:r>
      <w:proofErr w:type="spellStart"/>
      <w:r w:rsidRPr="00D95A6F">
        <w:rPr>
          <w:rFonts w:ascii="Times New Roman" w:hAnsi="Times New Roman"/>
          <w:sz w:val="24"/>
          <w:szCs w:val="24"/>
        </w:rPr>
        <w:t>summarise</w:t>
      </w:r>
      <w:proofErr w:type="spellEnd"/>
      <w:r w:rsidRPr="00D95A6F">
        <w:rPr>
          <w:rFonts w:ascii="Times New Roman" w:hAnsi="Times New Roman"/>
          <w:sz w:val="24"/>
          <w:szCs w:val="24"/>
        </w:rPr>
        <w:t xml:space="preserve"> analytical PRA based models of maintenance, contrast decision-making models in the context of complex systems of energy and establish the main limitations and research gaps. The research approach is a conventional narrative literature review that offers an analytical underpinning of risk-informed maintenance studies and practice in the future (</w:t>
      </w:r>
      <w:proofErr w:type="spellStart"/>
      <w:r w:rsidRPr="00D95A6F">
        <w:rPr>
          <w:rFonts w:ascii="Times New Roman" w:hAnsi="Times New Roman"/>
          <w:sz w:val="24"/>
          <w:szCs w:val="24"/>
        </w:rPr>
        <w:t>Hoseyni</w:t>
      </w:r>
      <w:proofErr w:type="spellEnd"/>
      <w:r w:rsidRPr="00D95A6F">
        <w:rPr>
          <w:rFonts w:ascii="Times New Roman" w:hAnsi="Times New Roman"/>
          <w:sz w:val="24"/>
          <w:szCs w:val="24"/>
        </w:rPr>
        <w:t xml:space="preserve">, 2020; </w:t>
      </w:r>
      <w:proofErr w:type="spellStart"/>
      <w:r w:rsidRPr="00D95A6F">
        <w:rPr>
          <w:rFonts w:ascii="Times New Roman" w:hAnsi="Times New Roman"/>
          <w:sz w:val="24"/>
          <w:szCs w:val="24"/>
        </w:rPr>
        <w:t>Antwi</w:t>
      </w:r>
      <w:proofErr w:type="spellEnd"/>
      <w:r w:rsidRPr="00D95A6F">
        <w:rPr>
          <w:rFonts w:ascii="Times New Roman" w:hAnsi="Times New Roman"/>
          <w:sz w:val="24"/>
          <w:szCs w:val="24"/>
        </w:rPr>
        <w:t xml:space="preserve"> &amp; Nnaji, 2026).</w:t>
      </w:r>
    </w:p>
    <w:p w14:paraId="5107DB97" w14:textId="77777777" w:rsidR="008D34CC" w:rsidRPr="00D95A6F" w:rsidRDefault="008D34CC" w:rsidP="008D34CC">
      <w:pPr>
        <w:spacing w:line="360" w:lineRule="auto"/>
        <w:jc w:val="both"/>
        <w:rPr>
          <w:rFonts w:ascii="Times New Roman" w:hAnsi="Times New Roman"/>
          <w:sz w:val="24"/>
          <w:szCs w:val="24"/>
        </w:rPr>
      </w:pPr>
    </w:p>
    <w:p w14:paraId="35800B58"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2.2 Maintenance Decision-Making as a Risk Problem</w:t>
      </w:r>
    </w:p>
    <w:p w14:paraId="0C40007F"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Decision-making in complex energy systems regarding maintenance always deals with the trade-off between opposing goals in terms of reliability, safety and economic performance. Trade-offs between the probability of failure, the severity of the consequences and the direct and indirect costs required to maintain the downtime and intervention may be determined with decisions on the inspection intervals, component replacement, or the deferred maintenance (</w:t>
      </w:r>
      <w:proofErr w:type="spellStart"/>
      <w:r w:rsidRPr="00D95A6F">
        <w:rPr>
          <w:rFonts w:ascii="Times New Roman" w:hAnsi="Times New Roman"/>
          <w:sz w:val="24"/>
          <w:szCs w:val="24"/>
        </w:rPr>
        <w:t>Soltanali</w:t>
      </w:r>
      <w:proofErr w:type="spellEnd"/>
      <w:r w:rsidRPr="00D95A6F">
        <w:rPr>
          <w:rFonts w:ascii="Times New Roman" w:hAnsi="Times New Roman"/>
          <w:sz w:val="24"/>
          <w:szCs w:val="24"/>
        </w:rPr>
        <w:t xml:space="preserve"> et al., 2020). Even the low probability failures can justify the proactive maintenance activities because of severe consequences that they can cause in high-consequence systems. Consequently, maintenance planning cannot be narrowed down to cost minimization only but must unmistakably consider risk (</w:t>
      </w:r>
      <w:proofErr w:type="spellStart"/>
      <w:r w:rsidRPr="00D95A6F">
        <w:rPr>
          <w:rFonts w:ascii="Times New Roman" w:hAnsi="Times New Roman"/>
          <w:sz w:val="24"/>
          <w:szCs w:val="24"/>
        </w:rPr>
        <w:t>Vesely</w:t>
      </w:r>
      <w:proofErr w:type="spellEnd"/>
      <w:r w:rsidRPr="00D95A6F">
        <w:rPr>
          <w:rFonts w:ascii="Times New Roman" w:hAnsi="Times New Roman"/>
          <w:sz w:val="24"/>
          <w:szCs w:val="24"/>
        </w:rPr>
        <w:t xml:space="preserve">, 2018; </w:t>
      </w:r>
      <w:proofErr w:type="spellStart"/>
      <w:r w:rsidRPr="00D95A6F">
        <w:rPr>
          <w:rFonts w:ascii="Times New Roman" w:hAnsi="Times New Roman"/>
          <w:sz w:val="24"/>
          <w:szCs w:val="24"/>
        </w:rPr>
        <w:t>Mohammadhasani</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Pirouzmand</w:t>
      </w:r>
      <w:proofErr w:type="spellEnd"/>
      <w:r w:rsidRPr="00D95A6F">
        <w:rPr>
          <w:rFonts w:ascii="Times New Roman" w:hAnsi="Times New Roman"/>
          <w:sz w:val="24"/>
          <w:szCs w:val="24"/>
        </w:rPr>
        <w:t>, 2021).</w:t>
      </w:r>
    </w:p>
    <w:p w14:paraId="0E5FAD3B"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Regarding decision-theory, maintenance activities may be considered as decisions under uncertainties, and their results are assessed by utility functions that represent risk-taking biases and preferences of stakeholders. This framing enables maintaining policies to be evaluated with respect to the expected utility instead of deterministic performance </w:t>
      </w:r>
      <w:proofErr w:type="spellStart"/>
      <w:r w:rsidRPr="00D95A6F">
        <w:rPr>
          <w:rFonts w:ascii="Times New Roman" w:hAnsi="Times New Roman"/>
          <w:sz w:val="24"/>
          <w:szCs w:val="24"/>
        </w:rPr>
        <w:t>performance</w:t>
      </w:r>
      <w:proofErr w:type="spellEnd"/>
      <w:r w:rsidRPr="00D95A6F">
        <w:rPr>
          <w:rFonts w:ascii="Times New Roman" w:hAnsi="Times New Roman"/>
          <w:sz w:val="24"/>
          <w:szCs w:val="24"/>
        </w:rPr>
        <w:t xml:space="preserve"> metrics (Syed &amp; </w:t>
      </w:r>
      <w:proofErr w:type="spellStart"/>
      <w:r w:rsidRPr="00D95A6F">
        <w:rPr>
          <w:rFonts w:ascii="Times New Roman" w:hAnsi="Times New Roman"/>
          <w:sz w:val="24"/>
          <w:szCs w:val="24"/>
        </w:rPr>
        <w:t>Lawryshyn</w:t>
      </w:r>
      <w:proofErr w:type="spellEnd"/>
      <w:r w:rsidRPr="00D95A6F">
        <w:rPr>
          <w:rFonts w:ascii="Times New Roman" w:hAnsi="Times New Roman"/>
          <w:sz w:val="24"/>
          <w:szCs w:val="24"/>
        </w:rPr>
        <w:t>, 2020). Risk aversion, regulatory frameworks and safety buffers are important factors influencing acceptable maintenance policies, especially in energy industries that are tightly regulated like the nuclear and gas transmission systems (Jang &amp; Shim, 2020; Viana et al., 2022).</w:t>
      </w:r>
    </w:p>
    <w:p w14:paraId="0785608B"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The most recent developments in predictive and data-based maintenance only support the way maintenance is interpreted as a risk-based decision problem. The machine learning, condition monitoring, and prognostics increase the accuracy of the failure probability estimation, yet it also brings new sources of uncertainty connected to the quality of data and the assumptions made by the models (Nguyen et al., 2022; Feng and Li, 2022). It, therefore, can be expected that maintenance decision-making is becoming more dependent on multi-criteria and probabilistic frameworks that also incorporate technical risk and consider economic and organizational aspects (</w:t>
      </w:r>
      <w:proofErr w:type="spellStart"/>
      <w:r w:rsidRPr="00D95A6F">
        <w:rPr>
          <w:rFonts w:ascii="Times New Roman" w:hAnsi="Times New Roman"/>
          <w:sz w:val="24"/>
          <w:szCs w:val="24"/>
        </w:rPr>
        <w:t>Tiddens</w:t>
      </w:r>
      <w:proofErr w:type="spellEnd"/>
      <w:r w:rsidRPr="00D95A6F">
        <w:rPr>
          <w:rFonts w:ascii="Times New Roman" w:hAnsi="Times New Roman"/>
          <w:sz w:val="24"/>
          <w:szCs w:val="24"/>
        </w:rPr>
        <w:t xml:space="preserve"> et al., 2023; Cai et al., 2023).</w:t>
      </w:r>
    </w:p>
    <w:p w14:paraId="22D55923" w14:textId="77777777" w:rsidR="008D34CC" w:rsidRPr="00D95A6F" w:rsidRDefault="008D34CC" w:rsidP="008D34CC">
      <w:pPr>
        <w:spacing w:line="360" w:lineRule="auto"/>
        <w:jc w:val="both"/>
        <w:rPr>
          <w:rFonts w:ascii="Times New Roman" w:hAnsi="Times New Roman"/>
          <w:sz w:val="24"/>
          <w:szCs w:val="24"/>
        </w:rPr>
      </w:pPr>
    </w:p>
    <w:p w14:paraId="6DC966BC"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2.3 Probabilistic Risk Assessment (PRA)</w:t>
      </w:r>
    </w:p>
    <w:p w14:paraId="62771E06"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lastRenderedPageBreak/>
        <w:t xml:space="preserve">Probabilistic Risk Assessment (PRA) offers a process approach to risk quantification and management of complex systems, as it combines the consequences analysis with the probability of failure. The basic PRA elements are the identification of initiating events, modeling the system response using event trees and fault trees, and propagating uncertainty by probabilistic inference (Vesely, 2018; </w:t>
      </w:r>
      <w:proofErr w:type="spellStart"/>
      <w:r w:rsidRPr="00D95A6F">
        <w:rPr>
          <w:rFonts w:ascii="Times New Roman" w:hAnsi="Times New Roman"/>
          <w:sz w:val="24"/>
          <w:szCs w:val="24"/>
        </w:rPr>
        <w:t>Serbanescu</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Ulmeanu</w:t>
      </w:r>
      <w:proofErr w:type="spellEnd"/>
      <w:r w:rsidRPr="00D95A6F">
        <w:rPr>
          <w:rFonts w:ascii="Times New Roman" w:hAnsi="Times New Roman"/>
          <w:sz w:val="24"/>
          <w:szCs w:val="24"/>
        </w:rPr>
        <w:t>, 2020). These factors allow analysts to determine not only whether failures can take place, but how they develop and what effect they can have. High-reliability sectors consisting of nuclear power where the safety governance requires risk-informed decisions have seen wide use of PRA (Zhang et al., 2024; Ameyaw et al., 2026).</w:t>
      </w:r>
    </w:p>
    <w:p w14:paraId="0EC7C365"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Conventional PRA methods tend to be non-dynamic in nature since they use predetermined probabilities of failure, and the systems are defined. Although it is suitable in regulatory evaluations and long-term planning, it is possible that under time-varying conditions of degradation, changing operational conditions, or the impact of maintenance actions, the impact may not be adequately captured by using static PRA (George-Williams, 2018; </w:t>
      </w:r>
      <w:proofErr w:type="spellStart"/>
      <w:r w:rsidRPr="00D95A6F">
        <w:rPr>
          <w:rFonts w:ascii="Times New Roman" w:hAnsi="Times New Roman"/>
          <w:sz w:val="24"/>
          <w:szCs w:val="24"/>
        </w:rPr>
        <w:t>Karanki</w:t>
      </w:r>
      <w:proofErr w:type="spellEnd"/>
      <w:r w:rsidRPr="00D95A6F">
        <w:rPr>
          <w:rFonts w:ascii="Times New Roman" w:hAnsi="Times New Roman"/>
          <w:sz w:val="24"/>
          <w:szCs w:val="24"/>
        </w:rPr>
        <w:t xml:space="preserve"> et al., 2019). To overcome them, dynamic PRA techniques have been created, which use condition monitoring information, system dynamics, and real-time feedback (</w:t>
      </w:r>
      <w:proofErr w:type="spellStart"/>
      <w:r w:rsidRPr="00D95A6F">
        <w:rPr>
          <w:rFonts w:ascii="Times New Roman" w:hAnsi="Times New Roman"/>
          <w:sz w:val="24"/>
          <w:szCs w:val="24"/>
        </w:rPr>
        <w:t>Parhizkar</w:t>
      </w:r>
      <w:proofErr w:type="spellEnd"/>
      <w:r w:rsidRPr="00D95A6F">
        <w:rPr>
          <w:rFonts w:ascii="Times New Roman" w:hAnsi="Times New Roman"/>
          <w:sz w:val="24"/>
          <w:szCs w:val="24"/>
        </w:rPr>
        <w:t xml:space="preserve"> et al., 2021; Moradi &amp; </w:t>
      </w:r>
      <w:proofErr w:type="spellStart"/>
      <w:r w:rsidRPr="00D95A6F">
        <w:rPr>
          <w:rFonts w:ascii="Times New Roman" w:hAnsi="Times New Roman"/>
          <w:sz w:val="24"/>
          <w:szCs w:val="24"/>
        </w:rPr>
        <w:t>Groth</w:t>
      </w:r>
      <w:proofErr w:type="spellEnd"/>
      <w:r w:rsidRPr="00D95A6F">
        <w:rPr>
          <w:rFonts w:ascii="Times New Roman" w:hAnsi="Times New Roman"/>
          <w:sz w:val="24"/>
          <w:szCs w:val="24"/>
        </w:rPr>
        <w:t>, 2020).</w:t>
      </w:r>
    </w:p>
    <w:p w14:paraId="209FACCB"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Dynamic and living PRA frameworks allow the reassessment of risks in a continuous manner due to the availability of new information and thus they are especially applicable in maintenance decision-making. Connecting PRA to prognostics and health management methods, these strategies assist in the adaptive maintenance policies in response to the changes in the state of the system (</w:t>
      </w:r>
      <w:proofErr w:type="spellStart"/>
      <w:r w:rsidRPr="00D95A6F">
        <w:rPr>
          <w:rFonts w:ascii="Times New Roman" w:hAnsi="Times New Roman"/>
          <w:sz w:val="24"/>
          <w:szCs w:val="24"/>
        </w:rPr>
        <w:t>Hoseyni</w:t>
      </w:r>
      <w:proofErr w:type="spellEnd"/>
      <w:r w:rsidRPr="00D95A6F">
        <w:rPr>
          <w:rFonts w:ascii="Times New Roman" w:hAnsi="Times New Roman"/>
          <w:sz w:val="24"/>
          <w:szCs w:val="24"/>
        </w:rPr>
        <w:t xml:space="preserve"> et al., 2019; Wang et al., 2024). With more and more energy systems being digitalized and interconnected, PRA is ceasing to be a one-dimensional analytical tool and is becoming a part of operational and maintenance decision support (Rony &amp; Shafa, 2024; Zhang et al., 2024).</w:t>
      </w:r>
    </w:p>
    <w:p w14:paraId="28B4BCF1" w14:textId="77777777" w:rsidR="008D34CC" w:rsidRPr="00D95A6F" w:rsidRDefault="008D34CC" w:rsidP="008D34CC">
      <w:pPr>
        <w:spacing w:line="360" w:lineRule="auto"/>
        <w:jc w:val="both"/>
        <w:rPr>
          <w:rFonts w:ascii="Times New Roman" w:hAnsi="Times New Roman"/>
          <w:sz w:val="24"/>
          <w:szCs w:val="24"/>
        </w:rPr>
      </w:pPr>
    </w:p>
    <w:p w14:paraId="38C1312F"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2.4 Risk Metrics Used in Maintenance</w:t>
      </w:r>
    </w:p>
    <w:p w14:paraId="6688A46D"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Risk measures give the numerical foundations over which PRA outputs can be converted into feasible maintenance decisions. The most popular metrics are component and system-level failure probabilities, which show the probability of the loss of functions within a given time period (Cai et al., 2023). The anticipated loss measures also integrate the probability of failure to the estimated consequences, which enables the maintenance activities to be prioritized with regard to their expected influence on the safety and the cost (</w:t>
      </w:r>
      <w:proofErr w:type="spellStart"/>
      <w:r w:rsidRPr="00D95A6F">
        <w:rPr>
          <w:rFonts w:ascii="Times New Roman" w:hAnsi="Times New Roman"/>
          <w:sz w:val="24"/>
          <w:szCs w:val="24"/>
        </w:rPr>
        <w:t>Soltanali</w:t>
      </w:r>
      <w:proofErr w:type="spellEnd"/>
      <w:r w:rsidRPr="00D95A6F">
        <w:rPr>
          <w:rFonts w:ascii="Times New Roman" w:hAnsi="Times New Roman"/>
          <w:sz w:val="24"/>
          <w:szCs w:val="24"/>
        </w:rPr>
        <w:t xml:space="preserve"> et al., 2020; Viana et al., 2022). These are taken to aid the rational distribution of limited maintenance resources in complex systems. Fussel Vesely and related risk importance measurements are common methods of determining important components that contribute to system risk predominated by their failure modes (</w:t>
      </w:r>
      <w:proofErr w:type="spellStart"/>
      <w:r w:rsidRPr="00D95A6F">
        <w:rPr>
          <w:rFonts w:ascii="Times New Roman" w:hAnsi="Times New Roman"/>
          <w:sz w:val="24"/>
          <w:szCs w:val="24"/>
        </w:rPr>
        <w:t>Mohammadhasani</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Pirouzmand</w:t>
      </w:r>
      <w:proofErr w:type="spellEnd"/>
      <w:r w:rsidRPr="00D95A6F">
        <w:rPr>
          <w:rFonts w:ascii="Times New Roman" w:hAnsi="Times New Roman"/>
          <w:sz w:val="24"/>
          <w:szCs w:val="24"/>
        </w:rPr>
        <w:t xml:space="preserve">, 2021). These metrics can be used to make targeted maintenance interventions that are most cost-effective in reduction of risks. </w:t>
      </w:r>
    </w:p>
    <w:p w14:paraId="2318C6F6" w14:textId="77777777" w:rsidR="008D34CC" w:rsidRPr="00D95A6F" w:rsidRDefault="008D34CC" w:rsidP="008D34CC">
      <w:pPr>
        <w:spacing w:line="360" w:lineRule="auto"/>
        <w:jc w:val="both"/>
        <w:rPr>
          <w:rFonts w:ascii="Times New Roman" w:hAnsi="Times New Roman"/>
          <w:sz w:val="24"/>
          <w:szCs w:val="24"/>
        </w:rPr>
      </w:pPr>
      <w:r w:rsidRPr="00DE1993">
        <w:rPr>
          <w:rFonts w:ascii="Times New Roman" w:hAnsi="Times New Roman"/>
          <w:sz w:val="24"/>
          <w:szCs w:val="24"/>
        </w:rPr>
        <w:lastRenderedPageBreak/>
        <w:t>Nevertheless, importance measures are sensitive to model assumptions and system boundary definitions. To address this limitation, practitioners should apply robustness checks and sensitivity analysis to evaluate how importance rankings change under different modeling assumptions and operational scenarios (</w:t>
      </w:r>
      <w:proofErr w:type="spellStart"/>
      <w:r w:rsidRPr="00DE1993">
        <w:rPr>
          <w:rFonts w:ascii="Times New Roman" w:hAnsi="Times New Roman"/>
          <w:sz w:val="24"/>
          <w:szCs w:val="24"/>
        </w:rPr>
        <w:t>Karanki</w:t>
      </w:r>
      <w:proofErr w:type="spellEnd"/>
      <w:r w:rsidRPr="00DE1993">
        <w:rPr>
          <w:rFonts w:ascii="Times New Roman" w:hAnsi="Times New Roman"/>
          <w:sz w:val="24"/>
          <w:szCs w:val="24"/>
        </w:rPr>
        <w:t xml:space="preserve"> et al., 2019; Vesely, 2018)</w:t>
      </w:r>
      <w:r w:rsidRPr="25447BB7">
        <w:rPr>
          <w:rFonts w:ascii="Times New Roman" w:hAnsi="Times New Roman"/>
          <w:sz w:val="24"/>
          <w:szCs w:val="24"/>
        </w:rPr>
        <w:t>. An important difference in maintenance planning is the difference between component level and systems level risk metrics. Local optimization is also effective with component-level metrics, but system-level metrics can also place emphasis on the interfaces and dependencies that can increase or decrease total risk (Haimes, 2018; Barlow et al., 2021). In multifaceted energy systems, there must be a combination of the two points of view in order to have proper maintenance decision-making that ensures that the local activity is in line with global risk reduction goals (</w:t>
      </w:r>
      <w:proofErr w:type="spellStart"/>
      <w:r w:rsidRPr="25447BB7">
        <w:rPr>
          <w:rFonts w:ascii="Times New Roman" w:hAnsi="Times New Roman"/>
          <w:sz w:val="24"/>
          <w:szCs w:val="24"/>
        </w:rPr>
        <w:t>Moinian</w:t>
      </w:r>
      <w:proofErr w:type="spellEnd"/>
      <w:r w:rsidRPr="25447BB7">
        <w:rPr>
          <w:rFonts w:ascii="Times New Roman" w:hAnsi="Times New Roman"/>
          <w:sz w:val="24"/>
          <w:szCs w:val="24"/>
        </w:rPr>
        <w:t xml:space="preserve"> &amp; </w:t>
      </w:r>
      <w:proofErr w:type="spellStart"/>
      <w:r w:rsidRPr="25447BB7">
        <w:rPr>
          <w:rFonts w:ascii="Times New Roman" w:hAnsi="Times New Roman"/>
          <w:sz w:val="24"/>
          <w:szCs w:val="24"/>
        </w:rPr>
        <w:t>Ameli</w:t>
      </w:r>
      <w:proofErr w:type="spellEnd"/>
      <w:r w:rsidRPr="25447BB7">
        <w:rPr>
          <w:rFonts w:ascii="Times New Roman" w:hAnsi="Times New Roman"/>
          <w:sz w:val="24"/>
          <w:szCs w:val="24"/>
        </w:rPr>
        <w:t xml:space="preserve">, 2022; </w:t>
      </w:r>
      <w:proofErr w:type="spellStart"/>
      <w:r w:rsidRPr="25447BB7">
        <w:rPr>
          <w:rFonts w:ascii="Times New Roman" w:hAnsi="Times New Roman"/>
          <w:sz w:val="24"/>
          <w:szCs w:val="24"/>
        </w:rPr>
        <w:t>Rocchetta</w:t>
      </w:r>
      <w:proofErr w:type="spellEnd"/>
      <w:r w:rsidRPr="25447BB7">
        <w:rPr>
          <w:rFonts w:ascii="Times New Roman" w:hAnsi="Times New Roman"/>
          <w:sz w:val="24"/>
          <w:szCs w:val="24"/>
        </w:rPr>
        <w:t xml:space="preserve"> et al., 2025).</w:t>
      </w:r>
    </w:p>
    <w:p w14:paraId="08958B49" w14:textId="77777777" w:rsidR="008D34CC" w:rsidRPr="00D95A6F" w:rsidRDefault="008D34CC" w:rsidP="008D34CC">
      <w:pPr>
        <w:spacing w:line="360" w:lineRule="auto"/>
        <w:jc w:val="both"/>
        <w:rPr>
          <w:rFonts w:ascii="Times New Roman" w:hAnsi="Times New Roman"/>
          <w:sz w:val="24"/>
          <w:szCs w:val="24"/>
        </w:rPr>
      </w:pPr>
      <w:r w:rsidRPr="00D95A6F">
        <w:rPr>
          <w:noProof/>
          <w:sz w:val="24"/>
          <w:szCs w:val="24"/>
        </w:rPr>
        <w:drawing>
          <wp:inline distT="0" distB="0" distL="0" distR="0" wp14:anchorId="606ADED4" wp14:editId="7EF350C4">
            <wp:extent cx="5731510" cy="2676525"/>
            <wp:effectExtent l="0" t="0" r="2540" b="9525"/>
            <wp:docPr id="526633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442" b="9506"/>
                    <a:stretch>
                      <a:fillRect/>
                    </a:stretch>
                  </pic:blipFill>
                  <pic:spPr bwMode="auto">
                    <a:xfrm>
                      <a:off x="0" y="0"/>
                      <a:ext cx="573151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6C0D20AC"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Figure 1: Framework of Probabilistic risk assessment-driven maintenance decision-making in complex energy systems</w:t>
      </w:r>
    </w:p>
    <w:p w14:paraId="4EAB4651" w14:textId="77777777" w:rsidR="008D34CC" w:rsidRPr="00D95A6F" w:rsidRDefault="008D34CC" w:rsidP="008D34CC">
      <w:pPr>
        <w:spacing w:line="360" w:lineRule="auto"/>
        <w:jc w:val="both"/>
        <w:rPr>
          <w:rFonts w:ascii="Times New Roman" w:hAnsi="Times New Roman"/>
          <w:b/>
          <w:bCs/>
          <w:sz w:val="24"/>
          <w:szCs w:val="24"/>
        </w:rPr>
      </w:pPr>
    </w:p>
    <w:p w14:paraId="1BB5778E"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3. Analytical PRA Frameworks for Maintenance Decision-Making</w:t>
      </w:r>
    </w:p>
    <w:p w14:paraId="1BB84C2B"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3.1 Risk-Based Maintenance (RBM)  </w:t>
      </w:r>
    </w:p>
    <w:p w14:paraId="084ECF56"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One of the oldest and most popular frameworks developed to incorporate probabilistic risk ideas into the maintenance planning is the Risk-Based Maintenance (RBM). Instead of depending on regular time-related plans, RBM focuses on prioritizing the maintenance activities depending on the balanced evaluation of the probability of failure and the severity of consequences, allowing placing the components in terms of their overall impact on the risk of the system (</w:t>
      </w:r>
      <w:proofErr w:type="spellStart"/>
      <w:r w:rsidRPr="00D95A6F">
        <w:rPr>
          <w:rFonts w:ascii="Times New Roman" w:hAnsi="Times New Roman"/>
          <w:sz w:val="24"/>
          <w:szCs w:val="24"/>
        </w:rPr>
        <w:t>Vesely</w:t>
      </w:r>
      <w:proofErr w:type="spellEnd"/>
      <w:r w:rsidRPr="00D95A6F">
        <w:rPr>
          <w:rFonts w:ascii="Times New Roman" w:hAnsi="Times New Roman"/>
          <w:sz w:val="24"/>
          <w:szCs w:val="24"/>
        </w:rPr>
        <w:t xml:space="preserve">, 2018; </w:t>
      </w:r>
      <w:proofErr w:type="spellStart"/>
      <w:r w:rsidRPr="00D95A6F">
        <w:rPr>
          <w:rFonts w:ascii="Times New Roman" w:hAnsi="Times New Roman"/>
          <w:sz w:val="24"/>
          <w:szCs w:val="24"/>
        </w:rPr>
        <w:t>Mohammadhasani</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Pirouzmand</w:t>
      </w:r>
      <w:proofErr w:type="spellEnd"/>
      <w:r w:rsidRPr="00D95A6F">
        <w:rPr>
          <w:rFonts w:ascii="Times New Roman" w:hAnsi="Times New Roman"/>
          <w:sz w:val="24"/>
          <w:szCs w:val="24"/>
        </w:rPr>
        <w:t>, 2021). This risk-prioritizing exercise enables the decision-makers to spend scarce resources on assets whose failure would have the most significant safety, economic, or environmental impacts. RBM has been especially applied to the complex energy systems, when heterogeneous components have markedly dissimilar risk behaviors (Li et al., 2023).</w:t>
      </w:r>
    </w:p>
    <w:p w14:paraId="5274D52E"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lastRenderedPageBreak/>
        <w:t xml:space="preserve">In reality, RBM uses risk matrices, expected loss calculations, and risk importance measures based on PRA models to identify clear and defendable rules of maintenance prioritization (Syed &amp; </w:t>
      </w:r>
      <w:proofErr w:type="spellStart"/>
      <w:r w:rsidRPr="00D95A6F">
        <w:rPr>
          <w:rFonts w:ascii="Times New Roman" w:hAnsi="Times New Roman"/>
          <w:sz w:val="24"/>
          <w:szCs w:val="24"/>
        </w:rPr>
        <w:t>Lawryshyn</w:t>
      </w:r>
      <w:proofErr w:type="spellEnd"/>
      <w:r w:rsidRPr="00D95A6F">
        <w:rPr>
          <w:rFonts w:ascii="Times New Roman" w:hAnsi="Times New Roman"/>
          <w:sz w:val="24"/>
          <w:szCs w:val="24"/>
        </w:rPr>
        <w:t>, 2020). RBM aligns maintenance planning with risk-informed decision-making, explicitly relating maintenance actions to risk reduction quantified which is necessary in high-consequence infrastructures with conservative acceptable risk levels (Jang &amp; Shim, 2020). RBM has been executed successfully in thermal power plants, electrical distribution networks, and refinery systems and shows better reliability and less unplanned outage than traditional solutions (</w:t>
      </w:r>
      <w:proofErr w:type="spellStart"/>
      <w:r w:rsidRPr="00D95A6F">
        <w:rPr>
          <w:rFonts w:ascii="Times New Roman" w:hAnsi="Times New Roman"/>
          <w:sz w:val="24"/>
          <w:szCs w:val="24"/>
        </w:rPr>
        <w:t>Palakodeti</w:t>
      </w:r>
      <w:proofErr w:type="spellEnd"/>
      <w:r w:rsidRPr="00D95A6F">
        <w:rPr>
          <w:rFonts w:ascii="Times New Roman" w:hAnsi="Times New Roman"/>
          <w:sz w:val="24"/>
          <w:szCs w:val="24"/>
        </w:rPr>
        <w:t xml:space="preserve"> et al., 2020; </w:t>
      </w:r>
      <w:proofErr w:type="spellStart"/>
      <w:r w:rsidRPr="00D95A6F">
        <w:rPr>
          <w:rFonts w:ascii="Times New Roman" w:hAnsi="Times New Roman"/>
          <w:sz w:val="24"/>
          <w:szCs w:val="24"/>
        </w:rPr>
        <w:t>Ajenifuja</w:t>
      </w:r>
      <w:proofErr w:type="spellEnd"/>
      <w:r w:rsidRPr="00D95A6F">
        <w:rPr>
          <w:rFonts w:ascii="Times New Roman" w:hAnsi="Times New Roman"/>
          <w:sz w:val="24"/>
          <w:szCs w:val="24"/>
        </w:rPr>
        <w:t>, 2024). In electrical systems, it aids in outage planning, asset replacement decision making since it can determine which of the components will fail to stabilize the system (</w:t>
      </w:r>
      <w:proofErr w:type="spellStart"/>
      <w:r w:rsidRPr="00D95A6F">
        <w:rPr>
          <w:rFonts w:ascii="Times New Roman" w:hAnsi="Times New Roman"/>
          <w:sz w:val="24"/>
          <w:szCs w:val="24"/>
        </w:rPr>
        <w:t>Rocchetta</w:t>
      </w:r>
      <w:proofErr w:type="spellEnd"/>
      <w:r w:rsidRPr="00D95A6F">
        <w:rPr>
          <w:rFonts w:ascii="Times New Roman" w:hAnsi="Times New Roman"/>
          <w:sz w:val="24"/>
          <w:szCs w:val="24"/>
        </w:rPr>
        <w:t xml:space="preserve"> et al., 2025). These applications establish RBM as a basic framework that other more advanced probabilistic and data-driven maintenance models are based on (Li et al., 2023).</w:t>
      </w:r>
    </w:p>
    <w:p w14:paraId="672335BA" w14:textId="77777777" w:rsidR="008D34CC" w:rsidRPr="00D95A6F" w:rsidRDefault="008D34CC" w:rsidP="008D34CC">
      <w:pPr>
        <w:spacing w:line="360" w:lineRule="auto"/>
        <w:jc w:val="both"/>
        <w:rPr>
          <w:rFonts w:ascii="Times New Roman" w:hAnsi="Times New Roman"/>
          <w:b/>
          <w:bCs/>
          <w:sz w:val="24"/>
          <w:szCs w:val="24"/>
        </w:rPr>
      </w:pPr>
    </w:p>
    <w:p w14:paraId="4CD10F9D"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3.2 Condition-Based PRA </w:t>
      </w:r>
    </w:p>
    <w:p w14:paraId="0B50DB38"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Condition-based PRA is an extension of the traditional risk-based maintenance that explicitly uses the data of inspection and monitoring in probabilistic risk models. The conditional indicators of assets, fault diagnostics and degradation measurements are applied to dynamically update the failure probabilities and the system risk estimates (</w:t>
      </w:r>
      <w:proofErr w:type="spellStart"/>
      <w:r w:rsidRPr="00D95A6F">
        <w:rPr>
          <w:rFonts w:ascii="Times New Roman" w:hAnsi="Times New Roman"/>
          <w:sz w:val="24"/>
          <w:szCs w:val="24"/>
        </w:rPr>
        <w:t>Hoseyni</w:t>
      </w:r>
      <w:proofErr w:type="spellEnd"/>
      <w:r w:rsidRPr="00D95A6F">
        <w:rPr>
          <w:rFonts w:ascii="Times New Roman" w:hAnsi="Times New Roman"/>
          <w:sz w:val="24"/>
          <w:szCs w:val="24"/>
        </w:rPr>
        <w:t xml:space="preserve"> et al., 2019; Wang et al., 2024; Bonsu &amp; Adeoye, 2025). With this integration, maintenance decisions are made based on the real health condition of the components and not the presupposed mean operation. Consequently, condition-based PRA helps to perform highly accurate and timely maintenance interventions to complex energy systems.</w:t>
      </w:r>
    </w:p>
    <w:p w14:paraId="37F6BD60"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Bayesian updating is another major analytical aspect of condition-based PRA whereby prior failure models are updated as evidence is received. Epistemic uncertainty is gradually decreased by inspection results and sensor data, making predictions of risks more accurate as time progresses (</w:t>
      </w:r>
      <w:proofErr w:type="spellStart"/>
      <w:r w:rsidRPr="00D95A6F">
        <w:rPr>
          <w:rFonts w:ascii="Times New Roman" w:hAnsi="Times New Roman"/>
          <w:sz w:val="24"/>
          <w:szCs w:val="24"/>
        </w:rPr>
        <w:t>Hoseyni</w:t>
      </w:r>
      <w:proofErr w:type="spellEnd"/>
      <w:r w:rsidRPr="00D95A6F">
        <w:rPr>
          <w:rFonts w:ascii="Times New Roman" w:hAnsi="Times New Roman"/>
          <w:sz w:val="24"/>
          <w:szCs w:val="24"/>
        </w:rPr>
        <w:t xml:space="preserve">, 2020; Moradi &amp; </w:t>
      </w:r>
      <w:proofErr w:type="spellStart"/>
      <w:r w:rsidRPr="00D95A6F">
        <w:rPr>
          <w:rFonts w:ascii="Times New Roman" w:hAnsi="Times New Roman"/>
          <w:sz w:val="24"/>
          <w:szCs w:val="24"/>
        </w:rPr>
        <w:t>Groth</w:t>
      </w:r>
      <w:proofErr w:type="spellEnd"/>
      <w:r w:rsidRPr="00D95A6F">
        <w:rPr>
          <w:rFonts w:ascii="Times New Roman" w:hAnsi="Times New Roman"/>
          <w:sz w:val="24"/>
          <w:szCs w:val="24"/>
        </w:rPr>
        <w:t>, 2020). This feature is particularly crucial in nuclear and power generation systems, where too much maintenance may be taken due to conservative assumptions, and overestimation of risk may be disastrous. Bayesian updating hence offers a mathematically sound process of operational data learning.</w:t>
      </w:r>
    </w:p>
    <w:p w14:paraId="0FCBD109"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sz w:val="24"/>
          <w:szCs w:val="24"/>
        </w:rPr>
        <w:t>Empirical research shows that condition-based PRA enhances the process of maintenance scheduling, unnecessary interventions, and the overall system safety compared to the use of static methods (</w:t>
      </w:r>
      <w:proofErr w:type="spellStart"/>
      <w:r w:rsidRPr="00D95A6F">
        <w:rPr>
          <w:rFonts w:ascii="Times New Roman" w:hAnsi="Times New Roman"/>
          <w:sz w:val="24"/>
          <w:szCs w:val="24"/>
        </w:rPr>
        <w:t>Hoseyni</w:t>
      </w:r>
      <w:proofErr w:type="spellEnd"/>
      <w:r w:rsidRPr="00D95A6F">
        <w:rPr>
          <w:rFonts w:ascii="Times New Roman" w:hAnsi="Times New Roman"/>
          <w:sz w:val="24"/>
          <w:szCs w:val="24"/>
        </w:rPr>
        <w:t xml:space="preserve"> et al., 2019; Zhang et al., 2024). This framework fills the gap between risk-informed decision rules and asset health management, related to degradation monitoring by connecting both directly to one another. Subsequently, condition-based PRA is becoming an important facilitator of adaptive and risk-informed maintenance in contemporary energy systems (</w:t>
      </w:r>
      <w:proofErr w:type="spellStart"/>
      <w:r w:rsidRPr="00D95A6F">
        <w:rPr>
          <w:rFonts w:ascii="Times New Roman" w:hAnsi="Times New Roman"/>
          <w:sz w:val="24"/>
          <w:szCs w:val="24"/>
        </w:rPr>
        <w:t>Morabi</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Groth</w:t>
      </w:r>
      <w:proofErr w:type="spellEnd"/>
      <w:r w:rsidRPr="00D95A6F">
        <w:rPr>
          <w:rFonts w:ascii="Times New Roman" w:hAnsi="Times New Roman"/>
          <w:sz w:val="24"/>
          <w:szCs w:val="24"/>
        </w:rPr>
        <w:t>, 2020; Li et al., 2023).</w:t>
      </w:r>
    </w:p>
    <w:p w14:paraId="191F12D9" w14:textId="77777777" w:rsidR="008D34CC" w:rsidRPr="00D95A6F" w:rsidRDefault="008D34CC" w:rsidP="008D34CC">
      <w:pPr>
        <w:spacing w:line="360" w:lineRule="auto"/>
        <w:jc w:val="both"/>
        <w:rPr>
          <w:rFonts w:ascii="Times New Roman" w:hAnsi="Times New Roman"/>
          <w:b/>
          <w:bCs/>
          <w:sz w:val="24"/>
          <w:szCs w:val="24"/>
        </w:rPr>
      </w:pPr>
    </w:p>
    <w:p w14:paraId="5822DABC"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3.3 Bayesian Networks and Dynamic PRA </w:t>
      </w:r>
    </w:p>
    <w:p w14:paraId="4C2E3836"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lastRenderedPageBreak/>
        <w:t>Bayesian networks and dynamic PRA frameworks have a sophisticated modeling ability in the representation of dependency structures, time-dependent degradation, and uncertainty propagation of complex systems. These techniques are probabilistic graphical models of components and mechanisms of failure in a system to explicitly model interdependency and common-cause failures (</w:t>
      </w:r>
      <w:proofErr w:type="spellStart"/>
      <w:r w:rsidRPr="00D95A6F">
        <w:rPr>
          <w:rFonts w:ascii="Times New Roman" w:hAnsi="Times New Roman"/>
          <w:sz w:val="24"/>
          <w:szCs w:val="24"/>
        </w:rPr>
        <w:t>Parhizkar</w:t>
      </w:r>
      <w:proofErr w:type="spellEnd"/>
      <w:r w:rsidRPr="00D95A6F">
        <w:rPr>
          <w:rFonts w:ascii="Times New Roman" w:hAnsi="Times New Roman"/>
          <w:sz w:val="24"/>
          <w:szCs w:val="24"/>
        </w:rPr>
        <w:t xml:space="preserve"> et al., 2021; Moradi &amp; </w:t>
      </w:r>
      <w:proofErr w:type="spellStart"/>
      <w:r w:rsidRPr="00D95A6F">
        <w:rPr>
          <w:rFonts w:ascii="Times New Roman" w:hAnsi="Times New Roman"/>
          <w:sz w:val="24"/>
          <w:szCs w:val="24"/>
        </w:rPr>
        <w:t>Groth</w:t>
      </w:r>
      <w:proofErr w:type="spellEnd"/>
      <w:r w:rsidRPr="00D95A6F">
        <w:rPr>
          <w:rFonts w:ascii="Times New Roman" w:hAnsi="Times New Roman"/>
          <w:sz w:val="24"/>
          <w:szCs w:val="24"/>
        </w:rPr>
        <w:t>, 2020). In contrast with the fixed-point PRA, dynamic methods permit risk in the system to change with the changing operating conditions and component states. This renders them especially appropriate in continuing running energy systems and systems with protracted assets.</w:t>
      </w:r>
    </w:p>
    <w:p w14:paraId="242F4842"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One of the strengths of the Bayesian and dynamic PRA is that it can take incomplete, sparse or uncertain data. In other situations where the data on empirical failures are scarce, prior knowledge and expert judgment could be formally considered and revised with the emergence of new evidence (George-Williams, 2018; </w:t>
      </w:r>
      <w:proofErr w:type="spellStart"/>
      <w:r w:rsidRPr="00D95A6F">
        <w:rPr>
          <w:rFonts w:ascii="Times New Roman" w:hAnsi="Times New Roman"/>
          <w:sz w:val="24"/>
          <w:szCs w:val="24"/>
        </w:rPr>
        <w:t>Karanki</w:t>
      </w:r>
      <w:proofErr w:type="spellEnd"/>
      <w:r w:rsidRPr="00D95A6F">
        <w:rPr>
          <w:rFonts w:ascii="Times New Roman" w:hAnsi="Times New Roman"/>
          <w:sz w:val="24"/>
          <w:szCs w:val="24"/>
        </w:rPr>
        <w:t xml:space="preserve"> et al., 2019). It is essential in emerging technologies in the energy field and rare events, where historical data cannot be relied on solely. It is also possible to model maintenance actions themselves using dynamic models, as the form of risk-reducing intervention that changes future system states. There is a growing number of applications of Bayesian and dynamic PRA in nuclear, digitalized, and cyber-physical environments (</w:t>
      </w:r>
      <w:proofErr w:type="spellStart"/>
      <w:r w:rsidRPr="00D95A6F">
        <w:rPr>
          <w:rFonts w:ascii="Times New Roman" w:hAnsi="Times New Roman"/>
          <w:sz w:val="24"/>
          <w:szCs w:val="24"/>
        </w:rPr>
        <w:t>Parhizkar</w:t>
      </w:r>
      <w:proofErr w:type="spellEnd"/>
      <w:r w:rsidRPr="00D95A6F">
        <w:rPr>
          <w:rFonts w:ascii="Times New Roman" w:hAnsi="Times New Roman"/>
          <w:sz w:val="24"/>
          <w:szCs w:val="24"/>
        </w:rPr>
        <w:t xml:space="preserve"> et al., 2021; Rony &amp; Shafa, 2024). These structures enable real-time or near real-time risk evaluation that allows maintenance decisions to be made based on the changing system environment. With the growing interconnection and information density of energy systems, Bayesian and dynamic PRA is likely to be at the center of next-generation maintenance decision support (Zhang et al., 2024; Li et al., 2023).</w:t>
      </w:r>
    </w:p>
    <w:p w14:paraId="44F3E13F" w14:textId="77777777" w:rsidR="008D34CC" w:rsidRPr="00D95A6F" w:rsidRDefault="008D34CC" w:rsidP="008D34CC">
      <w:pPr>
        <w:spacing w:line="360" w:lineRule="auto"/>
        <w:jc w:val="both"/>
        <w:rPr>
          <w:rFonts w:ascii="Times New Roman" w:hAnsi="Times New Roman"/>
          <w:b/>
          <w:bCs/>
          <w:sz w:val="24"/>
          <w:szCs w:val="24"/>
        </w:rPr>
      </w:pPr>
    </w:p>
    <w:p w14:paraId="5B14FC7C"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3.4 Decision-Theoretic Models </w:t>
      </w:r>
    </w:p>
    <w:p w14:paraId="4F270FA4"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Decision-theoretic models represent the concept of maintaining planning as a decision process among options in situations of uncertainty with evaluation based on expected utility or risk-adjusted performance measures. These models explicitly consider that some risk tolerance, safety goals, and stakeholder preferences are relevant to the maintenance decision making instead of the models relying on reliability or cost as the primary selection criteria (Vesely, 2018; Syed &amp; </w:t>
      </w:r>
      <w:proofErr w:type="spellStart"/>
      <w:r w:rsidRPr="00D95A6F">
        <w:rPr>
          <w:rFonts w:ascii="Times New Roman" w:hAnsi="Times New Roman"/>
          <w:sz w:val="24"/>
          <w:szCs w:val="24"/>
        </w:rPr>
        <w:t>Lawryshyn</w:t>
      </w:r>
      <w:proofErr w:type="spellEnd"/>
      <w:r w:rsidRPr="00D95A6F">
        <w:rPr>
          <w:rFonts w:ascii="Times New Roman" w:hAnsi="Times New Roman"/>
          <w:sz w:val="24"/>
          <w:szCs w:val="24"/>
        </w:rPr>
        <w:t xml:space="preserve">, 2020; </w:t>
      </w:r>
      <w:proofErr w:type="spellStart"/>
      <w:r w:rsidRPr="00D95A6F">
        <w:rPr>
          <w:rFonts w:ascii="Times New Roman" w:hAnsi="Times New Roman"/>
          <w:sz w:val="24"/>
          <w:szCs w:val="24"/>
        </w:rPr>
        <w:t>Obidiagha</w:t>
      </w:r>
      <w:proofErr w:type="spellEnd"/>
      <w:r w:rsidRPr="00D95A6F">
        <w:rPr>
          <w:rFonts w:ascii="Times New Roman" w:hAnsi="Times New Roman"/>
          <w:sz w:val="24"/>
          <w:szCs w:val="24"/>
        </w:rPr>
        <w:t xml:space="preserve"> &amp; Antwi, 2026). This framing especially applies in energy systems in which the social and regulatory factors influence the acceptable levels of risks. The expected utility theory offers a rational framework of comparing maintenance efforts with various risk-cost trades.</w:t>
      </w:r>
    </w:p>
    <w:p w14:paraId="288FE451"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Incorporation of multi-criteria decision analysis (MCDA) and PRA provides an additional improvement to this framework because probabilistic risk outputs are available to be considered alongside economic, operational, and safety criteria. This type of hybrid MCDA-PRA has been effectively used in industrial energy systems and gas pipelines in order to prioritize maintenance portfolios with competing goals (Viana et al., 2022). These models enhance transparency and communication with stakeholders, particularly in cases where maintenance decisions have conflicting priorities and are constrained by limited resources, and benefit from standardized monitoring and evaluation structures (Syed &amp; </w:t>
      </w:r>
      <w:proofErr w:type="spellStart"/>
      <w:r w:rsidRPr="00D95A6F">
        <w:rPr>
          <w:rFonts w:ascii="Times New Roman" w:hAnsi="Times New Roman"/>
          <w:sz w:val="24"/>
          <w:szCs w:val="24"/>
        </w:rPr>
        <w:t>Lawryshyn</w:t>
      </w:r>
      <w:proofErr w:type="spellEnd"/>
      <w:r w:rsidRPr="00D95A6F">
        <w:rPr>
          <w:rFonts w:ascii="Times New Roman" w:hAnsi="Times New Roman"/>
          <w:sz w:val="24"/>
          <w:szCs w:val="24"/>
        </w:rPr>
        <w:t xml:space="preserve">, 2020; </w:t>
      </w:r>
      <w:proofErr w:type="spellStart"/>
      <w:r w:rsidRPr="00D95A6F">
        <w:rPr>
          <w:rFonts w:ascii="Times New Roman" w:hAnsi="Times New Roman"/>
          <w:sz w:val="24"/>
          <w:szCs w:val="24"/>
        </w:rPr>
        <w:t>Obidiagha</w:t>
      </w:r>
      <w:proofErr w:type="spellEnd"/>
      <w:r w:rsidRPr="00D95A6F">
        <w:rPr>
          <w:rFonts w:ascii="Times New Roman" w:hAnsi="Times New Roman"/>
          <w:sz w:val="24"/>
          <w:szCs w:val="24"/>
        </w:rPr>
        <w:t xml:space="preserve"> &amp; Antwi, 2026).</w:t>
      </w:r>
    </w:p>
    <w:p w14:paraId="3336B3D2" w14:textId="77777777" w:rsidR="008D34CC" w:rsidRPr="00D95A6F" w:rsidRDefault="008D34CC" w:rsidP="008D34CC">
      <w:pPr>
        <w:spacing w:line="360" w:lineRule="auto"/>
        <w:jc w:val="both"/>
        <w:rPr>
          <w:rFonts w:ascii="Times New Roman" w:hAnsi="Times New Roman"/>
          <w:b/>
          <w:bCs/>
          <w:sz w:val="24"/>
          <w:szCs w:val="24"/>
        </w:rPr>
      </w:pPr>
    </w:p>
    <w:p w14:paraId="549D4233"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3.5 Opportunistic and Predictive Maintenance Models </w:t>
      </w:r>
    </w:p>
    <w:p w14:paraId="3001803C"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The opportunistic maintenance models take advantage of the planned shutdowns or unplanned shutdowns to carry out extra maintenance measures that lower the risk in the future at a minimal expense. These models enhance the use of resources, reduce operational interruptions in complicated systems due to the pooling of maintenance activities (Martinod et al., 2018; </w:t>
      </w:r>
      <w:proofErr w:type="spellStart"/>
      <w:r w:rsidRPr="00D95A6F">
        <w:rPr>
          <w:rFonts w:ascii="Times New Roman" w:hAnsi="Times New Roman"/>
          <w:sz w:val="24"/>
          <w:szCs w:val="24"/>
        </w:rPr>
        <w:t>Tiddens</w:t>
      </w:r>
      <w:proofErr w:type="spellEnd"/>
      <w:r w:rsidRPr="00D95A6F">
        <w:rPr>
          <w:rFonts w:ascii="Times New Roman" w:hAnsi="Times New Roman"/>
          <w:sz w:val="24"/>
          <w:szCs w:val="24"/>
        </w:rPr>
        <w:t xml:space="preserve"> et al., 2023). Risk-based assessment helps to make sure that opportunistic measures target the most expected risk reduction components. This method is especially useful in energy systems under the conditions of considerable access limitations and downtime expenses (</w:t>
      </w:r>
      <w:proofErr w:type="spellStart"/>
      <w:r w:rsidRPr="00D95A6F">
        <w:rPr>
          <w:rFonts w:ascii="Times New Roman" w:hAnsi="Times New Roman"/>
          <w:sz w:val="24"/>
          <w:szCs w:val="24"/>
        </w:rPr>
        <w:t>Soltanali</w:t>
      </w:r>
      <w:proofErr w:type="spellEnd"/>
      <w:r w:rsidRPr="00D95A6F">
        <w:rPr>
          <w:rFonts w:ascii="Times New Roman" w:hAnsi="Times New Roman"/>
          <w:sz w:val="24"/>
          <w:szCs w:val="24"/>
        </w:rPr>
        <w:t xml:space="preserve"> et al., 2020).</w:t>
      </w:r>
    </w:p>
    <w:p w14:paraId="44A1523E"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Predictive maintenance models take this idea further and predict future degradation and failure behavior in case of uncertainty using data-driven and probabilistic models. Possibly, PRA is becoming more closely integrated with machine learning and reinforcement learning to maximize the timing of maintenance and intervention strategies (Nguyen et al., 2022; Feng &amp; Li, 2022). Experiments in wind energy systems and battery energy storage, as well as power generation, have shown to be more reliable and less expensive in terms of the lifecycle than reactive strategies (Zhen et al., 2025). Combined with PRA, predictive maintenance helps to make risk-advanced proactive decisions in line with system-level goals (Cai et al., 2023; Li et al., 2023).</w:t>
      </w:r>
    </w:p>
    <w:p w14:paraId="7BDCE332" w14:textId="77777777" w:rsidR="008D34CC" w:rsidRPr="00D95A6F" w:rsidRDefault="008D34CC" w:rsidP="008D34CC">
      <w:pPr>
        <w:spacing w:line="360" w:lineRule="auto"/>
        <w:jc w:val="both"/>
        <w:rPr>
          <w:rFonts w:ascii="Times New Roman" w:hAnsi="Times New Roman"/>
          <w:sz w:val="24"/>
          <w:szCs w:val="24"/>
        </w:rPr>
      </w:pPr>
    </w:p>
    <w:p w14:paraId="6404EABA"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4. Sector-Specific Applications in Energy Systems</w:t>
      </w:r>
    </w:p>
    <w:p w14:paraId="2BADBB43"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4.1 Nuclear Energy Systems</w:t>
      </w:r>
    </w:p>
    <w:p w14:paraId="42F5BD13" w14:textId="77777777" w:rsidR="008D34CC" w:rsidRPr="00D95A6F" w:rsidRDefault="008D34CC" w:rsidP="008D34CC">
      <w:pPr>
        <w:spacing w:line="360" w:lineRule="auto"/>
        <w:jc w:val="both"/>
        <w:rPr>
          <w:rFonts w:ascii="Times New Roman" w:hAnsi="Times New Roman"/>
          <w:sz w:val="24"/>
          <w:szCs w:val="24"/>
        </w:rPr>
      </w:pPr>
      <w:r w:rsidRPr="25447BB7">
        <w:rPr>
          <w:rFonts w:ascii="Times New Roman" w:hAnsi="Times New Roman"/>
          <w:sz w:val="24"/>
          <w:szCs w:val="24"/>
        </w:rPr>
        <w:t xml:space="preserve">Nuclear power systems are the most established and institutionalized to utilize probabilistic risk assessment (PRA) in the decision-making process of maintenance (Vesely, 2018; Jang &amp; Shim, 2020). This integration offers formal basis on making risk-informed decisions in lifecycle of the nuclear plants. </w:t>
      </w:r>
      <w:r w:rsidRPr="00236EC9">
        <w:rPr>
          <w:rFonts w:ascii="Times New Roman" w:hAnsi="Times New Roman"/>
          <w:sz w:val="24"/>
          <w:szCs w:val="24"/>
        </w:rPr>
        <w:t>In recent years, living and continuously updated PRA frameworks have been increasingly adopted to capture evolving plant conditions, operational experience, and the effects of maintenance interventions (Zhang et al., 2024)</w:t>
      </w:r>
      <w:r w:rsidRPr="25447BB7">
        <w:rPr>
          <w:rFonts w:ascii="Times New Roman" w:hAnsi="Times New Roman"/>
          <w:sz w:val="24"/>
          <w:szCs w:val="24"/>
        </w:rPr>
        <w:t>. Consequently, the nuclear industry has become a model industry in setting standards of highly consequence infrastructures of PRA-influenced maintenance practices.</w:t>
      </w:r>
    </w:p>
    <w:p w14:paraId="68636388"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PRA outputs are central in setting up inspection times, testing programs and component replacement programs in the nuclear plants. The priorities of the safety-significant elements on which the degradation can cause a disproportionate increase in plant risk are presented in terms of risk importance measures and the expected consequence metrics (</w:t>
      </w:r>
      <w:proofErr w:type="spellStart"/>
      <w:r w:rsidRPr="00D95A6F">
        <w:rPr>
          <w:rFonts w:ascii="Times New Roman" w:hAnsi="Times New Roman"/>
          <w:sz w:val="24"/>
          <w:szCs w:val="24"/>
        </w:rPr>
        <w:t>Serbanescu</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Ulmeanu</w:t>
      </w:r>
      <w:proofErr w:type="spellEnd"/>
      <w:r w:rsidRPr="00D95A6F">
        <w:rPr>
          <w:rFonts w:ascii="Times New Roman" w:hAnsi="Times New Roman"/>
          <w:sz w:val="24"/>
          <w:szCs w:val="24"/>
        </w:rPr>
        <w:t>, 2020; Wang et al., 2024). Condition-based PRA methods also deal with improving maintenance decisions by considering both inspection information and the degradation models in risk assessment (</w:t>
      </w:r>
      <w:proofErr w:type="spellStart"/>
      <w:r w:rsidRPr="00D95A6F">
        <w:rPr>
          <w:rFonts w:ascii="Times New Roman" w:hAnsi="Times New Roman"/>
          <w:sz w:val="24"/>
          <w:szCs w:val="24"/>
        </w:rPr>
        <w:t>Hoseyni</w:t>
      </w:r>
      <w:proofErr w:type="spellEnd"/>
      <w:r w:rsidRPr="00D95A6F">
        <w:rPr>
          <w:rFonts w:ascii="Times New Roman" w:hAnsi="Times New Roman"/>
          <w:sz w:val="24"/>
          <w:szCs w:val="24"/>
        </w:rPr>
        <w:t xml:space="preserve"> et al., 2019; </w:t>
      </w:r>
      <w:proofErr w:type="spellStart"/>
      <w:r w:rsidRPr="00D95A6F">
        <w:rPr>
          <w:rFonts w:ascii="Times New Roman" w:hAnsi="Times New Roman"/>
          <w:sz w:val="24"/>
          <w:szCs w:val="24"/>
        </w:rPr>
        <w:t>Hoseyni</w:t>
      </w:r>
      <w:proofErr w:type="spellEnd"/>
      <w:r w:rsidRPr="00D95A6F">
        <w:rPr>
          <w:rFonts w:ascii="Times New Roman" w:hAnsi="Times New Roman"/>
          <w:sz w:val="24"/>
          <w:szCs w:val="24"/>
        </w:rPr>
        <w:t>, 2020). Recent works focus on the combination of PRA and digital diagnostics, AI-based fault detection, prognostics and real-time monitoring systems, especially in the aging nuclear plants, long-term degradation uncertainty should be handled with due care (</w:t>
      </w:r>
      <w:proofErr w:type="spellStart"/>
      <w:r w:rsidRPr="00D95A6F">
        <w:rPr>
          <w:rFonts w:ascii="Times New Roman" w:hAnsi="Times New Roman"/>
          <w:sz w:val="24"/>
          <w:szCs w:val="24"/>
        </w:rPr>
        <w:t>Morabi</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lastRenderedPageBreak/>
        <w:t>Groth</w:t>
      </w:r>
      <w:proofErr w:type="spellEnd"/>
      <w:r w:rsidRPr="00D95A6F">
        <w:rPr>
          <w:rFonts w:ascii="Times New Roman" w:hAnsi="Times New Roman"/>
          <w:sz w:val="24"/>
          <w:szCs w:val="24"/>
        </w:rPr>
        <w:t xml:space="preserve">, 2020; </w:t>
      </w:r>
      <w:proofErr w:type="spellStart"/>
      <w:r w:rsidRPr="00D95A6F">
        <w:rPr>
          <w:rFonts w:ascii="Times New Roman" w:hAnsi="Times New Roman"/>
          <w:sz w:val="24"/>
          <w:szCs w:val="24"/>
        </w:rPr>
        <w:t>Parhizkar</w:t>
      </w:r>
      <w:proofErr w:type="spellEnd"/>
      <w:r w:rsidRPr="00D95A6F">
        <w:rPr>
          <w:rFonts w:ascii="Times New Roman" w:hAnsi="Times New Roman"/>
          <w:sz w:val="24"/>
          <w:szCs w:val="24"/>
        </w:rPr>
        <w:t xml:space="preserve"> et al., 2021; Bonsu &amp; Adeoye, 2025). Taken together, these developments indicate that PRA is an essential part of the process of making the maintenance decisions of complex, high-consequential energy systems (Zhang et al., 2024; Li et al., 2023).</w:t>
      </w:r>
    </w:p>
    <w:p w14:paraId="47EE4C3F"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4.2 Power Generation and Transmission </w:t>
      </w:r>
    </w:p>
    <w:p w14:paraId="1BEFDFAF"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The maintenance decision-making in power generation and power transmission systems has to consider large-scale interdependencies, geographically dispersed assets and real-time operation constraints. The frameworks of asset risk management based on PRA are becoming more widespread in order to focus on the maintenance efforts based on the effects they have on the stability of the system and the service uptime. Power systems are subject to continuously changing load requirements and market-driven dispatch requirements (compared to nuclear systems), creating further uncertainty in the operation. This means that probabilistic risk assessment and operational decision-making processes must be tightly integrated in the process of effective maintenance planning in this sector (Felder &amp; </w:t>
      </w:r>
      <w:proofErr w:type="spellStart"/>
      <w:r w:rsidRPr="00D95A6F">
        <w:rPr>
          <w:rFonts w:ascii="Times New Roman" w:hAnsi="Times New Roman"/>
          <w:sz w:val="24"/>
          <w:szCs w:val="24"/>
        </w:rPr>
        <w:t>Petitet</w:t>
      </w:r>
      <w:proofErr w:type="spellEnd"/>
      <w:r w:rsidRPr="00D95A6F">
        <w:rPr>
          <w:rFonts w:ascii="Times New Roman" w:hAnsi="Times New Roman"/>
          <w:sz w:val="24"/>
          <w:szCs w:val="24"/>
        </w:rPr>
        <w:t>, 2024; Barlow et al., 2021; Adjei et al., 2026).</w:t>
      </w:r>
    </w:p>
    <w:p w14:paraId="5C650B66"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Risk-based maintenance of power systems pays attention to critical elements, the failure of which may cause a cascade of outages or a large-scale loss of service. Component criticality, outage probabilities, and system-level consequences are assessed in different operation conditions with the help of PRA and reliability models (</w:t>
      </w:r>
      <w:proofErr w:type="spellStart"/>
      <w:r w:rsidRPr="00D95A6F">
        <w:rPr>
          <w:rFonts w:ascii="Times New Roman" w:hAnsi="Times New Roman"/>
          <w:sz w:val="24"/>
          <w:szCs w:val="24"/>
        </w:rPr>
        <w:t>Moinian</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Ameli</w:t>
      </w:r>
      <w:proofErr w:type="spellEnd"/>
      <w:r w:rsidRPr="00D95A6F">
        <w:rPr>
          <w:rFonts w:ascii="Times New Roman" w:hAnsi="Times New Roman"/>
          <w:sz w:val="24"/>
          <w:szCs w:val="24"/>
        </w:rPr>
        <w:t xml:space="preserve">, 2022; </w:t>
      </w:r>
      <w:proofErr w:type="spellStart"/>
      <w:r w:rsidRPr="00D95A6F">
        <w:rPr>
          <w:rFonts w:ascii="Times New Roman" w:hAnsi="Times New Roman"/>
          <w:sz w:val="24"/>
          <w:szCs w:val="24"/>
        </w:rPr>
        <w:t>Rocchetta</w:t>
      </w:r>
      <w:proofErr w:type="spellEnd"/>
      <w:r w:rsidRPr="00D95A6F">
        <w:rPr>
          <w:rFonts w:ascii="Times New Roman" w:hAnsi="Times New Roman"/>
          <w:sz w:val="24"/>
          <w:szCs w:val="24"/>
        </w:rPr>
        <w:t xml:space="preserve"> et al., 2025). These models of analysis have helped to inform maintenance prioritization policies that trade reliability gains with cost and operational feasibility and risk-informed outage planning has been demonstrated to decrease the vulnerability to large-scale failures (</w:t>
      </w:r>
      <w:proofErr w:type="spellStart"/>
      <w:r w:rsidRPr="00D95A6F">
        <w:rPr>
          <w:rFonts w:ascii="Times New Roman" w:hAnsi="Times New Roman"/>
          <w:sz w:val="24"/>
          <w:szCs w:val="24"/>
        </w:rPr>
        <w:t>Rocchetta</w:t>
      </w:r>
      <w:proofErr w:type="spellEnd"/>
      <w:r w:rsidRPr="00D95A6F">
        <w:rPr>
          <w:rFonts w:ascii="Times New Roman" w:hAnsi="Times New Roman"/>
          <w:sz w:val="24"/>
          <w:szCs w:val="24"/>
        </w:rPr>
        <w:t xml:space="preserve"> et al., 2025). The questions of integrating maintenance based on PRA with operational planning continue to be a key issue of concern because the maintenance load and the operation scheduling need to follow the load projections, generation schedule, and network operations (</w:t>
      </w:r>
      <w:proofErr w:type="spellStart"/>
      <w:r w:rsidRPr="00D95A6F">
        <w:rPr>
          <w:rFonts w:ascii="Times New Roman" w:hAnsi="Times New Roman"/>
          <w:sz w:val="24"/>
          <w:szCs w:val="24"/>
        </w:rPr>
        <w:t>Palakodeti</w:t>
      </w:r>
      <w:proofErr w:type="spellEnd"/>
      <w:r w:rsidRPr="00D95A6F">
        <w:rPr>
          <w:rFonts w:ascii="Times New Roman" w:hAnsi="Times New Roman"/>
          <w:sz w:val="24"/>
          <w:szCs w:val="24"/>
        </w:rPr>
        <w:t xml:space="preserve"> et al., 2020). This integration, which continues to gain traction via emerging digital platforms, is supported by evaluate operational risks through scenarios and coordinated asset surveillance (Cai et al., 2023; Rony &amp; </w:t>
      </w:r>
      <w:proofErr w:type="spellStart"/>
      <w:r w:rsidRPr="00D95A6F">
        <w:rPr>
          <w:rFonts w:ascii="Times New Roman" w:hAnsi="Times New Roman"/>
          <w:sz w:val="24"/>
          <w:szCs w:val="24"/>
        </w:rPr>
        <w:t>Shafa</w:t>
      </w:r>
      <w:proofErr w:type="spellEnd"/>
      <w:r w:rsidRPr="00D95A6F">
        <w:rPr>
          <w:rFonts w:ascii="Times New Roman" w:hAnsi="Times New Roman"/>
          <w:sz w:val="24"/>
          <w:szCs w:val="24"/>
        </w:rPr>
        <w:t xml:space="preserve">, 2024; </w:t>
      </w:r>
      <w:proofErr w:type="spellStart"/>
      <w:r w:rsidRPr="00D95A6F">
        <w:rPr>
          <w:rFonts w:ascii="Times New Roman" w:hAnsi="Times New Roman"/>
          <w:sz w:val="24"/>
          <w:szCs w:val="24"/>
        </w:rPr>
        <w:t>Obidiagha</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Antwi</w:t>
      </w:r>
      <w:proofErr w:type="spellEnd"/>
      <w:r w:rsidRPr="00D95A6F">
        <w:rPr>
          <w:rFonts w:ascii="Times New Roman" w:hAnsi="Times New Roman"/>
          <w:sz w:val="24"/>
          <w:szCs w:val="24"/>
        </w:rPr>
        <w:t>, 2026), which underpins the role of PRA as a decision-supporting intermediary between asset management and system operation in complex power infrastructures.</w:t>
      </w:r>
    </w:p>
    <w:p w14:paraId="2B732531" w14:textId="77777777" w:rsidR="008D34CC" w:rsidRPr="00D95A6F" w:rsidRDefault="008D34CC" w:rsidP="008D34CC">
      <w:pPr>
        <w:spacing w:line="360" w:lineRule="auto"/>
        <w:jc w:val="both"/>
        <w:rPr>
          <w:rFonts w:ascii="Times New Roman" w:hAnsi="Times New Roman"/>
          <w:sz w:val="24"/>
          <w:szCs w:val="24"/>
        </w:rPr>
      </w:pPr>
    </w:p>
    <w:p w14:paraId="7B669A2B"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4.3 Renewable and Hybrid Energy Systems </w:t>
      </w:r>
    </w:p>
    <w:p w14:paraId="2A356DDE"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The nature of renewable and hybrid energy systems presents new issues to maintenance decision-making because these energy systems are inherently intermittent, exposed to the environment, and changing the system structure. The operating conditions of wind, solar and battery-built systems are highly variable and thus makes it difficult to model failures and plan maintenance (Zhen et al., 2025). The renewable generation has a stochastic characteristic that adds some uncertainty in the degradation of assets and the system level effects, restricting the usefulness of the conventional deterministic maintenance strategies. These uncertainties spread </w:t>
      </w:r>
      <w:r w:rsidRPr="00D95A6F">
        <w:rPr>
          <w:rFonts w:ascii="Times New Roman" w:hAnsi="Times New Roman"/>
          <w:sz w:val="24"/>
          <w:szCs w:val="24"/>
        </w:rPr>
        <w:lastRenderedPageBreak/>
        <w:t xml:space="preserve">across the networks of interrelated energy systems as the rate of renewable infiltration grows (Li et al., 2023; Felder &amp; </w:t>
      </w:r>
      <w:proofErr w:type="spellStart"/>
      <w:r w:rsidRPr="00D95A6F">
        <w:rPr>
          <w:rFonts w:ascii="Times New Roman" w:hAnsi="Times New Roman"/>
          <w:sz w:val="24"/>
          <w:szCs w:val="24"/>
        </w:rPr>
        <w:t>Petitet</w:t>
      </w:r>
      <w:proofErr w:type="spellEnd"/>
      <w:r w:rsidRPr="00D95A6F">
        <w:rPr>
          <w:rFonts w:ascii="Times New Roman" w:hAnsi="Times New Roman"/>
          <w:sz w:val="24"/>
          <w:szCs w:val="24"/>
        </w:rPr>
        <w:t>, 2024).</w:t>
      </w:r>
    </w:p>
    <w:p w14:paraId="5EC49611"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Renewable and hybrid systems PRAs have been recently introduced as maintenance strategies, and they have great potential to enhance reliability and lifecycle performance. Probabilistic risk assessment supported with predictive and condition-based maintenance models also allows identifying high-risk components early and choosing the </w:t>
      </w:r>
      <w:proofErr w:type="gramStart"/>
      <w:r w:rsidRPr="00D95A6F">
        <w:rPr>
          <w:rFonts w:ascii="Times New Roman" w:hAnsi="Times New Roman"/>
          <w:sz w:val="24"/>
          <w:szCs w:val="24"/>
        </w:rPr>
        <w:t>most timely</w:t>
      </w:r>
      <w:proofErr w:type="gramEnd"/>
      <w:r w:rsidRPr="00D95A6F">
        <w:rPr>
          <w:rFonts w:ascii="Times New Roman" w:hAnsi="Times New Roman"/>
          <w:sz w:val="24"/>
          <w:szCs w:val="24"/>
        </w:rPr>
        <w:t xml:space="preserve"> intervention (Cai et al., 2023; Nguyen et al., 2022). The use of PRA in wind energy systems and battery energy storage proves that it is worth combining it with data-based diagnostics and performance modeling (Zhen et al., 2025). With the ongoing growth and integration of renewable energy systems, the role of the maintenance decision-making in PRA is likely to be more and more important in maintaining the system resilience and sustainability.</w:t>
      </w:r>
    </w:p>
    <w:p w14:paraId="36BE01C3" w14:textId="77777777" w:rsidR="008D34CC" w:rsidRPr="00D95A6F" w:rsidRDefault="008D34CC" w:rsidP="008D34CC">
      <w:pPr>
        <w:spacing w:line="360" w:lineRule="auto"/>
        <w:jc w:val="both"/>
        <w:rPr>
          <w:rFonts w:ascii="Times New Roman" w:hAnsi="Times New Roman"/>
          <w:sz w:val="24"/>
          <w:szCs w:val="24"/>
        </w:rPr>
      </w:pPr>
    </w:p>
    <w:p w14:paraId="32566BC9"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5. Critical Comparison and Synthesis</w:t>
      </w:r>
    </w:p>
    <w:p w14:paraId="3871BE9C"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PRA-based maintenance systems have unique strong features based on the analysis range and time scale. The long-term planning, regulatory assessment, and prioritization of baseline maintenance in mature industries, including nuclear energy, are still useful with the help of the so-called statical PRA methods that assume set failure probabilities and a predetermined set-up of the system (Vesely, 2018; </w:t>
      </w:r>
      <w:proofErr w:type="spellStart"/>
      <w:r w:rsidRPr="00D95A6F">
        <w:rPr>
          <w:rFonts w:ascii="Times New Roman" w:hAnsi="Times New Roman"/>
          <w:sz w:val="24"/>
          <w:szCs w:val="24"/>
        </w:rPr>
        <w:t>Serbanescu</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Ulmeanu</w:t>
      </w:r>
      <w:proofErr w:type="spellEnd"/>
      <w:r w:rsidRPr="00D95A6F">
        <w:rPr>
          <w:rFonts w:ascii="Times New Roman" w:hAnsi="Times New Roman"/>
          <w:sz w:val="24"/>
          <w:szCs w:val="24"/>
        </w:rPr>
        <w:t xml:space="preserve">, 2020). By contrast, dynamic and living PRA models explicitly use the time-dependent degradation, changing operational conditions, and impacts of the maintenance intervention to support the adaptive decisions in the complex and data-rich energy systems (Moradi &amp; </w:t>
      </w:r>
      <w:proofErr w:type="spellStart"/>
      <w:r w:rsidRPr="00D95A6F">
        <w:rPr>
          <w:rFonts w:ascii="Times New Roman" w:hAnsi="Times New Roman"/>
          <w:sz w:val="24"/>
          <w:szCs w:val="24"/>
        </w:rPr>
        <w:t>Groth</w:t>
      </w:r>
      <w:proofErr w:type="spellEnd"/>
      <w:r w:rsidRPr="00D95A6F">
        <w:rPr>
          <w:rFonts w:ascii="Times New Roman" w:hAnsi="Times New Roman"/>
          <w:sz w:val="24"/>
          <w:szCs w:val="24"/>
        </w:rPr>
        <w:t>, 2020; Zhang et al., 2024). Furthermore, probabilistic models can clearly benefit compared to deterministic models because they include uncertainty and interdependences as well as low-probability high-consequence events which are often overlooked in deterministic models (</w:t>
      </w:r>
      <w:proofErr w:type="spellStart"/>
      <w:r w:rsidRPr="00D95A6F">
        <w:rPr>
          <w:rFonts w:ascii="Times New Roman" w:hAnsi="Times New Roman"/>
          <w:sz w:val="24"/>
          <w:szCs w:val="24"/>
        </w:rPr>
        <w:t>Haimes</w:t>
      </w:r>
      <w:proofErr w:type="spellEnd"/>
      <w:r w:rsidRPr="00D95A6F">
        <w:rPr>
          <w:rFonts w:ascii="Times New Roman" w:hAnsi="Times New Roman"/>
          <w:sz w:val="24"/>
          <w:szCs w:val="24"/>
        </w:rPr>
        <w:t xml:space="preserve">, 2018; </w:t>
      </w:r>
      <w:proofErr w:type="spellStart"/>
      <w:r w:rsidRPr="00D95A6F">
        <w:rPr>
          <w:rFonts w:ascii="Times New Roman" w:hAnsi="Times New Roman"/>
          <w:sz w:val="24"/>
          <w:szCs w:val="24"/>
        </w:rPr>
        <w:t>Hoseyni</w:t>
      </w:r>
      <w:proofErr w:type="spellEnd"/>
      <w:r w:rsidRPr="00D95A6F">
        <w:rPr>
          <w:rFonts w:ascii="Times New Roman" w:hAnsi="Times New Roman"/>
          <w:sz w:val="24"/>
          <w:szCs w:val="24"/>
        </w:rPr>
        <w:t xml:space="preserve"> et al., 2019). Another difference between component-level and system-level PRA-based models of maintenance is that component-based models assist in a detailed assessment of asset health conditions and predictive maintenance (Cai et al., 2023; Nguyen et al., 2022), whereas system models are more effective in reflecting the cascading failure and emergent risk behavior in infrastructures (Barlow et al., 2021; </w:t>
      </w:r>
      <w:proofErr w:type="spellStart"/>
      <w:r w:rsidRPr="00D95A6F">
        <w:rPr>
          <w:rFonts w:ascii="Times New Roman" w:hAnsi="Times New Roman"/>
          <w:sz w:val="24"/>
          <w:szCs w:val="24"/>
        </w:rPr>
        <w:t>Rocchetta</w:t>
      </w:r>
      <w:proofErr w:type="spellEnd"/>
      <w:r w:rsidRPr="00D95A6F">
        <w:rPr>
          <w:rFonts w:ascii="Times New Roman" w:hAnsi="Times New Roman"/>
          <w:sz w:val="24"/>
          <w:szCs w:val="24"/>
        </w:rPr>
        <w:t xml:space="preserve"> et al., 2025). There is an increasing need to integrate the two views so that the local maintenance decisions are in line with the overall system-level risk reduction goals (</w:t>
      </w:r>
      <w:proofErr w:type="spellStart"/>
      <w:r w:rsidRPr="00D95A6F">
        <w:rPr>
          <w:rFonts w:ascii="Times New Roman" w:hAnsi="Times New Roman"/>
          <w:sz w:val="24"/>
          <w:szCs w:val="24"/>
        </w:rPr>
        <w:t>Moinian</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Ameli</w:t>
      </w:r>
      <w:proofErr w:type="spellEnd"/>
      <w:r w:rsidRPr="00D95A6F">
        <w:rPr>
          <w:rFonts w:ascii="Times New Roman" w:hAnsi="Times New Roman"/>
          <w:sz w:val="24"/>
          <w:szCs w:val="24"/>
        </w:rPr>
        <w:t>, 2022; Li et al., 2023).</w:t>
      </w:r>
    </w:p>
    <w:p w14:paraId="7EAA302C"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In spite of these benefits, literature claims that there are long-term shortcomings that limit actual application. The lack of information and quality of data, especially when dealing with rare failure modes and new technologies, induce the weak effect of probabilistic models (George-Williams, 2018; </w:t>
      </w:r>
      <w:proofErr w:type="spellStart"/>
      <w:r w:rsidRPr="00D95A6F">
        <w:rPr>
          <w:rFonts w:ascii="Times New Roman" w:hAnsi="Times New Roman"/>
          <w:sz w:val="24"/>
          <w:szCs w:val="24"/>
        </w:rPr>
        <w:t>Karanki</w:t>
      </w:r>
      <w:proofErr w:type="spellEnd"/>
      <w:r w:rsidRPr="00D95A6F">
        <w:rPr>
          <w:rFonts w:ascii="Times New Roman" w:hAnsi="Times New Roman"/>
          <w:sz w:val="24"/>
          <w:szCs w:val="24"/>
        </w:rPr>
        <w:t xml:space="preserve"> et al., 2019). The computational loads required to implement dynamic and data-intensive PRA frameworks also result in scale limitations and lacks real-time utility (</w:t>
      </w:r>
      <w:proofErr w:type="spellStart"/>
      <w:r w:rsidRPr="00D95A6F">
        <w:rPr>
          <w:rFonts w:ascii="Times New Roman" w:hAnsi="Times New Roman"/>
          <w:sz w:val="24"/>
          <w:szCs w:val="24"/>
        </w:rPr>
        <w:t>Parhizkar</w:t>
      </w:r>
      <w:proofErr w:type="spellEnd"/>
      <w:r w:rsidRPr="00D95A6F">
        <w:rPr>
          <w:rFonts w:ascii="Times New Roman" w:hAnsi="Times New Roman"/>
          <w:sz w:val="24"/>
          <w:szCs w:val="24"/>
        </w:rPr>
        <w:t xml:space="preserve"> et al., 2021; Rony &amp; Shafa, 2024). Moreover, biases in human decision-making, organizational limitations, and lack of integration of PRA outputs into operations are still impediments to adoption in practice (Angeli &amp; Montefusco, 2020; Syed &amp; </w:t>
      </w:r>
      <w:proofErr w:type="spellStart"/>
      <w:r w:rsidRPr="00D95A6F">
        <w:rPr>
          <w:rFonts w:ascii="Times New Roman" w:hAnsi="Times New Roman"/>
          <w:sz w:val="24"/>
          <w:szCs w:val="24"/>
        </w:rPr>
        <w:t>Lawryshyn</w:t>
      </w:r>
      <w:proofErr w:type="spellEnd"/>
      <w:r w:rsidRPr="00D95A6F">
        <w:rPr>
          <w:rFonts w:ascii="Times New Roman" w:hAnsi="Times New Roman"/>
          <w:sz w:val="24"/>
          <w:szCs w:val="24"/>
        </w:rPr>
        <w:t xml:space="preserve">, 2020). These issues </w:t>
      </w:r>
      <w:r w:rsidRPr="00D95A6F">
        <w:rPr>
          <w:rFonts w:ascii="Times New Roman" w:hAnsi="Times New Roman"/>
          <w:sz w:val="24"/>
          <w:szCs w:val="24"/>
        </w:rPr>
        <w:lastRenderedPageBreak/>
        <w:t>have highlighted the necessity to have more scalable, transparent and decision centric PRA frameworks that could be used to support maintenance planning in contemporary complex energy systems.</w:t>
      </w:r>
    </w:p>
    <w:p w14:paraId="62070F74"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Table 1: Comparative Summary of PRA-Based Maintenance Approaches</w:t>
      </w:r>
    </w:p>
    <w:tbl>
      <w:tblPr>
        <w:tblStyle w:val="TableGrid"/>
        <w:tblW w:w="0" w:type="auto"/>
        <w:tblLook w:val="04A0" w:firstRow="1" w:lastRow="0" w:firstColumn="1" w:lastColumn="0" w:noHBand="0" w:noVBand="1"/>
      </w:tblPr>
      <w:tblGrid>
        <w:gridCol w:w="2033"/>
        <w:gridCol w:w="1851"/>
        <w:gridCol w:w="1562"/>
        <w:gridCol w:w="1720"/>
        <w:gridCol w:w="2125"/>
        <w:gridCol w:w="1725"/>
      </w:tblGrid>
      <w:tr w:rsidR="008D34CC" w:rsidRPr="00D95A6F" w14:paraId="48FB2F09" w14:textId="77777777" w:rsidTr="00580AFA">
        <w:tc>
          <w:tcPr>
            <w:tcW w:w="0" w:type="auto"/>
            <w:hideMark/>
          </w:tcPr>
          <w:p w14:paraId="43E8BE91"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Approach</w:t>
            </w:r>
          </w:p>
        </w:tc>
        <w:tc>
          <w:tcPr>
            <w:tcW w:w="0" w:type="auto"/>
            <w:hideMark/>
          </w:tcPr>
          <w:p w14:paraId="52E389F4"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Uncertainty Handling</w:t>
            </w:r>
          </w:p>
        </w:tc>
        <w:tc>
          <w:tcPr>
            <w:tcW w:w="0" w:type="auto"/>
            <w:hideMark/>
          </w:tcPr>
          <w:p w14:paraId="7E304834"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System Dependency</w:t>
            </w:r>
          </w:p>
        </w:tc>
        <w:tc>
          <w:tcPr>
            <w:tcW w:w="0" w:type="auto"/>
            <w:hideMark/>
          </w:tcPr>
          <w:p w14:paraId="1D4EE8AE"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Data Requirements</w:t>
            </w:r>
          </w:p>
        </w:tc>
        <w:tc>
          <w:tcPr>
            <w:tcW w:w="0" w:type="auto"/>
            <w:hideMark/>
          </w:tcPr>
          <w:p w14:paraId="7741235D"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Typical Application</w:t>
            </w:r>
          </w:p>
        </w:tc>
        <w:tc>
          <w:tcPr>
            <w:tcW w:w="0" w:type="auto"/>
            <w:hideMark/>
          </w:tcPr>
          <w:p w14:paraId="18F6A3EB"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Key References</w:t>
            </w:r>
          </w:p>
        </w:tc>
      </w:tr>
      <w:tr w:rsidR="008D34CC" w:rsidRPr="00D95A6F" w14:paraId="1E42CDAD" w14:textId="77777777" w:rsidTr="00580AFA">
        <w:tc>
          <w:tcPr>
            <w:tcW w:w="0" w:type="auto"/>
            <w:hideMark/>
          </w:tcPr>
          <w:p w14:paraId="67483CB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Static PRA-Based Maintenance</w:t>
            </w:r>
          </w:p>
        </w:tc>
        <w:tc>
          <w:tcPr>
            <w:tcW w:w="0" w:type="auto"/>
            <w:hideMark/>
          </w:tcPr>
          <w:p w14:paraId="594F2202"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Limited (fixed probabilities)</w:t>
            </w:r>
          </w:p>
        </w:tc>
        <w:tc>
          <w:tcPr>
            <w:tcW w:w="0" w:type="auto"/>
            <w:hideMark/>
          </w:tcPr>
          <w:p w14:paraId="4BD89086"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4E2D50C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Low -Moderate</w:t>
            </w:r>
          </w:p>
        </w:tc>
        <w:tc>
          <w:tcPr>
            <w:tcW w:w="0" w:type="auto"/>
            <w:hideMark/>
          </w:tcPr>
          <w:p w14:paraId="3B81A66F"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Regulatory compliance, baseline maintenance planning</w:t>
            </w:r>
          </w:p>
        </w:tc>
        <w:tc>
          <w:tcPr>
            <w:tcW w:w="0" w:type="auto"/>
            <w:hideMark/>
          </w:tcPr>
          <w:p w14:paraId="77DAC19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 xml:space="preserve">Vesely (2018); </w:t>
            </w:r>
            <w:proofErr w:type="spellStart"/>
            <w:r w:rsidRPr="00D95A6F">
              <w:rPr>
                <w:rFonts w:ascii="Times New Roman" w:eastAsia="Times New Roman" w:hAnsi="Times New Roman"/>
                <w:sz w:val="24"/>
                <w:szCs w:val="24"/>
                <w:lang w:eastAsia="en-GB"/>
              </w:rPr>
              <w:t>Serbanescu</w:t>
            </w:r>
            <w:proofErr w:type="spellEnd"/>
            <w:r w:rsidRPr="00D95A6F">
              <w:rPr>
                <w:rFonts w:ascii="Times New Roman" w:eastAsia="Times New Roman" w:hAnsi="Times New Roman"/>
                <w:sz w:val="24"/>
                <w:szCs w:val="24"/>
                <w:lang w:eastAsia="en-GB"/>
              </w:rPr>
              <w:t xml:space="preserve"> &amp; </w:t>
            </w:r>
            <w:proofErr w:type="spellStart"/>
            <w:r w:rsidRPr="00D95A6F">
              <w:rPr>
                <w:rFonts w:ascii="Times New Roman" w:eastAsia="Times New Roman" w:hAnsi="Times New Roman"/>
                <w:sz w:val="24"/>
                <w:szCs w:val="24"/>
                <w:lang w:eastAsia="en-GB"/>
              </w:rPr>
              <w:t>Ulmeanu</w:t>
            </w:r>
            <w:proofErr w:type="spellEnd"/>
            <w:r w:rsidRPr="00D95A6F">
              <w:rPr>
                <w:rFonts w:ascii="Times New Roman" w:eastAsia="Times New Roman" w:hAnsi="Times New Roman"/>
                <w:sz w:val="24"/>
                <w:szCs w:val="24"/>
                <w:lang w:eastAsia="en-GB"/>
              </w:rPr>
              <w:t xml:space="preserve"> (2020)</w:t>
            </w:r>
          </w:p>
        </w:tc>
      </w:tr>
      <w:tr w:rsidR="008D34CC" w:rsidRPr="00D95A6F" w14:paraId="6E7303E2" w14:textId="77777777" w:rsidTr="00580AFA">
        <w:tc>
          <w:tcPr>
            <w:tcW w:w="0" w:type="auto"/>
            <w:hideMark/>
          </w:tcPr>
          <w:p w14:paraId="03D92252"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Dynamic / Living PRA</w:t>
            </w:r>
          </w:p>
        </w:tc>
        <w:tc>
          <w:tcPr>
            <w:tcW w:w="0" w:type="auto"/>
            <w:hideMark/>
          </w:tcPr>
          <w:p w14:paraId="3C06474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 (time-dependent, adaptive)</w:t>
            </w:r>
          </w:p>
        </w:tc>
        <w:tc>
          <w:tcPr>
            <w:tcW w:w="0" w:type="auto"/>
            <w:hideMark/>
          </w:tcPr>
          <w:p w14:paraId="57EA58EC"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54622A8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550754B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Nuclear plants, aging infrastructure, adaptive maintenance</w:t>
            </w:r>
          </w:p>
        </w:tc>
        <w:tc>
          <w:tcPr>
            <w:tcW w:w="0" w:type="auto"/>
            <w:hideMark/>
          </w:tcPr>
          <w:p w14:paraId="154AB79F"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 xml:space="preserve">Moradi &amp; </w:t>
            </w:r>
            <w:proofErr w:type="spellStart"/>
            <w:r w:rsidRPr="00D95A6F">
              <w:rPr>
                <w:rFonts w:ascii="Times New Roman" w:eastAsia="Times New Roman" w:hAnsi="Times New Roman"/>
                <w:sz w:val="24"/>
                <w:szCs w:val="24"/>
                <w:lang w:eastAsia="en-GB"/>
              </w:rPr>
              <w:t>Groth</w:t>
            </w:r>
            <w:proofErr w:type="spellEnd"/>
            <w:r w:rsidRPr="00D95A6F">
              <w:rPr>
                <w:rFonts w:ascii="Times New Roman" w:eastAsia="Times New Roman" w:hAnsi="Times New Roman"/>
                <w:sz w:val="24"/>
                <w:szCs w:val="24"/>
                <w:lang w:eastAsia="en-GB"/>
              </w:rPr>
              <w:t xml:space="preserve"> (2020); Zhang et al. (2024)</w:t>
            </w:r>
          </w:p>
        </w:tc>
      </w:tr>
      <w:tr w:rsidR="008D34CC" w:rsidRPr="00D95A6F" w14:paraId="3DE90BB8" w14:textId="77777777" w:rsidTr="00580AFA">
        <w:tc>
          <w:tcPr>
            <w:tcW w:w="0" w:type="auto"/>
            <w:hideMark/>
          </w:tcPr>
          <w:p w14:paraId="4D68ECF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Risk-Based Maintenance (RBM)</w:t>
            </w:r>
          </w:p>
        </w:tc>
        <w:tc>
          <w:tcPr>
            <w:tcW w:w="0" w:type="auto"/>
            <w:hideMark/>
          </w:tcPr>
          <w:p w14:paraId="4D58715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5501D340"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42122F9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4EB9936B"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Thermal plants, electrical systems, refineries</w:t>
            </w:r>
          </w:p>
        </w:tc>
        <w:tc>
          <w:tcPr>
            <w:tcW w:w="0" w:type="auto"/>
            <w:hideMark/>
          </w:tcPr>
          <w:p w14:paraId="4059539A" w14:textId="77777777" w:rsidR="008D34CC" w:rsidRPr="00D95A6F" w:rsidRDefault="008D34CC" w:rsidP="00580AFA">
            <w:pPr>
              <w:spacing w:line="276" w:lineRule="auto"/>
              <w:rPr>
                <w:rFonts w:ascii="Times New Roman" w:eastAsia="Times New Roman" w:hAnsi="Times New Roman"/>
                <w:sz w:val="24"/>
                <w:szCs w:val="24"/>
                <w:lang w:eastAsia="en-GB"/>
              </w:rPr>
            </w:pPr>
            <w:proofErr w:type="spellStart"/>
            <w:r w:rsidRPr="00D95A6F">
              <w:rPr>
                <w:rFonts w:ascii="Times New Roman" w:eastAsia="Times New Roman" w:hAnsi="Times New Roman"/>
                <w:sz w:val="24"/>
                <w:szCs w:val="24"/>
                <w:lang w:eastAsia="en-GB"/>
              </w:rPr>
              <w:t>Ajenifuja</w:t>
            </w:r>
            <w:proofErr w:type="spellEnd"/>
            <w:r w:rsidRPr="00D95A6F">
              <w:rPr>
                <w:rFonts w:ascii="Times New Roman" w:eastAsia="Times New Roman" w:hAnsi="Times New Roman"/>
                <w:sz w:val="24"/>
                <w:szCs w:val="24"/>
                <w:lang w:eastAsia="en-GB"/>
              </w:rPr>
              <w:t xml:space="preserve"> (2024); </w:t>
            </w:r>
          </w:p>
        </w:tc>
      </w:tr>
      <w:tr w:rsidR="008D34CC" w:rsidRPr="00D95A6F" w14:paraId="76902D32" w14:textId="77777777" w:rsidTr="00580AFA">
        <w:tc>
          <w:tcPr>
            <w:tcW w:w="0" w:type="auto"/>
            <w:hideMark/>
          </w:tcPr>
          <w:p w14:paraId="30736457"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Condition-Based PRA</w:t>
            </w:r>
          </w:p>
        </w:tc>
        <w:tc>
          <w:tcPr>
            <w:tcW w:w="0" w:type="auto"/>
            <w:hideMark/>
          </w:tcPr>
          <w:p w14:paraId="55DD36EB"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 (Bayesian updating)</w:t>
            </w:r>
          </w:p>
        </w:tc>
        <w:tc>
          <w:tcPr>
            <w:tcW w:w="0" w:type="auto"/>
            <w:hideMark/>
          </w:tcPr>
          <w:p w14:paraId="2290C2F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 -High</w:t>
            </w:r>
          </w:p>
        </w:tc>
        <w:tc>
          <w:tcPr>
            <w:tcW w:w="0" w:type="auto"/>
            <w:hideMark/>
          </w:tcPr>
          <w:p w14:paraId="26955A26"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4AB02F68"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Nuclear systems, monitored assets</w:t>
            </w:r>
          </w:p>
        </w:tc>
        <w:tc>
          <w:tcPr>
            <w:tcW w:w="0" w:type="auto"/>
            <w:hideMark/>
          </w:tcPr>
          <w:p w14:paraId="64178D2F" w14:textId="77777777" w:rsidR="008D34CC" w:rsidRPr="00D95A6F" w:rsidRDefault="008D34CC" w:rsidP="00580AFA">
            <w:pPr>
              <w:spacing w:line="276" w:lineRule="auto"/>
              <w:rPr>
                <w:rFonts w:ascii="Times New Roman" w:eastAsia="Times New Roman" w:hAnsi="Times New Roman"/>
                <w:sz w:val="24"/>
                <w:szCs w:val="24"/>
                <w:lang w:eastAsia="en-GB"/>
              </w:rPr>
            </w:pPr>
            <w:proofErr w:type="spellStart"/>
            <w:r w:rsidRPr="00D95A6F">
              <w:rPr>
                <w:rFonts w:ascii="Times New Roman" w:eastAsia="Times New Roman" w:hAnsi="Times New Roman"/>
                <w:sz w:val="24"/>
                <w:szCs w:val="24"/>
                <w:lang w:eastAsia="en-GB"/>
              </w:rPr>
              <w:t>Hoseyni</w:t>
            </w:r>
            <w:proofErr w:type="spellEnd"/>
            <w:r w:rsidRPr="00D95A6F">
              <w:rPr>
                <w:rFonts w:ascii="Times New Roman" w:eastAsia="Times New Roman" w:hAnsi="Times New Roman"/>
                <w:sz w:val="24"/>
                <w:szCs w:val="24"/>
                <w:lang w:eastAsia="en-GB"/>
              </w:rPr>
              <w:t xml:space="preserve"> et al. (2019); Wang et al. (2024)</w:t>
            </w:r>
          </w:p>
        </w:tc>
      </w:tr>
      <w:tr w:rsidR="008D34CC" w:rsidRPr="00D95A6F" w14:paraId="4B8E939E" w14:textId="77777777" w:rsidTr="00580AFA">
        <w:tc>
          <w:tcPr>
            <w:tcW w:w="0" w:type="auto"/>
            <w:hideMark/>
          </w:tcPr>
          <w:p w14:paraId="1422D14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Bayesian Network / Dynamic PRA</w:t>
            </w:r>
          </w:p>
        </w:tc>
        <w:tc>
          <w:tcPr>
            <w:tcW w:w="0" w:type="auto"/>
            <w:hideMark/>
          </w:tcPr>
          <w:p w14:paraId="16C42D73"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Very High (dependencies, aging)</w:t>
            </w:r>
          </w:p>
        </w:tc>
        <w:tc>
          <w:tcPr>
            <w:tcW w:w="0" w:type="auto"/>
            <w:hideMark/>
          </w:tcPr>
          <w:p w14:paraId="7F104A46"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Very High</w:t>
            </w:r>
          </w:p>
        </w:tc>
        <w:tc>
          <w:tcPr>
            <w:tcW w:w="0" w:type="auto"/>
            <w:hideMark/>
          </w:tcPr>
          <w:p w14:paraId="2EFE53CB"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6DE17008"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Complex, interdependent energy systems</w:t>
            </w:r>
          </w:p>
        </w:tc>
        <w:tc>
          <w:tcPr>
            <w:tcW w:w="0" w:type="auto"/>
            <w:hideMark/>
          </w:tcPr>
          <w:p w14:paraId="7C93C236" w14:textId="77777777" w:rsidR="008D34CC" w:rsidRPr="00D95A6F" w:rsidRDefault="008D34CC" w:rsidP="00580AFA">
            <w:pPr>
              <w:spacing w:line="276" w:lineRule="auto"/>
              <w:rPr>
                <w:rFonts w:ascii="Times New Roman" w:eastAsia="Times New Roman" w:hAnsi="Times New Roman"/>
                <w:sz w:val="24"/>
                <w:szCs w:val="24"/>
                <w:lang w:eastAsia="en-GB"/>
              </w:rPr>
            </w:pPr>
            <w:proofErr w:type="spellStart"/>
            <w:r w:rsidRPr="00D95A6F">
              <w:rPr>
                <w:rFonts w:ascii="Times New Roman" w:eastAsia="Times New Roman" w:hAnsi="Times New Roman"/>
                <w:sz w:val="24"/>
                <w:szCs w:val="24"/>
                <w:lang w:eastAsia="en-GB"/>
              </w:rPr>
              <w:t>Parhizkar</w:t>
            </w:r>
            <w:proofErr w:type="spellEnd"/>
            <w:r w:rsidRPr="00D95A6F">
              <w:rPr>
                <w:rFonts w:ascii="Times New Roman" w:eastAsia="Times New Roman" w:hAnsi="Times New Roman"/>
                <w:sz w:val="24"/>
                <w:szCs w:val="24"/>
                <w:lang w:eastAsia="en-GB"/>
              </w:rPr>
              <w:t xml:space="preserve"> et al. (2021); </w:t>
            </w:r>
            <w:proofErr w:type="spellStart"/>
            <w:r w:rsidRPr="00D95A6F">
              <w:rPr>
                <w:rFonts w:ascii="Times New Roman" w:eastAsia="Times New Roman" w:hAnsi="Times New Roman"/>
                <w:sz w:val="24"/>
                <w:szCs w:val="24"/>
                <w:lang w:eastAsia="en-GB"/>
              </w:rPr>
              <w:t>Karanki</w:t>
            </w:r>
            <w:proofErr w:type="spellEnd"/>
            <w:r w:rsidRPr="00D95A6F">
              <w:rPr>
                <w:rFonts w:ascii="Times New Roman" w:eastAsia="Times New Roman" w:hAnsi="Times New Roman"/>
                <w:sz w:val="24"/>
                <w:szCs w:val="24"/>
                <w:lang w:eastAsia="en-GB"/>
              </w:rPr>
              <w:t xml:space="preserve"> et al. (2019)</w:t>
            </w:r>
          </w:p>
        </w:tc>
      </w:tr>
      <w:tr w:rsidR="008D34CC" w:rsidRPr="00D95A6F" w14:paraId="1B2EE7F2" w14:textId="77777777" w:rsidTr="00580AFA">
        <w:tc>
          <w:tcPr>
            <w:tcW w:w="0" w:type="auto"/>
            <w:hideMark/>
          </w:tcPr>
          <w:p w14:paraId="37C1F3EF"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Decision-Theoretic (PRA + MCDA)</w:t>
            </w:r>
          </w:p>
        </w:tc>
        <w:tc>
          <w:tcPr>
            <w:tcW w:w="0" w:type="auto"/>
            <w:hideMark/>
          </w:tcPr>
          <w:p w14:paraId="26B7E201"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 -High</w:t>
            </w:r>
          </w:p>
        </w:tc>
        <w:tc>
          <w:tcPr>
            <w:tcW w:w="0" w:type="auto"/>
            <w:hideMark/>
          </w:tcPr>
          <w:p w14:paraId="77661375"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22055A34"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4262498B"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Pipeline systems, multi-criteria maintenance planning</w:t>
            </w:r>
          </w:p>
        </w:tc>
        <w:tc>
          <w:tcPr>
            <w:tcW w:w="0" w:type="auto"/>
            <w:hideMark/>
          </w:tcPr>
          <w:p w14:paraId="4FAC2C5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 xml:space="preserve">Viana et al. (2022); Syed &amp; </w:t>
            </w:r>
            <w:proofErr w:type="spellStart"/>
            <w:r w:rsidRPr="00D95A6F">
              <w:rPr>
                <w:rFonts w:ascii="Times New Roman" w:eastAsia="Times New Roman" w:hAnsi="Times New Roman"/>
                <w:sz w:val="24"/>
                <w:szCs w:val="24"/>
                <w:lang w:eastAsia="en-GB"/>
              </w:rPr>
              <w:t>Lawryshyn</w:t>
            </w:r>
            <w:proofErr w:type="spellEnd"/>
            <w:r w:rsidRPr="00D95A6F">
              <w:rPr>
                <w:rFonts w:ascii="Times New Roman" w:eastAsia="Times New Roman" w:hAnsi="Times New Roman"/>
                <w:sz w:val="24"/>
                <w:szCs w:val="24"/>
                <w:lang w:eastAsia="en-GB"/>
              </w:rPr>
              <w:t xml:space="preserve"> (2020)</w:t>
            </w:r>
          </w:p>
        </w:tc>
      </w:tr>
      <w:tr w:rsidR="008D34CC" w:rsidRPr="00D95A6F" w14:paraId="446F10AF" w14:textId="77777777" w:rsidTr="00580AFA">
        <w:tc>
          <w:tcPr>
            <w:tcW w:w="0" w:type="auto"/>
            <w:hideMark/>
          </w:tcPr>
          <w:p w14:paraId="7184E190"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Predictive &amp; Opportunistic Maintenance (PRA-integrated)</w:t>
            </w:r>
          </w:p>
        </w:tc>
        <w:tc>
          <w:tcPr>
            <w:tcW w:w="0" w:type="auto"/>
            <w:hideMark/>
          </w:tcPr>
          <w:p w14:paraId="11CE496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31E394AB"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02CB3533"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48C4872C"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Wind energy, BESS, data-rich systems</w:t>
            </w:r>
          </w:p>
        </w:tc>
        <w:tc>
          <w:tcPr>
            <w:tcW w:w="0" w:type="auto"/>
            <w:hideMark/>
          </w:tcPr>
          <w:p w14:paraId="36826BD1"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Nguyen et al. (2022); Zhen et al. (2025)</w:t>
            </w:r>
          </w:p>
        </w:tc>
      </w:tr>
    </w:tbl>
    <w:p w14:paraId="73DFE8A8" w14:textId="77777777" w:rsidR="008D34CC" w:rsidRPr="00D95A6F" w:rsidRDefault="008D34CC" w:rsidP="008D34CC">
      <w:pPr>
        <w:spacing w:line="360" w:lineRule="auto"/>
        <w:jc w:val="both"/>
        <w:rPr>
          <w:rFonts w:ascii="Times New Roman" w:hAnsi="Times New Roman"/>
          <w:b/>
          <w:bCs/>
          <w:sz w:val="24"/>
          <w:szCs w:val="24"/>
        </w:rPr>
      </w:pPr>
    </w:p>
    <w:p w14:paraId="6FED6220"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6. Emerging Trends and Research Gaps</w:t>
      </w:r>
    </w:p>
    <w:p w14:paraId="00DA5173"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One of the most significant trends in making decisions on maintenance of complex energy systems is the combination of Probabilistic Risk Assessment and digital </w:t>
      </w:r>
      <w:proofErr w:type="gramStart"/>
      <w:r w:rsidRPr="00D95A6F">
        <w:rPr>
          <w:rFonts w:ascii="Times New Roman" w:hAnsi="Times New Roman"/>
          <w:sz w:val="24"/>
          <w:szCs w:val="24"/>
        </w:rPr>
        <w:t>twins</w:t>
      </w:r>
      <w:proofErr w:type="gramEnd"/>
      <w:r w:rsidRPr="00D95A6F">
        <w:rPr>
          <w:rFonts w:ascii="Times New Roman" w:hAnsi="Times New Roman"/>
          <w:sz w:val="24"/>
          <w:szCs w:val="24"/>
        </w:rPr>
        <w:t xml:space="preserve"> architecture with real-time monitoring. Digital twins ensure a real-time correspondence between physical objects and their digital counterparts, and allows to dynamically update the PRA models as the operating conditions and the well-being of components change (Moradi &amp; </w:t>
      </w:r>
      <w:proofErr w:type="spellStart"/>
      <w:r w:rsidRPr="00D95A6F">
        <w:rPr>
          <w:rFonts w:ascii="Times New Roman" w:hAnsi="Times New Roman"/>
          <w:sz w:val="24"/>
          <w:szCs w:val="24"/>
        </w:rPr>
        <w:t>Groth</w:t>
      </w:r>
      <w:proofErr w:type="spellEnd"/>
      <w:r w:rsidRPr="00D95A6F">
        <w:rPr>
          <w:rFonts w:ascii="Times New Roman" w:hAnsi="Times New Roman"/>
          <w:sz w:val="24"/>
          <w:szCs w:val="24"/>
        </w:rPr>
        <w:t>, 2020; Rony and Shafa, 2024). These technologies can be used in combination with (real-</w:t>
      </w:r>
      <w:r w:rsidRPr="00D95A6F">
        <w:rPr>
          <w:rFonts w:ascii="Times New Roman" w:hAnsi="Times New Roman"/>
          <w:sz w:val="24"/>
          <w:szCs w:val="24"/>
        </w:rPr>
        <w:lastRenderedPageBreak/>
        <w:t xml:space="preserve">time) risk evaluation and adaptive maintenance-scheduling of high-consequence infrastructures like nuclear power plants and large-scale power grids (Zhang et al., 2024; </w:t>
      </w:r>
      <w:proofErr w:type="spellStart"/>
      <w:r w:rsidRPr="00D95A6F">
        <w:rPr>
          <w:rFonts w:ascii="Times New Roman" w:hAnsi="Times New Roman"/>
          <w:sz w:val="24"/>
          <w:szCs w:val="24"/>
        </w:rPr>
        <w:t>Hoseyni</w:t>
      </w:r>
      <w:proofErr w:type="spellEnd"/>
      <w:r w:rsidRPr="00D95A6F">
        <w:rPr>
          <w:rFonts w:ascii="Times New Roman" w:hAnsi="Times New Roman"/>
          <w:sz w:val="24"/>
          <w:szCs w:val="24"/>
        </w:rPr>
        <w:t xml:space="preserve"> et al., 2019). Nevertheless, most of the current implementations are still conceptual or pilot scale highlighting the importance of scalable and proven real-time PRA frameworks.</w:t>
      </w:r>
    </w:p>
    <w:p w14:paraId="52736AF0"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The other significant development point is the incorporation of machine learning and artificial intelligence with PRA-based maintenance decision-making, specifically when it comes to fault diagnostics and system health monitoring in digitalized and nuclear energy systems (Nguyen et al., 2022; Feng &amp; Li, 2022; Bonsu &amp; Adeoye, 2025). However, AI and PRA are not completely discussed as analogue systems but rather as parallel instruments, and the issue related to the quantification of uncertainty, interpretability, and regulatory acceptance inhibit their real-world implementation (Li et al., 2023; </w:t>
      </w:r>
      <w:proofErr w:type="spellStart"/>
      <w:r w:rsidRPr="00D95A6F">
        <w:rPr>
          <w:rFonts w:ascii="Times New Roman" w:hAnsi="Times New Roman"/>
          <w:sz w:val="24"/>
          <w:szCs w:val="24"/>
        </w:rPr>
        <w:t>Karanki</w:t>
      </w:r>
      <w:proofErr w:type="spellEnd"/>
      <w:r w:rsidRPr="00D95A6F">
        <w:rPr>
          <w:rFonts w:ascii="Times New Roman" w:hAnsi="Times New Roman"/>
          <w:sz w:val="24"/>
          <w:szCs w:val="24"/>
        </w:rPr>
        <w:t xml:space="preserve"> et al., 2019). Furthermore, the human-system interaction and cross-sector generalizability are not sufficiently discussed, because operator risk perception, cognitive biases, and institutional constraints are part of maintenance decisions (Angeli &amp; Montefusco, 2020; Syed &amp; </w:t>
      </w:r>
      <w:proofErr w:type="spellStart"/>
      <w:r w:rsidRPr="00D95A6F">
        <w:rPr>
          <w:rFonts w:ascii="Times New Roman" w:hAnsi="Times New Roman"/>
          <w:sz w:val="24"/>
          <w:szCs w:val="24"/>
        </w:rPr>
        <w:t>Lawryshyn</w:t>
      </w:r>
      <w:proofErr w:type="spellEnd"/>
      <w:r w:rsidRPr="00D95A6F">
        <w:rPr>
          <w:rFonts w:ascii="Times New Roman" w:hAnsi="Times New Roman"/>
          <w:sz w:val="24"/>
          <w:szCs w:val="24"/>
        </w:rPr>
        <w:t>, 2020) and most of PRA-based models have been developed in nuclear settings and may not easily be applied in power grids, renewable systems, or hybrid infrastructures (</w:t>
      </w:r>
      <w:proofErr w:type="spellStart"/>
      <w:r w:rsidRPr="00D95A6F">
        <w:rPr>
          <w:rFonts w:ascii="Times New Roman" w:hAnsi="Times New Roman"/>
          <w:sz w:val="24"/>
          <w:szCs w:val="24"/>
        </w:rPr>
        <w:t>Moinian</w:t>
      </w:r>
      <w:proofErr w:type="spellEnd"/>
      <w:r w:rsidRPr="00D95A6F">
        <w:rPr>
          <w:rFonts w:ascii="Times New Roman" w:hAnsi="Times New Roman"/>
          <w:sz w:val="24"/>
          <w:szCs w:val="24"/>
        </w:rPr>
        <w:t xml:space="preserve"> &amp; </w:t>
      </w:r>
      <w:proofErr w:type="spellStart"/>
      <w:r w:rsidRPr="00D95A6F">
        <w:rPr>
          <w:rFonts w:ascii="Times New Roman" w:hAnsi="Times New Roman"/>
          <w:sz w:val="24"/>
          <w:szCs w:val="24"/>
        </w:rPr>
        <w:t>Ameli</w:t>
      </w:r>
      <w:proofErr w:type="spellEnd"/>
      <w:r w:rsidRPr="00D95A6F">
        <w:rPr>
          <w:rFonts w:ascii="Times New Roman" w:hAnsi="Times New Roman"/>
          <w:sz w:val="24"/>
          <w:szCs w:val="24"/>
        </w:rPr>
        <w:t>, 2022). To overcome these gaps, the research is needed to incorporate human decision processes and determine the flexibility of PRA-based maintenance systems in various energy system sectors.</w:t>
      </w:r>
    </w:p>
    <w:p w14:paraId="30DA61F1" w14:textId="77777777" w:rsidR="008D34CC" w:rsidRPr="00D95A6F" w:rsidRDefault="008D34CC" w:rsidP="008D34CC">
      <w:pPr>
        <w:spacing w:line="360" w:lineRule="auto"/>
        <w:jc w:val="both"/>
        <w:rPr>
          <w:rFonts w:ascii="Times New Roman" w:hAnsi="Times New Roman"/>
          <w:sz w:val="24"/>
          <w:szCs w:val="24"/>
        </w:rPr>
      </w:pPr>
    </w:p>
    <w:p w14:paraId="44EC16F1"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7. Future Research Directions</w:t>
      </w:r>
    </w:p>
    <w:p w14:paraId="303904D4" w14:textId="77777777" w:rsidR="008D34CC"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The next stage in the research process should be concentrated on the creation of holistic models that would more closely intertwine probabilistic risk assessment and maintenance decision-making mechanisms. Although the current literature has contributed to the development of PRA techniques and maintenance optimization frameworks, much more focus should be placed on integrated decision-support systems that clearly make a link between risk quantification, decision-theoretic assessment, and operational limitations. This is because such frameworks need to be able to handle system complexity, uncertainty propagation and risk preference of stakeholders, within a consistent analytical framework. Furthermore, scalability is also a burning issue, as most PRA-based models of maintenance are tested on a small scale of systems or on case studies. </w:t>
      </w:r>
    </w:p>
    <w:p w14:paraId="167AF45D"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The solution to the problem of applying these frameworks to large-scale interconnected energy systems will demand the development of increased computational efficiency and model abstraction.</w:t>
      </w:r>
      <w:r>
        <w:rPr>
          <w:rFonts w:ascii="Times New Roman" w:hAnsi="Times New Roman"/>
          <w:sz w:val="24"/>
          <w:szCs w:val="24"/>
        </w:rPr>
        <w:t xml:space="preserve"> </w:t>
      </w:r>
      <w:r w:rsidRPr="00D71C4C">
        <w:rPr>
          <w:rFonts w:ascii="Times New Roman" w:hAnsi="Times New Roman"/>
          <w:sz w:val="24"/>
          <w:szCs w:val="24"/>
        </w:rPr>
        <w:t>Another strategic research direction concerns strengthening empirical validation and bridging the gap between analytical development and operational practice. The current reliance on simulated datasets and ex-post analyses reveals what can be described as a validation gap in PRA-based maintenance research, where many proposed models have limited verification using real operational data. Addressing this challenge requires increased</w:t>
      </w:r>
      <w:r w:rsidRPr="25447BB7">
        <w:rPr>
          <w:rFonts w:ascii="Times New Roman" w:hAnsi="Times New Roman"/>
          <w:sz w:val="24"/>
          <w:szCs w:val="24"/>
        </w:rPr>
        <w:t>.</w:t>
      </w:r>
    </w:p>
    <w:p w14:paraId="05FD41DF" w14:textId="77777777" w:rsidR="008D34CC" w:rsidRPr="00D95A6F" w:rsidRDefault="008D34CC" w:rsidP="008D34CC">
      <w:pPr>
        <w:spacing w:line="360" w:lineRule="auto"/>
        <w:jc w:val="both"/>
        <w:rPr>
          <w:rFonts w:ascii="Times New Roman" w:hAnsi="Times New Roman"/>
          <w:sz w:val="24"/>
          <w:szCs w:val="24"/>
        </w:rPr>
      </w:pPr>
    </w:p>
    <w:p w14:paraId="5FD4B052"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8. Conclusions</w:t>
      </w:r>
    </w:p>
    <w:p w14:paraId="1057FF31" w14:textId="77777777" w:rsidR="00126DC3" w:rsidRDefault="008D34CC" w:rsidP="00126DC3">
      <w:pPr>
        <w:spacing w:line="360" w:lineRule="auto"/>
        <w:jc w:val="both"/>
        <w:rPr>
          <w:rFonts w:ascii="Times New Roman" w:hAnsi="Times New Roman"/>
          <w:sz w:val="24"/>
          <w:szCs w:val="24"/>
        </w:rPr>
      </w:pPr>
      <w:r w:rsidRPr="00D95A6F">
        <w:rPr>
          <w:rFonts w:ascii="Times New Roman" w:hAnsi="Times New Roman"/>
          <w:sz w:val="24"/>
          <w:szCs w:val="24"/>
        </w:rPr>
        <w:lastRenderedPageBreak/>
        <w:t>This review has analyzed maintenance decision-making in complex energy systems by synthesizing with an analytical system of probabilistic risk assessment-based frameworks and how PRA can be used to make structured decisions in a high consequence and interdependent environment with uncertainty. In nuclear, power generation, transmission, and emerging renewable systems, PRA-based methods are always found to be superior to deterministic and reliability only methods in that their failure probability, effects severity and system-wide interactions are all captured in a single way. The contribution of the analysis to the field of PRA models is an increased recognition of the emerging relevance of condition-based, decision-theoretic and dynamic PRA models in the maintenance prioritization, scheduling, and resource allocation process of more complex energy infrastructures. Meanwhile, the consistent difficulties concerning the availability of data, its scalability, human determinants, and the practicality of implementation indicate the significant areas in which research and development are to take place. This review possesses a unified viewpoint by incorporating knowledge across analytical techniques and areas of application, which can contribute to a further understanding of PRA-informed maintenance decision-making and enhance theoretical and practical frameworks of risk-informed asset management in the complex energy sector</w:t>
      </w:r>
      <w:bookmarkStart w:id="1" w:name="_Hlk221623592"/>
    </w:p>
    <w:p w14:paraId="21BEEDD4" w14:textId="662B02E9" w:rsidR="00126DC3" w:rsidRPr="00126DC3" w:rsidRDefault="00126DC3" w:rsidP="00126DC3">
      <w:pPr>
        <w:spacing w:line="360" w:lineRule="auto"/>
        <w:jc w:val="both"/>
        <w:rPr>
          <w:rFonts w:ascii="Times New Roman" w:hAnsi="Times New Roman"/>
          <w:b/>
          <w:bCs/>
          <w:sz w:val="24"/>
          <w:szCs w:val="24"/>
        </w:rPr>
      </w:pPr>
      <w:r>
        <w:rPr>
          <w:rFonts w:ascii="Times New Roman" w:hAnsi="Times New Roman"/>
          <w:b/>
          <w:bCs/>
          <w:sz w:val="24"/>
          <w:szCs w:val="24"/>
        </w:rPr>
        <w:t>REFERENCES</w:t>
      </w:r>
    </w:p>
    <w:p w14:paraId="03191AD8" w14:textId="519023EC" w:rsidR="00CF165B" w:rsidRPr="00126DC3" w:rsidRDefault="00CF165B" w:rsidP="00126DC3">
      <w:pPr>
        <w:spacing w:line="360" w:lineRule="auto"/>
        <w:jc w:val="both"/>
        <w:rPr>
          <w:rFonts w:ascii="Times New Roman" w:hAnsi="Times New Roman"/>
          <w:b/>
          <w:bCs/>
          <w:sz w:val="24"/>
          <w:szCs w:val="24"/>
        </w:rPr>
      </w:pPr>
      <w:r w:rsidRPr="00CF165B">
        <w:rPr>
          <w:rFonts w:eastAsiaTheme="minorHAnsi"/>
          <w:color w:val="000000" w:themeColor="text1"/>
          <w:kern w:val="2"/>
        </w:rPr>
        <w:t>Adeoye</w:t>
      </w:r>
      <w:bookmarkEnd w:id="1"/>
      <w:r w:rsidRPr="00CF165B">
        <w:rPr>
          <w:rFonts w:eastAsiaTheme="minorHAnsi"/>
          <w:color w:val="000000" w:themeColor="text1"/>
          <w:kern w:val="2"/>
        </w:rPr>
        <w:t xml:space="preserve">, M. B., </w:t>
      </w:r>
      <w:proofErr w:type="spellStart"/>
      <w:r w:rsidRPr="00CF165B">
        <w:rPr>
          <w:rFonts w:eastAsiaTheme="minorHAnsi"/>
          <w:color w:val="000000" w:themeColor="text1"/>
          <w:kern w:val="2"/>
        </w:rPr>
        <w:t>Annankra</w:t>
      </w:r>
      <w:proofErr w:type="spellEnd"/>
      <w:r w:rsidRPr="00CF165B">
        <w:rPr>
          <w:rFonts w:eastAsiaTheme="minorHAnsi"/>
          <w:color w:val="000000" w:themeColor="text1"/>
          <w:kern w:val="2"/>
        </w:rPr>
        <w:t>, J. A., &amp; Yakin, Z. (2025). AI-driven real-time diagnostics and self-correcting control schemes for next-generation nuclear energy systems.</w:t>
      </w:r>
    </w:p>
    <w:p w14:paraId="7527703C" w14:textId="77777777" w:rsidR="00CF165B" w:rsidRPr="003D7858" w:rsidRDefault="00CF165B" w:rsidP="00CF165B">
      <w:pPr>
        <w:spacing w:line="276" w:lineRule="auto"/>
        <w:ind w:left="360" w:hanging="720"/>
        <w:rPr>
          <w:rFonts w:ascii="Times New Roman" w:hAnsi="Times New Roman"/>
          <w:color w:val="000000" w:themeColor="text1"/>
          <w:sz w:val="24"/>
          <w:szCs w:val="24"/>
        </w:rPr>
      </w:pPr>
      <w:r w:rsidRPr="003D7858">
        <w:rPr>
          <w:rFonts w:ascii="Times New Roman" w:hAnsi="Times New Roman"/>
          <w:color w:val="000000" w:themeColor="text1"/>
          <w:sz w:val="24"/>
          <w:szCs w:val="24"/>
        </w:rPr>
        <w:t xml:space="preserve">Adjei, G., </w:t>
      </w:r>
      <w:proofErr w:type="spellStart"/>
      <w:r w:rsidRPr="003D7858">
        <w:rPr>
          <w:rFonts w:ascii="Times New Roman" w:hAnsi="Times New Roman"/>
          <w:color w:val="000000" w:themeColor="text1"/>
          <w:sz w:val="24"/>
          <w:szCs w:val="24"/>
        </w:rPr>
        <w:t>Obidiagha</w:t>
      </w:r>
      <w:proofErr w:type="spellEnd"/>
      <w:r w:rsidRPr="003D7858">
        <w:rPr>
          <w:rFonts w:ascii="Times New Roman" w:hAnsi="Times New Roman"/>
          <w:color w:val="000000" w:themeColor="text1"/>
          <w:sz w:val="24"/>
          <w:szCs w:val="24"/>
        </w:rPr>
        <w:t xml:space="preserve">, C., &amp; Antwi, B. K. (2026). Enhancing supply chain efficiency and sustainability through quality management systems in U.S. logistics operations. </w:t>
      </w:r>
      <w:r w:rsidRPr="003D7858">
        <w:rPr>
          <w:rFonts w:ascii="Times New Roman" w:hAnsi="Times New Roman"/>
          <w:i/>
          <w:iCs/>
          <w:color w:val="000000" w:themeColor="text1"/>
          <w:sz w:val="24"/>
          <w:szCs w:val="24"/>
        </w:rPr>
        <w:t>International Journal for Multidisciplinary Research (IJFMR)</w:t>
      </w:r>
      <w:r w:rsidRPr="003D7858">
        <w:rPr>
          <w:rFonts w:ascii="Times New Roman" w:hAnsi="Times New Roman"/>
          <w:color w:val="000000" w:themeColor="text1"/>
          <w:sz w:val="24"/>
          <w:szCs w:val="24"/>
        </w:rPr>
        <w:t>, 8(1).</w:t>
      </w:r>
    </w:p>
    <w:p w14:paraId="0509AE9B"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AJENIFUJA, G. R. (2024). Reliability-Centered Maintenance (RCM) Model for Electrical Systems in Large-Scale Refinery Plants.</w:t>
      </w:r>
    </w:p>
    <w:p w14:paraId="5F7C1DA3" w14:textId="77777777" w:rsidR="00CF165B" w:rsidRPr="00D95A6F" w:rsidRDefault="00CF165B" w:rsidP="00CF165B">
      <w:pPr>
        <w:spacing w:line="276" w:lineRule="auto"/>
        <w:ind w:left="360" w:hanging="720"/>
        <w:rPr>
          <w:rFonts w:ascii="Times New Roman" w:hAnsi="Times New Roman"/>
          <w:sz w:val="24"/>
          <w:szCs w:val="24"/>
        </w:rPr>
      </w:pPr>
      <w:bookmarkStart w:id="2" w:name="_Hlk221623757"/>
      <w:r w:rsidRPr="00D95A6F">
        <w:rPr>
          <w:rFonts w:ascii="Times New Roman" w:hAnsi="Times New Roman"/>
          <w:sz w:val="24"/>
          <w:szCs w:val="24"/>
          <w:shd w:val="clear" w:color="auto" w:fill="FFFFFF"/>
        </w:rPr>
        <w:t>Angeli</w:t>
      </w:r>
      <w:bookmarkEnd w:id="2"/>
      <w:r w:rsidRPr="00D95A6F">
        <w:rPr>
          <w:rFonts w:ascii="Times New Roman" w:hAnsi="Times New Roman"/>
          <w:sz w:val="24"/>
          <w:szCs w:val="24"/>
          <w:shd w:val="clear" w:color="auto" w:fill="FFFFFF"/>
        </w:rPr>
        <w:t>, F., &amp; Montefusco, A. (2020). Sensemaking and learning during the Covid-19 pandemic: A complex adaptive systems perspective on policy decision-making. </w:t>
      </w:r>
      <w:r w:rsidRPr="00D95A6F">
        <w:rPr>
          <w:rFonts w:ascii="Times New Roman" w:hAnsi="Times New Roman"/>
          <w:i/>
          <w:iCs/>
          <w:sz w:val="24"/>
          <w:szCs w:val="24"/>
          <w:shd w:val="clear" w:color="auto" w:fill="FFFFFF"/>
        </w:rPr>
        <w:t>World Development</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136</w:t>
      </w:r>
      <w:r w:rsidRPr="00D95A6F">
        <w:rPr>
          <w:rFonts w:ascii="Times New Roman" w:hAnsi="Times New Roman"/>
          <w:sz w:val="24"/>
          <w:szCs w:val="24"/>
          <w:shd w:val="clear" w:color="auto" w:fill="FFFFFF"/>
        </w:rPr>
        <w:t>, 105106.</w:t>
      </w:r>
    </w:p>
    <w:p w14:paraId="3789F24C" w14:textId="77777777" w:rsidR="00CF165B" w:rsidRPr="00CF165B" w:rsidRDefault="00CF165B" w:rsidP="00CF165B">
      <w:pPr>
        <w:pStyle w:val="NormalWeb"/>
        <w:spacing w:line="276" w:lineRule="auto"/>
        <w:ind w:left="360" w:hanging="720"/>
        <w:rPr>
          <w:rFonts w:eastAsiaTheme="minorHAnsi"/>
          <w:color w:val="000000" w:themeColor="text1"/>
          <w:kern w:val="2"/>
          <w:lang w:eastAsia="en-US"/>
        </w:rPr>
      </w:pPr>
      <w:bookmarkStart w:id="3" w:name="_Hlk221623674"/>
      <w:r w:rsidRPr="00CF165B">
        <w:rPr>
          <w:rFonts w:eastAsiaTheme="minorHAnsi"/>
          <w:color w:val="000000" w:themeColor="text1"/>
          <w:kern w:val="2"/>
          <w:lang w:eastAsia="en-US"/>
        </w:rPr>
        <w:t>Antwi</w:t>
      </w:r>
      <w:bookmarkEnd w:id="3"/>
      <w:r w:rsidRPr="00CF165B">
        <w:rPr>
          <w:rFonts w:eastAsiaTheme="minorHAnsi"/>
          <w:color w:val="000000" w:themeColor="text1"/>
          <w:kern w:val="2"/>
          <w:lang w:eastAsia="en-US"/>
        </w:rPr>
        <w:t xml:space="preserve">, B. K., &amp; Nnaji, B. C. (2026). Advancing data-driven scheduling frameworks for infrastructure modernization: A comprehensive review of United States construction efficiency models. </w:t>
      </w:r>
      <w:proofErr w:type="spellStart"/>
      <w:r w:rsidRPr="00CF165B">
        <w:rPr>
          <w:rFonts w:eastAsiaTheme="minorHAnsi"/>
          <w:color w:val="000000" w:themeColor="text1"/>
          <w:kern w:val="2"/>
          <w:lang w:eastAsia="en-US"/>
        </w:rPr>
        <w:t>Sarcouncil</w:t>
      </w:r>
      <w:proofErr w:type="spellEnd"/>
      <w:r w:rsidRPr="00CF165B">
        <w:rPr>
          <w:rFonts w:eastAsiaTheme="minorHAnsi"/>
          <w:color w:val="000000" w:themeColor="text1"/>
          <w:kern w:val="2"/>
          <w:lang w:eastAsia="en-US"/>
        </w:rPr>
        <w:t xml:space="preserve"> Journal of Economics and Business Management, 5(1).</w:t>
      </w:r>
    </w:p>
    <w:p w14:paraId="42211FA8"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Barlow, E., Bedford, T., Revie, M., Tan, J., &amp; Walls, L. (2021). A performance-</w:t>
      </w:r>
      <w:proofErr w:type="spellStart"/>
      <w:r w:rsidRPr="00D95A6F">
        <w:rPr>
          <w:rFonts w:ascii="Times New Roman" w:hAnsi="Times New Roman"/>
          <w:sz w:val="24"/>
          <w:szCs w:val="24"/>
          <w:shd w:val="clear" w:color="auto" w:fill="FFFFFF"/>
        </w:rPr>
        <w:t>centred</w:t>
      </w:r>
      <w:proofErr w:type="spellEnd"/>
      <w:r w:rsidRPr="00D95A6F">
        <w:rPr>
          <w:rFonts w:ascii="Times New Roman" w:hAnsi="Times New Roman"/>
          <w:sz w:val="24"/>
          <w:szCs w:val="24"/>
          <w:shd w:val="clear" w:color="auto" w:fill="FFFFFF"/>
        </w:rPr>
        <w:t xml:space="preserve"> approach to </w:t>
      </w:r>
      <w:proofErr w:type="spellStart"/>
      <w:r w:rsidRPr="00D95A6F">
        <w:rPr>
          <w:rFonts w:ascii="Times New Roman" w:hAnsi="Times New Roman"/>
          <w:sz w:val="24"/>
          <w:szCs w:val="24"/>
          <w:shd w:val="clear" w:color="auto" w:fill="FFFFFF"/>
        </w:rPr>
        <w:t>optimising</w:t>
      </w:r>
      <w:proofErr w:type="spellEnd"/>
      <w:r w:rsidRPr="00D95A6F">
        <w:rPr>
          <w:rFonts w:ascii="Times New Roman" w:hAnsi="Times New Roman"/>
          <w:sz w:val="24"/>
          <w:szCs w:val="24"/>
          <w:shd w:val="clear" w:color="auto" w:fill="FFFFFF"/>
        </w:rPr>
        <w:t xml:space="preserve"> maintenance of complex systems. </w:t>
      </w:r>
      <w:r w:rsidRPr="00D95A6F">
        <w:rPr>
          <w:rFonts w:ascii="Times New Roman" w:hAnsi="Times New Roman"/>
          <w:i/>
          <w:iCs/>
          <w:sz w:val="24"/>
          <w:szCs w:val="24"/>
          <w:shd w:val="clear" w:color="auto" w:fill="FFFFFF"/>
        </w:rPr>
        <w:t>European Journal of Operational Research</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292</w:t>
      </w:r>
      <w:r w:rsidRPr="00D95A6F">
        <w:rPr>
          <w:rFonts w:ascii="Times New Roman" w:hAnsi="Times New Roman"/>
          <w:sz w:val="24"/>
          <w:szCs w:val="24"/>
          <w:shd w:val="clear" w:color="auto" w:fill="FFFFFF"/>
        </w:rPr>
        <w:t>(2), 579-595.</w:t>
      </w:r>
    </w:p>
    <w:p w14:paraId="0BC845E7" w14:textId="77777777" w:rsidR="00CF165B" w:rsidRPr="00CF165B" w:rsidRDefault="00CF165B" w:rsidP="00CF165B">
      <w:pPr>
        <w:pStyle w:val="NormalWeb"/>
        <w:spacing w:line="276" w:lineRule="auto"/>
        <w:ind w:left="360" w:hanging="720"/>
        <w:rPr>
          <w:rFonts w:eastAsiaTheme="minorHAnsi"/>
          <w:color w:val="000000" w:themeColor="text1"/>
          <w:kern w:val="2"/>
          <w:lang w:eastAsia="en-US"/>
        </w:rPr>
      </w:pPr>
      <w:r w:rsidRPr="00CF165B">
        <w:rPr>
          <w:rFonts w:eastAsiaTheme="minorHAnsi"/>
          <w:color w:val="000000" w:themeColor="text1"/>
          <w:kern w:val="2"/>
          <w:lang w:eastAsia="en-US"/>
        </w:rPr>
        <w:t xml:space="preserve">Bonsu, J. O., &amp; Adeoye, M. B. (2025). AI-driven fault detection and diagnostics in nuclear power plant control systems: A review. Journal of Engineering and Computer Sciences, 4(9), 552–559. </w:t>
      </w:r>
    </w:p>
    <w:p w14:paraId="1D2E688A"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 xml:space="preserve">Cai, Y., </w:t>
      </w:r>
      <w:proofErr w:type="spellStart"/>
      <w:r w:rsidRPr="00D95A6F">
        <w:rPr>
          <w:rFonts w:ascii="Times New Roman" w:hAnsi="Times New Roman"/>
          <w:sz w:val="24"/>
          <w:szCs w:val="24"/>
          <w:shd w:val="clear" w:color="auto" w:fill="FFFFFF"/>
        </w:rPr>
        <w:t>Teunter</w:t>
      </w:r>
      <w:proofErr w:type="spellEnd"/>
      <w:r w:rsidRPr="00D95A6F">
        <w:rPr>
          <w:rFonts w:ascii="Times New Roman" w:hAnsi="Times New Roman"/>
          <w:sz w:val="24"/>
          <w:szCs w:val="24"/>
          <w:shd w:val="clear" w:color="auto" w:fill="FFFFFF"/>
        </w:rPr>
        <w:t>, R. H., &amp; de Jonge, B. (2023). A data-driven approach for condition-based maintenance optimization. </w:t>
      </w:r>
      <w:r w:rsidRPr="00D95A6F">
        <w:rPr>
          <w:rFonts w:ascii="Times New Roman" w:hAnsi="Times New Roman"/>
          <w:i/>
          <w:iCs/>
          <w:sz w:val="24"/>
          <w:szCs w:val="24"/>
          <w:shd w:val="clear" w:color="auto" w:fill="FFFFFF"/>
        </w:rPr>
        <w:t>European Journal of Operational Research</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311</w:t>
      </w:r>
      <w:r w:rsidRPr="00D95A6F">
        <w:rPr>
          <w:rFonts w:ascii="Times New Roman" w:hAnsi="Times New Roman"/>
          <w:sz w:val="24"/>
          <w:szCs w:val="24"/>
          <w:shd w:val="clear" w:color="auto" w:fill="FFFFFF"/>
        </w:rPr>
        <w:t>(2), 730-738.</w:t>
      </w:r>
    </w:p>
    <w:p w14:paraId="186D43C3" w14:textId="77777777" w:rsidR="00CF165B" w:rsidRPr="00D95A6F" w:rsidRDefault="00CF165B" w:rsidP="00CF165B">
      <w:pPr>
        <w:spacing w:line="276" w:lineRule="auto"/>
        <w:ind w:left="360" w:hanging="720"/>
        <w:rPr>
          <w:rFonts w:ascii="Times New Roman" w:hAnsi="Times New Roman"/>
          <w:sz w:val="24"/>
          <w:szCs w:val="24"/>
        </w:rPr>
      </w:pPr>
      <w:bookmarkStart w:id="4" w:name="_Hlk221627218"/>
      <w:r w:rsidRPr="00D95A6F">
        <w:rPr>
          <w:rFonts w:ascii="Times New Roman" w:hAnsi="Times New Roman"/>
          <w:sz w:val="24"/>
          <w:szCs w:val="24"/>
          <w:shd w:val="clear" w:color="auto" w:fill="FFFFFF"/>
        </w:rPr>
        <w:lastRenderedPageBreak/>
        <w:t>Carmichael</w:t>
      </w:r>
      <w:bookmarkEnd w:id="4"/>
      <w:r w:rsidRPr="00D95A6F">
        <w:rPr>
          <w:rFonts w:ascii="Times New Roman" w:hAnsi="Times New Roman"/>
          <w:sz w:val="24"/>
          <w:szCs w:val="24"/>
          <w:shd w:val="clear" w:color="auto" w:fill="FFFFFF"/>
        </w:rPr>
        <w:t xml:space="preserve">, T., &amp; </w:t>
      </w:r>
      <w:proofErr w:type="spellStart"/>
      <w:r w:rsidRPr="00D95A6F">
        <w:rPr>
          <w:rFonts w:ascii="Times New Roman" w:hAnsi="Times New Roman"/>
          <w:sz w:val="24"/>
          <w:szCs w:val="24"/>
          <w:shd w:val="clear" w:color="auto" w:fill="FFFFFF"/>
        </w:rPr>
        <w:t>Hadžikadić</w:t>
      </w:r>
      <w:proofErr w:type="spellEnd"/>
      <w:r w:rsidRPr="00D95A6F">
        <w:rPr>
          <w:rFonts w:ascii="Times New Roman" w:hAnsi="Times New Roman"/>
          <w:sz w:val="24"/>
          <w:szCs w:val="24"/>
          <w:shd w:val="clear" w:color="auto" w:fill="FFFFFF"/>
        </w:rPr>
        <w:t>, M. (2019). The fundamentals of complex adaptive systems. In </w:t>
      </w:r>
      <w:r w:rsidRPr="00D95A6F">
        <w:rPr>
          <w:rFonts w:ascii="Times New Roman" w:hAnsi="Times New Roman"/>
          <w:i/>
          <w:iCs/>
          <w:sz w:val="24"/>
          <w:szCs w:val="24"/>
          <w:shd w:val="clear" w:color="auto" w:fill="FFFFFF"/>
        </w:rPr>
        <w:t>Complex adaptive systems: Views from the physical, natural, and social sciences</w:t>
      </w:r>
      <w:r w:rsidRPr="00D95A6F">
        <w:rPr>
          <w:rFonts w:ascii="Times New Roman" w:hAnsi="Times New Roman"/>
          <w:sz w:val="24"/>
          <w:szCs w:val="24"/>
          <w:shd w:val="clear" w:color="auto" w:fill="FFFFFF"/>
        </w:rPr>
        <w:t> (pp. 1-16). Cham: Springer International Publishing.</w:t>
      </w:r>
    </w:p>
    <w:p w14:paraId="32CD4A36" w14:textId="77777777" w:rsidR="00CF165B" w:rsidRPr="00D95A6F" w:rsidRDefault="00CF165B" w:rsidP="00CF165B">
      <w:pPr>
        <w:spacing w:line="276" w:lineRule="auto"/>
        <w:ind w:left="360" w:hanging="720"/>
        <w:rPr>
          <w:rFonts w:ascii="Times New Roman" w:hAnsi="Times New Roman"/>
          <w:sz w:val="24"/>
          <w:szCs w:val="24"/>
        </w:rPr>
      </w:pPr>
      <w:bookmarkStart w:id="5" w:name="_Hlk221865093"/>
      <w:r w:rsidRPr="00D95A6F">
        <w:rPr>
          <w:rFonts w:ascii="Times New Roman" w:hAnsi="Times New Roman"/>
          <w:sz w:val="24"/>
          <w:szCs w:val="24"/>
          <w:shd w:val="clear" w:color="auto" w:fill="FFFFFF"/>
        </w:rPr>
        <w:t>Felder</w:t>
      </w:r>
      <w:bookmarkEnd w:id="5"/>
      <w:r w:rsidRPr="00D95A6F">
        <w:rPr>
          <w:rFonts w:ascii="Times New Roman" w:hAnsi="Times New Roman"/>
          <w:sz w:val="24"/>
          <w:szCs w:val="24"/>
          <w:shd w:val="clear" w:color="auto" w:fill="FFFFFF"/>
        </w:rPr>
        <w:t xml:space="preserve">, F. A., &amp; </w:t>
      </w:r>
      <w:proofErr w:type="spellStart"/>
      <w:r w:rsidRPr="00D95A6F">
        <w:rPr>
          <w:rFonts w:ascii="Times New Roman" w:hAnsi="Times New Roman"/>
          <w:sz w:val="24"/>
          <w:szCs w:val="24"/>
          <w:shd w:val="clear" w:color="auto" w:fill="FFFFFF"/>
        </w:rPr>
        <w:t>Petitet</w:t>
      </w:r>
      <w:proofErr w:type="spellEnd"/>
      <w:r w:rsidRPr="00D95A6F">
        <w:rPr>
          <w:rFonts w:ascii="Times New Roman" w:hAnsi="Times New Roman"/>
          <w:sz w:val="24"/>
          <w:szCs w:val="24"/>
          <w:shd w:val="clear" w:color="auto" w:fill="FFFFFF"/>
        </w:rPr>
        <w:t>, M. (2024). An emerging framework for the probabilistic cost-benefit analysis of the reliability, resiliency, and adaptability of electric power systems. </w:t>
      </w:r>
      <w:r w:rsidRPr="00D95A6F">
        <w:rPr>
          <w:rFonts w:ascii="Times New Roman" w:hAnsi="Times New Roman"/>
          <w:i/>
          <w:iCs/>
          <w:sz w:val="24"/>
          <w:szCs w:val="24"/>
          <w:shd w:val="clear" w:color="auto" w:fill="FFFFFF"/>
        </w:rPr>
        <w:t>Resiliency, and Adaptability of Electric Power Systems (June 15, 2024)</w:t>
      </w:r>
      <w:r w:rsidRPr="00D95A6F">
        <w:rPr>
          <w:rFonts w:ascii="Times New Roman" w:hAnsi="Times New Roman"/>
          <w:sz w:val="24"/>
          <w:szCs w:val="24"/>
          <w:shd w:val="clear" w:color="auto" w:fill="FFFFFF"/>
        </w:rPr>
        <w:t>.</w:t>
      </w:r>
    </w:p>
    <w:p w14:paraId="08A4C034"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Feng, M., &amp; Li, Y. (2022). Predictive maintenance decision making based on reinforcement learning in multistage production systems. </w:t>
      </w:r>
      <w:r w:rsidRPr="00D95A6F">
        <w:rPr>
          <w:rFonts w:ascii="Times New Roman" w:hAnsi="Times New Roman"/>
          <w:i/>
          <w:iCs/>
          <w:sz w:val="24"/>
          <w:szCs w:val="24"/>
          <w:shd w:val="clear" w:color="auto" w:fill="FFFFFF"/>
        </w:rPr>
        <w:t>IEEE Access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10</w:t>
      </w:r>
      <w:r w:rsidRPr="00D95A6F">
        <w:rPr>
          <w:rFonts w:ascii="Times New Roman" w:hAnsi="Times New Roman"/>
          <w:sz w:val="24"/>
          <w:szCs w:val="24"/>
          <w:shd w:val="clear" w:color="auto" w:fill="FFFFFF"/>
        </w:rPr>
        <w:t>, 18910-18921.</w:t>
      </w:r>
    </w:p>
    <w:p w14:paraId="336E426A" w14:textId="77777777" w:rsidR="00CF165B" w:rsidRPr="00D95A6F" w:rsidRDefault="00CF165B" w:rsidP="00CF165B">
      <w:pPr>
        <w:spacing w:line="276" w:lineRule="auto"/>
        <w:ind w:left="360" w:hanging="720"/>
        <w:rPr>
          <w:rFonts w:ascii="Times New Roman" w:hAnsi="Times New Roman"/>
          <w:i/>
          <w:iCs/>
          <w:sz w:val="24"/>
          <w:szCs w:val="24"/>
        </w:rPr>
      </w:pPr>
      <w:r w:rsidRPr="00D95A6F">
        <w:rPr>
          <w:rFonts w:ascii="Times New Roman" w:hAnsi="Times New Roman"/>
          <w:sz w:val="24"/>
          <w:szCs w:val="24"/>
          <w:shd w:val="clear" w:color="auto" w:fill="FFFFFF"/>
        </w:rPr>
        <w:t xml:space="preserve">George-Williams, H. (2018). Efficient Reliability Modelling &amp; Analysis of Complex Systems with Application to Nuclear Power Plant Safety. </w:t>
      </w:r>
      <w:r w:rsidRPr="00D95A6F">
        <w:rPr>
          <w:rFonts w:ascii="Times New Roman" w:hAnsi="Times New Roman"/>
          <w:i/>
          <w:iCs/>
          <w:sz w:val="24"/>
          <w:szCs w:val="24"/>
          <w:shd w:val="clear" w:color="auto" w:fill="FFFFFF"/>
        </w:rPr>
        <w:t>The University of Liverpool (United Kingdom).</w:t>
      </w:r>
    </w:p>
    <w:p w14:paraId="27F6A6D7" w14:textId="77777777" w:rsidR="00CF165B" w:rsidRPr="00D95A6F" w:rsidRDefault="00CF165B" w:rsidP="00CF165B">
      <w:pPr>
        <w:spacing w:line="276" w:lineRule="auto"/>
        <w:ind w:left="360" w:hanging="720"/>
        <w:rPr>
          <w:rFonts w:ascii="Times New Roman" w:hAnsi="Times New Roman"/>
          <w:sz w:val="24"/>
          <w:szCs w:val="24"/>
        </w:rPr>
      </w:pPr>
      <w:bookmarkStart w:id="6" w:name="_Hlk221627865"/>
      <w:r w:rsidRPr="00D95A6F">
        <w:rPr>
          <w:rFonts w:ascii="Times New Roman" w:hAnsi="Times New Roman"/>
          <w:sz w:val="24"/>
          <w:szCs w:val="24"/>
          <w:shd w:val="clear" w:color="auto" w:fill="FFFFFF"/>
        </w:rPr>
        <w:t>Haimes</w:t>
      </w:r>
      <w:bookmarkEnd w:id="6"/>
      <w:r w:rsidRPr="00D95A6F">
        <w:rPr>
          <w:rFonts w:ascii="Times New Roman" w:hAnsi="Times New Roman"/>
          <w:sz w:val="24"/>
          <w:szCs w:val="24"/>
          <w:shd w:val="clear" w:color="auto" w:fill="FFFFFF"/>
        </w:rPr>
        <w:t>, Y. Y. (2018). Risk modeling of interdependent complex systems of systems: Theory and practice. </w:t>
      </w:r>
      <w:r w:rsidRPr="00D95A6F">
        <w:rPr>
          <w:rFonts w:ascii="Times New Roman" w:hAnsi="Times New Roman"/>
          <w:i/>
          <w:iCs/>
          <w:sz w:val="24"/>
          <w:szCs w:val="24"/>
          <w:shd w:val="clear" w:color="auto" w:fill="FFFFFF"/>
        </w:rPr>
        <w:t>Risk analysis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38</w:t>
      </w:r>
      <w:r w:rsidRPr="00D95A6F">
        <w:rPr>
          <w:rFonts w:ascii="Times New Roman" w:hAnsi="Times New Roman"/>
          <w:sz w:val="24"/>
          <w:szCs w:val="24"/>
          <w:shd w:val="clear" w:color="auto" w:fill="FFFFFF"/>
        </w:rPr>
        <w:t>(1), 84-98.</w:t>
      </w:r>
    </w:p>
    <w:p w14:paraId="3C6B40C6" w14:textId="77777777" w:rsidR="00CF165B" w:rsidRPr="00D95A6F" w:rsidRDefault="00CF165B" w:rsidP="00CF165B">
      <w:pPr>
        <w:spacing w:line="276" w:lineRule="auto"/>
        <w:ind w:left="360" w:hanging="720"/>
        <w:rPr>
          <w:rFonts w:ascii="Times New Roman" w:hAnsi="Times New Roman"/>
          <w:sz w:val="24"/>
          <w:szCs w:val="24"/>
        </w:rPr>
      </w:pPr>
      <w:proofErr w:type="spellStart"/>
      <w:r w:rsidRPr="00D95A6F">
        <w:rPr>
          <w:rFonts w:ascii="Times New Roman" w:hAnsi="Times New Roman"/>
          <w:sz w:val="24"/>
          <w:szCs w:val="24"/>
          <w:shd w:val="clear" w:color="auto" w:fill="FFFFFF"/>
        </w:rPr>
        <w:t>Hoseyni</w:t>
      </w:r>
      <w:proofErr w:type="spellEnd"/>
      <w:r w:rsidRPr="00D95A6F">
        <w:rPr>
          <w:rFonts w:ascii="Times New Roman" w:hAnsi="Times New Roman"/>
          <w:sz w:val="24"/>
          <w:szCs w:val="24"/>
          <w:shd w:val="clear" w:color="auto" w:fill="FFFFFF"/>
        </w:rPr>
        <w:t xml:space="preserve">, S. M. (2020). Maintenance management by condition-based PRA with </w:t>
      </w:r>
      <w:proofErr w:type="spellStart"/>
      <w:r w:rsidRPr="00D95A6F">
        <w:rPr>
          <w:rFonts w:ascii="Times New Roman" w:hAnsi="Times New Roman"/>
          <w:sz w:val="24"/>
          <w:szCs w:val="24"/>
          <w:shd w:val="clear" w:color="auto" w:fill="FFFFFF"/>
        </w:rPr>
        <w:t>VoI</w:t>
      </w:r>
      <w:proofErr w:type="spellEnd"/>
      <w:r w:rsidRPr="00D95A6F">
        <w:rPr>
          <w:rFonts w:ascii="Times New Roman" w:hAnsi="Times New Roman"/>
          <w:sz w:val="24"/>
          <w:szCs w:val="24"/>
          <w:shd w:val="clear" w:color="auto" w:fill="FFFFFF"/>
        </w:rPr>
        <w:t>-based optimal condition monitoring and data acquisition.</w:t>
      </w:r>
    </w:p>
    <w:p w14:paraId="79A0CE62" w14:textId="77777777" w:rsidR="00CF165B" w:rsidRPr="00D95A6F" w:rsidRDefault="00CF165B" w:rsidP="00CF165B">
      <w:pPr>
        <w:spacing w:line="276" w:lineRule="auto"/>
        <w:ind w:left="360" w:hanging="720"/>
        <w:rPr>
          <w:rFonts w:ascii="Times New Roman" w:hAnsi="Times New Roman"/>
          <w:sz w:val="24"/>
          <w:szCs w:val="24"/>
        </w:rPr>
      </w:pPr>
      <w:proofErr w:type="spellStart"/>
      <w:r w:rsidRPr="00D95A6F">
        <w:rPr>
          <w:rFonts w:ascii="Times New Roman" w:hAnsi="Times New Roman"/>
          <w:sz w:val="24"/>
          <w:szCs w:val="24"/>
          <w:shd w:val="clear" w:color="auto" w:fill="FFFFFF"/>
        </w:rPr>
        <w:t>Hoseyni</w:t>
      </w:r>
      <w:proofErr w:type="spellEnd"/>
      <w:r w:rsidRPr="00D95A6F">
        <w:rPr>
          <w:rFonts w:ascii="Times New Roman" w:hAnsi="Times New Roman"/>
          <w:sz w:val="24"/>
          <w:szCs w:val="24"/>
          <w:shd w:val="clear" w:color="auto" w:fill="FFFFFF"/>
        </w:rPr>
        <w:t>, S. M., Di Maio, F., &amp; Zio, E. (2019). Condition-based probabilistic safety assessment for maintenance decision making regarding a nuclear power plant steam generator undergoing multiple degradation mechanisms. </w:t>
      </w:r>
      <w:r w:rsidRPr="00D95A6F">
        <w:rPr>
          <w:rFonts w:ascii="Times New Roman" w:hAnsi="Times New Roman"/>
          <w:i/>
          <w:iCs/>
          <w:sz w:val="24"/>
          <w:szCs w:val="24"/>
          <w:shd w:val="clear" w:color="auto" w:fill="FFFFFF"/>
        </w:rPr>
        <w:t>Reliability Engineering &amp; System Safety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191</w:t>
      </w:r>
      <w:r w:rsidRPr="00D95A6F">
        <w:rPr>
          <w:rFonts w:ascii="Times New Roman" w:hAnsi="Times New Roman"/>
          <w:sz w:val="24"/>
          <w:szCs w:val="24"/>
          <w:shd w:val="clear" w:color="auto" w:fill="FFFFFF"/>
        </w:rPr>
        <w:t>, 106583.</w:t>
      </w:r>
    </w:p>
    <w:p w14:paraId="291A795E"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Jang, D. J., &amp; Shim, H. J. (2020). Development of a regulatory framework for risk-informed decision making. </w:t>
      </w:r>
      <w:r w:rsidRPr="00D95A6F">
        <w:rPr>
          <w:rFonts w:ascii="Times New Roman" w:hAnsi="Times New Roman"/>
          <w:i/>
          <w:iCs/>
          <w:sz w:val="24"/>
          <w:szCs w:val="24"/>
          <w:shd w:val="clear" w:color="auto" w:fill="FFFFFF"/>
        </w:rPr>
        <w:t>Nuclear Engineering and Technology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52</w:t>
      </w:r>
      <w:r w:rsidRPr="00D95A6F">
        <w:rPr>
          <w:rFonts w:ascii="Times New Roman" w:hAnsi="Times New Roman"/>
          <w:sz w:val="24"/>
          <w:szCs w:val="24"/>
          <w:shd w:val="clear" w:color="auto" w:fill="FFFFFF"/>
        </w:rPr>
        <w:t>(1), 69-77.</w:t>
      </w:r>
    </w:p>
    <w:p w14:paraId="77AED70C" w14:textId="77777777" w:rsidR="00CF165B" w:rsidRPr="00D95A6F" w:rsidRDefault="00CF165B" w:rsidP="00CF165B">
      <w:pPr>
        <w:spacing w:line="276" w:lineRule="auto"/>
        <w:ind w:left="360" w:hanging="720"/>
        <w:rPr>
          <w:rFonts w:ascii="Times New Roman" w:hAnsi="Times New Roman"/>
          <w:sz w:val="24"/>
          <w:szCs w:val="24"/>
        </w:rPr>
      </w:pPr>
      <w:proofErr w:type="spellStart"/>
      <w:r w:rsidRPr="00D95A6F">
        <w:rPr>
          <w:rFonts w:ascii="Times New Roman" w:hAnsi="Times New Roman"/>
          <w:sz w:val="24"/>
          <w:szCs w:val="24"/>
          <w:shd w:val="clear" w:color="auto" w:fill="FFFFFF"/>
        </w:rPr>
        <w:t>Karanki</w:t>
      </w:r>
      <w:proofErr w:type="spellEnd"/>
      <w:r w:rsidRPr="00D95A6F">
        <w:rPr>
          <w:rFonts w:ascii="Times New Roman" w:hAnsi="Times New Roman"/>
          <w:sz w:val="24"/>
          <w:szCs w:val="24"/>
          <w:shd w:val="clear" w:color="auto" w:fill="FFFFFF"/>
        </w:rPr>
        <w:t>, D. R., Vinod, G., &amp; Ajit, S. (Eds.). (2019). </w:t>
      </w:r>
      <w:r w:rsidRPr="00D95A6F">
        <w:rPr>
          <w:rFonts w:ascii="Times New Roman" w:hAnsi="Times New Roman"/>
          <w:i/>
          <w:iCs/>
          <w:sz w:val="24"/>
          <w:szCs w:val="24"/>
          <w:shd w:val="clear" w:color="auto" w:fill="FFFFFF"/>
        </w:rPr>
        <w:t>Advances in RAMS Engineering: In Honor of Professor Ajit Kumar Verma on His 60th Birthday</w:t>
      </w:r>
      <w:r w:rsidRPr="00D95A6F">
        <w:rPr>
          <w:rFonts w:ascii="Times New Roman" w:hAnsi="Times New Roman"/>
          <w:sz w:val="24"/>
          <w:szCs w:val="24"/>
          <w:shd w:val="clear" w:color="auto" w:fill="FFFFFF"/>
        </w:rPr>
        <w:t>. Springer Nature.</w:t>
      </w:r>
    </w:p>
    <w:p w14:paraId="097CE7A4"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 xml:space="preserve">Li, H., Peng, W., </w:t>
      </w:r>
      <w:proofErr w:type="spellStart"/>
      <w:r w:rsidRPr="00D95A6F">
        <w:rPr>
          <w:rFonts w:ascii="Times New Roman" w:hAnsi="Times New Roman"/>
          <w:sz w:val="24"/>
          <w:szCs w:val="24"/>
          <w:shd w:val="clear" w:color="auto" w:fill="FFFFFF"/>
        </w:rPr>
        <w:t>Adumene</w:t>
      </w:r>
      <w:proofErr w:type="spellEnd"/>
      <w:r w:rsidRPr="00D95A6F">
        <w:rPr>
          <w:rFonts w:ascii="Times New Roman" w:hAnsi="Times New Roman"/>
          <w:sz w:val="24"/>
          <w:szCs w:val="24"/>
          <w:shd w:val="clear" w:color="auto" w:fill="FFFFFF"/>
        </w:rPr>
        <w:t>, S., &amp; Yazdi, M. (2023). </w:t>
      </w:r>
      <w:r w:rsidRPr="00D95A6F">
        <w:rPr>
          <w:rFonts w:ascii="Times New Roman" w:hAnsi="Times New Roman"/>
          <w:i/>
          <w:iCs/>
          <w:sz w:val="24"/>
          <w:szCs w:val="24"/>
          <w:shd w:val="clear" w:color="auto" w:fill="FFFFFF"/>
        </w:rPr>
        <w:t>Intelligent reliability and maintainability of energy infrastructure assets</w:t>
      </w:r>
      <w:r w:rsidRPr="00D95A6F">
        <w:rPr>
          <w:rFonts w:ascii="Times New Roman" w:hAnsi="Times New Roman"/>
          <w:sz w:val="24"/>
          <w:szCs w:val="24"/>
          <w:shd w:val="clear" w:color="auto" w:fill="FFFFFF"/>
        </w:rPr>
        <w:t> (Vol. 473, pp. 1-148). Springer.</w:t>
      </w:r>
    </w:p>
    <w:p w14:paraId="17CF30DC" w14:textId="77777777" w:rsidR="00CF165B" w:rsidRPr="00D95A6F" w:rsidRDefault="00CF165B" w:rsidP="00CF165B">
      <w:pPr>
        <w:spacing w:line="276" w:lineRule="auto"/>
        <w:ind w:left="360" w:hanging="720"/>
        <w:rPr>
          <w:rFonts w:ascii="Times New Roman" w:hAnsi="Times New Roman"/>
          <w:sz w:val="24"/>
          <w:szCs w:val="24"/>
        </w:rPr>
      </w:pPr>
      <w:bookmarkStart w:id="7" w:name="_Hlk221866538"/>
      <w:r w:rsidRPr="00D95A6F">
        <w:rPr>
          <w:rFonts w:ascii="Times New Roman" w:hAnsi="Times New Roman"/>
          <w:sz w:val="24"/>
          <w:szCs w:val="24"/>
          <w:shd w:val="clear" w:color="auto" w:fill="FFFFFF"/>
        </w:rPr>
        <w:t>Martinod</w:t>
      </w:r>
      <w:bookmarkEnd w:id="7"/>
      <w:r w:rsidRPr="00D95A6F">
        <w:rPr>
          <w:rFonts w:ascii="Times New Roman" w:hAnsi="Times New Roman"/>
          <w:sz w:val="24"/>
          <w:szCs w:val="24"/>
          <w:shd w:val="clear" w:color="auto" w:fill="FFFFFF"/>
        </w:rPr>
        <w:t xml:space="preserve">, R. M., </w:t>
      </w:r>
      <w:proofErr w:type="spellStart"/>
      <w:r w:rsidRPr="00D95A6F">
        <w:rPr>
          <w:rFonts w:ascii="Times New Roman" w:hAnsi="Times New Roman"/>
          <w:sz w:val="24"/>
          <w:szCs w:val="24"/>
          <w:shd w:val="clear" w:color="auto" w:fill="FFFFFF"/>
        </w:rPr>
        <w:t>Bistorin</w:t>
      </w:r>
      <w:proofErr w:type="spellEnd"/>
      <w:r w:rsidRPr="00D95A6F">
        <w:rPr>
          <w:rFonts w:ascii="Times New Roman" w:hAnsi="Times New Roman"/>
          <w:sz w:val="24"/>
          <w:szCs w:val="24"/>
          <w:shd w:val="clear" w:color="auto" w:fill="FFFFFF"/>
        </w:rPr>
        <w:t xml:space="preserve">, O., Castañeda, L. F., &amp; </w:t>
      </w:r>
      <w:proofErr w:type="spellStart"/>
      <w:r w:rsidRPr="00D95A6F">
        <w:rPr>
          <w:rFonts w:ascii="Times New Roman" w:hAnsi="Times New Roman"/>
          <w:sz w:val="24"/>
          <w:szCs w:val="24"/>
          <w:shd w:val="clear" w:color="auto" w:fill="FFFFFF"/>
        </w:rPr>
        <w:t>Rezg</w:t>
      </w:r>
      <w:proofErr w:type="spellEnd"/>
      <w:r w:rsidRPr="00D95A6F">
        <w:rPr>
          <w:rFonts w:ascii="Times New Roman" w:hAnsi="Times New Roman"/>
          <w:sz w:val="24"/>
          <w:szCs w:val="24"/>
          <w:shd w:val="clear" w:color="auto" w:fill="FFFFFF"/>
        </w:rPr>
        <w:t xml:space="preserve">, N. (2018). Maintenance policy </w:t>
      </w:r>
      <w:proofErr w:type="spellStart"/>
      <w:r w:rsidRPr="00D95A6F">
        <w:rPr>
          <w:rFonts w:ascii="Times New Roman" w:hAnsi="Times New Roman"/>
          <w:sz w:val="24"/>
          <w:szCs w:val="24"/>
          <w:shd w:val="clear" w:color="auto" w:fill="FFFFFF"/>
        </w:rPr>
        <w:t>optimisation</w:t>
      </w:r>
      <w:proofErr w:type="spellEnd"/>
      <w:r w:rsidRPr="00D95A6F">
        <w:rPr>
          <w:rFonts w:ascii="Times New Roman" w:hAnsi="Times New Roman"/>
          <w:sz w:val="24"/>
          <w:szCs w:val="24"/>
          <w:shd w:val="clear" w:color="auto" w:fill="FFFFFF"/>
        </w:rPr>
        <w:t xml:space="preserve"> for multi-component systems considering degradation of components and imperfect maintenance actions. </w:t>
      </w:r>
      <w:r w:rsidRPr="00D95A6F">
        <w:rPr>
          <w:rFonts w:ascii="Times New Roman" w:hAnsi="Times New Roman"/>
          <w:i/>
          <w:iCs/>
          <w:sz w:val="24"/>
          <w:szCs w:val="24"/>
          <w:shd w:val="clear" w:color="auto" w:fill="FFFFFF"/>
        </w:rPr>
        <w:t>Computers &amp; Industrial Engineering</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124</w:t>
      </w:r>
      <w:r w:rsidRPr="00D95A6F">
        <w:rPr>
          <w:rFonts w:ascii="Times New Roman" w:hAnsi="Times New Roman"/>
          <w:sz w:val="24"/>
          <w:szCs w:val="24"/>
          <w:shd w:val="clear" w:color="auto" w:fill="FFFFFF"/>
        </w:rPr>
        <w:t>, 100-112.</w:t>
      </w:r>
    </w:p>
    <w:p w14:paraId="029216D5" w14:textId="77777777" w:rsidR="00CF165B" w:rsidRPr="00D95A6F" w:rsidRDefault="00CF165B" w:rsidP="00CF165B">
      <w:pPr>
        <w:spacing w:line="276" w:lineRule="auto"/>
        <w:ind w:left="360" w:hanging="720"/>
        <w:rPr>
          <w:rFonts w:ascii="Times New Roman" w:hAnsi="Times New Roman"/>
          <w:sz w:val="24"/>
          <w:szCs w:val="24"/>
        </w:rPr>
      </w:pPr>
      <w:proofErr w:type="spellStart"/>
      <w:r w:rsidRPr="00D95A6F">
        <w:rPr>
          <w:rFonts w:ascii="Times New Roman" w:hAnsi="Times New Roman"/>
          <w:sz w:val="24"/>
          <w:szCs w:val="24"/>
          <w:shd w:val="clear" w:color="auto" w:fill="FFFFFF"/>
        </w:rPr>
        <w:t>Mohammadhasani</w:t>
      </w:r>
      <w:proofErr w:type="spellEnd"/>
      <w:r w:rsidRPr="00D95A6F">
        <w:rPr>
          <w:rFonts w:ascii="Times New Roman" w:hAnsi="Times New Roman"/>
          <w:sz w:val="24"/>
          <w:szCs w:val="24"/>
          <w:shd w:val="clear" w:color="auto" w:fill="FFFFFF"/>
        </w:rPr>
        <w:t xml:space="preserve">, F., &amp; </w:t>
      </w:r>
      <w:proofErr w:type="spellStart"/>
      <w:r w:rsidRPr="00D95A6F">
        <w:rPr>
          <w:rFonts w:ascii="Times New Roman" w:hAnsi="Times New Roman"/>
          <w:sz w:val="24"/>
          <w:szCs w:val="24"/>
          <w:shd w:val="clear" w:color="auto" w:fill="FFFFFF"/>
        </w:rPr>
        <w:t>Pirouzmand</w:t>
      </w:r>
      <w:proofErr w:type="spellEnd"/>
      <w:r w:rsidRPr="00D95A6F">
        <w:rPr>
          <w:rFonts w:ascii="Times New Roman" w:hAnsi="Times New Roman"/>
          <w:sz w:val="24"/>
          <w:szCs w:val="24"/>
          <w:shd w:val="clear" w:color="auto" w:fill="FFFFFF"/>
        </w:rPr>
        <w:t>, A. (2021). Multi-state risk-based maintenance analysis of redundant safety systems using the Markov model and fault tree method. </w:t>
      </w:r>
      <w:r w:rsidRPr="00D95A6F">
        <w:rPr>
          <w:rFonts w:ascii="Times New Roman" w:hAnsi="Times New Roman"/>
          <w:i/>
          <w:iCs/>
          <w:sz w:val="24"/>
          <w:szCs w:val="24"/>
          <w:shd w:val="clear" w:color="auto" w:fill="FFFFFF"/>
        </w:rPr>
        <w:t>Frontiers in Energy Research</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9</w:t>
      </w:r>
      <w:r w:rsidRPr="00D95A6F">
        <w:rPr>
          <w:rFonts w:ascii="Times New Roman" w:hAnsi="Times New Roman"/>
          <w:sz w:val="24"/>
          <w:szCs w:val="24"/>
          <w:shd w:val="clear" w:color="auto" w:fill="FFFFFF"/>
        </w:rPr>
        <w:t>, 685634.</w:t>
      </w:r>
    </w:p>
    <w:p w14:paraId="3982919E" w14:textId="77777777" w:rsidR="00CF165B" w:rsidRPr="00D95A6F" w:rsidRDefault="00CF165B" w:rsidP="00CF165B">
      <w:pPr>
        <w:spacing w:line="276" w:lineRule="auto"/>
        <w:ind w:left="360" w:hanging="720"/>
        <w:rPr>
          <w:rFonts w:ascii="Times New Roman" w:hAnsi="Times New Roman"/>
          <w:sz w:val="24"/>
          <w:szCs w:val="24"/>
        </w:rPr>
      </w:pPr>
      <w:proofErr w:type="spellStart"/>
      <w:r w:rsidRPr="00D95A6F">
        <w:rPr>
          <w:rFonts w:ascii="Times New Roman" w:hAnsi="Times New Roman"/>
          <w:sz w:val="24"/>
          <w:szCs w:val="24"/>
          <w:shd w:val="clear" w:color="auto" w:fill="FFFFFF"/>
        </w:rPr>
        <w:t>Moinian</w:t>
      </w:r>
      <w:proofErr w:type="spellEnd"/>
      <w:r w:rsidRPr="00D95A6F">
        <w:rPr>
          <w:rFonts w:ascii="Times New Roman" w:hAnsi="Times New Roman"/>
          <w:sz w:val="24"/>
          <w:szCs w:val="24"/>
          <w:shd w:val="clear" w:color="auto" w:fill="FFFFFF"/>
        </w:rPr>
        <w:t>, F., &amp; Ameli, M. T. (2022). A reliability-based approach for integrated generation and transmission maintenance coordination in restructured power systems. </w:t>
      </w:r>
      <w:r w:rsidRPr="00D95A6F">
        <w:rPr>
          <w:rFonts w:ascii="Times New Roman" w:hAnsi="Times New Roman"/>
          <w:i/>
          <w:iCs/>
          <w:sz w:val="24"/>
          <w:szCs w:val="24"/>
          <w:shd w:val="clear" w:color="auto" w:fill="FFFFFF"/>
        </w:rPr>
        <w:t>Electric Power Systems Research</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206</w:t>
      </w:r>
      <w:r w:rsidRPr="00D95A6F">
        <w:rPr>
          <w:rFonts w:ascii="Times New Roman" w:hAnsi="Times New Roman"/>
          <w:sz w:val="24"/>
          <w:szCs w:val="24"/>
          <w:shd w:val="clear" w:color="auto" w:fill="FFFFFF"/>
        </w:rPr>
        <w:t>, 107737.</w:t>
      </w:r>
    </w:p>
    <w:p w14:paraId="611922A1" w14:textId="77777777" w:rsidR="00CF165B" w:rsidRPr="00D95A6F" w:rsidRDefault="00CF165B" w:rsidP="00CF165B">
      <w:pPr>
        <w:spacing w:line="276" w:lineRule="auto"/>
        <w:ind w:left="360" w:hanging="720"/>
        <w:rPr>
          <w:rFonts w:ascii="Times New Roman" w:hAnsi="Times New Roman"/>
          <w:sz w:val="24"/>
          <w:szCs w:val="24"/>
        </w:rPr>
      </w:pPr>
      <w:bookmarkStart w:id="8" w:name="_Hlk221865381"/>
      <w:r w:rsidRPr="00D95A6F">
        <w:rPr>
          <w:rFonts w:ascii="Times New Roman" w:hAnsi="Times New Roman"/>
          <w:sz w:val="24"/>
          <w:szCs w:val="24"/>
          <w:shd w:val="clear" w:color="auto" w:fill="FFFFFF"/>
        </w:rPr>
        <w:t>Moradi</w:t>
      </w:r>
      <w:bookmarkEnd w:id="8"/>
      <w:r w:rsidRPr="00D95A6F">
        <w:rPr>
          <w:rFonts w:ascii="Times New Roman" w:hAnsi="Times New Roman"/>
          <w:sz w:val="24"/>
          <w:szCs w:val="24"/>
          <w:shd w:val="clear" w:color="auto" w:fill="FFFFFF"/>
        </w:rPr>
        <w:t xml:space="preserve">, R., &amp; </w:t>
      </w:r>
      <w:proofErr w:type="spellStart"/>
      <w:r w:rsidRPr="00D95A6F">
        <w:rPr>
          <w:rFonts w:ascii="Times New Roman" w:hAnsi="Times New Roman"/>
          <w:sz w:val="24"/>
          <w:szCs w:val="24"/>
          <w:shd w:val="clear" w:color="auto" w:fill="FFFFFF"/>
        </w:rPr>
        <w:t>Groth</w:t>
      </w:r>
      <w:proofErr w:type="spellEnd"/>
      <w:r w:rsidRPr="00D95A6F">
        <w:rPr>
          <w:rFonts w:ascii="Times New Roman" w:hAnsi="Times New Roman"/>
          <w:sz w:val="24"/>
          <w:szCs w:val="24"/>
          <w:shd w:val="clear" w:color="auto" w:fill="FFFFFF"/>
        </w:rPr>
        <w:t>, K. M. (2020). Modernizing risk assessment: A systematic integration of PRA and PHM techniques. </w:t>
      </w:r>
      <w:r w:rsidRPr="00D95A6F">
        <w:rPr>
          <w:rFonts w:ascii="Times New Roman" w:hAnsi="Times New Roman"/>
          <w:i/>
          <w:iCs/>
          <w:sz w:val="24"/>
          <w:szCs w:val="24"/>
          <w:shd w:val="clear" w:color="auto" w:fill="FFFFFF"/>
        </w:rPr>
        <w:t>Reliability Engineering &amp; System Safety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204</w:t>
      </w:r>
      <w:r w:rsidRPr="00D95A6F">
        <w:rPr>
          <w:rFonts w:ascii="Times New Roman" w:hAnsi="Times New Roman"/>
          <w:sz w:val="24"/>
          <w:szCs w:val="24"/>
          <w:shd w:val="clear" w:color="auto" w:fill="FFFFFF"/>
        </w:rPr>
        <w:t>, 107194.</w:t>
      </w:r>
    </w:p>
    <w:p w14:paraId="1C526F3B"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 xml:space="preserve">Nguyen, V. T., Do, P., </w:t>
      </w:r>
      <w:proofErr w:type="spellStart"/>
      <w:r w:rsidRPr="00D95A6F">
        <w:rPr>
          <w:rFonts w:ascii="Times New Roman" w:hAnsi="Times New Roman"/>
          <w:sz w:val="24"/>
          <w:szCs w:val="24"/>
          <w:shd w:val="clear" w:color="auto" w:fill="FFFFFF"/>
        </w:rPr>
        <w:t>Vosin</w:t>
      </w:r>
      <w:proofErr w:type="spellEnd"/>
      <w:r w:rsidRPr="00D95A6F">
        <w:rPr>
          <w:rFonts w:ascii="Times New Roman" w:hAnsi="Times New Roman"/>
          <w:sz w:val="24"/>
          <w:szCs w:val="24"/>
          <w:shd w:val="clear" w:color="auto" w:fill="FFFFFF"/>
        </w:rPr>
        <w:t xml:space="preserve">, A., &amp; </w:t>
      </w:r>
      <w:proofErr w:type="spellStart"/>
      <w:r w:rsidRPr="00D95A6F">
        <w:rPr>
          <w:rFonts w:ascii="Times New Roman" w:hAnsi="Times New Roman"/>
          <w:sz w:val="24"/>
          <w:szCs w:val="24"/>
          <w:shd w:val="clear" w:color="auto" w:fill="FFFFFF"/>
        </w:rPr>
        <w:t>Iung</w:t>
      </w:r>
      <w:proofErr w:type="spellEnd"/>
      <w:r w:rsidRPr="00D95A6F">
        <w:rPr>
          <w:rFonts w:ascii="Times New Roman" w:hAnsi="Times New Roman"/>
          <w:sz w:val="24"/>
          <w:szCs w:val="24"/>
          <w:shd w:val="clear" w:color="auto" w:fill="FFFFFF"/>
        </w:rPr>
        <w:t>, B. (2022). Artificial-intelligence-based maintenance decision-making and optimization for multi-state component systems. </w:t>
      </w:r>
      <w:r w:rsidRPr="00D95A6F">
        <w:rPr>
          <w:rFonts w:ascii="Times New Roman" w:hAnsi="Times New Roman"/>
          <w:i/>
          <w:iCs/>
          <w:sz w:val="24"/>
          <w:szCs w:val="24"/>
          <w:shd w:val="clear" w:color="auto" w:fill="FFFFFF"/>
        </w:rPr>
        <w:t>Reliability Engineering &amp; System Safety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228</w:t>
      </w:r>
      <w:r w:rsidRPr="00D95A6F">
        <w:rPr>
          <w:rFonts w:ascii="Times New Roman" w:hAnsi="Times New Roman"/>
          <w:sz w:val="24"/>
          <w:szCs w:val="24"/>
          <w:shd w:val="clear" w:color="auto" w:fill="FFFFFF"/>
        </w:rPr>
        <w:t>, 108757.</w:t>
      </w:r>
    </w:p>
    <w:p w14:paraId="2181DDC3" w14:textId="77777777" w:rsidR="00CF165B" w:rsidRPr="00CF165B" w:rsidRDefault="00CF165B" w:rsidP="00CF165B">
      <w:pPr>
        <w:pStyle w:val="NormalWeb"/>
        <w:spacing w:line="276" w:lineRule="auto"/>
        <w:ind w:left="360" w:hanging="720"/>
        <w:rPr>
          <w:rFonts w:eastAsiaTheme="minorHAnsi"/>
          <w:color w:val="000000" w:themeColor="text1"/>
          <w:kern w:val="2"/>
          <w:lang w:eastAsia="en-US"/>
        </w:rPr>
      </w:pPr>
      <w:proofErr w:type="spellStart"/>
      <w:r w:rsidRPr="00CF165B">
        <w:rPr>
          <w:rFonts w:eastAsiaTheme="minorHAnsi"/>
          <w:color w:val="000000" w:themeColor="text1"/>
          <w:kern w:val="2"/>
          <w:lang w:eastAsia="en-US"/>
        </w:rPr>
        <w:t>Obidiagha</w:t>
      </w:r>
      <w:proofErr w:type="spellEnd"/>
      <w:r w:rsidRPr="00CF165B">
        <w:rPr>
          <w:rFonts w:eastAsiaTheme="minorHAnsi"/>
          <w:color w:val="000000" w:themeColor="text1"/>
          <w:kern w:val="2"/>
          <w:lang w:eastAsia="en-US"/>
        </w:rPr>
        <w:t xml:space="preserve">, C., &amp; Antwi, B. K. (2026). Standardization of supply chain monitoring tools for small and medium manufacturing enterprises. </w:t>
      </w:r>
      <w:proofErr w:type="spellStart"/>
      <w:r w:rsidRPr="00CF165B">
        <w:rPr>
          <w:rFonts w:eastAsiaTheme="minorHAnsi"/>
          <w:color w:val="000000" w:themeColor="text1"/>
          <w:kern w:val="2"/>
          <w:lang w:eastAsia="en-US"/>
        </w:rPr>
        <w:t>Sarcouncil</w:t>
      </w:r>
      <w:proofErr w:type="spellEnd"/>
      <w:r w:rsidRPr="00CF165B">
        <w:rPr>
          <w:rFonts w:eastAsiaTheme="minorHAnsi"/>
          <w:color w:val="000000" w:themeColor="text1"/>
          <w:kern w:val="2"/>
          <w:lang w:eastAsia="en-US"/>
        </w:rPr>
        <w:t xml:space="preserve"> Journal of Economics and Business Management, 5(1), 1–15.</w:t>
      </w:r>
    </w:p>
    <w:p w14:paraId="0E254594" w14:textId="77777777" w:rsidR="00CF165B" w:rsidRPr="00D95A6F" w:rsidRDefault="00CF165B" w:rsidP="00CF165B">
      <w:pPr>
        <w:spacing w:line="276" w:lineRule="auto"/>
        <w:ind w:left="360" w:hanging="720"/>
        <w:rPr>
          <w:rFonts w:ascii="Times New Roman" w:hAnsi="Times New Roman"/>
          <w:sz w:val="24"/>
          <w:szCs w:val="24"/>
        </w:rPr>
      </w:pPr>
      <w:proofErr w:type="spellStart"/>
      <w:r w:rsidRPr="00D95A6F">
        <w:rPr>
          <w:rFonts w:ascii="Times New Roman" w:hAnsi="Times New Roman"/>
          <w:sz w:val="24"/>
          <w:szCs w:val="24"/>
          <w:shd w:val="clear" w:color="auto" w:fill="FFFFFF"/>
        </w:rPr>
        <w:t>Palakodeti</w:t>
      </w:r>
      <w:proofErr w:type="spellEnd"/>
      <w:r w:rsidRPr="00D95A6F">
        <w:rPr>
          <w:rFonts w:ascii="Times New Roman" w:hAnsi="Times New Roman"/>
          <w:sz w:val="24"/>
          <w:szCs w:val="24"/>
          <w:shd w:val="clear" w:color="auto" w:fill="FFFFFF"/>
        </w:rPr>
        <w:t>, S. R., Raju, P. K., &amp; Guo, H. (2020). A dynamic process for evaluating the reliability of fossil power plant assets. </w:t>
      </w:r>
      <w:r w:rsidRPr="00D95A6F">
        <w:rPr>
          <w:rFonts w:ascii="Times New Roman" w:hAnsi="Times New Roman"/>
          <w:i/>
          <w:iCs/>
          <w:sz w:val="24"/>
          <w:szCs w:val="24"/>
          <w:shd w:val="clear" w:color="auto" w:fill="FFFFFF"/>
        </w:rPr>
        <w:t>Engineering Reports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w:t>
      </w:r>
      <w:r w:rsidRPr="00D95A6F">
        <w:rPr>
          <w:rFonts w:ascii="Times New Roman" w:hAnsi="Times New Roman"/>
          <w:sz w:val="24"/>
          <w:szCs w:val="24"/>
          <w:shd w:val="clear" w:color="auto" w:fill="FFFFFF"/>
        </w:rPr>
        <w:t>(12), e12277.</w:t>
      </w:r>
    </w:p>
    <w:p w14:paraId="46EAFA09" w14:textId="77777777" w:rsidR="00CF165B" w:rsidRPr="00CF165B" w:rsidRDefault="00CF165B" w:rsidP="00CF165B">
      <w:pPr>
        <w:pStyle w:val="NormalWeb"/>
        <w:spacing w:line="276" w:lineRule="auto"/>
        <w:ind w:left="360" w:hanging="720"/>
        <w:rPr>
          <w:rFonts w:eastAsiaTheme="minorHAnsi"/>
          <w:color w:val="000000" w:themeColor="text1"/>
          <w:kern w:val="2"/>
          <w:lang w:eastAsia="en-US"/>
        </w:rPr>
      </w:pPr>
      <w:r w:rsidRPr="00CF165B">
        <w:rPr>
          <w:rFonts w:eastAsiaTheme="minorHAnsi"/>
          <w:color w:val="000000" w:themeColor="text1"/>
          <w:kern w:val="2"/>
          <w:lang w:eastAsia="en-US"/>
        </w:rPr>
        <w:t xml:space="preserve">Panful, B., </w:t>
      </w:r>
      <w:proofErr w:type="spellStart"/>
      <w:r w:rsidRPr="00CF165B">
        <w:rPr>
          <w:rFonts w:eastAsiaTheme="minorHAnsi"/>
          <w:color w:val="000000" w:themeColor="text1"/>
          <w:kern w:val="2"/>
          <w:lang w:eastAsia="en-US"/>
        </w:rPr>
        <w:t>Apaflo</w:t>
      </w:r>
      <w:proofErr w:type="spellEnd"/>
      <w:r w:rsidRPr="00CF165B">
        <w:rPr>
          <w:rFonts w:eastAsiaTheme="minorHAnsi"/>
          <w:color w:val="000000" w:themeColor="text1"/>
          <w:kern w:val="2"/>
          <w:lang w:eastAsia="en-US"/>
        </w:rPr>
        <w:t xml:space="preserve">, B., &amp; </w:t>
      </w:r>
      <w:proofErr w:type="spellStart"/>
      <w:r w:rsidRPr="00CF165B">
        <w:rPr>
          <w:rFonts w:eastAsiaTheme="minorHAnsi"/>
          <w:color w:val="000000" w:themeColor="text1"/>
          <w:kern w:val="2"/>
          <w:lang w:eastAsia="en-US"/>
        </w:rPr>
        <w:t>Hutchful</w:t>
      </w:r>
      <w:proofErr w:type="spellEnd"/>
      <w:r w:rsidRPr="00CF165B">
        <w:rPr>
          <w:rFonts w:eastAsiaTheme="minorHAnsi"/>
          <w:color w:val="000000" w:themeColor="text1"/>
          <w:kern w:val="2"/>
          <w:lang w:eastAsia="en-US"/>
        </w:rPr>
        <w:t>, N. (2025). Cyber-Physical Systems under threat: A case-study review of recent SCADA system attacks in the US utility sector. Journal of Engineering and Computer Sciences, 4(12), 104–117.</w:t>
      </w:r>
    </w:p>
    <w:p w14:paraId="3F86F8BF" w14:textId="77777777" w:rsidR="00CF165B" w:rsidRPr="00D95A6F" w:rsidRDefault="00CF165B" w:rsidP="00CF165B">
      <w:pPr>
        <w:spacing w:line="276" w:lineRule="auto"/>
        <w:ind w:left="360" w:hanging="720"/>
        <w:rPr>
          <w:rFonts w:ascii="Times New Roman" w:hAnsi="Times New Roman"/>
          <w:sz w:val="24"/>
          <w:szCs w:val="24"/>
        </w:rPr>
      </w:pPr>
      <w:proofErr w:type="spellStart"/>
      <w:r w:rsidRPr="00D95A6F">
        <w:rPr>
          <w:rFonts w:ascii="Times New Roman" w:hAnsi="Times New Roman"/>
          <w:sz w:val="24"/>
          <w:szCs w:val="24"/>
          <w:shd w:val="clear" w:color="auto" w:fill="FFFFFF"/>
        </w:rPr>
        <w:lastRenderedPageBreak/>
        <w:t>Parhizkar</w:t>
      </w:r>
      <w:proofErr w:type="spellEnd"/>
      <w:r w:rsidRPr="00D95A6F">
        <w:rPr>
          <w:rFonts w:ascii="Times New Roman" w:hAnsi="Times New Roman"/>
          <w:sz w:val="24"/>
          <w:szCs w:val="24"/>
          <w:shd w:val="clear" w:color="auto" w:fill="FFFFFF"/>
        </w:rPr>
        <w:t xml:space="preserve">, T., Utne, I. B., </w:t>
      </w:r>
      <w:proofErr w:type="spellStart"/>
      <w:r w:rsidRPr="00D95A6F">
        <w:rPr>
          <w:rFonts w:ascii="Times New Roman" w:hAnsi="Times New Roman"/>
          <w:sz w:val="24"/>
          <w:szCs w:val="24"/>
          <w:shd w:val="clear" w:color="auto" w:fill="FFFFFF"/>
        </w:rPr>
        <w:t>Vinnem</w:t>
      </w:r>
      <w:proofErr w:type="spellEnd"/>
      <w:r w:rsidRPr="00D95A6F">
        <w:rPr>
          <w:rFonts w:ascii="Times New Roman" w:hAnsi="Times New Roman"/>
          <w:sz w:val="24"/>
          <w:szCs w:val="24"/>
          <w:shd w:val="clear" w:color="auto" w:fill="FFFFFF"/>
        </w:rPr>
        <w:t>, J. E., &amp; Mosleh, A. (2021). Supervised dynamic probabilistic risk assessment of complex systems, part 2: Application to risk-informed decision making, practice and results. </w:t>
      </w:r>
      <w:r w:rsidRPr="00D95A6F">
        <w:rPr>
          <w:rFonts w:ascii="Times New Roman" w:hAnsi="Times New Roman"/>
          <w:i/>
          <w:iCs/>
          <w:sz w:val="24"/>
          <w:szCs w:val="24"/>
          <w:shd w:val="clear" w:color="auto" w:fill="FFFFFF"/>
        </w:rPr>
        <w:t>Reliability Engineering &amp; System Safety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208</w:t>
      </w:r>
      <w:r w:rsidRPr="00D95A6F">
        <w:rPr>
          <w:rFonts w:ascii="Times New Roman" w:hAnsi="Times New Roman"/>
          <w:sz w:val="24"/>
          <w:szCs w:val="24"/>
          <w:shd w:val="clear" w:color="auto" w:fill="FFFFFF"/>
        </w:rPr>
        <w:t>, 107392.</w:t>
      </w:r>
    </w:p>
    <w:p w14:paraId="38018A2F" w14:textId="77777777" w:rsidR="00CF165B" w:rsidRPr="00D95A6F" w:rsidRDefault="00CF165B" w:rsidP="00CF165B">
      <w:pPr>
        <w:spacing w:line="276" w:lineRule="auto"/>
        <w:ind w:left="360" w:hanging="720"/>
        <w:rPr>
          <w:rFonts w:ascii="Times New Roman" w:hAnsi="Times New Roman"/>
          <w:sz w:val="24"/>
          <w:szCs w:val="24"/>
        </w:rPr>
      </w:pPr>
      <w:proofErr w:type="spellStart"/>
      <w:r w:rsidRPr="00D95A6F">
        <w:rPr>
          <w:rFonts w:ascii="Times New Roman" w:hAnsi="Times New Roman"/>
          <w:sz w:val="24"/>
          <w:szCs w:val="24"/>
          <w:shd w:val="clear" w:color="auto" w:fill="FFFFFF"/>
        </w:rPr>
        <w:t>Rocchetta</w:t>
      </w:r>
      <w:proofErr w:type="spellEnd"/>
      <w:r w:rsidRPr="00D95A6F">
        <w:rPr>
          <w:rFonts w:ascii="Times New Roman" w:hAnsi="Times New Roman"/>
          <w:sz w:val="24"/>
          <w:szCs w:val="24"/>
          <w:shd w:val="clear" w:color="auto" w:fill="FFFFFF"/>
        </w:rPr>
        <w:t>, R., Belle, A., &amp; Blazhe, G. (2025). Towards Risk-Informed Transmission Grid Outage Planning. In </w:t>
      </w:r>
      <w:r w:rsidRPr="00D95A6F">
        <w:rPr>
          <w:rFonts w:ascii="Times New Roman" w:hAnsi="Times New Roman"/>
          <w:i/>
          <w:iCs/>
          <w:sz w:val="24"/>
          <w:szCs w:val="24"/>
          <w:shd w:val="clear" w:color="auto" w:fill="FFFFFF"/>
        </w:rPr>
        <w:t>Proceedings of the 35th European Safety and Reliability &amp; the 33rd Society for Risk Analysis Europe Conference</w:t>
      </w:r>
      <w:r w:rsidRPr="00D95A6F">
        <w:rPr>
          <w:rFonts w:ascii="Times New Roman" w:hAnsi="Times New Roman"/>
          <w:sz w:val="24"/>
          <w:szCs w:val="24"/>
          <w:shd w:val="clear" w:color="auto" w:fill="FFFFFF"/>
        </w:rPr>
        <w:t> (pp. 587-594).</w:t>
      </w:r>
    </w:p>
    <w:p w14:paraId="2E1EFBE6" w14:textId="77777777" w:rsidR="00CF165B" w:rsidRPr="00D95A6F" w:rsidRDefault="00CF165B" w:rsidP="00CF165B">
      <w:pPr>
        <w:spacing w:line="276" w:lineRule="auto"/>
        <w:ind w:left="360" w:hanging="720"/>
        <w:rPr>
          <w:rFonts w:ascii="Times New Roman" w:hAnsi="Times New Roman"/>
          <w:sz w:val="24"/>
          <w:szCs w:val="24"/>
        </w:rPr>
      </w:pPr>
      <w:bookmarkStart w:id="9" w:name="_Hlk221861401"/>
      <w:r w:rsidRPr="00D95A6F">
        <w:rPr>
          <w:rFonts w:ascii="Times New Roman" w:hAnsi="Times New Roman"/>
          <w:sz w:val="24"/>
          <w:szCs w:val="24"/>
          <w:shd w:val="clear" w:color="auto" w:fill="FFFFFF"/>
        </w:rPr>
        <w:t>Rony</w:t>
      </w:r>
      <w:bookmarkEnd w:id="9"/>
      <w:r w:rsidRPr="00D95A6F">
        <w:rPr>
          <w:rFonts w:ascii="Times New Roman" w:hAnsi="Times New Roman"/>
          <w:sz w:val="24"/>
          <w:szCs w:val="24"/>
          <w:shd w:val="clear" w:color="auto" w:fill="FFFFFF"/>
        </w:rPr>
        <w:t xml:space="preserve">, M. A., &amp; Shafa, H. (2024). Cloud-Integrated Digital Twin Architectures </w:t>
      </w:r>
      <w:proofErr w:type="gramStart"/>
      <w:r w:rsidRPr="00D95A6F">
        <w:rPr>
          <w:rFonts w:ascii="Times New Roman" w:hAnsi="Times New Roman"/>
          <w:sz w:val="24"/>
          <w:szCs w:val="24"/>
          <w:shd w:val="clear" w:color="auto" w:fill="FFFFFF"/>
        </w:rPr>
        <w:t>For</w:t>
      </w:r>
      <w:proofErr w:type="gramEnd"/>
      <w:r w:rsidRPr="00D95A6F">
        <w:rPr>
          <w:rFonts w:ascii="Times New Roman" w:hAnsi="Times New Roman"/>
          <w:sz w:val="24"/>
          <w:szCs w:val="24"/>
          <w:shd w:val="clear" w:color="auto" w:fill="FFFFFF"/>
        </w:rPr>
        <w:t xml:space="preserve"> Real-Time Monitoring, Risk Assessment, And Safety Optimization In US Energy Infrastructure. </w:t>
      </w:r>
      <w:r w:rsidRPr="00D95A6F">
        <w:rPr>
          <w:rFonts w:ascii="Times New Roman" w:hAnsi="Times New Roman"/>
          <w:i/>
          <w:iCs/>
          <w:sz w:val="24"/>
          <w:szCs w:val="24"/>
          <w:shd w:val="clear" w:color="auto" w:fill="FFFFFF"/>
        </w:rPr>
        <w:t>American Journal of Interdisciplinary Studies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5</w:t>
      </w:r>
      <w:r w:rsidRPr="00D95A6F">
        <w:rPr>
          <w:rFonts w:ascii="Times New Roman" w:hAnsi="Times New Roman"/>
          <w:sz w:val="24"/>
          <w:szCs w:val="24"/>
          <w:shd w:val="clear" w:color="auto" w:fill="FFFFFF"/>
        </w:rPr>
        <w:t>(04), 96-133.</w:t>
      </w:r>
    </w:p>
    <w:p w14:paraId="75B283B0" w14:textId="77777777" w:rsidR="00CF165B" w:rsidRPr="00D95A6F" w:rsidRDefault="00CF165B" w:rsidP="00CF165B">
      <w:pPr>
        <w:spacing w:line="276" w:lineRule="auto"/>
        <w:ind w:left="360" w:hanging="720"/>
        <w:rPr>
          <w:rFonts w:ascii="Times New Roman" w:hAnsi="Times New Roman"/>
          <w:sz w:val="24"/>
          <w:szCs w:val="24"/>
        </w:rPr>
      </w:pPr>
      <w:bookmarkStart w:id="10" w:name="_Hlk221865952"/>
      <w:r w:rsidRPr="00D95A6F">
        <w:rPr>
          <w:rFonts w:ascii="Times New Roman" w:hAnsi="Times New Roman"/>
          <w:sz w:val="24"/>
          <w:szCs w:val="24"/>
          <w:shd w:val="clear" w:color="auto" w:fill="FFFFFF"/>
        </w:rPr>
        <w:t>Serbanescu</w:t>
      </w:r>
      <w:bookmarkEnd w:id="10"/>
      <w:r w:rsidRPr="00D95A6F">
        <w:rPr>
          <w:rFonts w:ascii="Times New Roman" w:hAnsi="Times New Roman"/>
          <w:sz w:val="24"/>
          <w:szCs w:val="24"/>
          <w:shd w:val="clear" w:color="auto" w:fill="FFFFFF"/>
        </w:rPr>
        <w:t xml:space="preserve">, D., &amp; </w:t>
      </w:r>
      <w:proofErr w:type="spellStart"/>
      <w:r w:rsidRPr="00D95A6F">
        <w:rPr>
          <w:rFonts w:ascii="Times New Roman" w:hAnsi="Times New Roman"/>
          <w:sz w:val="24"/>
          <w:szCs w:val="24"/>
          <w:shd w:val="clear" w:color="auto" w:fill="FFFFFF"/>
        </w:rPr>
        <w:t>Ulmeanu</w:t>
      </w:r>
      <w:proofErr w:type="spellEnd"/>
      <w:r w:rsidRPr="00D95A6F">
        <w:rPr>
          <w:rFonts w:ascii="Times New Roman" w:hAnsi="Times New Roman"/>
          <w:sz w:val="24"/>
          <w:szCs w:val="24"/>
          <w:shd w:val="clear" w:color="auto" w:fill="FFFFFF"/>
        </w:rPr>
        <w:t>, A. P. (2020). Special Topics in Probabilistic Safety Assessments Levels 2, 3 and PSA Applications. In </w:t>
      </w:r>
      <w:r w:rsidRPr="00D95A6F">
        <w:rPr>
          <w:rFonts w:ascii="Times New Roman" w:hAnsi="Times New Roman"/>
          <w:i/>
          <w:iCs/>
          <w:sz w:val="24"/>
          <w:szCs w:val="24"/>
          <w:shd w:val="clear" w:color="auto" w:fill="FFFFFF"/>
        </w:rPr>
        <w:t>Selected Topics in Probabilistic Safety Assessment: Methodology and Practice in Nuclear Power Plants</w:t>
      </w:r>
      <w:r w:rsidRPr="00D95A6F">
        <w:rPr>
          <w:rFonts w:ascii="Times New Roman" w:hAnsi="Times New Roman"/>
          <w:sz w:val="24"/>
          <w:szCs w:val="24"/>
          <w:shd w:val="clear" w:color="auto" w:fill="FFFFFF"/>
        </w:rPr>
        <w:t> (pp. 75-118). Cham: Springer International Publishing.</w:t>
      </w:r>
    </w:p>
    <w:p w14:paraId="5C72EEAC" w14:textId="77777777" w:rsidR="00CF165B" w:rsidRPr="00D95A6F" w:rsidRDefault="00CF165B" w:rsidP="00CF165B">
      <w:pPr>
        <w:spacing w:line="276" w:lineRule="auto"/>
        <w:ind w:left="360" w:hanging="720"/>
        <w:rPr>
          <w:rFonts w:ascii="Times New Roman" w:hAnsi="Times New Roman"/>
          <w:sz w:val="24"/>
          <w:szCs w:val="24"/>
        </w:rPr>
      </w:pPr>
      <w:proofErr w:type="spellStart"/>
      <w:r w:rsidRPr="00D95A6F">
        <w:rPr>
          <w:rFonts w:ascii="Times New Roman" w:hAnsi="Times New Roman"/>
          <w:sz w:val="24"/>
          <w:szCs w:val="24"/>
          <w:shd w:val="clear" w:color="auto" w:fill="FFFFFF"/>
        </w:rPr>
        <w:t>Soltanali</w:t>
      </w:r>
      <w:proofErr w:type="spellEnd"/>
      <w:r w:rsidRPr="00D95A6F">
        <w:rPr>
          <w:rFonts w:ascii="Times New Roman" w:hAnsi="Times New Roman"/>
          <w:sz w:val="24"/>
          <w:szCs w:val="24"/>
          <w:shd w:val="clear" w:color="auto" w:fill="FFFFFF"/>
        </w:rPr>
        <w:t>, H., Rohani, A., Abbaspour-Fard, M. H., Parida, A., &amp; Farinha, J. T. (2020). Development of a risk-based maintenance decision making approach for automotive production line. </w:t>
      </w:r>
      <w:r w:rsidRPr="00D95A6F">
        <w:rPr>
          <w:rFonts w:ascii="Times New Roman" w:hAnsi="Times New Roman"/>
          <w:i/>
          <w:iCs/>
          <w:sz w:val="24"/>
          <w:szCs w:val="24"/>
          <w:shd w:val="clear" w:color="auto" w:fill="FFFFFF"/>
        </w:rPr>
        <w:t>International Journal of System Assurance Engineering and Management</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11</w:t>
      </w:r>
      <w:r w:rsidRPr="00D95A6F">
        <w:rPr>
          <w:rFonts w:ascii="Times New Roman" w:hAnsi="Times New Roman"/>
          <w:sz w:val="24"/>
          <w:szCs w:val="24"/>
          <w:shd w:val="clear" w:color="auto" w:fill="FFFFFF"/>
        </w:rPr>
        <w:t>(1), 236-251.</w:t>
      </w:r>
    </w:p>
    <w:p w14:paraId="403B2084" w14:textId="77777777" w:rsidR="00CF165B" w:rsidRPr="00D95A6F" w:rsidRDefault="00CF165B" w:rsidP="00CF165B">
      <w:pPr>
        <w:spacing w:line="276" w:lineRule="auto"/>
        <w:ind w:left="360" w:hanging="720"/>
        <w:rPr>
          <w:rFonts w:ascii="Times New Roman" w:hAnsi="Times New Roman"/>
          <w:sz w:val="24"/>
          <w:szCs w:val="24"/>
        </w:rPr>
      </w:pPr>
      <w:bookmarkStart w:id="11" w:name="_Hlk221866009"/>
      <w:r w:rsidRPr="00D95A6F">
        <w:rPr>
          <w:rFonts w:ascii="Times New Roman" w:hAnsi="Times New Roman"/>
          <w:sz w:val="24"/>
          <w:szCs w:val="24"/>
          <w:shd w:val="clear" w:color="auto" w:fill="FFFFFF"/>
        </w:rPr>
        <w:t>Syed</w:t>
      </w:r>
      <w:bookmarkEnd w:id="11"/>
      <w:r w:rsidRPr="00D95A6F">
        <w:rPr>
          <w:rFonts w:ascii="Times New Roman" w:hAnsi="Times New Roman"/>
          <w:sz w:val="24"/>
          <w:szCs w:val="24"/>
          <w:shd w:val="clear" w:color="auto" w:fill="FFFFFF"/>
        </w:rPr>
        <w:t xml:space="preserve">, Z., &amp; </w:t>
      </w:r>
      <w:bookmarkStart w:id="12" w:name="_Hlk221865996"/>
      <w:proofErr w:type="spellStart"/>
      <w:r w:rsidRPr="00D95A6F">
        <w:rPr>
          <w:rFonts w:ascii="Times New Roman" w:hAnsi="Times New Roman"/>
          <w:sz w:val="24"/>
          <w:szCs w:val="24"/>
          <w:shd w:val="clear" w:color="auto" w:fill="FFFFFF"/>
        </w:rPr>
        <w:t>Lawryshyn</w:t>
      </w:r>
      <w:bookmarkEnd w:id="12"/>
      <w:proofErr w:type="spellEnd"/>
      <w:r w:rsidRPr="00D95A6F">
        <w:rPr>
          <w:rFonts w:ascii="Times New Roman" w:hAnsi="Times New Roman"/>
          <w:sz w:val="24"/>
          <w:szCs w:val="24"/>
          <w:shd w:val="clear" w:color="auto" w:fill="FFFFFF"/>
        </w:rPr>
        <w:t>, Y. (2020). Multi-criteria decision-making considering risk and uncertainty in physical asset management. </w:t>
      </w:r>
      <w:r w:rsidRPr="00D95A6F">
        <w:rPr>
          <w:rFonts w:ascii="Times New Roman" w:hAnsi="Times New Roman"/>
          <w:i/>
          <w:iCs/>
          <w:sz w:val="24"/>
          <w:szCs w:val="24"/>
          <w:shd w:val="clear" w:color="auto" w:fill="FFFFFF"/>
        </w:rPr>
        <w:t>Journal of Loss Prevention in the Process Industries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65</w:t>
      </w:r>
      <w:r w:rsidRPr="00D95A6F">
        <w:rPr>
          <w:rFonts w:ascii="Times New Roman" w:hAnsi="Times New Roman"/>
          <w:sz w:val="24"/>
          <w:szCs w:val="24"/>
          <w:shd w:val="clear" w:color="auto" w:fill="FFFFFF"/>
        </w:rPr>
        <w:t>, 104064.</w:t>
      </w:r>
    </w:p>
    <w:p w14:paraId="375B2E3D" w14:textId="77777777" w:rsidR="00CF165B" w:rsidRPr="00D95A6F" w:rsidRDefault="00CF165B" w:rsidP="00CF165B">
      <w:pPr>
        <w:spacing w:line="276" w:lineRule="auto"/>
        <w:ind w:left="360" w:hanging="720"/>
        <w:rPr>
          <w:rFonts w:ascii="Times New Roman" w:hAnsi="Times New Roman"/>
          <w:sz w:val="24"/>
          <w:szCs w:val="24"/>
        </w:rPr>
      </w:pPr>
      <w:bookmarkStart w:id="13" w:name="_Hlk221861679"/>
      <w:proofErr w:type="spellStart"/>
      <w:r w:rsidRPr="00D95A6F">
        <w:rPr>
          <w:rFonts w:ascii="Times New Roman" w:hAnsi="Times New Roman"/>
          <w:sz w:val="24"/>
          <w:szCs w:val="24"/>
          <w:shd w:val="clear" w:color="auto" w:fill="FFFFFF"/>
        </w:rPr>
        <w:t>Tiddens</w:t>
      </w:r>
      <w:bookmarkEnd w:id="13"/>
      <w:proofErr w:type="spellEnd"/>
      <w:r w:rsidRPr="00D95A6F">
        <w:rPr>
          <w:rFonts w:ascii="Times New Roman" w:hAnsi="Times New Roman"/>
          <w:sz w:val="24"/>
          <w:szCs w:val="24"/>
          <w:shd w:val="clear" w:color="auto" w:fill="FFFFFF"/>
        </w:rPr>
        <w:t>, W., Braaksma, J., &amp; Tinga, T. (2023). Decision framework for predictive maintenance method selection. </w:t>
      </w:r>
      <w:r w:rsidRPr="00D95A6F">
        <w:rPr>
          <w:rFonts w:ascii="Times New Roman" w:hAnsi="Times New Roman"/>
          <w:i/>
          <w:iCs/>
          <w:sz w:val="24"/>
          <w:szCs w:val="24"/>
          <w:shd w:val="clear" w:color="auto" w:fill="FFFFFF"/>
        </w:rPr>
        <w:t>Applied Sciences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13</w:t>
      </w:r>
      <w:r w:rsidRPr="00D95A6F">
        <w:rPr>
          <w:rFonts w:ascii="Times New Roman" w:hAnsi="Times New Roman"/>
          <w:sz w:val="24"/>
          <w:szCs w:val="24"/>
          <w:shd w:val="clear" w:color="auto" w:fill="FFFFFF"/>
        </w:rPr>
        <w:t>(3), 2021.</w:t>
      </w:r>
    </w:p>
    <w:p w14:paraId="40099C2C"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Vesely, W. E. (2018). Utilizing Probabilistic Risk Analyses (Pras) In Decision Support Systems. In </w:t>
      </w:r>
      <w:r w:rsidRPr="00D95A6F">
        <w:rPr>
          <w:rFonts w:ascii="Times New Roman" w:hAnsi="Times New Roman"/>
          <w:i/>
          <w:iCs/>
          <w:sz w:val="24"/>
          <w:szCs w:val="24"/>
          <w:shd w:val="clear" w:color="auto" w:fill="FFFFFF"/>
        </w:rPr>
        <w:t>Engineering Risk and Hazard Assessment</w:t>
      </w:r>
      <w:r w:rsidRPr="00D95A6F">
        <w:rPr>
          <w:rFonts w:ascii="Times New Roman" w:hAnsi="Times New Roman"/>
          <w:sz w:val="24"/>
          <w:szCs w:val="24"/>
          <w:shd w:val="clear" w:color="auto" w:fill="FFFFFF"/>
        </w:rPr>
        <w:t> (pp. 101-116). CRC Press.</w:t>
      </w:r>
    </w:p>
    <w:p w14:paraId="4BB91ECC" w14:textId="77777777" w:rsidR="00CF165B" w:rsidRPr="00D95A6F" w:rsidRDefault="00CF165B" w:rsidP="00CF165B">
      <w:pPr>
        <w:spacing w:line="276" w:lineRule="auto"/>
        <w:ind w:left="360" w:hanging="720"/>
        <w:rPr>
          <w:rFonts w:ascii="Times New Roman" w:hAnsi="Times New Roman"/>
          <w:sz w:val="24"/>
          <w:szCs w:val="24"/>
        </w:rPr>
      </w:pPr>
      <w:bookmarkStart w:id="14" w:name="_Hlk221861787"/>
      <w:r w:rsidRPr="00D95A6F">
        <w:rPr>
          <w:rFonts w:ascii="Times New Roman" w:hAnsi="Times New Roman"/>
          <w:sz w:val="24"/>
          <w:szCs w:val="24"/>
          <w:shd w:val="clear" w:color="auto" w:fill="FFFFFF"/>
        </w:rPr>
        <w:t>Viana</w:t>
      </w:r>
      <w:bookmarkEnd w:id="14"/>
      <w:r w:rsidRPr="00D95A6F">
        <w:rPr>
          <w:rFonts w:ascii="Times New Roman" w:hAnsi="Times New Roman"/>
          <w:sz w:val="24"/>
          <w:szCs w:val="24"/>
          <w:shd w:val="clear" w:color="auto" w:fill="FFFFFF"/>
        </w:rPr>
        <w:t>, F. F. C. L., Casado, R. S. G. R., da Silva, L. B. L., Alencar, M. H., Ferreira, R. J. P., &amp; de Almeida, A. T. (2022). A hybrid multicriteria decision model for selecting a portfolio of risk-based maintenance actions in natural gas pipelines. </w:t>
      </w:r>
      <w:r w:rsidRPr="00D95A6F">
        <w:rPr>
          <w:rFonts w:ascii="Times New Roman" w:hAnsi="Times New Roman"/>
          <w:i/>
          <w:iCs/>
          <w:sz w:val="24"/>
          <w:szCs w:val="24"/>
          <w:shd w:val="clear" w:color="auto" w:fill="FFFFFF"/>
        </w:rPr>
        <w:t>Journal of Natural Gas Science and Engineering</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103</w:t>
      </w:r>
      <w:r w:rsidRPr="00D95A6F">
        <w:rPr>
          <w:rFonts w:ascii="Times New Roman" w:hAnsi="Times New Roman"/>
          <w:sz w:val="24"/>
          <w:szCs w:val="24"/>
          <w:shd w:val="clear" w:color="auto" w:fill="FFFFFF"/>
        </w:rPr>
        <w:t>, 104655.</w:t>
      </w:r>
    </w:p>
    <w:p w14:paraId="17DF57A5"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Wang, H., Li, Y., Lin, C., Yang, S., Li, G., Sun, S., ... &amp; Shi, J. (2024). Research on condition assessment of nuclear power systems based on fault severity and fault harmfulness. </w:t>
      </w:r>
      <w:r w:rsidRPr="00D95A6F">
        <w:rPr>
          <w:rFonts w:ascii="Times New Roman" w:hAnsi="Times New Roman"/>
          <w:i/>
          <w:iCs/>
          <w:sz w:val="24"/>
          <w:szCs w:val="24"/>
          <w:shd w:val="clear" w:color="auto" w:fill="FFFFFF"/>
        </w:rPr>
        <w:t>Energy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311</w:t>
      </w:r>
      <w:r w:rsidRPr="00D95A6F">
        <w:rPr>
          <w:rFonts w:ascii="Times New Roman" w:hAnsi="Times New Roman"/>
          <w:sz w:val="24"/>
          <w:szCs w:val="24"/>
          <w:shd w:val="clear" w:color="auto" w:fill="FFFFFF"/>
        </w:rPr>
        <w:t>, 133396.</w:t>
      </w:r>
    </w:p>
    <w:p w14:paraId="6E321F1E"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Zhang, M., Xu, Z., Zhang, G., Wang, B., Zhang, B., &amp; Liu, Y. (2024). Review on the Application of Living PSA in Nuclear Power. </w:t>
      </w:r>
      <w:r w:rsidRPr="00D95A6F">
        <w:rPr>
          <w:rFonts w:ascii="Times New Roman" w:hAnsi="Times New Roman"/>
          <w:i/>
          <w:iCs/>
          <w:sz w:val="24"/>
          <w:szCs w:val="24"/>
          <w:shd w:val="clear" w:color="auto" w:fill="FFFFFF"/>
        </w:rPr>
        <w:t>Energies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17</w:t>
      </w:r>
      <w:r w:rsidRPr="00D95A6F">
        <w:rPr>
          <w:rFonts w:ascii="Times New Roman" w:hAnsi="Times New Roman"/>
          <w:sz w:val="24"/>
          <w:szCs w:val="24"/>
          <w:shd w:val="clear" w:color="auto" w:fill="FFFFFF"/>
        </w:rPr>
        <w:t>(22), 5578.</w:t>
      </w:r>
    </w:p>
    <w:p w14:paraId="13E0BB5C" w14:textId="77777777" w:rsidR="00CF165B" w:rsidRPr="00F945A7" w:rsidRDefault="00CF165B" w:rsidP="00CF165B">
      <w:pPr>
        <w:spacing w:line="276" w:lineRule="auto"/>
        <w:ind w:left="360" w:hanging="720"/>
        <w:rPr>
          <w:rFonts w:ascii="Times New Roman" w:hAnsi="Times New Roman"/>
          <w:sz w:val="24"/>
          <w:szCs w:val="24"/>
        </w:rPr>
      </w:pPr>
      <w:bookmarkStart w:id="15" w:name="_Hlk221866083"/>
      <w:r w:rsidRPr="00D95A6F">
        <w:rPr>
          <w:rFonts w:ascii="Times New Roman" w:hAnsi="Times New Roman"/>
          <w:sz w:val="24"/>
          <w:szCs w:val="24"/>
          <w:shd w:val="clear" w:color="auto" w:fill="FFFFFF"/>
        </w:rPr>
        <w:t>Zhen</w:t>
      </w:r>
      <w:bookmarkEnd w:id="15"/>
      <w:r w:rsidRPr="00D95A6F">
        <w:rPr>
          <w:rFonts w:ascii="Times New Roman" w:hAnsi="Times New Roman"/>
          <w:sz w:val="24"/>
          <w:szCs w:val="24"/>
          <w:shd w:val="clear" w:color="auto" w:fill="FFFFFF"/>
        </w:rPr>
        <w:t>, M., Chen, Z., Chen, Z., &amp; Pan, E. (2025). Battery Reconfiguration in BESS: A Benefit-Oriented Predictive Maintenance Optimization Framework Integrating Safety and Performance. </w:t>
      </w:r>
      <w:r w:rsidRPr="00D95A6F">
        <w:rPr>
          <w:rFonts w:ascii="Times New Roman" w:hAnsi="Times New Roman"/>
          <w:i/>
          <w:iCs/>
          <w:sz w:val="24"/>
          <w:szCs w:val="24"/>
          <w:shd w:val="clear" w:color="auto" w:fill="FFFFFF"/>
        </w:rPr>
        <w:t>IEEE Transactions on Automation Science and Engineering</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23</w:t>
      </w:r>
      <w:r w:rsidRPr="00D95A6F">
        <w:rPr>
          <w:rFonts w:ascii="Times New Roman" w:hAnsi="Times New Roman"/>
          <w:sz w:val="24"/>
          <w:szCs w:val="24"/>
          <w:shd w:val="clear" w:color="auto" w:fill="FFFFFF"/>
        </w:rPr>
        <w:t>, 538-550.</w:t>
      </w:r>
    </w:p>
    <w:p w14:paraId="44345525" w14:textId="77777777" w:rsidR="00B01FCD" w:rsidRPr="00FB3A86" w:rsidRDefault="00B01FCD" w:rsidP="00441B6F">
      <w:pPr>
        <w:pStyle w:val="Appendix"/>
        <w:spacing w:after="0"/>
        <w:jc w:val="both"/>
        <w:rPr>
          <w:rFonts w:ascii="Arial" w:hAnsi="Arial" w:cs="Arial"/>
          <w:b w:val="0"/>
        </w:rPr>
      </w:pPr>
    </w:p>
    <w:sectPr w:rsidR="00B01FCD" w:rsidRPr="00FB3A86" w:rsidSect="00052660">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D751F" w14:textId="77777777" w:rsidR="00A32071" w:rsidRDefault="00A32071" w:rsidP="00C37E61">
      <w:r>
        <w:separator/>
      </w:r>
    </w:p>
  </w:endnote>
  <w:endnote w:type="continuationSeparator" w:id="0">
    <w:p w14:paraId="153656DD" w14:textId="77777777" w:rsidR="00A32071" w:rsidRDefault="00A3207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415FE" w14:textId="77777777" w:rsidR="00C465FF" w:rsidRDefault="00C46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D96B6" w14:textId="10FBB68A" w:rsidR="00C37E61" w:rsidRPr="008169CE" w:rsidRDefault="00C37E61" w:rsidP="008169CE">
    <w:pPr>
      <w:pStyle w:val="Footer"/>
    </w:pPr>
    <w:r w:rsidRPr="008169C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11B64" w14:textId="77777777" w:rsidR="009E048A" w:rsidRDefault="009E048A">
    <w:pPr>
      <w:pStyle w:val="Footer"/>
      <w:rPr>
        <w:rFonts w:ascii="Arial" w:hAnsi="Arial" w:cs="Arial"/>
        <w:sz w:val="16"/>
      </w:rPr>
    </w:pPr>
  </w:p>
  <w:p w14:paraId="0854747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04C85C" w14:textId="77777777" w:rsidR="009E048A" w:rsidRDefault="009E048A">
    <w:pPr>
      <w:pStyle w:val="Footer"/>
      <w:rPr>
        <w:rFonts w:ascii="Arial" w:hAnsi="Arial" w:cs="Arial"/>
        <w:sz w:val="16"/>
      </w:rPr>
    </w:pPr>
  </w:p>
  <w:p w14:paraId="7187293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2C0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54AB1" w14:textId="77777777" w:rsidR="00A32071" w:rsidRDefault="00A32071" w:rsidP="00C37E61">
      <w:r>
        <w:separator/>
      </w:r>
    </w:p>
  </w:footnote>
  <w:footnote w:type="continuationSeparator" w:id="0">
    <w:p w14:paraId="4D14A5D4" w14:textId="77777777" w:rsidR="00A32071" w:rsidRDefault="00A3207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BCE9D" w14:textId="220C1D22" w:rsidR="00C465FF" w:rsidRDefault="00C465FF">
    <w:pPr>
      <w:pStyle w:val="Header"/>
    </w:pPr>
    <w:r>
      <w:rPr>
        <w:noProof/>
      </w:rPr>
      <w:pict w14:anchorId="277A8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38EF5" w14:textId="6BB90096" w:rsidR="00C465FF" w:rsidRDefault="00C465FF">
    <w:pPr>
      <w:pStyle w:val="Header"/>
    </w:pPr>
    <w:r>
      <w:rPr>
        <w:noProof/>
      </w:rPr>
      <w:pict w14:anchorId="595D4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C1C98" w14:textId="323D2E60" w:rsidR="00296529" w:rsidRPr="00296529" w:rsidRDefault="00C465FF" w:rsidP="00296529">
    <w:pPr>
      <w:ind w:left="2160"/>
      <w:jc w:val="center"/>
      <w:rPr>
        <w:rFonts w:ascii="Times New Roman" w:eastAsia="Calibri" w:hAnsi="Times New Roman"/>
        <w:i/>
        <w:sz w:val="18"/>
        <w:szCs w:val="22"/>
      </w:rPr>
    </w:pPr>
    <w:r>
      <w:rPr>
        <w:noProof/>
      </w:rPr>
      <w:pict w14:anchorId="66B46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6D1DF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77AA4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5CD61C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32C06D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0F959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FEA84C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C5906" w14:textId="162012D8" w:rsidR="00C465FF" w:rsidRDefault="00C465FF">
    <w:pPr>
      <w:pStyle w:val="Header"/>
    </w:pPr>
    <w:r>
      <w:rPr>
        <w:noProof/>
      </w:rPr>
      <w:pict w14:anchorId="2E372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6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BFAF2" w14:textId="21625AED" w:rsidR="00C465FF" w:rsidRDefault="00C465FF">
    <w:pPr>
      <w:pStyle w:val="Header"/>
    </w:pPr>
    <w:r>
      <w:rPr>
        <w:noProof/>
      </w:rPr>
      <w:pict w14:anchorId="5ADB1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7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F660A" w14:textId="21B45869" w:rsidR="00C465FF" w:rsidRDefault="00C465FF">
    <w:pPr>
      <w:pStyle w:val="Header"/>
    </w:pPr>
    <w:r>
      <w:rPr>
        <w:noProof/>
      </w:rPr>
      <w:pict w14:anchorId="0C833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6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2660"/>
    <w:rsid w:val="00090236"/>
    <w:rsid w:val="000A47FA"/>
    <w:rsid w:val="000A65D3"/>
    <w:rsid w:val="000B1E33"/>
    <w:rsid w:val="000C5DFD"/>
    <w:rsid w:val="000D689F"/>
    <w:rsid w:val="000E7B7B"/>
    <w:rsid w:val="000E7D62"/>
    <w:rsid w:val="00103357"/>
    <w:rsid w:val="00123C9F"/>
    <w:rsid w:val="00126190"/>
    <w:rsid w:val="00126DC3"/>
    <w:rsid w:val="00130F17"/>
    <w:rsid w:val="001320BF"/>
    <w:rsid w:val="00143483"/>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2D69"/>
    <w:rsid w:val="003C2402"/>
    <w:rsid w:val="003C4C86"/>
    <w:rsid w:val="003C6258"/>
    <w:rsid w:val="003E2904"/>
    <w:rsid w:val="003F701D"/>
    <w:rsid w:val="00401927"/>
    <w:rsid w:val="0041027F"/>
    <w:rsid w:val="00412475"/>
    <w:rsid w:val="00423789"/>
    <w:rsid w:val="00440F43"/>
    <w:rsid w:val="00441B6F"/>
    <w:rsid w:val="00446221"/>
    <w:rsid w:val="00450E62"/>
    <w:rsid w:val="004539DB"/>
    <w:rsid w:val="0046176E"/>
    <w:rsid w:val="00471A80"/>
    <w:rsid w:val="004D305E"/>
    <w:rsid w:val="004D4277"/>
    <w:rsid w:val="004E1576"/>
    <w:rsid w:val="00502516"/>
    <w:rsid w:val="00505F06"/>
    <w:rsid w:val="00506828"/>
    <w:rsid w:val="0053056E"/>
    <w:rsid w:val="00554FDA"/>
    <w:rsid w:val="00566261"/>
    <w:rsid w:val="005C784C"/>
    <w:rsid w:val="005D17F6"/>
    <w:rsid w:val="005E5539"/>
    <w:rsid w:val="00602BF5"/>
    <w:rsid w:val="00617FDD"/>
    <w:rsid w:val="00633614"/>
    <w:rsid w:val="00633F68"/>
    <w:rsid w:val="00636EB2"/>
    <w:rsid w:val="006375B8"/>
    <w:rsid w:val="00644E3A"/>
    <w:rsid w:val="0066510A"/>
    <w:rsid w:val="00673F9F"/>
    <w:rsid w:val="0067464D"/>
    <w:rsid w:val="00686953"/>
    <w:rsid w:val="00687DEA"/>
    <w:rsid w:val="00687E67"/>
    <w:rsid w:val="006967F7"/>
    <w:rsid w:val="006A250C"/>
    <w:rsid w:val="006A5832"/>
    <w:rsid w:val="006B21D3"/>
    <w:rsid w:val="006B57D0"/>
    <w:rsid w:val="006D30FF"/>
    <w:rsid w:val="006D6940"/>
    <w:rsid w:val="006F11EC"/>
    <w:rsid w:val="006F6096"/>
    <w:rsid w:val="0070082C"/>
    <w:rsid w:val="007369E6"/>
    <w:rsid w:val="00746E59"/>
    <w:rsid w:val="00754C9A"/>
    <w:rsid w:val="0075599A"/>
    <w:rsid w:val="00761D52"/>
    <w:rsid w:val="0077749E"/>
    <w:rsid w:val="00790ADA"/>
    <w:rsid w:val="007D2288"/>
    <w:rsid w:val="007D66DF"/>
    <w:rsid w:val="007E088F"/>
    <w:rsid w:val="007F7B32"/>
    <w:rsid w:val="00804BC2"/>
    <w:rsid w:val="0081431A"/>
    <w:rsid w:val="008169CE"/>
    <w:rsid w:val="0083216F"/>
    <w:rsid w:val="008468FB"/>
    <w:rsid w:val="00860000"/>
    <w:rsid w:val="00863BD3"/>
    <w:rsid w:val="008641ED"/>
    <w:rsid w:val="00866D66"/>
    <w:rsid w:val="008671C6"/>
    <w:rsid w:val="00875803"/>
    <w:rsid w:val="008B459E"/>
    <w:rsid w:val="008D34CC"/>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4AF0"/>
    <w:rsid w:val="009E5B43"/>
    <w:rsid w:val="009E6E35"/>
    <w:rsid w:val="009F0EDA"/>
    <w:rsid w:val="00A03B96"/>
    <w:rsid w:val="00A043EA"/>
    <w:rsid w:val="00A05B19"/>
    <w:rsid w:val="00A1134E"/>
    <w:rsid w:val="00A24E7E"/>
    <w:rsid w:val="00A258C3"/>
    <w:rsid w:val="00A32071"/>
    <w:rsid w:val="00A347C0"/>
    <w:rsid w:val="00A51431"/>
    <w:rsid w:val="00A539AD"/>
    <w:rsid w:val="00A94063"/>
    <w:rsid w:val="00AA2A8C"/>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2D7C"/>
    <w:rsid w:val="00C37E61"/>
    <w:rsid w:val="00C465FF"/>
    <w:rsid w:val="00C70F1B"/>
    <w:rsid w:val="00C71A47"/>
    <w:rsid w:val="00C7464C"/>
    <w:rsid w:val="00C85588"/>
    <w:rsid w:val="00CB4EDD"/>
    <w:rsid w:val="00CD6755"/>
    <w:rsid w:val="00CD6856"/>
    <w:rsid w:val="00CE0089"/>
    <w:rsid w:val="00CE793C"/>
    <w:rsid w:val="00CF165B"/>
    <w:rsid w:val="00CF193C"/>
    <w:rsid w:val="00D173F1"/>
    <w:rsid w:val="00D74CB0"/>
    <w:rsid w:val="00D8295D"/>
    <w:rsid w:val="00DA0D48"/>
    <w:rsid w:val="00DC2A65"/>
    <w:rsid w:val="00DE15F0"/>
    <w:rsid w:val="00DE5663"/>
    <w:rsid w:val="00DE78AA"/>
    <w:rsid w:val="00E053D0"/>
    <w:rsid w:val="00E15994"/>
    <w:rsid w:val="00E3114E"/>
    <w:rsid w:val="00E31A70"/>
    <w:rsid w:val="00E35B02"/>
    <w:rsid w:val="00E471BE"/>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34FF"/>
    <w:rsid w:val="00F755E4"/>
    <w:rsid w:val="00F77D02"/>
    <w:rsid w:val="00FB3A86"/>
    <w:rsid w:val="00FD36C8"/>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CF165B"/>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14E8B-46B6-498E-850B-4A92063D5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16</Pages>
  <Words>7121</Words>
  <Characters>40595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47621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cp:revision>
  <cp:lastPrinted>1999-07-06T11:00:00Z</cp:lastPrinted>
  <dcterms:created xsi:type="dcterms:W3CDTF">2026-03-30T14:15:00Z</dcterms:created>
  <dcterms:modified xsi:type="dcterms:W3CDTF">2026-03-31T12:09:00Z</dcterms:modified>
</cp:coreProperties>
</file>