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4163" w14:textId="77777777" w:rsidR="00922300" w:rsidRDefault="00922300" w:rsidP="00D768F6">
      <w:pPr>
        <w:spacing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Phytochemical and Antifungal Susceptibility testing of Medicinal plants on</w:t>
      </w:r>
      <w:r>
        <w:rPr>
          <w:rFonts w:ascii="Times New Roman" w:hAnsi="Times New Roman" w:cs="Times New Roman"/>
          <w:bCs/>
          <w:sz w:val="24"/>
          <w:szCs w:val="24"/>
        </w:rPr>
        <w:t xml:space="preserve"> </w:t>
      </w:r>
      <w:r w:rsidRPr="00922300">
        <w:rPr>
          <w:rFonts w:ascii="Times New Roman" w:hAnsi="Times New Roman" w:cs="Times New Roman"/>
          <w:b/>
          <w:bCs/>
          <w:i/>
          <w:sz w:val="24"/>
          <w:szCs w:val="24"/>
        </w:rPr>
        <w:t>T</w:t>
      </w:r>
      <w:r w:rsidR="000B776B">
        <w:rPr>
          <w:rFonts w:ascii="Times New Roman" w:hAnsi="Times New Roman" w:cs="Times New Roman"/>
          <w:b/>
          <w:bCs/>
          <w:i/>
          <w:sz w:val="24"/>
          <w:szCs w:val="24"/>
        </w:rPr>
        <w:t>richophyton</w:t>
      </w:r>
      <w:r w:rsidRPr="00922300">
        <w:rPr>
          <w:rFonts w:ascii="Times New Roman" w:hAnsi="Times New Roman" w:cs="Times New Roman"/>
          <w:b/>
          <w:bCs/>
          <w:i/>
          <w:sz w:val="24"/>
          <w:szCs w:val="24"/>
        </w:rPr>
        <w:t xml:space="preserve"> rubrum</w:t>
      </w:r>
      <w:r w:rsidRPr="00922300">
        <w:rPr>
          <w:rFonts w:ascii="Times New Roman" w:hAnsi="Times New Roman" w:cs="Times New Roman"/>
          <w:b/>
          <w:bCs/>
          <w:sz w:val="24"/>
          <w:szCs w:val="24"/>
        </w:rPr>
        <w:t xml:space="preserve"> isolated from two (2) </w:t>
      </w:r>
      <w:r w:rsidRPr="00922300">
        <w:rPr>
          <w:rFonts w:ascii="Times New Roman" w:hAnsi="Times New Roman" w:cs="Times New Roman"/>
          <w:b/>
          <w:sz w:val="24"/>
          <w:szCs w:val="24"/>
        </w:rPr>
        <w:t>Tertiary Hospitals in Benue State</w:t>
      </w:r>
    </w:p>
    <w:p w14:paraId="759D4E9F" w14:textId="77777777" w:rsidR="000C0575" w:rsidRDefault="000C0575" w:rsidP="00466898">
      <w:pPr>
        <w:spacing w:before="100" w:beforeAutospacing="1" w:after="100" w:afterAutospacing="1" w:line="240" w:lineRule="auto"/>
        <w:outlineLvl w:val="1"/>
        <w:rPr>
          <w:rFonts w:ascii="Times New Roman" w:eastAsia="Times New Roman" w:hAnsi="Times New Roman" w:cs="Times New Roman"/>
          <w:b/>
          <w:bCs/>
          <w:sz w:val="24"/>
          <w:szCs w:val="24"/>
        </w:rPr>
      </w:pPr>
    </w:p>
    <w:p w14:paraId="02E1456F" w14:textId="60BAB421" w:rsidR="00466898" w:rsidRPr="007C1CBF" w:rsidRDefault="00466898" w:rsidP="00466898">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GoBack"/>
      <w:bookmarkEnd w:id="0"/>
      <w:r w:rsidRPr="007C1CBF">
        <w:rPr>
          <w:rFonts w:ascii="Times New Roman" w:eastAsia="Times New Roman" w:hAnsi="Times New Roman" w:cs="Times New Roman"/>
          <w:b/>
          <w:bCs/>
          <w:sz w:val="24"/>
          <w:szCs w:val="24"/>
        </w:rPr>
        <w:t>ABSTRACT</w:t>
      </w:r>
    </w:p>
    <w:p w14:paraId="17316F92" w14:textId="77777777" w:rsidR="00466898" w:rsidRDefault="00466898" w:rsidP="00466898">
      <w:pPr>
        <w:spacing w:line="240" w:lineRule="auto"/>
        <w:jc w:val="both"/>
        <w:rPr>
          <w:rFonts w:ascii="Times New Roman" w:eastAsia="Times New Roman" w:hAnsi="Times New Roman" w:cs="Times New Roman"/>
          <w:sz w:val="24"/>
          <w:szCs w:val="24"/>
        </w:rPr>
      </w:pPr>
      <w:r w:rsidRPr="007C1CBF">
        <w:rPr>
          <w:rFonts w:ascii="Times New Roman" w:eastAsia="Times New Roman" w:hAnsi="Times New Roman" w:cs="Times New Roman"/>
          <w:b/>
          <w:bCs/>
          <w:sz w:val="24"/>
          <w:szCs w:val="24"/>
        </w:rPr>
        <w:t>Background:</w:t>
      </w:r>
      <w:r w:rsidRPr="007C1CBF">
        <w:rPr>
          <w:rFonts w:ascii="Times New Roman" w:eastAsia="Times New Roman" w:hAnsi="Times New Roman" w:cs="Times New Roman"/>
          <w:sz w:val="24"/>
          <w:szCs w:val="24"/>
        </w:rPr>
        <w:t xml:space="preserve"> </w:t>
      </w:r>
      <w:r w:rsidRPr="007C1CBF">
        <w:rPr>
          <w:rFonts w:ascii="Times New Roman" w:eastAsia="Times New Roman" w:hAnsi="Times New Roman" w:cs="Times New Roman"/>
          <w:i/>
          <w:iCs/>
          <w:sz w:val="24"/>
          <w:szCs w:val="24"/>
        </w:rPr>
        <w:t>Trichophyton rubrum</w:t>
      </w:r>
      <w:r w:rsidRPr="007C1CBF">
        <w:rPr>
          <w:rFonts w:ascii="Times New Roman" w:eastAsia="Times New Roman" w:hAnsi="Times New Roman" w:cs="Times New Roman"/>
          <w:sz w:val="24"/>
          <w:szCs w:val="24"/>
        </w:rPr>
        <w:t xml:space="preserve"> is a major causative agent of dermatophytosis, particularly in tropical regions such as Nigeria. The increasing incidence of antifungal resistance and limitations of conventional therapies have prompted the search for alternative treatments, including medicinal plant extracts.</w:t>
      </w:r>
      <w:r>
        <w:rPr>
          <w:rFonts w:ascii="Times New Roman" w:eastAsia="Times New Roman" w:hAnsi="Times New Roman" w:cs="Times New Roman"/>
          <w:sz w:val="24"/>
          <w:szCs w:val="24"/>
        </w:rPr>
        <w:t xml:space="preserve"> </w:t>
      </w:r>
      <w:r w:rsidRPr="007C1CBF">
        <w:rPr>
          <w:rFonts w:ascii="Times New Roman" w:eastAsia="Times New Roman" w:hAnsi="Times New Roman" w:cs="Times New Roman"/>
          <w:b/>
          <w:bCs/>
          <w:sz w:val="24"/>
          <w:szCs w:val="24"/>
        </w:rPr>
        <w:t>Aim:</w:t>
      </w:r>
      <w:r w:rsidRPr="007C1CBF">
        <w:rPr>
          <w:rFonts w:ascii="Times New Roman" w:eastAsia="Times New Roman" w:hAnsi="Times New Roman" w:cs="Times New Roman"/>
          <w:sz w:val="24"/>
          <w:szCs w:val="24"/>
        </w:rPr>
        <w:t xml:space="preserve"> This study aimed to evaluate the phytochemical composition and antifungal susceptibility of selected medicinal plant extracts against </w:t>
      </w:r>
      <w:r w:rsidRPr="007C1CBF">
        <w:rPr>
          <w:rFonts w:ascii="Times New Roman" w:eastAsia="Times New Roman" w:hAnsi="Times New Roman" w:cs="Times New Roman"/>
          <w:i/>
          <w:iCs/>
          <w:sz w:val="24"/>
          <w:szCs w:val="24"/>
        </w:rPr>
        <w:t>Trichophyton rubrum</w:t>
      </w:r>
      <w:r w:rsidRPr="007C1CBF">
        <w:rPr>
          <w:rFonts w:ascii="Times New Roman" w:eastAsia="Times New Roman" w:hAnsi="Times New Roman" w:cs="Times New Roman"/>
          <w:sz w:val="24"/>
          <w:szCs w:val="24"/>
        </w:rPr>
        <w:t xml:space="preserve"> isolates obtained from tertiary health institutions in Benue State.</w:t>
      </w:r>
      <w:r>
        <w:rPr>
          <w:rFonts w:ascii="Times New Roman" w:eastAsia="Times New Roman" w:hAnsi="Times New Roman" w:cs="Times New Roman"/>
          <w:sz w:val="24"/>
          <w:szCs w:val="24"/>
        </w:rPr>
        <w:t xml:space="preserve"> </w:t>
      </w:r>
      <w:r w:rsidRPr="007C1CBF">
        <w:rPr>
          <w:rFonts w:ascii="Times New Roman" w:eastAsia="Times New Roman" w:hAnsi="Times New Roman" w:cs="Times New Roman"/>
          <w:b/>
          <w:bCs/>
          <w:sz w:val="24"/>
          <w:szCs w:val="24"/>
        </w:rPr>
        <w:t>Methods:</w:t>
      </w:r>
      <w:r w:rsidRPr="007C1CBF">
        <w:rPr>
          <w:rFonts w:ascii="Times New Roman" w:eastAsia="Times New Roman" w:hAnsi="Times New Roman" w:cs="Times New Roman"/>
          <w:sz w:val="24"/>
          <w:szCs w:val="24"/>
        </w:rPr>
        <w:t xml:space="preserve"> Medicinal plants including </w:t>
      </w:r>
      <w:proofErr w:type="spellStart"/>
      <w:r w:rsidRPr="007C1CBF">
        <w:rPr>
          <w:rFonts w:ascii="Times New Roman" w:eastAsia="Times New Roman" w:hAnsi="Times New Roman" w:cs="Times New Roman"/>
          <w:i/>
          <w:iCs/>
          <w:sz w:val="24"/>
          <w:szCs w:val="24"/>
        </w:rPr>
        <w:t>Thevetia</w:t>
      </w:r>
      <w:proofErr w:type="spellEnd"/>
      <w:r w:rsidRPr="007C1CBF">
        <w:rPr>
          <w:rFonts w:ascii="Times New Roman" w:eastAsia="Times New Roman" w:hAnsi="Times New Roman" w:cs="Times New Roman"/>
          <w:i/>
          <w:iCs/>
          <w:sz w:val="24"/>
          <w:szCs w:val="24"/>
        </w:rPr>
        <w:t xml:space="preserve"> </w:t>
      </w:r>
      <w:proofErr w:type="spellStart"/>
      <w:r w:rsidRPr="007C1CBF">
        <w:rPr>
          <w:rFonts w:ascii="Times New Roman" w:eastAsia="Times New Roman" w:hAnsi="Times New Roman" w:cs="Times New Roman"/>
          <w:i/>
          <w:iCs/>
          <w:sz w:val="24"/>
          <w:szCs w:val="24"/>
        </w:rPr>
        <w:t>neriifolia</w:t>
      </w:r>
      <w:proofErr w:type="spellEnd"/>
      <w:r w:rsidRPr="007C1CBF">
        <w:rPr>
          <w:rFonts w:ascii="Times New Roman" w:eastAsia="Times New Roman" w:hAnsi="Times New Roman" w:cs="Times New Roman"/>
          <w:sz w:val="24"/>
          <w:szCs w:val="24"/>
        </w:rPr>
        <w:t xml:space="preserve">, </w:t>
      </w:r>
      <w:r w:rsidRPr="007C1CBF">
        <w:rPr>
          <w:rFonts w:ascii="Times New Roman" w:eastAsia="Times New Roman" w:hAnsi="Times New Roman" w:cs="Times New Roman"/>
          <w:i/>
          <w:iCs/>
          <w:sz w:val="24"/>
          <w:szCs w:val="24"/>
        </w:rPr>
        <w:t xml:space="preserve">Vitellaria </w:t>
      </w:r>
      <w:proofErr w:type="spellStart"/>
      <w:r w:rsidRPr="007C1CBF">
        <w:rPr>
          <w:rFonts w:ascii="Times New Roman" w:eastAsia="Times New Roman" w:hAnsi="Times New Roman" w:cs="Times New Roman"/>
          <w:i/>
          <w:iCs/>
          <w:sz w:val="24"/>
          <w:szCs w:val="24"/>
        </w:rPr>
        <w:t>paradoxa</w:t>
      </w:r>
      <w:proofErr w:type="spellEnd"/>
      <w:r w:rsidRPr="007C1CBF">
        <w:rPr>
          <w:rFonts w:ascii="Times New Roman" w:eastAsia="Times New Roman" w:hAnsi="Times New Roman" w:cs="Times New Roman"/>
          <w:sz w:val="24"/>
          <w:szCs w:val="24"/>
        </w:rPr>
        <w:t xml:space="preserve">, </w:t>
      </w:r>
      <w:proofErr w:type="spellStart"/>
      <w:r w:rsidRPr="007C1CBF">
        <w:rPr>
          <w:rFonts w:ascii="Times New Roman" w:eastAsia="Times New Roman" w:hAnsi="Times New Roman" w:cs="Times New Roman"/>
          <w:i/>
          <w:iCs/>
          <w:sz w:val="24"/>
          <w:szCs w:val="24"/>
        </w:rPr>
        <w:t>Parkia</w:t>
      </w:r>
      <w:proofErr w:type="spellEnd"/>
      <w:r w:rsidRPr="007C1CBF">
        <w:rPr>
          <w:rFonts w:ascii="Times New Roman" w:eastAsia="Times New Roman" w:hAnsi="Times New Roman" w:cs="Times New Roman"/>
          <w:i/>
          <w:iCs/>
          <w:sz w:val="24"/>
          <w:szCs w:val="24"/>
        </w:rPr>
        <w:t xml:space="preserve"> </w:t>
      </w:r>
      <w:proofErr w:type="spellStart"/>
      <w:r w:rsidRPr="007C1CBF">
        <w:rPr>
          <w:rFonts w:ascii="Times New Roman" w:eastAsia="Times New Roman" w:hAnsi="Times New Roman" w:cs="Times New Roman"/>
          <w:i/>
          <w:iCs/>
          <w:sz w:val="24"/>
          <w:szCs w:val="24"/>
        </w:rPr>
        <w:t>biglobosa</w:t>
      </w:r>
      <w:proofErr w:type="spellEnd"/>
      <w:r w:rsidRPr="007C1CBF">
        <w:rPr>
          <w:rFonts w:ascii="Times New Roman" w:eastAsia="Times New Roman" w:hAnsi="Times New Roman" w:cs="Times New Roman"/>
          <w:sz w:val="24"/>
          <w:szCs w:val="24"/>
        </w:rPr>
        <w:t xml:space="preserve">, </w:t>
      </w:r>
      <w:proofErr w:type="spellStart"/>
      <w:r w:rsidRPr="007C1CBF">
        <w:rPr>
          <w:rFonts w:ascii="Times New Roman" w:eastAsia="Times New Roman" w:hAnsi="Times New Roman" w:cs="Times New Roman"/>
          <w:i/>
          <w:iCs/>
          <w:sz w:val="24"/>
          <w:szCs w:val="24"/>
        </w:rPr>
        <w:t>Stereospermum</w:t>
      </w:r>
      <w:proofErr w:type="spellEnd"/>
      <w:r w:rsidRPr="007C1CBF">
        <w:rPr>
          <w:rFonts w:ascii="Times New Roman" w:eastAsia="Times New Roman" w:hAnsi="Times New Roman" w:cs="Times New Roman"/>
          <w:i/>
          <w:iCs/>
          <w:sz w:val="24"/>
          <w:szCs w:val="24"/>
        </w:rPr>
        <w:t xml:space="preserve"> </w:t>
      </w:r>
      <w:proofErr w:type="spellStart"/>
      <w:r w:rsidRPr="007C1CBF">
        <w:rPr>
          <w:rFonts w:ascii="Times New Roman" w:eastAsia="Times New Roman" w:hAnsi="Times New Roman" w:cs="Times New Roman"/>
          <w:i/>
          <w:iCs/>
          <w:sz w:val="24"/>
          <w:szCs w:val="24"/>
        </w:rPr>
        <w:t>kunthianum</w:t>
      </w:r>
      <w:proofErr w:type="spellEnd"/>
      <w:r w:rsidRPr="007C1CBF">
        <w:rPr>
          <w:rFonts w:ascii="Times New Roman" w:eastAsia="Times New Roman" w:hAnsi="Times New Roman" w:cs="Times New Roman"/>
          <w:sz w:val="24"/>
          <w:szCs w:val="24"/>
        </w:rPr>
        <w:t xml:space="preserve">, and </w:t>
      </w:r>
      <w:proofErr w:type="spellStart"/>
      <w:r w:rsidRPr="007C1CBF">
        <w:rPr>
          <w:rFonts w:ascii="Times New Roman" w:eastAsia="Times New Roman" w:hAnsi="Times New Roman" w:cs="Times New Roman"/>
          <w:i/>
          <w:iCs/>
          <w:sz w:val="24"/>
          <w:szCs w:val="24"/>
        </w:rPr>
        <w:t>Mitracarpus</w:t>
      </w:r>
      <w:proofErr w:type="spellEnd"/>
      <w:r w:rsidRPr="007C1CBF">
        <w:rPr>
          <w:rFonts w:ascii="Times New Roman" w:eastAsia="Times New Roman" w:hAnsi="Times New Roman" w:cs="Times New Roman"/>
          <w:i/>
          <w:iCs/>
          <w:sz w:val="24"/>
          <w:szCs w:val="24"/>
        </w:rPr>
        <w:t xml:space="preserve"> </w:t>
      </w:r>
      <w:proofErr w:type="spellStart"/>
      <w:r w:rsidRPr="007C1CBF">
        <w:rPr>
          <w:rFonts w:ascii="Times New Roman" w:eastAsia="Times New Roman" w:hAnsi="Times New Roman" w:cs="Times New Roman"/>
          <w:i/>
          <w:iCs/>
          <w:sz w:val="24"/>
          <w:szCs w:val="24"/>
        </w:rPr>
        <w:t>villosus</w:t>
      </w:r>
      <w:proofErr w:type="spellEnd"/>
      <w:r w:rsidRPr="007C1CBF">
        <w:rPr>
          <w:rFonts w:ascii="Times New Roman" w:eastAsia="Times New Roman" w:hAnsi="Times New Roman" w:cs="Times New Roman"/>
          <w:sz w:val="24"/>
          <w:szCs w:val="24"/>
        </w:rPr>
        <w:t xml:space="preserve"> were collected, identified, and extracted using ethanol. Phytochemical screening was conducted to detect bioactive compounds. Antifungal activity was assessed using the agar well diffusion method at varying concentrations (200, 100, 50, and 25 mg/ml). Standard antifungal drugs (fluconazole, ketoconazole, and griseofulvin) were used as controls. Minimum Inhibitory Concentration (MIC) and Minimum Fungicidal Concentration (MFC) were determined using broth dilution methods.</w:t>
      </w:r>
      <w:r>
        <w:rPr>
          <w:rFonts w:ascii="Times New Roman" w:eastAsia="Times New Roman" w:hAnsi="Times New Roman" w:cs="Times New Roman"/>
          <w:sz w:val="24"/>
          <w:szCs w:val="24"/>
        </w:rPr>
        <w:t xml:space="preserve"> </w:t>
      </w:r>
      <w:r w:rsidRPr="007C1CBF">
        <w:rPr>
          <w:rFonts w:ascii="Times New Roman" w:eastAsia="Times New Roman" w:hAnsi="Times New Roman" w:cs="Times New Roman"/>
          <w:b/>
          <w:bCs/>
          <w:sz w:val="24"/>
          <w:szCs w:val="24"/>
        </w:rPr>
        <w:t>Results:</w:t>
      </w:r>
      <w:r w:rsidRPr="007C1CBF">
        <w:rPr>
          <w:rFonts w:ascii="Times New Roman" w:eastAsia="Times New Roman" w:hAnsi="Times New Roman" w:cs="Times New Roman"/>
          <w:sz w:val="24"/>
          <w:szCs w:val="24"/>
        </w:rPr>
        <w:t xml:space="preserve"> Phytochemical analysis revealed the presence of bioactive compounds such as alkaloids, saponins, tannins, flavonoids, phenols, and terpenoids in varying proportions across the plant extracts. All plant extracts exhibited antifungal activity against </w:t>
      </w:r>
      <w:r w:rsidRPr="007C1CBF">
        <w:rPr>
          <w:rFonts w:ascii="Times New Roman" w:eastAsia="Times New Roman" w:hAnsi="Times New Roman" w:cs="Times New Roman"/>
          <w:i/>
          <w:iCs/>
          <w:sz w:val="24"/>
          <w:szCs w:val="24"/>
        </w:rPr>
        <w:t>T. rubrum</w:t>
      </w:r>
      <w:r w:rsidRPr="007C1CBF">
        <w:rPr>
          <w:rFonts w:ascii="Times New Roman" w:eastAsia="Times New Roman" w:hAnsi="Times New Roman" w:cs="Times New Roman"/>
          <w:sz w:val="24"/>
          <w:szCs w:val="24"/>
        </w:rPr>
        <w:t xml:space="preserve">, with higher efficacy observed at increased concentrations. </w:t>
      </w:r>
      <w:proofErr w:type="spellStart"/>
      <w:r w:rsidRPr="007C1CBF">
        <w:rPr>
          <w:rFonts w:ascii="Times New Roman" w:eastAsia="Times New Roman" w:hAnsi="Times New Roman" w:cs="Times New Roman"/>
          <w:i/>
          <w:iCs/>
          <w:sz w:val="24"/>
          <w:szCs w:val="24"/>
        </w:rPr>
        <w:t>Mitracarpus</w:t>
      </w:r>
      <w:proofErr w:type="spellEnd"/>
      <w:r w:rsidRPr="007C1CBF">
        <w:rPr>
          <w:rFonts w:ascii="Times New Roman" w:eastAsia="Times New Roman" w:hAnsi="Times New Roman" w:cs="Times New Roman"/>
          <w:i/>
          <w:iCs/>
          <w:sz w:val="24"/>
          <w:szCs w:val="24"/>
        </w:rPr>
        <w:t xml:space="preserve"> </w:t>
      </w:r>
      <w:proofErr w:type="spellStart"/>
      <w:r w:rsidRPr="007C1CBF">
        <w:rPr>
          <w:rFonts w:ascii="Times New Roman" w:eastAsia="Times New Roman" w:hAnsi="Times New Roman" w:cs="Times New Roman"/>
          <w:i/>
          <w:iCs/>
          <w:sz w:val="24"/>
          <w:szCs w:val="24"/>
        </w:rPr>
        <w:t>villosus</w:t>
      </w:r>
      <w:proofErr w:type="spellEnd"/>
      <w:r w:rsidRPr="007C1CBF">
        <w:rPr>
          <w:rFonts w:ascii="Times New Roman" w:eastAsia="Times New Roman" w:hAnsi="Times New Roman" w:cs="Times New Roman"/>
          <w:sz w:val="24"/>
          <w:szCs w:val="24"/>
        </w:rPr>
        <w:t xml:space="preserve"> and </w:t>
      </w:r>
      <w:proofErr w:type="spellStart"/>
      <w:r w:rsidRPr="007C1CBF">
        <w:rPr>
          <w:rFonts w:ascii="Times New Roman" w:eastAsia="Times New Roman" w:hAnsi="Times New Roman" w:cs="Times New Roman"/>
          <w:i/>
          <w:iCs/>
          <w:sz w:val="24"/>
          <w:szCs w:val="24"/>
        </w:rPr>
        <w:t>Thevetia</w:t>
      </w:r>
      <w:proofErr w:type="spellEnd"/>
      <w:r w:rsidRPr="007C1CBF">
        <w:rPr>
          <w:rFonts w:ascii="Times New Roman" w:eastAsia="Times New Roman" w:hAnsi="Times New Roman" w:cs="Times New Roman"/>
          <w:i/>
          <w:iCs/>
          <w:sz w:val="24"/>
          <w:szCs w:val="24"/>
        </w:rPr>
        <w:t xml:space="preserve"> </w:t>
      </w:r>
      <w:proofErr w:type="spellStart"/>
      <w:r w:rsidRPr="007C1CBF">
        <w:rPr>
          <w:rFonts w:ascii="Times New Roman" w:eastAsia="Times New Roman" w:hAnsi="Times New Roman" w:cs="Times New Roman"/>
          <w:i/>
          <w:iCs/>
          <w:sz w:val="24"/>
          <w:szCs w:val="24"/>
        </w:rPr>
        <w:t>neriifolia</w:t>
      </w:r>
      <w:proofErr w:type="spellEnd"/>
      <w:r w:rsidRPr="007C1CBF">
        <w:rPr>
          <w:rFonts w:ascii="Times New Roman" w:eastAsia="Times New Roman" w:hAnsi="Times New Roman" w:cs="Times New Roman"/>
          <w:sz w:val="24"/>
          <w:szCs w:val="24"/>
        </w:rPr>
        <w:t xml:space="preserve"> demonstrated the highest zones of inhibition (25.3 mm and 24.7 mm, respectively, at 200 mg/ml). Among the antifungal drugs, fluconazole showed the highest activity (up to 46 mm). MIC values ranged from 25 mg/ml (fluconazole) to 100 mg/ml for some plant extracts, indicating moderate to strong antifungal potential.</w:t>
      </w:r>
      <w:r>
        <w:rPr>
          <w:rFonts w:ascii="Times New Roman" w:eastAsia="Times New Roman" w:hAnsi="Times New Roman" w:cs="Times New Roman"/>
          <w:sz w:val="24"/>
          <w:szCs w:val="24"/>
        </w:rPr>
        <w:t xml:space="preserve"> </w:t>
      </w:r>
      <w:r w:rsidRPr="007C1CBF">
        <w:rPr>
          <w:rFonts w:ascii="Times New Roman" w:eastAsia="Times New Roman" w:hAnsi="Times New Roman" w:cs="Times New Roman"/>
          <w:b/>
          <w:bCs/>
          <w:sz w:val="24"/>
          <w:szCs w:val="24"/>
        </w:rPr>
        <w:t>Conclusion:</w:t>
      </w:r>
      <w:r w:rsidRPr="007C1CBF">
        <w:rPr>
          <w:rFonts w:ascii="Times New Roman" w:eastAsia="Times New Roman" w:hAnsi="Times New Roman" w:cs="Times New Roman"/>
          <w:sz w:val="24"/>
          <w:szCs w:val="24"/>
        </w:rPr>
        <w:t xml:space="preserve"> The findings demonstrate that selected medicinal plants possess significant antifungal activity against </w:t>
      </w:r>
      <w:r w:rsidRPr="007C1CBF">
        <w:rPr>
          <w:rFonts w:ascii="Times New Roman" w:eastAsia="Times New Roman" w:hAnsi="Times New Roman" w:cs="Times New Roman"/>
          <w:i/>
          <w:iCs/>
          <w:sz w:val="24"/>
          <w:szCs w:val="24"/>
        </w:rPr>
        <w:t>T. rubrum</w:t>
      </w:r>
      <w:r w:rsidRPr="007C1CBF">
        <w:rPr>
          <w:rFonts w:ascii="Times New Roman" w:eastAsia="Times New Roman" w:hAnsi="Times New Roman" w:cs="Times New Roman"/>
          <w:sz w:val="24"/>
          <w:szCs w:val="24"/>
        </w:rPr>
        <w:t>, supporting their potential as alternative or complementary therapeutic agents. Further studies are recommended to isolate active compounds and validate their clinical applicability</w:t>
      </w:r>
    </w:p>
    <w:p w14:paraId="5E91E904" w14:textId="77777777" w:rsidR="00922300" w:rsidRPr="00466898" w:rsidRDefault="00466898" w:rsidP="00D768F6">
      <w:pPr>
        <w:spacing w:before="100" w:beforeAutospacing="1" w:after="100" w:afterAutospacing="1" w:line="240" w:lineRule="auto"/>
        <w:rPr>
          <w:rFonts w:ascii="Times New Roman" w:eastAsia="Times New Roman" w:hAnsi="Times New Roman" w:cs="Times New Roman"/>
          <w:sz w:val="24"/>
          <w:szCs w:val="24"/>
        </w:rPr>
      </w:pPr>
      <w:r w:rsidRPr="007C1CBF">
        <w:rPr>
          <w:rFonts w:ascii="Times New Roman" w:eastAsia="Times New Roman" w:hAnsi="Times New Roman" w:cs="Times New Roman"/>
          <w:b/>
          <w:bCs/>
          <w:sz w:val="24"/>
          <w:szCs w:val="24"/>
        </w:rPr>
        <w:t>Keywords:</w:t>
      </w:r>
      <w:r w:rsidRPr="007C1CBF">
        <w:rPr>
          <w:rFonts w:ascii="Times New Roman" w:eastAsia="Times New Roman" w:hAnsi="Times New Roman" w:cs="Times New Roman"/>
          <w:sz w:val="24"/>
          <w:szCs w:val="24"/>
        </w:rPr>
        <w:t xml:space="preserve"> </w:t>
      </w:r>
      <w:r w:rsidRPr="007C1CBF">
        <w:rPr>
          <w:rFonts w:ascii="Times New Roman" w:eastAsia="Times New Roman" w:hAnsi="Times New Roman" w:cs="Times New Roman"/>
          <w:i/>
          <w:iCs/>
          <w:sz w:val="24"/>
          <w:szCs w:val="24"/>
        </w:rPr>
        <w:t>Trichophyton rubrum</w:t>
      </w:r>
      <w:r w:rsidRPr="007C1CBF">
        <w:rPr>
          <w:rFonts w:ascii="Times New Roman" w:eastAsia="Times New Roman" w:hAnsi="Times New Roman" w:cs="Times New Roman"/>
          <w:sz w:val="24"/>
          <w:szCs w:val="24"/>
        </w:rPr>
        <w:t>, medicinal plants, antifungal activity, phytochemicals, MIC, MFC, Nigeria</w:t>
      </w:r>
    </w:p>
    <w:p w14:paraId="1EA5190B" w14:textId="77777777" w:rsidR="00922300" w:rsidRDefault="00922300" w:rsidP="00D768F6">
      <w:pPr>
        <w:spacing w:before="100" w:beforeAutospacing="1" w:after="100" w:afterAutospacing="1" w:line="240" w:lineRule="auto"/>
        <w:rPr>
          <w:rFonts w:ascii="Times New Roman" w:eastAsia="Times New Roman" w:hAnsi="Times New Roman" w:cs="Times New Roman"/>
          <w:b/>
          <w:sz w:val="24"/>
          <w:szCs w:val="24"/>
        </w:rPr>
      </w:pPr>
      <w:r w:rsidRPr="00922300">
        <w:rPr>
          <w:rFonts w:ascii="Times New Roman" w:eastAsia="Times New Roman" w:hAnsi="Times New Roman" w:cs="Times New Roman"/>
          <w:b/>
          <w:sz w:val="24"/>
          <w:szCs w:val="24"/>
        </w:rPr>
        <w:t>Introduction</w:t>
      </w:r>
    </w:p>
    <w:p w14:paraId="3EBE85A0" w14:textId="77777777" w:rsidR="00AC564F" w:rsidRDefault="00AC564F" w:rsidP="00D768F6">
      <w:pPr>
        <w:spacing w:before="100" w:beforeAutospacing="1" w:after="100" w:afterAutospacing="1" w:line="240" w:lineRule="auto"/>
        <w:rPr>
          <w:rFonts w:ascii="Times New Roman" w:eastAsia="Times New Roman" w:hAnsi="Times New Roman" w:cs="Times New Roman"/>
          <w:sz w:val="24"/>
          <w:szCs w:val="24"/>
        </w:rPr>
      </w:pP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xml:space="preserve"> is a major etiologic agent of superficial fungal infections like athlete's foot and ringworm, which are very common in tropical regions like Nigeria due to factors like high humidity and lack of proper personal hygiene (Ameen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2020). Onychomycosis, a fungal infection of the nails, is a major global public health issue. It is caused by infection with a number of dermatophytes, the primary causative agents (de Berker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2007). This infection can markedly affect patients' occupational, social, and emotional status, predisposing to embarrassment in working and social settings due to the reluctance to display affected hands or feet. There are several risk factors that contribute to Onychomycosis development, including diabetes mellitus, advanced age, nail trauma, poor circulation, weakened immune systems, tight shoes, long fingernails, artificial nails, walking barefoot in public, sharing shoes, and exposure of </w:t>
      </w:r>
      <w:r w:rsidRPr="00070189">
        <w:rPr>
          <w:rFonts w:ascii="Times New Roman" w:eastAsia="Times New Roman" w:hAnsi="Times New Roman" w:cs="Times New Roman"/>
          <w:sz w:val="24"/>
          <w:szCs w:val="24"/>
        </w:rPr>
        <w:lastRenderedPageBreak/>
        <w:t xml:space="preserve">the hands or feet to moisture for prolonged durations (Westerberg and </w:t>
      </w:r>
      <w:proofErr w:type="spellStart"/>
      <w:r w:rsidRPr="00070189">
        <w:rPr>
          <w:rFonts w:ascii="Times New Roman" w:eastAsia="Times New Roman" w:hAnsi="Times New Roman" w:cs="Times New Roman"/>
          <w:sz w:val="24"/>
          <w:szCs w:val="24"/>
        </w:rPr>
        <w:t>Voyack</w:t>
      </w:r>
      <w:proofErr w:type="spellEnd"/>
      <w:r w:rsidRPr="00070189">
        <w:rPr>
          <w:rFonts w:ascii="Times New Roman" w:eastAsia="Times New Roman" w:hAnsi="Times New Roman" w:cs="Times New Roman"/>
          <w:sz w:val="24"/>
          <w:szCs w:val="24"/>
        </w:rPr>
        <w:t xml:space="preserve">, 2013). The increasing prevalence of Onychomycosis was an eye-opener regarding awareness of its etiologic agents and associated risk factors (Baki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2018). </w:t>
      </w: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a dermatophyte with a keratinophilic affinity that has a virulent tendency towards keratinized tissue, is a major contributor to Onychomycosis's global burden (</w:t>
      </w:r>
      <w:proofErr w:type="spellStart"/>
      <w:r w:rsidRPr="00070189">
        <w:rPr>
          <w:rFonts w:ascii="Times New Roman" w:eastAsia="Times New Roman" w:hAnsi="Times New Roman" w:cs="Times New Roman"/>
          <w:sz w:val="24"/>
          <w:szCs w:val="24"/>
        </w:rPr>
        <w:t>Jazdarehee</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2022). As in the rest of the tropical areas, Nigeria's high-temperature and humid climate is favorable for dermatophytes to develop and multiply (</w:t>
      </w:r>
      <w:proofErr w:type="spellStart"/>
      <w:r w:rsidRPr="00070189">
        <w:rPr>
          <w:rFonts w:ascii="Times New Roman" w:eastAsia="Times New Roman" w:hAnsi="Times New Roman" w:cs="Times New Roman"/>
          <w:sz w:val="24"/>
          <w:szCs w:val="24"/>
        </w:rPr>
        <w:t>Yenişehirliet</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2012).</w:t>
      </w:r>
      <w:r w:rsidRPr="00070189">
        <w:rPr>
          <w:rFonts w:ascii="Times New Roman" w:eastAsia="Times New Roman" w:hAnsi="Times New Roman" w:cs="Times New Roman"/>
          <w:sz w:val="24"/>
          <w:szCs w:val="24"/>
        </w:rPr>
        <w:br/>
        <w:t>Understanding the epidemiology of onychomycosis and its etiologic agents in the Benue state is important for the planning of targeted prevention and treatment interventions that are specific to the local population. In Benue State, the infections are most prevalent, with the</w:t>
      </w:r>
      <w:r>
        <w:rPr>
          <w:rFonts w:ascii="Times New Roman" w:eastAsia="Times New Roman" w:hAnsi="Times New Roman" w:cs="Times New Roman"/>
          <w:sz w:val="24"/>
          <w:szCs w:val="24"/>
        </w:rPr>
        <w:t xml:space="preserve"> majority of patients</w:t>
      </w:r>
      <w:r w:rsidRPr="00070189">
        <w:rPr>
          <w:rFonts w:ascii="Times New Roman" w:eastAsia="Times New Roman" w:hAnsi="Times New Roman" w:cs="Times New Roman"/>
          <w:sz w:val="24"/>
          <w:szCs w:val="24"/>
        </w:rPr>
        <w:t xml:space="preserve"> at tertiary health centers. Despite the existence of conventional antifungal treatment, it is under growing scrutiny of drug resistance and toxicity, which requires novel therapies (Gupta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2021). Medicinal plants, which have been used conventionally in antifungal activity because of their extensive background in medicine, offer a possible avenue toward novel therapies (Okeke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2023). </w:t>
      </w:r>
    </w:p>
    <w:p w14:paraId="2E1921AB" w14:textId="77777777" w:rsidR="00922300" w:rsidRPr="0014133E" w:rsidRDefault="00922300" w:rsidP="00D768F6">
      <w:pPr>
        <w:spacing w:line="240" w:lineRule="auto"/>
        <w:jc w:val="both"/>
        <w:rPr>
          <w:rFonts w:ascii="Times New Roman" w:hAnsi="Times New Roman" w:cs="Times New Roman"/>
          <w:bCs/>
          <w:sz w:val="24"/>
          <w:szCs w:val="24"/>
        </w:rPr>
      </w:pPr>
      <w:r w:rsidRPr="00537858">
        <w:rPr>
          <w:rFonts w:ascii="Times New Roman" w:hAnsi="Times New Roman" w:cs="Times New Roman"/>
          <w:bCs/>
          <w:sz w:val="24"/>
          <w:szCs w:val="24"/>
        </w:rPr>
        <w:t xml:space="preserve">The </w:t>
      </w:r>
      <w:r>
        <w:rPr>
          <w:rFonts w:ascii="Times New Roman" w:hAnsi="Times New Roman" w:cs="Times New Roman"/>
          <w:bCs/>
          <w:sz w:val="24"/>
          <w:szCs w:val="24"/>
        </w:rPr>
        <w:t xml:space="preserve">aim of this study is to investigate the Antimycotic Effects of selected Medicinal Plants on </w:t>
      </w:r>
      <w:r w:rsidRPr="00922300">
        <w:rPr>
          <w:rFonts w:ascii="Times New Roman" w:hAnsi="Times New Roman" w:cs="Times New Roman"/>
          <w:bCs/>
          <w:i/>
          <w:sz w:val="24"/>
          <w:szCs w:val="24"/>
        </w:rPr>
        <w:t>T. rubrum</w:t>
      </w:r>
      <w:r>
        <w:rPr>
          <w:rFonts w:ascii="Times New Roman" w:hAnsi="Times New Roman" w:cs="Times New Roman"/>
          <w:bCs/>
          <w:sz w:val="24"/>
          <w:szCs w:val="24"/>
        </w:rPr>
        <w:t xml:space="preserve"> isolated from two (2) </w:t>
      </w:r>
      <w:r>
        <w:rPr>
          <w:rFonts w:ascii="Times New Roman" w:hAnsi="Times New Roman" w:cs="Times New Roman"/>
          <w:sz w:val="24"/>
          <w:szCs w:val="24"/>
        </w:rPr>
        <w:t>Tertiary Hospitals i</w:t>
      </w:r>
      <w:r w:rsidRPr="00731BE3">
        <w:rPr>
          <w:rFonts w:ascii="Times New Roman" w:hAnsi="Times New Roman" w:cs="Times New Roman"/>
          <w:sz w:val="24"/>
          <w:szCs w:val="24"/>
        </w:rPr>
        <w:t>n Benue State</w:t>
      </w:r>
    </w:p>
    <w:p w14:paraId="152D6F18" w14:textId="77777777" w:rsidR="00922300" w:rsidRDefault="00F655CC"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0B0BBA9F" w14:textId="77777777" w:rsidR="00F655CC" w:rsidRPr="0010186F" w:rsidRDefault="00F655CC" w:rsidP="00D768F6">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10186F">
        <w:rPr>
          <w:rFonts w:ascii="Times New Roman" w:eastAsia="Times New Roman" w:hAnsi="Times New Roman" w:cs="Times New Roman"/>
          <w:b/>
          <w:sz w:val="24"/>
          <w:szCs w:val="24"/>
        </w:rPr>
        <w:t>ollection of Plants Materials</w:t>
      </w:r>
    </w:p>
    <w:p w14:paraId="5C032380" w14:textId="77777777" w:rsidR="00F655CC" w:rsidRPr="0010186F" w:rsidRDefault="00F655CC" w:rsidP="00D768F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plant materials were collected from </w:t>
      </w:r>
      <w:proofErr w:type="spellStart"/>
      <w:r>
        <w:rPr>
          <w:rFonts w:ascii="Times New Roman" w:eastAsia="Times New Roman" w:hAnsi="Times New Roman" w:cs="Times New Roman"/>
          <w:sz w:val="24"/>
          <w:szCs w:val="24"/>
        </w:rPr>
        <w:t>Apebo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Mbangbagh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Shivende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Buruku</w:t>
      </w:r>
      <w:proofErr w:type="spellEnd"/>
      <w:r>
        <w:rPr>
          <w:rFonts w:ascii="Times New Roman" w:eastAsia="Times New Roman" w:hAnsi="Times New Roman" w:cs="Times New Roman"/>
          <w:sz w:val="24"/>
          <w:szCs w:val="24"/>
        </w:rPr>
        <w:t xml:space="preserve"> L.G.A of Benue State. The selected plants of </w:t>
      </w:r>
      <w:proofErr w:type="spellStart"/>
      <w:r w:rsidRPr="006739AE">
        <w:rPr>
          <w:rFonts w:ascii="Times New Roman" w:eastAsia="Times New Roman" w:hAnsi="Times New Roman" w:cs="Times New Roman"/>
          <w:i/>
          <w:sz w:val="24"/>
          <w:szCs w:val="24"/>
        </w:rPr>
        <w:t>Thevia</w:t>
      </w:r>
      <w:proofErr w:type="spellEnd"/>
      <w:r w:rsidRPr="006739AE">
        <w:rPr>
          <w:rFonts w:ascii="Times New Roman" w:eastAsia="Times New Roman" w:hAnsi="Times New Roman" w:cs="Times New Roman"/>
          <w:i/>
          <w:sz w:val="24"/>
          <w:szCs w:val="24"/>
        </w:rPr>
        <w:t xml:space="preserve"> </w:t>
      </w:r>
      <w:proofErr w:type="spellStart"/>
      <w:r w:rsidRPr="006739AE">
        <w:rPr>
          <w:rFonts w:ascii="Times New Roman" w:eastAsia="Times New Roman" w:hAnsi="Times New Roman" w:cs="Times New Roman"/>
          <w:i/>
          <w:sz w:val="24"/>
          <w:szCs w:val="24"/>
        </w:rPr>
        <w:t>neforiia</w:t>
      </w:r>
      <w:proofErr w:type="spellEnd"/>
      <w:r>
        <w:rPr>
          <w:rFonts w:ascii="Times New Roman" w:eastAsia="Times New Roman" w:hAnsi="Times New Roman" w:cs="Times New Roman"/>
          <w:sz w:val="24"/>
          <w:szCs w:val="24"/>
        </w:rPr>
        <w:t xml:space="preserve"> </w:t>
      </w:r>
      <w:proofErr w:type="spellStart"/>
      <w:r w:rsidRPr="0010186F">
        <w:rPr>
          <w:rFonts w:ascii="Times New Roman" w:eastAsia="Times New Roman" w:hAnsi="Times New Roman" w:cs="Times New Roman"/>
          <w:i/>
          <w:sz w:val="24"/>
          <w:szCs w:val="24"/>
        </w:rPr>
        <w:t>Viterallia</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paradoxa</w:t>
      </w:r>
      <w:proofErr w:type="spellEnd"/>
      <w:r w:rsidRPr="0010186F">
        <w:rPr>
          <w:rFonts w:ascii="Times New Roman" w:eastAsia="Times New Roman" w:hAnsi="Times New Roman" w:cs="Times New Roman"/>
          <w:i/>
          <w:sz w:val="24"/>
          <w:szCs w:val="24"/>
        </w:rPr>
        <w:t xml:space="preserve">, Jatropha </w:t>
      </w:r>
      <w:proofErr w:type="spellStart"/>
      <w:r w:rsidRPr="0010186F">
        <w:rPr>
          <w:rFonts w:ascii="Times New Roman" w:eastAsia="Times New Roman" w:hAnsi="Times New Roman" w:cs="Times New Roman"/>
          <w:i/>
          <w:sz w:val="24"/>
          <w:szCs w:val="24"/>
        </w:rPr>
        <w:t>curcas</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Parkia</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biglobosa</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Stereospernum</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kunthianum</w:t>
      </w:r>
      <w:proofErr w:type="spellEnd"/>
      <w:r>
        <w:rPr>
          <w:rFonts w:ascii="Times New Roman" w:eastAsia="Times New Roman" w:hAnsi="Times New Roman" w:cs="Times New Roman"/>
          <w:sz w:val="24"/>
          <w:szCs w:val="24"/>
        </w:rPr>
        <w:t xml:space="preserve"> and </w:t>
      </w:r>
      <w:proofErr w:type="spellStart"/>
      <w:r w:rsidRPr="0010186F">
        <w:rPr>
          <w:rFonts w:ascii="Times New Roman" w:eastAsia="Times New Roman" w:hAnsi="Times New Roman" w:cs="Times New Roman"/>
          <w:i/>
          <w:sz w:val="24"/>
          <w:szCs w:val="24"/>
        </w:rPr>
        <w:t>Mitracarpus</w:t>
      </w:r>
      <w:proofErr w:type="spellEnd"/>
      <w:r w:rsidRPr="0010186F">
        <w:rPr>
          <w:rFonts w:ascii="Times New Roman" w:eastAsia="Times New Roman" w:hAnsi="Times New Roman" w:cs="Times New Roman"/>
          <w:i/>
          <w:sz w:val="24"/>
          <w:szCs w:val="24"/>
        </w:rPr>
        <w:t xml:space="preserve"> </w:t>
      </w:r>
      <w:proofErr w:type="spellStart"/>
      <w:r w:rsidRPr="0010186F">
        <w:rPr>
          <w:rFonts w:ascii="Times New Roman" w:eastAsia="Times New Roman" w:hAnsi="Times New Roman" w:cs="Times New Roman"/>
          <w:i/>
          <w:sz w:val="24"/>
          <w:szCs w:val="24"/>
        </w:rPr>
        <w:t>villosus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were collected and transported to the department of plant science and biotechnology JOSTUM for identification by a Taxonomist</w:t>
      </w:r>
    </w:p>
    <w:p w14:paraId="7F75D91C" w14:textId="77777777" w:rsidR="00F655CC" w:rsidRPr="00425A95" w:rsidRDefault="00F655CC" w:rsidP="00D768F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Preparation and </w:t>
      </w:r>
      <w:r w:rsidRPr="00425A95">
        <w:rPr>
          <w:rFonts w:ascii="Times New Roman" w:hAnsi="Times New Roman" w:cs="Times New Roman"/>
          <w:b/>
          <w:bCs/>
          <w:sz w:val="24"/>
          <w:szCs w:val="24"/>
        </w:rPr>
        <w:t>Extraction of Medicinal Plant</w:t>
      </w:r>
      <w:r>
        <w:rPr>
          <w:rFonts w:ascii="Times New Roman" w:hAnsi="Times New Roman" w:cs="Times New Roman"/>
          <w:b/>
          <w:bCs/>
          <w:sz w:val="24"/>
          <w:szCs w:val="24"/>
        </w:rPr>
        <w:t xml:space="preserve"> Materials</w:t>
      </w:r>
    </w:p>
    <w:p w14:paraId="671711CA" w14:textId="77777777"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425A95">
        <w:rPr>
          <w:rFonts w:ascii="Times New Roman" w:eastAsia="Times New Roman" w:hAnsi="Times New Roman" w:cs="Times New Roman"/>
          <w:sz w:val="24"/>
          <w:szCs w:val="24"/>
        </w:rPr>
        <w:t xml:space="preserve">Bark </w:t>
      </w:r>
      <w:r>
        <w:rPr>
          <w:rFonts w:ascii="Times New Roman" w:eastAsia="Times New Roman" w:hAnsi="Times New Roman" w:cs="Times New Roman"/>
          <w:sz w:val="24"/>
          <w:szCs w:val="24"/>
        </w:rPr>
        <w:t xml:space="preserve">and Leaves of all the selected plants were removed and washed with clean water and dried under shield for three weeks. The dried plant bark and leaves were ponded using pestle and mortar and sieved using a mesh with fine pore size to obtain a fine powder. Absolute ethanol was used in the extraction of the plant materials in two methods the powder for each plant was weighed and soaked into 500 ml of the solvent in the ratio of 1: 10 and the mixture was allowed to stand for 72 hours with regular shaking. The mixture was then filtered using a cheese cloth with a fine spore size after which the filtrate was evaporated to dryness using a water at the temperature of 45 </w:t>
      </w:r>
      <w:r w:rsidRPr="006F2CEE">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The extracts were store in a cool dry place for the analysis.</w:t>
      </w:r>
    </w:p>
    <w:p w14:paraId="7B124DB8" w14:textId="77777777" w:rsidR="00F655CC" w:rsidRPr="007A0C11" w:rsidRDefault="00F655CC" w:rsidP="00D768F6">
      <w:pPr>
        <w:spacing w:line="240" w:lineRule="auto"/>
        <w:jc w:val="both"/>
        <w:rPr>
          <w:rFonts w:ascii="Times New Roman" w:eastAsia="Times New Roman" w:hAnsi="Times New Roman" w:cs="Times New Roman"/>
          <w:b/>
          <w:sz w:val="24"/>
          <w:szCs w:val="24"/>
        </w:rPr>
      </w:pPr>
      <w:r w:rsidRPr="007A0C11">
        <w:rPr>
          <w:rFonts w:ascii="Times New Roman" w:eastAsia="Times New Roman" w:hAnsi="Times New Roman" w:cs="Times New Roman"/>
          <w:b/>
          <w:sz w:val="24"/>
          <w:szCs w:val="24"/>
        </w:rPr>
        <w:t xml:space="preserve"> Phytochemical Analysis of the plant Extracts</w:t>
      </w:r>
    </w:p>
    <w:p w14:paraId="083C75CC" w14:textId="77777777" w:rsidR="00F655CC" w:rsidRDefault="00F655CC" w:rsidP="00D768F6">
      <w:pPr>
        <w:spacing w:line="240" w:lineRule="auto"/>
        <w:jc w:val="both"/>
        <w:rPr>
          <w:rFonts w:ascii="Times New Roman" w:eastAsia="Times New Roman" w:hAnsi="Times New Roman" w:cs="Times New Roman"/>
          <w:sz w:val="24"/>
          <w:szCs w:val="24"/>
        </w:rPr>
      </w:pPr>
      <w:r w:rsidRPr="007A0C11">
        <w:rPr>
          <w:rFonts w:ascii="Times New Roman" w:eastAsia="Times New Roman" w:hAnsi="Times New Roman" w:cs="Times New Roman"/>
          <w:b/>
          <w:sz w:val="24"/>
          <w:szCs w:val="24"/>
        </w:rPr>
        <w:t>Test for Alkaloids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Mayer’s test: Few drops of Mayer’s reagents were added to 2 ml of the extract along the side of the test tube. Appearance of a creamy precipitate indicates the presence of alkaloids. </w:t>
      </w:r>
      <w:r w:rsidRPr="00C365A7">
        <w:rPr>
          <w:rFonts w:ascii="Times New Roman" w:eastAsia="Times New Roman" w:hAnsi="Times New Roman" w:cs="Times New Roman"/>
          <w:b/>
          <w:sz w:val="24"/>
          <w:szCs w:val="24"/>
        </w:rPr>
        <w:t>Test for Glycosides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Few drops of hydrochloric acid was added to 2 ml of the extract and heated for 5 minutes then allowed to cool and 2 ml of chloroform was added to the hydro lysate and shaken. A chloroform layer was spared and 10% ammonia solution was added and a pink color indicates the presence of glycosides </w:t>
      </w:r>
      <w:r w:rsidRPr="00C365A7">
        <w:rPr>
          <w:rFonts w:ascii="Times New Roman" w:eastAsia="Times New Roman" w:hAnsi="Times New Roman" w:cs="Times New Roman"/>
          <w:b/>
          <w:sz w:val="24"/>
          <w:szCs w:val="24"/>
        </w:rPr>
        <w:t>Test for Phenol</w:t>
      </w:r>
      <w:r>
        <w:rPr>
          <w:rFonts w:ascii="Times New Roman" w:eastAsia="Times New Roman" w:hAnsi="Times New Roman" w:cs="Times New Roman"/>
          <w:sz w:val="24"/>
          <w:szCs w:val="24"/>
        </w:rPr>
        <w:t xml:space="preserve">: Few drops of 5% ferric chloride solution was added to 2 ml of the extracts. A dark green color indicates the presence of phenolic </w:t>
      </w:r>
      <w:r>
        <w:rPr>
          <w:rFonts w:ascii="Times New Roman" w:eastAsia="Times New Roman" w:hAnsi="Times New Roman" w:cs="Times New Roman"/>
          <w:sz w:val="24"/>
          <w:szCs w:val="24"/>
        </w:rPr>
        <w:lastRenderedPageBreak/>
        <w:t xml:space="preserve">compound. </w:t>
      </w:r>
      <w:r w:rsidRPr="00C365A7">
        <w:rPr>
          <w:rFonts w:ascii="Times New Roman" w:eastAsia="Times New Roman" w:hAnsi="Times New Roman" w:cs="Times New Roman"/>
          <w:b/>
          <w:sz w:val="24"/>
          <w:szCs w:val="24"/>
        </w:rPr>
        <w:t>Test for Tannins</w:t>
      </w:r>
      <w:r>
        <w:rPr>
          <w:rFonts w:ascii="Times New Roman" w:eastAsia="Times New Roman" w:hAnsi="Times New Roman" w:cs="Times New Roman"/>
          <w:sz w:val="24"/>
          <w:szCs w:val="24"/>
        </w:rPr>
        <w:t xml:space="preserve">: Few drops of ferric chloride (5%) was added to 2 ml of the extracts. A deep blue color indicates the presence of Tannins compounds. </w:t>
      </w:r>
      <w:r w:rsidRPr="00C44BC9">
        <w:rPr>
          <w:rFonts w:ascii="Times New Roman" w:eastAsia="Times New Roman" w:hAnsi="Times New Roman" w:cs="Times New Roman"/>
          <w:b/>
          <w:sz w:val="24"/>
          <w:szCs w:val="24"/>
        </w:rPr>
        <w:t>Test for Saponins</w:t>
      </w:r>
      <w:r>
        <w:rPr>
          <w:rFonts w:ascii="Times New Roman" w:eastAsia="Times New Roman" w:hAnsi="Times New Roman" w:cs="Times New Roman"/>
          <w:sz w:val="24"/>
          <w:szCs w:val="24"/>
        </w:rPr>
        <w:t xml:space="preserve">: Five milliliters of distilled water was added to 5 ml of extract in a test tube and shaken for 5 minutes. Development of foam suggested the presence of saponins. </w:t>
      </w:r>
      <w:r w:rsidRPr="00C44BC9">
        <w:rPr>
          <w:rFonts w:ascii="Times New Roman" w:eastAsia="Times New Roman" w:hAnsi="Times New Roman" w:cs="Times New Roman"/>
          <w:b/>
          <w:sz w:val="24"/>
          <w:szCs w:val="24"/>
        </w:rPr>
        <w:t>Test for Terpenoids</w:t>
      </w:r>
      <w:r>
        <w:rPr>
          <w:rFonts w:ascii="Times New Roman" w:eastAsia="Times New Roman" w:hAnsi="Times New Roman" w:cs="Times New Roman"/>
          <w:sz w:val="24"/>
          <w:szCs w:val="24"/>
        </w:rPr>
        <w:t xml:space="preserve">: Five milliliters of the extract was treated with 2 ml of 0,1% anhydrous Stannic chloride in pure thiol chloride. A deep purple color that changes to red indicates the presence of terpenoids. </w:t>
      </w:r>
      <w:r w:rsidRPr="0059302C">
        <w:rPr>
          <w:rFonts w:ascii="Times New Roman" w:eastAsia="Times New Roman" w:hAnsi="Times New Roman" w:cs="Times New Roman"/>
          <w:b/>
          <w:sz w:val="24"/>
          <w:szCs w:val="24"/>
        </w:rPr>
        <w:t>Test for Steroids</w:t>
      </w:r>
      <w:r>
        <w:rPr>
          <w:rFonts w:ascii="Times New Roman" w:eastAsia="Times New Roman" w:hAnsi="Times New Roman" w:cs="Times New Roman"/>
          <w:sz w:val="24"/>
          <w:szCs w:val="24"/>
        </w:rPr>
        <w:t xml:space="preserve">: To 5 ml of the extract, 2 ml of chloroform and 2 ml of concentrated </w:t>
      </w:r>
      <w:proofErr w:type="spellStart"/>
      <w:r>
        <w:rPr>
          <w:rFonts w:ascii="Times New Roman" w:eastAsia="Times New Roman" w:hAnsi="Times New Roman" w:cs="Times New Roman"/>
          <w:sz w:val="24"/>
          <w:szCs w:val="24"/>
        </w:rPr>
        <w:t>sulphoric</w:t>
      </w:r>
      <w:proofErr w:type="spellEnd"/>
      <w:r>
        <w:rPr>
          <w:rFonts w:ascii="Times New Roman" w:eastAsia="Times New Roman" w:hAnsi="Times New Roman" w:cs="Times New Roman"/>
          <w:sz w:val="24"/>
          <w:szCs w:val="24"/>
        </w:rPr>
        <w:t xml:space="preserve"> acid was added from the side of the test tube. The test tube was shaken for few minutes. The development of red color in the chloroform layer indicates the presence of steroids. </w:t>
      </w:r>
      <w:r w:rsidRPr="0059302C">
        <w:rPr>
          <w:rFonts w:ascii="Times New Roman" w:eastAsia="Times New Roman" w:hAnsi="Times New Roman" w:cs="Times New Roman"/>
          <w:b/>
          <w:sz w:val="24"/>
          <w:szCs w:val="24"/>
        </w:rPr>
        <w:t>Test for Flavonoids</w:t>
      </w:r>
      <w:r>
        <w:rPr>
          <w:rFonts w:ascii="Times New Roman" w:eastAsia="Times New Roman" w:hAnsi="Times New Roman" w:cs="Times New Roman"/>
          <w:sz w:val="24"/>
          <w:szCs w:val="24"/>
        </w:rPr>
        <w:t>: Few drops of ferric chloride were added to 5 ml of the extract. A deep yellow color indicates the presence of flavonoids.</w:t>
      </w:r>
    </w:p>
    <w:p w14:paraId="127FC098" w14:textId="77777777" w:rsidR="00F655CC" w:rsidRDefault="00F655CC" w:rsidP="00D768F6">
      <w:pPr>
        <w:spacing w:line="240" w:lineRule="auto"/>
        <w:jc w:val="both"/>
        <w:rPr>
          <w:rFonts w:ascii="Times New Roman" w:eastAsia="Times New Roman" w:hAnsi="Times New Roman" w:cs="Times New Roman"/>
          <w:b/>
          <w:sz w:val="24"/>
          <w:szCs w:val="24"/>
        </w:rPr>
      </w:pPr>
    </w:p>
    <w:p w14:paraId="4A0C4483" w14:textId="77777777" w:rsidR="00F655CC" w:rsidRPr="00294C9E" w:rsidRDefault="00F655CC" w:rsidP="00D768F6">
      <w:pPr>
        <w:spacing w:line="240" w:lineRule="auto"/>
        <w:jc w:val="both"/>
        <w:rPr>
          <w:rFonts w:ascii="Times New Roman" w:eastAsia="Times New Roman" w:hAnsi="Times New Roman" w:cs="Times New Roman"/>
          <w:b/>
          <w:sz w:val="24"/>
          <w:szCs w:val="24"/>
        </w:rPr>
      </w:pPr>
      <w:r w:rsidRPr="00294C9E">
        <w:rPr>
          <w:rFonts w:ascii="Times New Roman" w:eastAsia="Times New Roman" w:hAnsi="Times New Roman" w:cs="Times New Roman"/>
          <w:b/>
          <w:sz w:val="24"/>
          <w:szCs w:val="24"/>
        </w:rPr>
        <w:t>Preparation of Concentrations of the Extracts</w:t>
      </w:r>
    </w:p>
    <w:p w14:paraId="53AD1F65" w14:textId="77777777"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gram (1g) of the extract was added to 5 ml of Dimethyl Sulphur Oxide (DMSO) to produce the concentration of 200 mg/ml and other concentrations of 100 mg/ml, 50 mg/ml and 25 mg/ml were prepared by double dilution method.</w:t>
      </w:r>
    </w:p>
    <w:p w14:paraId="339A3C4F" w14:textId="77777777" w:rsidR="00F655CC" w:rsidRDefault="00F655CC" w:rsidP="00D768F6">
      <w:pPr>
        <w:spacing w:line="240" w:lineRule="auto"/>
        <w:jc w:val="both"/>
        <w:rPr>
          <w:rFonts w:ascii="Times New Roman" w:eastAsia="Times New Roman" w:hAnsi="Times New Roman" w:cs="Times New Roman"/>
          <w:b/>
          <w:sz w:val="24"/>
          <w:szCs w:val="24"/>
        </w:rPr>
      </w:pPr>
      <w:r w:rsidRPr="00F12461">
        <w:rPr>
          <w:rFonts w:ascii="Times New Roman" w:eastAsia="Times New Roman" w:hAnsi="Times New Roman" w:cs="Times New Roman"/>
          <w:b/>
          <w:sz w:val="24"/>
          <w:szCs w:val="24"/>
        </w:rPr>
        <w:t>Antifungal Susceptibility Test</w:t>
      </w:r>
    </w:p>
    <w:p w14:paraId="3F087BA4" w14:textId="77777777" w:rsidR="00F655CC" w:rsidRPr="0042306A" w:rsidRDefault="00F655CC" w:rsidP="00D768F6">
      <w:pPr>
        <w:spacing w:line="240" w:lineRule="auto"/>
        <w:jc w:val="both"/>
        <w:rPr>
          <w:rFonts w:ascii="Times New Roman" w:hAnsi="Times New Roman" w:cs="Times New Roman"/>
          <w:sz w:val="24"/>
          <w:szCs w:val="24"/>
        </w:rPr>
      </w:pPr>
      <w:r w:rsidRPr="00425A95">
        <w:rPr>
          <w:rFonts w:ascii="Times New Roman" w:hAnsi="Times New Roman" w:cs="Times New Roman"/>
          <w:sz w:val="24"/>
          <w:szCs w:val="24"/>
        </w:rPr>
        <w:t xml:space="preserve">The </w:t>
      </w:r>
      <w:r>
        <w:rPr>
          <w:rFonts w:ascii="Times New Roman" w:hAnsi="Times New Roman" w:cs="Times New Roman"/>
          <w:sz w:val="24"/>
          <w:szCs w:val="24"/>
        </w:rPr>
        <w:t>antifungal agents</w:t>
      </w:r>
      <w:r w:rsidRPr="00425A95">
        <w:rPr>
          <w:rFonts w:ascii="Times New Roman" w:hAnsi="Times New Roman" w:cs="Times New Roman"/>
          <w:sz w:val="24"/>
          <w:szCs w:val="24"/>
        </w:rPr>
        <w:t>, Griseofulvin, Fluconazole, ketoconazole, will be used in their commercial presentation to prepare as a stock solution adjusted to the concentration of 2</w:t>
      </w:r>
      <w:r>
        <w:rPr>
          <w:rFonts w:ascii="Times New Roman" w:hAnsi="Times New Roman" w:cs="Times New Roman"/>
          <w:sz w:val="24"/>
          <w:szCs w:val="24"/>
        </w:rPr>
        <w:t>5 µg per well each agent were</w:t>
      </w:r>
      <w:r w:rsidRPr="00425A95">
        <w:rPr>
          <w:rFonts w:ascii="Times New Roman" w:hAnsi="Times New Roman" w:cs="Times New Roman"/>
          <w:sz w:val="24"/>
          <w:szCs w:val="24"/>
        </w:rPr>
        <w:t xml:space="preserve"> dissolved in its corresponding solvent. A test concentration of the drugs necessary to visualize a </w:t>
      </w:r>
      <w:r>
        <w:rPr>
          <w:rFonts w:ascii="Times New Roman" w:hAnsi="Times New Roman" w:cs="Times New Roman"/>
          <w:sz w:val="24"/>
          <w:szCs w:val="24"/>
        </w:rPr>
        <w:t>clear zone of inhibition were</w:t>
      </w:r>
      <w:r w:rsidRPr="00425A95">
        <w:rPr>
          <w:rFonts w:ascii="Times New Roman" w:hAnsi="Times New Roman" w:cs="Times New Roman"/>
          <w:sz w:val="24"/>
          <w:szCs w:val="24"/>
        </w:rPr>
        <w:t xml:space="preserve"> performed (</w:t>
      </w:r>
      <w:r w:rsidRPr="00425A95">
        <w:rPr>
          <w:rStyle w:val="element-citation"/>
          <w:rFonts w:ascii="Times New Roman" w:hAnsi="Times New Roman" w:cs="Times New Roman"/>
          <w:sz w:val="24"/>
          <w:szCs w:val="24"/>
        </w:rPr>
        <w:t>WHO, 2022</w:t>
      </w:r>
      <w:r w:rsidRPr="00425A95">
        <w:rPr>
          <w:rFonts w:ascii="Times New Roman" w:hAnsi="Times New Roman" w:cs="Times New Roman"/>
          <w:sz w:val="24"/>
          <w:szCs w:val="24"/>
        </w:rPr>
        <w:t>).</w:t>
      </w:r>
    </w:p>
    <w:p w14:paraId="437C0D5B" w14:textId="77777777" w:rsidR="00F655CC" w:rsidRDefault="00F655CC" w:rsidP="00D768F6">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fungal isolates used in this study were </w:t>
      </w:r>
      <w:proofErr w:type="spellStart"/>
      <w:r w:rsidRPr="008134C0">
        <w:rPr>
          <w:rFonts w:ascii="Times New Roman" w:eastAsia="Times New Roman" w:hAnsi="Times New Roman" w:cs="Times New Roman"/>
          <w:i/>
          <w:sz w:val="24"/>
          <w:szCs w:val="24"/>
        </w:rPr>
        <w:t>Trychophyton</w:t>
      </w:r>
      <w:proofErr w:type="spellEnd"/>
      <w:r>
        <w:rPr>
          <w:rFonts w:ascii="Times New Roman" w:eastAsia="Times New Roman" w:hAnsi="Times New Roman" w:cs="Times New Roman"/>
          <w:sz w:val="24"/>
          <w:szCs w:val="24"/>
        </w:rPr>
        <w:t xml:space="preserve"> </w:t>
      </w:r>
      <w:r w:rsidRPr="0029716E">
        <w:rPr>
          <w:rFonts w:ascii="Times New Roman" w:eastAsia="Times New Roman" w:hAnsi="Times New Roman" w:cs="Times New Roman"/>
          <w:i/>
          <w:iCs/>
          <w:sz w:val="24"/>
          <w:szCs w:val="24"/>
        </w:rPr>
        <w:t>rubrum</w:t>
      </w:r>
      <w:r>
        <w:rPr>
          <w:rFonts w:ascii="Times New Roman" w:eastAsia="Times New Roman" w:hAnsi="Times New Roman" w:cs="Times New Roman"/>
          <w:sz w:val="24"/>
          <w:szCs w:val="24"/>
        </w:rPr>
        <w:t xml:space="preserve"> isolated from the samples collected from Benue State University Teaching Hospital and Federal Medical Center in Makurdi Benue State. The fungal suspension was prepared by inoculating the test organism into sterile saline and incubated for 24 hours at room temperature. The culture was standardized to 0.5 McFarland turbidity standard after which tween 80 was added. The ability of the extract to inhibit the growth of the fungal isolates was determined using agar well diffusion technique </w:t>
      </w:r>
      <w:r w:rsidRPr="00425A95">
        <w:rPr>
          <w:rFonts w:ascii="Times New Roman" w:hAnsi="Times New Roman" w:cs="Times New Roman"/>
          <w:sz w:val="24"/>
          <w:szCs w:val="24"/>
        </w:rPr>
        <w:t xml:space="preserve">(Ashraf </w:t>
      </w:r>
      <w:r w:rsidRPr="00425A95">
        <w:rPr>
          <w:rFonts w:ascii="Times New Roman" w:hAnsi="Times New Roman" w:cs="Times New Roman"/>
          <w:i/>
          <w:iCs/>
          <w:sz w:val="24"/>
          <w:szCs w:val="24"/>
        </w:rPr>
        <w:t>et al.,</w:t>
      </w:r>
      <w:r w:rsidRPr="00425A95">
        <w:rPr>
          <w:rFonts w:ascii="Times New Roman" w:hAnsi="Times New Roman" w:cs="Times New Roman"/>
          <w:sz w:val="24"/>
          <w:szCs w:val="24"/>
        </w:rPr>
        <w:t xml:space="preserve"> 2018)</w:t>
      </w:r>
      <w:r>
        <w:rPr>
          <w:rFonts w:ascii="Times New Roman" w:eastAsia="Times New Roman" w:hAnsi="Times New Roman" w:cs="Times New Roman"/>
          <w:sz w:val="24"/>
          <w:szCs w:val="24"/>
        </w:rPr>
        <w:t xml:space="preserve">. In this method, 0.2 ml of the fungal suspension was transferred into sterile petri dishes and autoclaved </w:t>
      </w:r>
      <w:proofErr w:type="spellStart"/>
      <w:r>
        <w:rPr>
          <w:rFonts w:ascii="Times New Roman" w:eastAsia="Times New Roman" w:hAnsi="Times New Roman" w:cs="Times New Roman"/>
          <w:sz w:val="24"/>
          <w:szCs w:val="24"/>
        </w:rPr>
        <w:t>Sabroud</w:t>
      </w:r>
      <w:proofErr w:type="spellEnd"/>
      <w:r>
        <w:rPr>
          <w:rFonts w:ascii="Times New Roman" w:eastAsia="Times New Roman" w:hAnsi="Times New Roman" w:cs="Times New Roman"/>
          <w:sz w:val="24"/>
          <w:szCs w:val="24"/>
        </w:rPr>
        <w:t xml:space="preserve"> dextrose agar was added and souled to mix, then allowed to solidify after which wells were bored on the surfaces of the agar plates using a 2 mm </w:t>
      </w:r>
      <w:proofErr w:type="spellStart"/>
      <w:r>
        <w:rPr>
          <w:rFonts w:ascii="Times New Roman" w:eastAsia="Times New Roman" w:hAnsi="Times New Roman" w:cs="Times New Roman"/>
          <w:sz w:val="24"/>
          <w:szCs w:val="24"/>
        </w:rPr>
        <w:t>cork</w:t>
      </w:r>
      <w:proofErr w:type="spellEnd"/>
      <w:r>
        <w:rPr>
          <w:rFonts w:ascii="Times New Roman" w:eastAsia="Times New Roman" w:hAnsi="Times New Roman" w:cs="Times New Roman"/>
          <w:sz w:val="24"/>
          <w:szCs w:val="24"/>
        </w:rPr>
        <w:t xml:space="preserve"> borer. Aliquot of the different concentrations of the extracts were transferred into the wells using a Pasteur pipette. The wells were sufficiently spaced to avoid overlapping. The zone of inhibition was measured as the diameter across using ruler and the experiment was carried out in triplicates.</w:t>
      </w:r>
    </w:p>
    <w:p w14:paraId="0919408B" w14:textId="77777777" w:rsidR="00F655CC" w:rsidRPr="00F655CC" w:rsidRDefault="00F655CC" w:rsidP="00D768F6">
      <w:pPr>
        <w:spacing w:line="240" w:lineRule="auto"/>
        <w:jc w:val="both"/>
        <w:rPr>
          <w:rFonts w:ascii="Times New Roman" w:hAnsi="Times New Roman" w:cs="Times New Roman"/>
          <w:sz w:val="24"/>
          <w:szCs w:val="24"/>
        </w:rPr>
      </w:pPr>
      <w:r w:rsidRPr="00F0241E">
        <w:rPr>
          <w:rFonts w:ascii="Times New Roman" w:eastAsia="Times New Roman" w:hAnsi="Times New Roman" w:cs="Times New Roman"/>
          <w:b/>
          <w:sz w:val="24"/>
          <w:szCs w:val="24"/>
        </w:rPr>
        <w:t>Determination of Minimum Inhibitory Concentration (MIC) and Minimum Fungicidal Concentration (MFC).</w:t>
      </w:r>
    </w:p>
    <w:p w14:paraId="28CDB7DD" w14:textId="77777777"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minimum Inhibitory Concentration (MIC) of the ethanolic extract was determined for </w:t>
      </w:r>
      <w:proofErr w:type="spellStart"/>
      <w:r>
        <w:rPr>
          <w:rFonts w:ascii="Times New Roman" w:eastAsia="Times New Roman" w:hAnsi="Times New Roman" w:cs="Times New Roman"/>
          <w:sz w:val="24"/>
          <w:szCs w:val="24"/>
        </w:rPr>
        <w:t>esch</w:t>
      </w:r>
      <w:proofErr w:type="spellEnd"/>
      <w:r>
        <w:rPr>
          <w:rFonts w:ascii="Times New Roman" w:eastAsia="Times New Roman" w:hAnsi="Times New Roman" w:cs="Times New Roman"/>
          <w:sz w:val="24"/>
          <w:szCs w:val="24"/>
        </w:rPr>
        <w:t xml:space="preserve"> of the extracts in triplicate at varying concentration of 200 mg/ml, 100 mg/ml and 25 mg/ml. one milliliter (1ml) of dextrose broth containing the extract was dispensed in test tubes and then a loopful of the fungal isolate diluted to 0.5 </w:t>
      </w:r>
      <w:proofErr w:type="spellStart"/>
      <w:r>
        <w:rPr>
          <w:rFonts w:ascii="Times New Roman" w:eastAsia="Times New Roman" w:hAnsi="Times New Roman" w:cs="Times New Roman"/>
          <w:sz w:val="24"/>
          <w:szCs w:val="24"/>
        </w:rPr>
        <w:t>McFarlend</w:t>
      </w:r>
      <w:proofErr w:type="spellEnd"/>
      <w:r>
        <w:rPr>
          <w:rFonts w:ascii="Times New Roman" w:eastAsia="Times New Roman" w:hAnsi="Times New Roman" w:cs="Times New Roman"/>
          <w:sz w:val="24"/>
          <w:szCs w:val="24"/>
        </w:rPr>
        <w:t xml:space="preserve"> standard turbidity was inoculated into tubes. The tubes were incubated at room temperature for 24 hours and then examined for growth by observing for turbidity.</w:t>
      </w:r>
    </w:p>
    <w:p w14:paraId="771368EE" w14:textId="77777777" w:rsidR="00F655CC" w:rsidRPr="007A0C11"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MFC of the extract was determined by sub-culturing the tubes from MIC that did not show any visible growth and incubated for 24 hours at room temperature. After incubation, the concentration at which there was no single colony of fungi was taken as MFC.</w:t>
      </w:r>
    </w:p>
    <w:p w14:paraId="3EAD75E3" w14:textId="77777777" w:rsidR="00F655CC" w:rsidRDefault="0058184B"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 </w:t>
      </w:r>
    </w:p>
    <w:p w14:paraId="1F905005" w14:textId="77777777" w:rsidR="0058184B" w:rsidRDefault="00CC5BCF" w:rsidP="00D768F6">
      <w:pPr>
        <w:spacing w:line="240" w:lineRule="auto"/>
        <w:rPr>
          <w:rFonts w:ascii="Times New Roman" w:hAnsi="Times New Roman" w:cs="Times New Roman"/>
          <w:b/>
          <w:sz w:val="24"/>
          <w:szCs w:val="24"/>
        </w:rPr>
      </w:pPr>
      <w:r>
        <w:rPr>
          <w:rFonts w:ascii="Times New Roman" w:hAnsi="Times New Roman" w:cs="Times New Roman"/>
          <w:b/>
          <w:sz w:val="24"/>
          <w:szCs w:val="24"/>
        </w:rPr>
        <w:t>Table 1</w:t>
      </w:r>
      <w:r w:rsidR="0058184B">
        <w:rPr>
          <w:rFonts w:ascii="Times New Roman" w:hAnsi="Times New Roman" w:cs="Times New Roman"/>
          <w:b/>
          <w:sz w:val="24"/>
          <w:szCs w:val="24"/>
        </w:rPr>
        <w:t>: Phytochemical Screening/Constituents of selected Medicinal plants Studied</w:t>
      </w:r>
    </w:p>
    <w:tbl>
      <w:tblPr>
        <w:tblStyle w:val="TableGrid"/>
        <w:tblW w:w="0" w:type="auto"/>
        <w:tblLook w:val="04A0" w:firstRow="1" w:lastRow="0" w:firstColumn="1" w:lastColumn="0" w:noHBand="0" w:noVBand="1"/>
      </w:tblPr>
      <w:tblGrid>
        <w:gridCol w:w="1821"/>
        <w:gridCol w:w="1608"/>
        <w:gridCol w:w="1469"/>
        <w:gridCol w:w="1363"/>
        <w:gridCol w:w="1704"/>
        <w:gridCol w:w="1395"/>
      </w:tblGrid>
      <w:tr w:rsidR="0058184B" w14:paraId="11615FDF" w14:textId="77777777" w:rsidTr="00634081">
        <w:tc>
          <w:tcPr>
            <w:tcW w:w="2158" w:type="dxa"/>
            <w:tcBorders>
              <w:left w:val="nil"/>
              <w:bottom w:val="single" w:sz="4" w:space="0" w:color="auto"/>
              <w:right w:val="nil"/>
            </w:tcBorders>
          </w:tcPr>
          <w:p w14:paraId="7E5A9F63" w14:textId="77777777" w:rsidR="0058184B" w:rsidRDefault="0058184B" w:rsidP="00D768F6">
            <w:pPr>
              <w:rPr>
                <w:rFonts w:ascii="Times New Roman" w:hAnsi="Times New Roman" w:cs="Times New Roman"/>
                <w:sz w:val="24"/>
                <w:szCs w:val="24"/>
              </w:rPr>
            </w:pPr>
          </w:p>
        </w:tc>
        <w:tc>
          <w:tcPr>
            <w:tcW w:w="2158" w:type="dxa"/>
            <w:tcBorders>
              <w:left w:val="nil"/>
              <w:right w:val="nil"/>
            </w:tcBorders>
          </w:tcPr>
          <w:p w14:paraId="75A1956B" w14:textId="77777777" w:rsidR="0058184B" w:rsidRDefault="0058184B" w:rsidP="00D768F6">
            <w:pPr>
              <w:rPr>
                <w:rFonts w:ascii="Times New Roman" w:hAnsi="Times New Roman" w:cs="Times New Roman"/>
                <w:sz w:val="24"/>
                <w:szCs w:val="24"/>
              </w:rPr>
            </w:pPr>
          </w:p>
        </w:tc>
        <w:tc>
          <w:tcPr>
            <w:tcW w:w="2158" w:type="dxa"/>
            <w:tcBorders>
              <w:left w:val="nil"/>
              <w:bottom w:val="single" w:sz="4" w:space="0" w:color="auto"/>
              <w:right w:val="nil"/>
            </w:tcBorders>
          </w:tcPr>
          <w:p w14:paraId="52EE1ED5" w14:textId="77777777" w:rsidR="0058184B" w:rsidRDefault="0058184B" w:rsidP="00D768F6">
            <w:pPr>
              <w:rPr>
                <w:rFonts w:ascii="Times New Roman" w:hAnsi="Times New Roman" w:cs="Times New Roman"/>
                <w:sz w:val="24"/>
                <w:szCs w:val="24"/>
              </w:rPr>
            </w:pPr>
          </w:p>
        </w:tc>
        <w:tc>
          <w:tcPr>
            <w:tcW w:w="2158" w:type="dxa"/>
            <w:tcBorders>
              <w:left w:val="nil"/>
              <w:bottom w:val="single" w:sz="4" w:space="0" w:color="auto"/>
              <w:right w:val="nil"/>
            </w:tcBorders>
          </w:tcPr>
          <w:p w14:paraId="1421C00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Plant Type</w:t>
            </w:r>
          </w:p>
          <w:p w14:paraId="6DD1710F" w14:textId="77777777" w:rsidR="0058184B" w:rsidRDefault="0058184B" w:rsidP="00D768F6">
            <w:pPr>
              <w:rPr>
                <w:rFonts w:ascii="Times New Roman" w:hAnsi="Times New Roman" w:cs="Times New Roman"/>
                <w:sz w:val="24"/>
                <w:szCs w:val="24"/>
              </w:rPr>
            </w:pPr>
          </w:p>
        </w:tc>
        <w:tc>
          <w:tcPr>
            <w:tcW w:w="2159" w:type="dxa"/>
            <w:tcBorders>
              <w:left w:val="nil"/>
              <w:bottom w:val="single" w:sz="4" w:space="0" w:color="auto"/>
              <w:right w:val="nil"/>
            </w:tcBorders>
          </w:tcPr>
          <w:p w14:paraId="16EB5173" w14:textId="77777777" w:rsidR="0058184B" w:rsidRDefault="0058184B" w:rsidP="00D768F6">
            <w:pPr>
              <w:rPr>
                <w:rFonts w:ascii="Times New Roman" w:hAnsi="Times New Roman" w:cs="Times New Roman"/>
                <w:sz w:val="24"/>
                <w:szCs w:val="24"/>
              </w:rPr>
            </w:pPr>
          </w:p>
        </w:tc>
        <w:tc>
          <w:tcPr>
            <w:tcW w:w="2159" w:type="dxa"/>
            <w:tcBorders>
              <w:left w:val="nil"/>
              <w:bottom w:val="single" w:sz="4" w:space="0" w:color="auto"/>
              <w:right w:val="nil"/>
            </w:tcBorders>
          </w:tcPr>
          <w:p w14:paraId="5CA06C23" w14:textId="77777777" w:rsidR="0058184B" w:rsidRDefault="0058184B" w:rsidP="00D768F6">
            <w:pPr>
              <w:rPr>
                <w:rFonts w:ascii="Times New Roman" w:hAnsi="Times New Roman" w:cs="Times New Roman"/>
                <w:sz w:val="24"/>
                <w:szCs w:val="24"/>
              </w:rPr>
            </w:pPr>
          </w:p>
        </w:tc>
      </w:tr>
      <w:tr w:rsidR="0058184B" w14:paraId="3B462204" w14:textId="77777777" w:rsidTr="00634081">
        <w:tc>
          <w:tcPr>
            <w:tcW w:w="2158" w:type="dxa"/>
            <w:tcBorders>
              <w:left w:val="nil"/>
              <w:bottom w:val="nil"/>
              <w:right w:val="nil"/>
            </w:tcBorders>
          </w:tcPr>
          <w:p w14:paraId="5FA7A9BA"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Phytochemicals</w:t>
            </w:r>
          </w:p>
        </w:tc>
        <w:tc>
          <w:tcPr>
            <w:tcW w:w="2158" w:type="dxa"/>
            <w:tcBorders>
              <w:left w:val="nil"/>
              <w:bottom w:val="nil"/>
              <w:right w:val="nil"/>
            </w:tcBorders>
          </w:tcPr>
          <w:p w14:paraId="3E273BDB" w14:textId="77777777" w:rsidR="0058184B" w:rsidRPr="006D136F" w:rsidRDefault="0058184B" w:rsidP="00D768F6">
            <w:pPr>
              <w:rPr>
                <w:rFonts w:ascii="Times New Roman" w:hAnsi="Times New Roman" w:cs="Times New Roman"/>
                <w:i/>
                <w:sz w:val="24"/>
                <w:szCs w:val="24"/>
              </w:rPr>
            </w:pPr>
            <w:proofErr w:type="spellStart"/>
            <w:r w:rsidRPr="006D136F">
              <w:rPr>
                <w:rFonts w:ascii="Times New Roman" w:hAnsi="Times New Roman" w:cs="Times New Roman"/>
                <w:i/>
                <w:sz w:val="24"/>
                <w:szCs w:val="24"/>
              </w:rPr>
              <w:t>Vetia</w:t>
            </w:r>
            <w:proofErr w:type="spellEnd"/>
            <w:r w:rsidRPr="006D136F">
              <w:rPr>
                <w:rFonts w:ascii="Times New Roman" w:hAnsi="Times New Roman" w:cs="Times New Roman"/>
                <w:i/>
                <w:sz w:val="24"/>
                <w:szCs w:val="24"/>
              </w:rPr>
              <w:t xml:space="preserve"> </w:t>
            </w:r>
            <w:proofErr w:type="spellStart"/>
            <w:r w:rsidRPr="006D136F">
              <w:rPr>
                <w:rFonts w:ascii="Times New Roman" w:hAnsi="Times New Roman" w:cs="Times New Roman"/>
                <w:i/>
                <w:sz w:val="24"/>
                <w:szCs w:val="24"/>
              </w:rPr>
              <w:t>tevesia</w:t>
            </w:r>
            <w:proofErr w:type="spellEnd"/>
          </w:p>
          <w:p w14:paraId="023020FF"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Mulekyegh</w:t>
            </w:r>
            <w:proofErr w:type="spellEnd"/>
            <w:r>
              <w:rPr>
                <w:rFonts w:ascii="Times New Roman" w:hAnsi="Times New Roman" w:cs="Times New Roman"/>
                <w:sz w:val="24"/>
                <w:szCs w:val="24"/>
              </w:rPr>
              <w:t>)</w:t>
            </w:r>
          </w:p>
        </w:tc>
        <w:tc>
          <w:tcPr>
            <w:tcW w:w="2158" w:type="dxa"/>
            <w:tcBorders>
              <w:left w:val="nil"/>
              <w:bottom w:val="nil"/>
              <w:right w:val="nil"/>
            </w:tcBorders>
          </w:tcPr>
          <w:p w14:paraId="0B6E8159"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V. paradoxa</w:t>
            </w:r>
          </w:p>
          <w:p w14:paraId="2964FB5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Chamegh</w:t>
            </w:r>
            <w:proofErr w:type="spellEnd"/>
            <w:r>
              <w:rPr>
                <w:rFonts w:ascii="Times New Roman" w:hAnsi="Times New Roman" w:cs="Times New Roman"/>
                <w:sz w:val="24"/>
                <w:szCs w:val="24"/>
              </w:rPr>
              <w:t>)</w:t>
            </w:r>
          </w:p>
        </w:tc>
        <w:tc>
          <w:tcPr>
            <w:tcW w:w="2158" w:type="dxa"/>
            <w:tcBorders>
              <w:left w:val="nil"/>
              <w:bottom w:val="nil"/>
              <w:right w:val="nil"/>
            </w:tcBorders>
          </w:tcPr>
          <w:p w14:paraId="220B186E"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 xml:space="preserve">P. </w:t>
            </w:r>
            <w:proofErr w:type="spellStart"/>
            <w:r w:rsidRPr="006D136F">
              <w:rPr>
                <w:rFonts w:ascii="Times New Roman" w:hAnsi="Times New Roman" w:cs="Times New Roman"/>
                <w:i/>
                <w:sz w:val="24"/>
                <w:szCs w:val="24"/>
              </w:rPr>
              <w:t>biglobosa</w:t>
            </w:r>
            <w:proofErr w:type="spellEnd"/>
          </w:p>
          <w:p w14:paraId="1EB50AC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(Nune)</w:t>
            </w:r>
          </w:p>
        </w:tc>
        <w:tc>
          <w:tcPr>
            <w:tcW w:w="2159" w:type="dxa"/>
            <w:tcBorders>
              <w:left w:val="nil"/>
              <w:bottom w:val="nil"/>
              <w:right w:val="nil"/>
            </w:tcBorders>
          </w:tcPr>
          <w:p w14:paraId="226AD862"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 xml:space="preserve">S. </w:t>
            </w:r>
            <w:proofErr w:type="spellStart"/>
            <w:r w:rsidRPr="006D136F">
              <w:rPr>
                <w:rFonts w:ascii="Times New Roman" w:hAnsi="Times New Roman" w:cs="Times New Roman"/>
                <w:i/>
                <w:sz w:val="24"/>
                <w:szCs w:val="24"/>
              </w:rPr>
              <w:t>kunthianum</w:t>
            </w:r>
            <w:proofErr w:type="spellEnd"/>
          </w:p>
          <w:p w14:paraId="77FBFB4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Unanatemba</w:t>
            </w:r>
            <w:proofErr w:type="spellEnd"/>
            <w:r>
              <w:rPr>
                <w:rFonts w:ascii="Times New Roman" w:hAnsi="Times New Roman" w:cs="Times New Roman"/>
                <w:sz w:val="24"/>
                <w:szCs w:val="24"/>
              </w:rPr>
              <w:t>)</w:t>
            </w:r>
          </w:p>
        </w:tc>
        <w:tc>
          <w:tcPr>
            <w:tcW w:w="2159" w:type="dxa"/>
            <w:tcBorders>
              <w:left w:val="nil"/>
              <w:bottom w:val="nil"/>
              <w:right w:val="nil"/>
            </w:tcBorders>
          </w:tcPr>
          <w:p w14:paraId="18E2F865" w14:textId="77777777"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M. villosus</w:t>
            </w:r>
          </w:p>
          <w:p w14:paraId="565FFBA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Antyo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kpolough</w:t>
            </w:r>
            <w:proofErr w:type="spellEnd"/>
            <w:r>
              <w:rPr>
                <w:rFonts w:ascii="Times New Roman" w:hAnsi="Times New Roman" w:cs="Times New Roman"/>
                <w:sz w:val="24"/>
                <w:szCs w:val="24"/>
              </w:rPr>
              <w:t>)</w:t>
            </w:r>
          </w:p>
        </w:tc>
      </w:tr>
      <w:tr w:rsidR="0058184B" w14:paraId="644A5722" w14:textId="77777777" w:rsidTr="00634081">
        <w:tc>
          <w:tcPr>
            <w:tcW w:w="2158" w:type="dxa"/>
            <w:tcBorders>
              <w:top w:val="nil"/>
              <w:left w:val="nil"/>
              <w:bottom w:val="nil"/>
              <w:right w:val="nil"/>
            </w:tcBorders>
          </w:tcPr>
          <w:p w14:paraId="0C93BFF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Alkaloids</w:t>
            </w:r>
          </w:p>
          <w:p w14:paraId="1B37DEF1"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49707B3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7B3411F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17A2564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9D3922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549B48F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5EE4BBE6" w14:textId="77777777" w:rsidTr="00634081">
        <w:tc>
          <w:tcPr>
            <w:tcW w:w="2158" w:type="dxa"/>
            <w:tcBorders>
              <w:top w:val="nil"/>
              <w:left w:val="nil"/>
              <w:bottom w:val="nil"/>
              <w:right w:val="nil"/>
            </w:tcBorders>
          </w:tcPr>
          <w:p w14:paraId="12FDB0C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Glycosides</w:t>
            </w:r>
          </w:p>
        </w:tc>
        <w:tc>
          <w:tcPr>
            <w:tcW w:w="2158" w:type="dxa"/>
            <w:tcBorders>
              <w:top w:val="nil"/>
              <w:left w:val="nil"/>
              <w:bottom w:val="nil"/>
              <w:right w:val="nil"/>
            </w:tcBorders>
          </w:tcPr>
          <w:p w14:paraId="2973C50B" w14:textId="77777777" w:rsidR="0058184B" w:rsidRDefault="0058184B" w:rsidP="00D768F6">
            <w:pPr>
              <w:rPr>
                <w:rFonts w:ascii="Times New Roman" w:hAnsi="Times New Roman" w:cs="Times New Roman"/>
                <w:sz w:val="24"/>
                <w:szCs w:val="24"/>
              </w:rPr>
            </w:pPr>
          </w:p>
          <w:p w14:paraId="595B0F6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156B15E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4832E6F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63D3CBE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F432B6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29636DD2" w14:textId="77777777" w:rsidTr="00634081">
        <w:tc>
          <w:tcPr>
            <w:tcW w:w="2158" w:type="dxa"/>
            <w:tcBorders>
              <w:top w:val="nil"/>
              <w:left w:val="nil"/>
              <w:bottom w:val="nil"/>
              <w:right w:val="nil"/>
            </w:tcBorders>
          </w:tcPr>
          <w:p w14:paraId="08094A3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Saponins</w:t>
            </w:r>
          </w:p>
          <w:p w14:paraId="6770C36B"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6C05DCD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37F6702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0438B99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0F33DB2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536A203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3FABF26C" w14:textId="77777777" w:rsidTr="00634081">
        <w:tc>
          <w:tcPr>
            <w:tcW w:w="2158" w:type="dxa"/>
            <w:tcBorders>
              <w:top w:val="nil"/>
              <w:left w:val="nil"/>
              <w:bottom w:val="nil"/>
              <w:right w:val="nil"/>
            </w:tcBorders>
          </w:tcPr>
          <w:p w14:paraId="6678EAD4"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Terpenoids</w:t>
            </w:r>
          </w:p>
          <w:p w14:paraId="47D5A32D"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69E1DF3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193D5A7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61C32E2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17CED2EF"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747ECDD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3F6EFD6C" w14:textId="77777777" w:rsidTr="00634081">
        <w:tc>
          <w:tcPr>
            <w:tcW w:w="2158" w:type="dxa"/>
            <w:tcBorders>
              <w:top w:val="nil"/>
              <w:left w:val="nil"/>
              <w:bottom w:val="nil"/>
              <w:right w:val="nil"/>
            </w:tcBorders>
          </w:tcPr>
          <w:p w14:paraId="427FE4F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Tannins</w:t>
            </w:r>
          </w:p>
          <w:p w14:paraId="3F8089E3"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4136AA5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6931ECD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3B583CD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322CF2F"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2973181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080FF4C7" w14:textId="77777777" w:rsidTr="00634081">
        <w:tc>
          <w:tcPr>
            <w:tcW w:w="2158" w:type="dxa"/>
            <w:tcBorders>
              <w:top w:val="nil"/>
              <w:left w:val="nil"/>
              <w:bottom w:val="nil"/>
              <w:right w:val="nil"/>
            </w:tcBorders>
          </w:tcPr>
          <w:p w14:paraId="1FFCE96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Phenol</w:t>
            </w:r>
          </w:p>
          <w:p w14:paraId="44922393"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356BA97A"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7E517672"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1639FE6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9E1B38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72B0EA0D"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71177E2B" w14:textId="77777777" w:rsidTr="00634081">
        <w:tc>
          <w:tcPr>
            <w:tcW w:w="2158" w:type="dxa"/>
            <w:tcBorders>
              <w:top w:val="nil"/>
              <w:left w:val="nil"/>
              <w:bottom w:val="nil"/>
              <w:right w:val="nil"/>
            </w:tcBorders>
          </w:tcPr>
          <w:p w14:paraId="672E3A1A"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Flavonoids</w:t>
            </w:r>
          </w:p>
          <w:p w14:paraId="7377E00B" w14:textId="77777777"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14:paraId="58DAF5B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631140B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14:paraId="27ECF1D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806AFE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14:paraId="43961E5C"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14:paraId="2CA9F488" w14:textId="77777777" w:rsidTr="00634081">
        <w:tc>
          <w:tcPr>
            <w:tcW w:w="2158" w:type="dxa"/>
            <w:tcBorders>
              <w:top w:val="nil"/>
              <w:left w:val="nil"/>
              <w:right w:val="nil"/>
            </w:tcBorders>
          </w:tcPr>
          <w:p w14:paraId="2D50342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Steroids</w:t>
            </w:r>
          </w:p>
          <w:p w14:paraId="78ED91CF" w14:textId="77777777" w:rsidR="0058184B" w:rsidRDefault="0058184B" w:rsidP="00D768F6">
            <w:pPr>
              <w:rPr>
                <w:rFonts w:ascii="Times New Roman" w:hAnsi="Times New Roman" w:cs="Times New Roman"/>
                <w:sz w:val="24"/>
                <w:szCs w:val="24"/>
              </w:rPr>
            </w:pPr>
          </w:p>
        </w:tc>
        <w:tc>
          <w:tcPr>
            <w:tcW w:w="2158" w:type="dxa"/>
            <w:tcBorders>
              <w:top w:val="nil"/>
              <w:left w:val="nil"/>
              <w:right w:val="nil"/>
            </w:tcBorders>
          </w:tcPr>
          <w:p w14:paraId="4CFFA3A4"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right w:val="nil"/>
            </w:tcBorders>
          </w:tcPr>
          <w:p w14:paraId="0635A4B9"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right w:val="nil"/>
            </w:tcBorders>
          </w:tcPr>
          <w:p w14:paraId="52FCEE0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right w:val="nil"/>
            </w:tcBorders>
          </w:tcPr>
          <w:p w14:paraId="4C444B7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right w:val="nil"/>
            </w:tcBorders>
          </w:tcPr>
          <w:p w14:paraId="730F4A8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bl>
    <w:p w14:paraId="0F16CBC4" w14:textId="77777777" w:rsidR="0058184B" w:rsidRPr="00C90206" w:rsidRDefault="0058184B" w:rsidP="00D768F6">
      <w:pPr>
        <w:spacing w:line="240" w:lineRule="auto"/>
        <w:rPr>
          <w:rFonts w:ascii="Times New Roman" w:hAnsi="Times New Roman" w:cs="Times New Roman"/>
          <w:sz w:val="24"/>
          <w:szCs w:val="24"/>
        </w:rPr>
      </w:pPr>
    </w:p>
    <w:p w14:paraId="7893E72E" w14:textId="77777777" w:rsidR="0058184B" w:rsidRDefault="0058184B" w:rsidP="00D768F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D18CCC4" w14:textId="77777777" w:rsidR="0058184B" w:rsidRDefault="0058184B" w:rsidP="00D768F6">
      <w:pPr>
        <w:pStyle w:val="NormalWeb"/>
        <w:jc w:val="both"/>
      </w:pPr>
      <w:r>
        <w:t xml:space="preserve">The antifungal potential of medicinal plants in combating </w:t>
      </w:r>
      <w:r>
        <w:rPr>
          <w:rStyle w:val="Emphasis"/>
        </w:rPr>
        <w:t>T. rubrum</w:t>
      </w:r>
      <w:r>
        <w:t xml:space="preserve"> infections has garnered considerable interest, particularly given the rise in antifungal resistance and the side effects associated with synthetic drugs. In this context, the bioactive compounds present in plants such as </w:t>
      </w:r>
      <w:proofErr w:type="spellStart"/>
      <w:r>
        <w:rPr>
          <w:rStyle w:val="Emphasis"/>
        </w:rPr>
        <w:t>Vetia</w:t>
      </w:r>
      <w:proofErr w:type="spellEnd"/>
      <w:r>
        <w:rPr>
          <w:rStyle w:val="Emphasis"/>
        </w:rPr>
        <w:t xml:space="preserve"> </w:t>
      </w:r>
      <w:proofErr w:type="spellStart"/>
      <w:r>
        <w:rPr>
          <w:rStyle w:val="Emphasis"/>
        </w:rPr>
        <w:t>tevesia</w:t>
      </w:r>
      <w:proofErr w:type="spellEnd"/>
      <w:r>
        <w:t xml:space="preserve">, </w:t>
      </w:r>
      <w:r>
        <w:rPr>
          <w:rStyle w:val="Emphasis"/>
        </w:rPr>
        <w:t xml:space="preserve">Vitellaria </w:t>
      </w:r>
      <w:proofErr w:type="spellStart"/>
      <w:r>
        <w:rPr>
          <w:rStyle w:val="Emphasis"/>
        </w:rPr>
        <w:t>paradoxa</w:t>
      </w:r>
      <w:proofErr w:type="spellEnd"/>
      <w:r>
        <w:t xml:space="preserve">, </w:t>
      </w:r>
      <w:proofErr w:type="spellStart"/>
      <w:r>
        <w:rPr>
          <w:rStyle w:val="Emphasis"/>
        </w:rPr>
        <w:t>Parkia</w:t>
      </w:r>
      <w:proofErr w:type="spellEnd"/>
      <w:r>
        <w:rPr>
          <w:rStyle w:val="Emphasis"/>
        </w:rPr>
        <w:t xml:space="preserve"> </w:t>
      </w:r>
      <w:proofErr w:type="spellStart"/>
      <w:r>
        <w:rPr>
          <w:rStyle w:val="Emphasis"/>
        </w:rPr>
        <w:t>biglobosa</w:t>
      </w:r>
      <w:proofErr w:type="spellEnd"/>
      <w:r>
        <w:t xml:space="preserve">, </w:t>
      </w:r>
      <w:proofErr w:type="spellStart"/>
      <w:r>
        <w:rPr>
          <w:rStyle w:val="Emphasis"/>
        </w:rPr>
        <w:t>Stereospernum</w:t>
      </w:r>
      <w:proofErr w:type="spellEnd"/>
      <w:r>
        <w:rPr>
          <w:rStyle w:val="Emphasis"/>
        </w:rPr>
        <w:t xml:space="preserve"> </w:t>
      </w:r>
      <w:proofErr w:type="spellStart"/>
      <w:r>
        <w:rPr>
          <w:rStyle w:val="Emphasis"/>
        </w:rPr>
        <w:t>kunthianum</w:t>
      </w:r>
      <w:proofErr w:type="spellEnd"/>
      <w:r>
        <w:t xml:space="preserve">, and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have shown promising inhibitory effects on the growth of </w:t>
      </w:r>
      <w:r>
        <w:rPr>
          <w:rStyle w:val="Emphasis"/>
        </w:rPr>
        <w:t>T. rubrum</w:t>
      </w:r>
      <w:r>
        <w:t>.</w:t>
      </w:r>
      <w:r w:rsidR="00CF0BA3">
        <w:t xml:space="preserve"> As demonstrated in the table 2</w:t>
      </w:r>
      <w:r>
        <w:t xml:space="preserve">, plant extracts at varying concentrations (200 mg/ml, 100 mg/ml, 50 mg/ml, and 25 mg/ml) exhibited different zones of inhibition against </w:t>
      </w:r>
      <w:r>
        <w:rPr>
          <w:rStyle w:val="Emphasis"/>
        </w:rPr>
        <w:t>T. rubrum</w:t>
      </w:r>
      <w:r>
        <w:t xml:space="preserve">, with </w:t>
      </w:r>
      <w:proofErr w:type="spellStart"/>
      <w:r>
        <w:rPr>
          <w:rStyle w:val="Emphasis"/>
        </w:rPr>
        <w:t>Vetia</w:t>
      </w:r>
      <w:proofErr w:type="spellEnd"/>
      <w:r>
        <w:rPr>
          <w:rStyle w:val="Emphasis"/>
        </w:rPr>
        <w:t xml:space="preserve"> </w:t>
      </w:r>
      <w:proofErr w:type="spellStart"/>
      <w:r>
        <w:rPr>
          <w:rStyle w:val="Emphasis"/>
        </w:rPr>
        <w:t>tevesia</w:t>
      </w:r>
      <w:proofErr w:type="spellEnd"/>
      <w:r>
        <w:t xml:space="preserve"> showing the largest zones at 200 mg/ml (25 mm) and a reduction in efficacy at lower concentrations. Similarly, </w:t>
      </w:r>
      <w:r>
        <w:rPr>
          <w:rStyle w:val="Emphasis"/>
        </w:rPr>
        <w:t>Vitellaria paradoxa</w:t>
      </w:r>
      <w:r>
        <w:t xml:space="preserve"> also showed moderate activity, particularly at 200 mg/ml, with inhibition zones ranging from 22 mm to 23 mm.</w:t>
      </w:r>
    </w:p>
    <w:p w14:paraId="1B745B30" w14:textId="77777777" w:rsidR="0058184B" w:rsidRPr="00FF5A48" w:rsidRDefault="0058184B" w:rsidP="00D768F6">
      <w:pPr>
        <w:spacing w:line="240" w:lineRule="auto"/>
        <w:rPr>
          <w:rFonts w:ascii="Times New Roman" w:hAnsi="Times New Roman" w:cs="Times New Roman"/>
          <w:b/>
          <w:sz w:val="24"/>
          <w:szCs w:val="24"/>
        </w:rPr>
      </w:pPr>
      <w:r w:rsidRPr="00FF5A48">
        <w:rPr>
          <w:rFonts w:ascii="Times New Roman" w:hAnsi="Times New Roman" w:cs="Times New Roman"/>
          <w:b/>
          <w:sz w:val="24"/>
          <w:szCs w:val="24"/>
        </w:rPr>
        <w:t>Table</w:t>
      </w:r>
      <w:r w:rsidR="00CC5BCF">
        <w:rPr>
          <w:rFonts w:ascii="Times New Roman" w:hAnsi="Times New Roman" w:cs="Times New Roman"/>
          <w:b/>
          <w:sz w:val="24"/>
          <w:szCs w:val="24"/>
        </w:rPr>
        <w:t xml:space="preserve"> 2</w:t>
      </w:r>
      <w:r w:rsidRPr="00FF5A48">
        <w:rPr>
          <w:rFonts w:ascii="Times New Roman" w:hAnsi="Times New Roman" w:cs="Times New Roman"/>
          <w:b/>
          <w:sz w:val="24"/>
          <w:szCs w:val="24"/>
        </w:rPr>
        <w:t xml:space="preserve">: Activity of Plant Extracts on </w:t>
      </w:r>
      <w:r w:rsidRPr="00FF5A48">
        <w:rPr>
          <w:rFonts w:ascii="Times New Roman" w:eastAsia="Times New Roman" w:hAnsi="Times New Roman" w:cs="Times New Roman"/>
          <w:b/>
          <w:i/>
          <w:iCs/>
          <w:sz w:val="24"/>
          <w:szCs w:val="24"/>
        </w:rPr>
        <w:t xml:space="preserve">Trichophyton rubrum </w:t>
      </w:r>
      <w:r w:rsidRPr="00FF5A48">
        <w:rPr>
          <w:rFonts w:ascii="Times New Roman" w:eastAsia="Times New Roman" w:hAnsi="Times New Roman" w:cs="Times New Roman"/>
          <w:b/>
          <w:iCs/>
          <w:sz w:val="24"/>
          <w:szCs w:val="24"/>
        </w:rPr>
        <w:t>Showing Zone of Inhibition (MM)</w:t>
      </w:r>
    </w:p>
    <w:tbl>
      <w:tblPr>
        <w:tblStyle w:val="TableGrid"/>
        <w:tblW w:w="0" w:type="auto"/>
        <w:tblLook w:val="04A0" w:firstRow="1" w:lastRow="0" w:firstColumn="1" w:lastColumn="0" w:noHBand="0" w:noVBand="1"/>
      </w:tblPr>
      <w:tblGrid>
        <w:gridCol w:w="1870"/>
        <w:gridCol w:w="1870"/>
        <w:gridCol w:w="1870"/>
        <w:gridCol w:w="1870"/>
        <w:gridCol w:w="1870"/>
      </w:tblGrid>
      <w:tr w:rsidR="00F166AC" w:rsidRPr="00FF5A48" w14:paraId="3EA7B2DB" w14:textId="77777777" w:rsidTr="00634081">
        <w:tc>
          <w:tcPr>
            <w:tcW w:w="1870" w:type="dxa"/>
            <w:tcBorders>
              <w:left w:val="nil"/>
              <w:bottom w:val="single" w:sz="4" w:space="0" w:color="auto"/>
              <w:right w:val="nil"/>
            </w:tcBorders>
          </w:tcPr>
          <w:p w14:paraId="59DB0E10" w14:textId="77777777" w:rsidR="00F166AC" w:rsidRPr="00FF5A48" w:rsidRDefault="00F166AC" w:rsidP="00F166AC">
            <w:pPr>
              <w:rPr>
                <w:rFonts w:ascii="Times New Roman" w:hAnsi="Times New Roman" w:cs="Times New Roman"/>
                <w:b/>
                <w:sz w:val="24"/>
                <w:szCs w:val="24"/>
              </w:rPr>
            </w:pPr>
            <w:r>
              <w:rPr>
                <w:rFonts w:ascii="Times New Roman" w:hAnsi="Times New Roman" w:cs="Times New Roman"/>
                <w:b/>
                <w:sz w:val="24"/>
                <w:szCs w:val="24"/>
              </w:rPr>
              <w:lastRenderedPageBreak/>
              <w:t>Plant Extracts</w:t>
            </w:r>
          </w:p>
        </w:tc>
        <w:tc>
          <w:tcPr>
            <w:tcW w:w="1870" w:type="dxa"/>
            <w:tcBorders>
              <w:left w:val="nil"/>
              <w:bottom w:val="single" w:sz="4" w:space="0" w:color="auto"/>
              <w:right w:val="nil"/>
            </w:tcBorders>
          </w:tcPr>
          <w:p w14:paraId="43B75C8C"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200 mg/ml</w:t>
            </w:r>
          </w:p>
        </w:tc>
        <w:tc>
          <w:tcPr>
            <w:tcW w:w="1870" w:type="dxa"/>
            <w:tcBorders>
              <w:left w:val="nil"/>
              <w:right w:val="nil"/>
            </w:tcBorders>
          </w:tcPr>
          <w:p w14:paraId="6C662D70"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100 mg/ml</w:t>
            </w:r>
          </w:p>
        </w:tc>
        <w:tc>
          <w:tcPr>
            <w:tcW w:w="1870" w:type="dxa"/>
            <w:tcBorders>
              <w:left w:val="nil"/>
              <w:bottom w:val="single" w:sz="4" w:space="0" w:color="auto"/>
              <w:right w:val="nil"/>
            </w:tcBorders>
          </w:tcPr>
          <w:p w14:paraId="26EA25F0"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50 mg/ml</w:t>
            </w:r>
          </w:p>
        </w:tc>
        <w:tc>
          <w:tcPr>
            <w:tcW w:w="1870" w:type="dxa"/>
            <w:tcBorders>
              <w:left w:val="nil"/>
              <w:bottom w:val="single" w:sz="4" w:space="0" w:color="auto"/>
              <w:right w:val="nil"/>
            </w:tcBorders>
          </w:tcPr>
          <w:p w14:paraId="7FBE3296"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25 mg/ml</w:t>
            </w:r>
          </w:p>
        </w:tc>
      </w:tr>
      <w:tr w:rsidR="00F166AC" w14:paraId="46CE9AD2" w14:textId="77777777" w:rsidTr="00634081">
        <w:tc>
          <w:tcPr>
            <w:tcW w:w="1870" w:type="dxa"/>
            <w:tcBorders>
              <w:left w:val="nil"/>
              <w:bottom w:val="nil"/>
              <w:right w:val="nil"/>
            </w:tcBorders>
          </w:tcPr>
          <w:p w14:paraId="428559E5"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Thevia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nerforria</w:t>
            </w:r>
            <w:proofErr w:type="spellEnd"/>
          </w:p>
        </w:tc>
        <w:tc>
          <w:tcPr>
            <w:tcW w:w="1870" w:type="dxa"/>
            <w:tcBorders>
              <w:left w:val="nil"/>
              <w:bottom w:val="nil"/>
              <w:right w:val="nil"/>
            </w:tcBorders>
          </w:tcPr>
          <w:p w14:paraId="10D673F8"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24.7</w:t>
            </w:r>
          </w:p>
        </w:tc>
        <w:tc>
          <w:tcPr>
            <w:tcW w:w="1870" w:type="dxa"/>
            <w:tcBorders>
              <w:left w:val="nil"/>
              <w:bottom w:val="nil"/>
              <w:right w:val="nil"/>
            </w:tcBorders>
          </w:tcPr>
          <w:p w14:paraId="0E2BB967"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18.3</w:t>
            </w:r>
          </w:p>
        </w:tc>
        <w:tc>
          <w:tcPr>
            <w:tcW w:w="1870" w:type="dxa"/>
            <w:tcBorders>
              <w:left w:val="nil"/>
              <w:bottom w:val="nil"/>
              <w:right w:val="nil"/>
            </w:tcBorders>
          </w:tcPr>
          <w:p w14:paraId="3E7462C2"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11.7</w:t>
            </w:r>
          </w:p>
        </w:tc>
        <w:tc>
          <w:tcPr>
            <w:tcW w:w="1870" w:type="dxa"/>
            <w:tcBorders>
              <w:left w:val="nil"/>
              <w:bottom w:val="nil"/>
              <w:right w:val="nil"/>
            </w:tcBorders>
          </w:tcPr>
          <w:p w14:paraId="11FD8B1D"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759A6C20" w14:textId="77777777" w:rsidTr="00634081">
        <w:tc>
          <w:tcPr>
            <w:tcW w:w="1870" w:type="dxa"/>
            <w:tcBorders>
              <w:top w:val="nil"/>
              <w:left w:val="nil"/>
              <w:bottom w:val="nil"/>
              <w:right w:val="nil"/>
            </w:tcBorders>
          </w:tcPr>
          <w:p w14:paraId="7F164878" w14:textId="77777777"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i/>
                <w:sz w:val="24"/>
                <w:szCs w:val="24"/>
              </w:rPr>
              <w:t>Vitellaria paradoxa</w:t>
            </w:r>
          </w:p>
        </w:tc>
        <w:tc>
          <w:tcPr>
            <w:tcW w:w="1870" w:type="dxa"/>
            <w:tcBorders>
              <w:top w:val="nil"/>
              <w:left w:val="nil"/>
              <w:bottom w:val="nil"/>
              <w:right w:val="nil"/>
            </w:tcBorders>
          </w:tcPr>
          <w:p w14:paraId="14E7302A"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22.7</w:t>
            </w:r>
          </w:p>
        </w:tc>
        <w:tc>
          <w:tcPr>
            <w:tcW w:w="1870" w:type="dxa"/>
            <w:tcBorders>
              <w:top w:val="nil"/>
              <w:left w:val="nil"/>
              <w:bottom w:val="nil"/>
              <w:right w:val="nil"/>
            </w:tcBorders>
          </w:tcPr>
          <w:p w14:paraId="042F6572"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12.7</w:t>
            </w:r>
          </w:p>
        </w:tc>
        <w:tc>
          <w:tcPr>
            <w:tcW w:w="1870" w:type="dxa"/>
            <w:tcBorders>
              <w:top w:val="nil"/>
              <w:left w:val="nil"/>
              <w:bottom w:val="nil"/>
              <w:right w:val="nil"/>
            </w:tcBorders>
          </w:tcPr>
          <w:p w14:paraId="29538402"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8.3</w:t>
            </w:r>
          </w:p>
        </w:tc>
        <w:tc>
          <w:tcPr>
            <w:tcW w:w="1870" w:type="dxa"/>
            <w:tcBorders>
              <w:top w:val="nil"/>
              <w:left w:val="nil"/>
              <w:bottom w:val="nil"/>
              <w:right w:val="nil"/>
            </w:tcBorders>
          </w:tcPr>
          <w:p w14:paraId="03FC000C"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37FC9F1B" w14:textId="77777777" w:rsidTr="00634081">
        <w:tc>
          <w:tcPr>
            <w:tcW w:w="1870" w:type="dxa"/>
            <w:tcBorders>
              <w:top w:val="nil"/>
              <w:left w:val="nil"/>
              <w:bottom w:val="nil"/>
              <w:right w:val="nil"/>
            </w:tcBorders>
          </w:tcPr>
          <w:p w14:paraId="4033086D"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Parkia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biglobosa</w:t>
            </w:r>
            <w:proofErr w:type="spellEnd"/>
          </w:p>
        </w:tc>
        <w:tc>
          <w:tcPr>
            <w:tcW w:w="1870" w:type="dxa"/>
            <w:tcBorders>
              <w:top w:val="nil"/>
              <w:left w:val="nil"/>
              <w:bottom w:val="nil"/>
              <w:right w:val="nil"/>
            </w:tcBorders>
          </w:tcPr>
          <w:p w14:paraId="00D720BB"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20.7</w:t>
            </w:r>
          </w:p>
        </w:tc>
        <w:tc>
          <w:tcPr>
            <w:tcW w:w="1870" w:type="dxa"/>
            <w:tcBorders>
              <w:top w:val="nil"/>
              <w:left w:val="nil"/>
              <w:bottom w:val="nil"/>
              <w:right w:val="nil"/>
            </w:tcBorders>
          </w:tcPr>
          <w:p w14:paraId="580F6552"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9.3</w:t>
            </w:r>
          </w:p>
        </w:tc>
        <w:tc>
          <w:tcPr>
            <w:tcW w:w="1870" w:type="dxa"/>
            <w:tcBorders>
              <w:top w:val="nil"/>
              <w:left w:val="nil"/>
              <w:bottom w:val="nil"/>
              <w:right w:val="nil"/>
            </w:tcBorders>
          </w:tcPr>
          <w:p w14:paraId="61AEEE41"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c>
          <w:tcPr>
            <w:tcW w:w="1870" w:type="dxa"/>
            <w:tcBorders>
              <w:top w:val="nil"/>
              <w:left w:val="nil"/>
              <w:bottom w:val="nil"/>
              <w:right w:val="nil"/>
            </w:tcBorders>
          </w:tcPr>
          <w:p w14:paraId="0EF71566"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3A714E2D" w14:textId="77777777" w:rsidTr="00634081">
        <w:tc>
          <w:tcPr>
            <w:tcW w:w="1870" w:type="dxa"/>
            <w:tcBorders>
              <w:top w:val="nil"/>
              <w:left w:val="nil"/>
              <w:bottom w:val="nil"/>
              <w:right w:val="nil"/>
            </w:tcBorders>
          </w:tcPr>
          <w:p w14:paraId="7170995C"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Stereospernum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kunthianum</w:t>
            </w:r>
            <w:proofErr w:type="spellEnd"/>
          </w:p>
        </w:tc>
        <w:tc>
          <w:tcPr>
            <w:tcW w:w="1870" w:type="dxa"/>
            <w:tcBorders>
              <w:top w:val="nil"/>
              <w:left w:val="nil"/>
              <w:bottom w:val="nil"/>
              <w:right w:val="nil"/>
            </w:tcBorders>
          </w:tcPr>
          <w:p w14:paraId="07B8545D"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20.7</w:t>
            </w:r>
          </w:p>
        </w:tc>
        <w:tc>
          <w:tcPr>
            <w:tcW w:w="1870" w:type="dxa"/>
            <w:tcBorders>
              <w:top w:val="nil"/>
              <w:left w:val="nil"/>
              <w:bottom w:val="nil"/>
              <w:right w:val="nil"/>
            </w:tcBorders>
          </w:tcPr>
          <w:p w14:paraId="458923AA"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8.7</w:t>
            </w:r>
          </w:p>
        </w:tc>
        <w:tc>
          <w:tcPr>
            <w:tcW w:w="1870" w:type="dxa"/>
            <w:tcBorders>
              <w:top w:val="nil"/>
              <w:left w:val="nil"/>
              <w:bottom w:val="nil"/>
              <w:right w:val="nil"/>
            </w:tcBorders>
          </w:tcPr>
          <w:p w14:paraId="392A0D38"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c>
          <w:tcPr>
            <w:tcW w:w="1870" w:type="dxa"/>
            <w:tcBorders>
              <w:top w:val="nil"/>
              <w:left w:val="nil"/>
              <w:bottom w:val="nil"/>
              <w:right w:val="nil"/>
            </w:tcBorders>
          </w:tcPr>
          <w:p w14:paraId="1D49FCBB"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6550F192" w14:textId="77777777" w:rsidTr="00634081">
        <w:tc>
          <w:tcPr>
            <w:tcW w:w="1870" w:type="dxa"/>
            <w:tcBorders>
              <w:top w:val="nil"/>
              <w:left w:val="nil"/>
              <w:bottom w:val="single" w:sz="4" w:space="0" w:color="auto"/>
              <w:right w:val="nil"/>
            </w:tcBorders>
          </w:tcPr>
          <w:p w14:paraId="27D0EFB0" w14:textId="77777777" w:rsidR="00F166AC" w:rsidRDefault="00F166AC" w:rsidP="00F166AC">
            <w:pPr>
              <w:rPr>
                <w:rFonts w:ascii="Times New Roman" w:hAnsi="Times New Roman" w:cs="Times New Roman"/>
                <w:sz w:val="24"/>
                <w:szCs w:val="24"/>
              </w:rPr>
            </w:pPr>
            <w:proofErr w:type="spellStart"/>
            <w:r>
              <w:rPr>
                <w:rFonts w:ascii="Times New Roman" w:hAnsi="Times New Roman" w:cs="Times New Roman"/>
                <w:b/>
                <w:i/>
                <w:sz w:val="24"/>
                <w:szCs w:val="24"/>
              </w:rPr>
              <w:t>Mitracarpus</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villosus</w:t>
            </w:r>
            <w:proofErr w:type="spellEnd"/>
          </w:p>
        </w:tc>
        <w:tc>
          <w:tcPr>
            <w:tcW w:w="1870" w:type="dxa"/>
            <w:tcBorders>
              <w:top w:val="nil"/>
              <w:left w:val="nil"/>
              <w:bottom w:val="single" w:sz="4" w:space="0" w:color="auto"/>
              <w:right w:val="nil"/>
            </w:tcBorders>
          </w:tcPr>
          <w:p w14:paraId="1587F687"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25.3</w:t>
            </w:r>
          </w:p>
        </w:tc>
        <w:tc>
          <w:tcPr>
            <w:tcW w:w="1870" w:type="dxa"/>
            <w:tcBorders>
              <w:top w:val="nil"/>
              <w:left w:val="nil"/>
              <w:bottom w:val="single" w:sz="4" w:space="0" w:color="auto"/>
              <w:right w:val="nil"/>
            </w:tcBorders>
          </w:tcPr>
          <w:p w14:paraId="1C094661"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14.7</w:t>
            </w:r>
          </w:p>
        </w:tc>
        <w:tc>
          <w:tcPr>
            <w:tcW w:w="1870" w:type="dxa"/>
            <w:tcBorders>
              <w:top w:val="nil"/>
              <w:left w:val="nil"/>
              <w:bottom w:val="single" w:sz="4" w:space="0" w:color="auto"/>
              <w:right w:val="nil"/>
            </w:tcBorders>
          </w:tcPr>
          <w:p w14:paraId="2ADDA698"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10.7</w:t>
            </w:r>
          </w:p>
        </w:tc>
        <w:tc>
          <w:tcPr>
            <w:tcW w:w="1870" w:type="dxa"/>
            <w:tcBorders>
              <w:top w:val="nil"/>
              <w:left w:val="nil"/>
              <w:bottom w:val="single" w:sz="4" w:space="0" w:color="auto"/>
              <w:right w:val="nil"/>
            </w:tcBorders>
          </w:tcPr>
          <w:p w14:paraId="144CE745" w14:textId="77777777"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14:paraId="239B69E3" w14:textId="77777777" w:rsidTr="00634081">
        <w:tc>
          <w:tcPr>
            <w:tcW w:w="1870" w:type="dxa"/>
            <w:tcBorders>
              <w:left w:val="nil"/>
              <w:bottom w:val="nil"/>
              <w:right w:val="nil"/>
            </w:tcBorders>
          </w:tcPr>
          <w:p w14:paraId="6D504E05" w14:textId="77777777" w:rsidR="00F166AC" w:rsidRDefault="00F166AC" w:rsidP="00F166AC">
            <w:pPr>
              <w:rPr>
                <w:rFonts w:ascii="Times New Roman" w:hAnsi="Times New Roman" w:cs="Times New Roman"/>
                <w:sz w:val="24"/>
                <w:szCs w:val="24"/>
              </w:rPr>
            </w:pPr>
          </w:p>
          <w:p w14:paraId="3CCE09CE" w14:textId="77777777"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14:paraId="475B0491" w14:textId="77777777" w:rsidR="00F166AC" w:rsidRDefault="00F166AC" w:rsidP="00F166AC">
            <w:pPr>
              <w:rPr>
                <w:rFonts w:ascii="Times New Roman" w:hAnsi="Times New Roman" w:cs="Times New Roman"/>
                <w:sz w:val="24"/>
                <w:szCs w:val="24"/>
              </w:rPr>
            </w:pPr>
          </w:p>
        </w:tc>
        <w:tc>
          <w:tcPr>
            <w:tcW w:w="1870" w:type="dxa"/>
            <w:tcBorders>
              <w:top w:val="single" w:sz="4" w:space="0" w:color="auto"/>
              <w:left w:val="nil"/>
              <w:bottom w:val="nil"/>
              <w:right w:val="nil"/>
            </w:tcBorders>
          </w:tcPr>
          <w:p w14:paraId="09CB1BA0" w14:textId="77777777"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14:paraId="4FEF80A5" w14:textId="77777777"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14:paraId="32272AA2" w14:textId="77777777" w:rsidR="00F166AC" w:rsidRDefault="00F166AC" w:rsidP="00F166AC">
            <w:pPr>
              <w:rPr>
                <w:rFonts w:ascii="Times New Roman" w:hAnsi="Times New Roman" w:cs="Times New Roman"/>
                <w:sz w:val="24"/>
                <w:szCs w:val="24"/>
              </w:rPr>
            </w:pPr>
          </w:p>
        </w:tc>
      </w:tr>
    </w:tbl>
    <w:p w14:paraId="1C39E58F" w14:textId="77777777" w:rsidR="0058184B" w:rsidRDefault="0058184B" w:rsidP="00D768F6">
      <w:pPr>
        <w:spacing w:line="240" w:lineRule="auto"/>
        <w:rPr>
          <w:rFonts w:ascii="Times New Roman" w:hAnsi="Times New Roman" w:cs="Times New Roman"/>
          <w:b/>
          <w:sz w:val="24"/>
          <w:szCs w:val="24"/>
        </w:rPr>
      </w:pPr>
    </w:p>
    <w:p w14:paraId="74286C59" w14:textId="77777777" w:rsidR="0058184B" w:rsidRDefault="0058184B" w:rsidP="00D768F6">
      <w:pPr>
        <w:spacing w:line="240" w:lineRule="auto"/>
        <w:jc w:val="both"/>
        <w:rPr>
          <w:rFonts w:ascii="Times New Roman" w:hAnsi="Times New Roman" w:cs="Times New Roman"/>
          <w:sz w:val="24"/>
          <w:szCs w:val="24"/>
        </w:rPr>
      </w:pPr>
      <w:r w:rsidRPr="00B3485C">
        <w:rPr>
          <w:rFonts w:ascii="Times New Roman" w:hAnsi="Times New Roman" w:cs="Times New Roman"/>
          <w:sz w:val="24"/>
          <w:szCs w:val="24"/>
        </w:rPr>
        <w:t>The antifungal activity of commonly used drugs, such as fluconazole, ketoconazole, and griseofulvin, has been evaluated in the table</w:t>
      </w:r>
      <w:r w:rsidR="00CF0BA3">
        <w:rPr>
          <w:rFonts w:ascii="Times New Roman" w:hAnsi="Times New Roman" w:cs="Times New Roman"/>
          <w:sz w:val="24"/>
          <w:szCs w:val="24"/>
        </w:rPr>
        <w:t xml:space="preserve"> 3</w:t>
      </w:r>
      <w:r w:rsidRPr="00B3485C">
        <w:rPr>
          <w:rFonts w:ascii="Times New Roman" w:hAnsi="Times New Roman" w:cs="Times New Roman"/>
          <w:sz w:val="24"/>
          <w:szCs w:val="24"/>
        </w:rPr>
        <w:t xml:space="preserve"> provided. At higher concentrations (200 mg/ml), fluconazole demonstrated the most significant inhibitory effects against </w:t>
      </w:r>
      <w:r w:rsidRPr="00B3485C">
        <w:rPr>
          <w:rStyle w:val="Emphasis"/>
          <w:rFonts w:ascii="Times New Roman" w:hAnsi="Times New Roman" w:cs="Times New Roman"/>
          <w:sz w:val="24"/>
          <w:szCs w:val="24"/>
        </w:rPr>
        <w:t>T. rubrum</w:t>
      </w:r>
      <w:r w:rsidRPr="00B3485C">
        <w:rPr>
          <w:rFonts w:ascii="Times New Roman" w:hAnsi="Times New Roman" w:cs="Times New Roman"/>
          <w:sz w:val="24"/>
          <w:szCs w:val="24"/>
        </w:rPr>
        <w:t>, with inhibition zones ranging from 45 mm to 47 mm. The antifungal activity of fluconazole decreased as the concentration was reduced, with zones of inhibition dropping to 10 mm to 11 mm at 25 mg/ml.</w:t>
      </w:r>
    </w:p>
    <w:p w14:paraId="4DD18486" w14:textId="77777777" w:rsidR="0058184B" w:rsidRDefault="0058184B" w:rsidP="00D768F6">
      <w:pPr>
        <w:spacing w:line="240" w:lineRule="auto"/>
        <w:jc w:val="both"/>
        <w:rPr>
          <w:rFonts w:ascii="Times New Roman" w:hAnsi="Times New Roman" w:cs="Times New Roman"/>
          <w:sz w:val="24"/>
          <w:szCs w:val="24"/>
        </w:rPr>
      </w:pPr>
    </w:p>
    <w:p w14:paraId="79D5DB9F" w14:textId="77777777" w:rsidR="00DD4ABA" w:rsidRDefault="00DD4ABA" w:rsidP="00D768F6">
      <w:pPr>
        <w:spacing w:line="240" w:lineRule="auto"/>
        <w:jc w:val="both"/>
        <w:rPr>
          <w:rFonts w:ascii="Times New Roman" w:hAnsi="Times New Roman" w:cs="Times New Roman"/>
          <w:sz w:val="24"/>
          <w:szCs w:val="24"/>
        </w:rPr>
      </w:pPr>
    </w:p>
    <w:p w14:paraId="1C5765E4" w14:textId="77777777" w:rsidR="00DD4ABA" w:rsidRDefault="00DD4ABA" w:rsidP="00D768F6">
      <w:pPr>
        <w:spacing w:line="240" w:lineRule="auto"/>
        <w:jc w:val="both"/>
        <w:rPr>
          <w:rFonts w:ascii="Times New Roman" w:hAnsi="Times New Roman" w:cs="Times New Roman"/>
          <w:sz w:val="24"/>
          <w:szCs w:val="24"/>
        </w:rPr>
      </w:pPr>
    </w:p>
    <w:p w14:paraId="5FEC8A82" w14:textId="77777777" w:rsidR="00DD4ABA" w:rsidRDefault="00DD4ABA" w:rsidP="00D768F6">
      <w:pPr>
        <w:spacing w:line="240" w:lineRule="auto"/>
        <w:jc w:val="both"/>
        <w:rPr>
          <w:rFonts w:ascii="Times New Roman" w:hAnsi="Times New Roman" w:cs="Times New Roman"/>
          <w:sz w:val="24"/>
          <w:szCs w:val="24"/>
        </w:rPr>
      </w:pPr>
    </w:p>
    <w:p w14:paraId="108A7D4A" w14:textId="77777777" w:rsidR="00DD4ABA" w:rsidRDefault="00DD4ABA" w:rsidP="00D768F6">
      <w:pPr>
        <w:spacing w:line="240" w:lineRule="auto"/>
        <w:jc w:val="both"/>
        <w:rPr>
          <w:rFonts w:ascii="Times New Roman" w:hAnsi="Times New Roman" w:cs="Times New Roman"/>
          <w:sz w:val="24"/>
          <w:szCs w:val="24"/>
        </w:rPr>
      </w:pPr>
    </w:p>
    <w:p w14:paraId="2BF52E1D" w14:textId="77777777" w:rsidR="00DD4ABA" w:rsidRDefault="00DD4ABA" w:rsidP="00D768F6">
      <w:pPr>
        <w:spacing w:line="240" w:lineRule="auto"/>
        <w:jc w:val="both"/>
        <w:rPr>
          <w:rFonts w:ascii="Times New Roman" w:hAnsi="Times New Roman" w:cs="Times New Roman"/>
          <w:sz w:val="24"/>
          <w:szCs w:val="24"/>
        </w:rPr>
      </w:pPr>
    </w:p>
    <w:p w14:paraId="77F6EB25" w14:textId="77777777" w:rsidR="00DD4ABA" w:rsidRDefault="00DD4ABA" w:rsidP="00D768F6">
      <w:pPr>
        <w:spacing w:line="240" w:lineRule="auto"/>
        <w:jc w:val="both"/>
        <w:rPr>
          <w:rFonts w:ascii="Times New Roman" w:hAnsi="Times New Roman" w:cs="Times New Roman"/>
          <w:sz w:val="24"/>
          <w:szCs w:val="24"/>
        </w:rPr>
      </w:pPr>
    </w:p>
    <w:p w14:paraId="56A7D7C3" w14:textId="77777777" w:rsidR="00DD4ABA" w:rsidRDefault="00DD4ABA" w:rsidP="00D768F6">
      <w:pPr>
        <w:spacing w:line="240" w:lineRule="auto"/>
        <w:jc w:val="both"/>
        <w:rPr>
          <w:rFonts w:ascii="Times New Roman" w:hAnsi="Times New Roman" w:cs="Times New Roman"/>
          <w:sz w:val="24"/>
          <w:szCs w:val="24"/>
        </w:rPr>
      </w:pPr>
    </w:p>
    <w:p w14:paraId="000D2E48" w14:textId="77777777" w:rsidR="0058184B" w:rsidRPr="00681725" w:rsidRDefault="0058184B" w:rsidP="00D768F6">
      <w:pPr>
        <w:pStyle w:val="NormalWeb"/>
        <w:jc w:val="both"/>
      </w:pPr>
      <w:r w:rsidRPr="00FF5A48">
        <w:rPr>
          <w:b/>
        </w:rPr>
        <w:t>Table</w:t>
      </w:r>
      <w:r w:rsidR="00CC5BCF">
        <w:rPr>
          <w:b/>
        </w:rPr>
        <w:t xml:space="preserve"> 3</w:t>
      </w:r>
      <w:r w:rsidRPr="00FF5A48">
        <w:rPr>
          <w:b/>
        </w:rPr>
        <w:t>: Ac</w:t>
      </w:r>
      <w:r>
        <w:rPr>
          <w:b/>
        </w:rPr>
        <w:t xml:space="preserve">tivity of Antifungal drugs </w:t>
      </w:r>
      <w:r w:rsidRPr="00FF5A48">
        <w:rPr>
          <w:b/>
        </w:rPr>
        <w:t xml:space="preserve">on </w:t>
      </w:r>
      <w:r w:rsidRPr="00FF5A48">
        <w:rPr>
          <w:b/>
          <w:i/>
          <w:iCs/>
        </w:rPr>
        <w:t xml:space="preserve">Trichophyton rubrum </w:t>
      </w:r>
      <w:r>
        <w:rPr>
          <w:b/>
          <w:iCs/>
        </w:rPr>
        <w:t xml:space="preserve">Showing Zone of Inhibition </w:t>
      </w:r>
    </w:p>
    <w:tbl>
      <w:tblPr>
        <w:tblStyle w:val="TableGrid"/>
        <w:tblW w:w="0" w:type="auto"/>
        <w:tblLook w:val="04A0" w:firstRow="1" w:lastRow="0" w:firstColumn="1" w:lastColumn="0" w:noHBand="0" w:noVBand="1"/>
      </w:tblPr>
      <w:tblGrid>
        <w:gridCol w:w="1870"/>
        <w:gridCol w:w="1870"/>
        <w:gridCol w:w="1870"/>
        <w:gridCol w:w="1870"/>
        <w:gridCol w:w="1870"/>
      </w:tblGrid>
      <w:tr w:rsidR="0058184B" w14:paraId="1759F86E" w14:textId="77777777" w:rsidTr="00634081">
        <w:tc>
          <w:tcPr>
            <w:tcW w:w="1870" w:type="dxa"/>
            <w:tcBorders>
              <w:left w:val="nil"/>
              <w:bottom w:val="single" w:sz="4" w:space="0" w:color="auto"/>
              <w:right w:val="nil"/>
            </w:tcBorders>
          </w:tcPr>
          <w:p w14:paraId="14B53CDA"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 xml:space="preserve">Antifungal drugs </w:t>
            </w:r>
          </w:p>
        </w:tc>
        <w:tc>
          <w:tcPr>
            <w:tcW w:w="1870" w:type="dxa"/>
            <w:tcBorders>
              <w:left w:val="nil"/>
              <w:right w:val="nil"/>
            </w:tcBorders>
          </w:tcPr>
          <w:p w14:paraId="07EC2F9F"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200 mg/ml</w:t>
            </w:r>
          </w:p>
        </w:tc>
        <w:tc>
          <w:tcPr>
            <w:tcW w:w="1870" w:type="dxa"/>
            <w:tcBorders>
              <w:left w:val="nil"/>
              <w:bottom w:val="single" w:sz="4" w:space="0" w:color="auto"/>
              <w:right w:val="nil"/>
            </w:tcBorders>
          </w:tcPr>
          <w:p w14:paraId="0AEB9F48"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100 mg/ml</w:t>
            </w:r>
          </w:p>
        </w:tc>
        <w:tc>
          <w:tcPr>
            <w:tcW w:w="1870" w:type="dxa"/>
            <w:tcBorders>
              <w:left w:val="nil"/>
              <w:right w:val="nil"/>
            </w:tcBorders>
          </w:tcPr>
          <w:p w14:paraId="0C4A3723"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50 mg/ml</w:t>
            </w:r>
          </w:p>
        </w:tc>
        <w:tc>
          <w:tcPr>
            <w:tcW w:w="1870" w:type="dxa"/>
            <w:tcBorders>
              <w:left w:val="nil"/>
              <w:bottom w:val="single" w:sz="4" w:space="0" w:color="auto"/>
              <w:right w:val="nil"/>
            </w:tcBorders>
          </w:tcPr>
          <w:p w14:paraId="163200EB" w14:textId="77777777"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25 mg/ml</w:t>
            </w:r>
          </w:p>
        </w:tc>
      </w:tr>
      <w:tr w:rsidR="00DD4ABA" w14:paraId="78128FA8" w14:textId="77777777" w:rsidTr="00634081">
        <w:tc>
          <w:tcPr>
            <w:tcW w:w="1870" w:type="dxa"/>
            <w:tcBorders>
              <w:left w:val="nil"/>
              <w:bottom w:val="nil"/>
              <w:right w:val="nil"/>
            </w:tcBorders>
          </w:tcPr>
          <w:p w14:paraId="719C5910" w14:textId="77777777" w:rsidR="00DD4ABA" w:rsidRPr="00105325" w:rsidRDefault="00DD4ABA" w:rsidP="00DD4ABA">
            <w:pPr>
              <w:rPr>
                <w:rFonts w:ascii="Times New Roman" w:hAnsi="Times New Roman" w:cs="Times New Roman"/>
                <w:sz w:val="24"/>
                <w:szCs w:val="24"/>
              </w:rPr>
            </w:pPr>
            <w:r>
              <w:rPr>
                <w:rFonts w:ascii="Times New Roman" w:hAnsi="Times New Roman" w:cs="Times New Roman"/>
                <w:sz w:val="24"/>
                <w:szCs w:val="24"/>
              </w:rPr>
              <w:t>Fluconazole</w:t>
            </w:r>
          </w:p>
        </w:tc>
        <w:tc>
          <w:tcPr>
            <w:tcW w:w="1870" w:type="dxa"/>
            <w:tcBorders>
              <w:left w:val="nil"/>
              <w:bottom w:val="nil"/>
              <w:right w:val="nil"/>
            </w:tcBorders>
          </w:tcPr>
          <w:p w14:paraId="16119EF0" w14:textId="77777777" w:rsidR="00DD4ABA" w:rsidRPr="00DD4ABA" w:rsidRDefault="00DD4ABA" w:rsidP="00DD4ABA">
            <w:pPr>
              <w:pStyle w:val="NormalWeb"/>
              <w:spacing w:before="0" w:beforeAutospacing="0" w:after="0" w:afterAutospacing="0" w:line="480" w:lineRule="auto"/>
            </w:pPr>
            <w:r w:rsidRPr="00DD4ABA">
              <w:rPr>
                <w:color w:val="000000" w:themeColor="text1"/>
                <w:kern w:val="24"/>
              </w:rPr>
              <w:t xml:space="preserve">    46.00</w:t>
            </w:r>
          </w:p>
        </w:tc>
        <w:tc>
          <w:tcPr>
            <w:tcW w:w="1870" w:type="dxa"/>
            <w:tcBorders>
              <w:left w:val="nil"/>
              <w:bottom w:val="nil"/>
              <w:right w:val="nil"/>
            </w:tcBorders>
          </w:tcPr>
          <w:p w14:paraId="3D0B22A6"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34.67</w:t>
            </w:r>
          </w:p>
        </w:tc>
        <w:tc>
          <w:tcPr>
            <w:tcW w:w="1870" w:type="dxa"/>
            <w:tcBorders>
              <w:left w:val="nil"/>
              <w:bottom w:val="nil"/>
              <w:right w:val="nil"/>
            </w:tcBorders>
          </w:tcPr>
          <w:p w14:paraId="6F3CFC64"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20.67</w:t>
            </w:r>
          </w:p>
        </w:tc>
        <w:tc>
          <w:tcPr>
            <w:tcW w:w="1870" w:type="dxa"/>
            <w:tcBorders>
              <w:left w:val="nil"/>
              <w:bottom w:val="nil"/>
              <w:right w:val="nil"/>
            </w:tcBorders>
          </w:tcPr>
          <w:p w14:paraId="11AB6A1D"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10.67</w:t>
            </w:r>
          </w:p>
        </w:tc>
      </w:tr>
      <w:tr w:rsidR="00DD4ABA" w14:paraId="3BA92A24" w14:textId="77777777" w:rsidTr="00634081">
        <w:tc>
          <w:tcPr>
            <w:tcW w:w="1870" w:type="dxa"/>
            <w:tcBorders>
              <w:top w:val="nil"/>
              <w:left w:val="nil"/>
              <w:bottom w:val="nil"/>
              <w:right w:val="nil"/>
            </w:tcBorders>
          </w:tcPr>
          <w:p w14:paraId="7B1E17EA" w14:textId="77777777" w:rsidR="00DD4ABA" w:rsidRPr="00105325" w:rsidRDefault="00DD4ABA" w:rsidP="00DD4ABA">
            <w:pPr>
              <w:rPr>
                <w:rFonts w:ascii="Times New Roman" w:hAnsi="Times New Roman" w:cs="Times New Roman"/>
                <w:sz w:val="24"/>
                <w:szCs w:val="24"/>
              </w:rPr>
            </w:pPr>
            <w:r w:rsidRPr="00105325">
              <w:rPr>
                <w:rFonts w:ascii="Times New Roman" w:hAnsi="Times New Roman" w:cs="Times New Roman"/>
                <w:sz w:val="24"/>
                <w:szCs w:val="24"/>
              </w:rPr>
              <w:t>Ketoconazole</w:t>
            </w:r>
          </w:p>
        </w:tc>
        <w:tc>
          <w:tcPr>
            <w:tcW w:w="1870" w:type="dxa"/>
            <w:tcBorders>
              <w:top w:val="nil"/>
              <w:left w:val="nil"/>
              <w:bottom w:val="nil"/>
              <w:right w:val="nil"/>
            </w:tcBorders>
          </w:tcPr>
          <w:p w14:paraId="4C885DD3"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33.33</w:t>
            </w:r>
          </w:p>
        </w:tc>
        <w:tc>
          <w:tcPr>
            <w:tcW w:w="1870" w:type="dxa"/>
            <w:tcBorders>
              <w:top w:val="nil"/>
              <w:left w:val="nil"/>
              <w:bottom w:val="nil"/>
              <w:right w:val="nil"/>
            </w:tcBorders>
          </w:tcPr>
          <w:p w14:paraId="26843E32" w14:textId="77777777" w:rsidR="00DD4ABA" w:rsidRPr="00DD4ABA" w:rsidRDefault="00DD4ABA" w:rsidP="00DD4ABA">
            <w:pPr>
              <w:pStyle w:val="NormalWeb"/>
              <w:spacing w:before="0" w:beforeAutospacing="0" w:after="0" w:afterAutospacing="0" w:line="480" w:lineRule="auto"/>
            </w:pPr>
            <w:r w:rsidRPr="00DD4ABA">
              <w:rPr>
                <w:rFonts w:eastAsia="Calibri"/>
                <w:color w:val="000000" w:themeColor="text1"/>
                <w:kern w:val="24"/>
              </w:rPr>
              <w:t xml:space="preserve">     19.33</w:t>
            </w:r>
          </w:p>
        </w:tc>
        <w:tc>
          <w:tcPr>
            <w:tcW w:w="1870" w:type="dxa"/>
            <w:tcBorders>
              <w:top w:val="nil"/>
              <w:left w:val="nil"/>
              <w:bottom w:val="nil"/>
              <w:right w:val="nil"/>
            </w:tcBorders>
          </w:tcPr>
          <w:p w14:paraId="3A52D623"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11.00</w:t>
            </w:r>
          </w:p>
        </w:tc>
        <w:tc>
          <w:tcPr>
            <w:tcW w:w="1870" w:type="dxa"/>
            <w:tcBorders>
              <w:top w:val="nil"/>
              <w:left w:val="nil"/>
              <w:bottom w:val="nil"/>
              <w:right w:val="nil"/>
            </w:tcBorders>
          </w:tcPr>
          <w:p w14:paraId="16EDCB9E"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r>
      <w:tr w:rsidR="00DD4ABA" w14:paraId="56B7FA48" w14:textId="77777777" w:rsidTr="00634081">
        <w:tc>
          <w:tcPr>
            <w:tcW w:w="1870" w:type="dxa"/>
            <w:tcBorders>
              <w:top w:val="nil"/>
              <w:left w:val="nil"/>
              <w:right w:val="nil"/>
            </w:tcBorders>
          </w:tcPr>
          <w:p w14:paraId="63C27454" w14:textId="77777777" w:rsidR="00DD4ABA" w:rsidRPr="00105325" w:rsidRDefault="00DD4ABA" w:rsidP="00DD4ABA">
            <w:pPr>
              <w:rPr>
                <w:rFonts w:ascii="Times New Roman" w:hAnsi="Times New Roman" w:cs="Times New Roman"/>
                <w:sz w:val="24"/>
                <w:szCs w:val="24"/>
              </w:rPr>
            </w:pPr>
            <w:r w:rsidRPr="00105325">
              <w:rPr>
                <w:rFonts w:ascii="Times New Roman" w:hAnsi="Times New Roman" w:cs="Times New Roman"/>
                <w:sz w:val="24"/>
                <w:szCs w:val="24"/>
              </w:rPr>
              <w:t>Gris</w:t>
            </w:r>
            <w:r>
              <w:rPr>
                <w:rFonts w:ascii="Times New Roman" w:hAnsi="Times New Roman" w:cs="Times New Roman"/>
                <w:sz w:val="24"/>
                <w:szCs w:val="24"/>
              </w:rPr>
              <w:t>e</w:t>
            </w:r>
            <w:r w:rsidRPr="00105325">
              <w:rPr>
                <w:rFonts w:ascii="Times New Roman" w:hAnsi="Times New Roman" w:cs="Times New Roman"/>
                <w:sz w:val="24"/>
                <w:szCs w:val="24"/>
              </w:rPr>
              <w:t>o</w:t>
            </w:r>
            <w:r>
              <w:rPr>
                <w:rFonts w:ascii="Times New Roman" w:hAnsi="Times New Roman" w:cs="Times New Roman"/>
                <w:sz w:val="24"/>
                <w:szCs w:val="24"/>
              </w:rPr>
              <w:t>ful</w:t>
            </w:r>
            <w:r w:rsidRPr="00105325">
              <w:rPr>
                <w:rFonts w:ascii="Times New Roman" w:hAnsi="Times New Roman" w:cs="Times New Roman"/>
                <w:sz w:val="24"/>
                <w:szCs w:val="24"/>
              </w:rPr>
              <w:t>vin</w:t>
            </w:r>
          </w:p>
        </w:tc>
        <w:tc>
          <w:tcPr>
            <w:tcW w:w="1870" w:type="dxa"/>
            <w:tcBorders>
              <w:top w:val="nil"/>
              <w:left w:val="nil"/>
              <w:right w:val="nil"/>
            </w:tcBorders>
          </w:tcPr>
          <w:p w14:paraId="35F59EC5"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23.33</w:t>
            </w:r>
          </w:p>
        </w:tc>
        <w:tc>
          <w:tcPr>
            <w:tcW w:w="1870" w:type="dxa"/>
            <w:tcBorders>
              <w:top w:val="nil"/>
              <w:left w:val="nil"/>
              <w:right w:val="nil"/>
            </w:tcBorders>
          </w:tcPr>
          <w:p w14:paraId="2AD8C6C1"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9.33</w:t>
            </w:r>
          </w:p>
        </w:tc>
        <w:tc>
          <w:tcPr>
            <w:tcW w:w="1870" w:type="dxa"/>
            <w:tcBorders>
              <w:top w:val="nil"/>
              <w:left w:val="nil"/>
              <w:right w:val="nil"/>
            </w:tcBorders>
          </w:tcPr>
          <w:p w14:paraId="594DB620"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c>
          <w:tcPr>
            <w:tcW w:w="1870" w:type="dxa"/>
            <w:tcBorders>
              <w:top w:val="nil"/>
              <w:left w:val="nil"/>
              <w:right w:val="nil"/>
            </w:tcBorders>
          </w:tcPr>
          <w:p w14:paraId="1550C591" w14:textId="77777777"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r>
    </w:tbl>
    <w:p w14:paraId="6B09753E" w14:textId="77777777" w:rsidR="0058184B" w:rsidRDefault="0058184B" w:rsidP="00D768F6">
      <w:pPr>
        <w:spacing w:line="240" w:lineRule="auto"/>
        <w:rPr>
          <w:rFonts w:ascii="Times New Roman" w:hAnsi="Times New Roman" w:cs="Times New Roman"/>
          <w:b/>
          <w:sz w:val="24"/>
          <w:szCs w:val="24"/>
        </w:rPr>
      </w:pPr>
    </w:p>
    <w:p w14:paraId="64E3CA9A" w14:textId="77777777" w:rsidR="00B83281" w:rsidRPr="005F41E3"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 xml:space="preserve">The bioactive potential of antifungal drugs and plant extracts against </w:t>
      </w:r>
      <w:r w:rsidRPr="005F41E3">
        <w:rPr>
          <w:rStyle w:val="Emphasis"/>
          <w:rFonts w:ascii="Times New Roman" w:hAnsi="Times New Roman" w:cs="Times New Roman"/>
          <w:sz w:val="24"/>
          <w:szCs w:val="24"/>
        </w:rPr>
        <w:t>T. rubrum</w:t>
      </w:r>
      <w:r w:rsidRPr="005F41E3">
        <w:rPr>
          <w:rFonts w:ascii="Times New Roman" w:hAnsi="Times New Roman" w:cs="Times New Roman"/>
          <w:sz w:val="24"/>
          <w:szCs w:val="24"/>
        </w:rPr>
        <w:t xml:space="preserve"> is an important aspect of treatment strategies, especially as antifungal resistance continues to rise. The Minimum </w:t>
      </w:r>
      <w:r w:rsidRPr="005F41E3">
        <w:rPr>
          <w:rFonts w:ascii="Times New Roman" w:hAnsi="Times New Roman" w:cs="Times New Roman"/>
          <w:sz w:val="24"/>
          <w:szCs w:val="24"/>
        </w:rPr>
        <w:lastRenderedPageBreak/>
        <w:t>Inhibitory Concentration (MIC) and Minimum Fungicidal Concentration (MFC) values in the table offer valuable insights into the efficacy of these substances. Fluconazole, a commonly used antifungal drug, demonstrated an MIC of 25 mg/ml and an MFC of 100 mg/ml, indicating strong antifungal activity.</w:t>
      </w:r>
    </w:p>
    <w:p w14:paraId="11E0522F" w14:textId="77777777" w:rsidR="00B83281" w:rsidRPr="005F41E3"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 xml:space="preserve">Ketoconazole, another antifungal agent, displayed an MIC of 50 mg/ml and an MFC of 200 mg/ml, which are higher than those of fluconazole, suggesting that ketoconazole is less potent against </w:t>
      </w:r>
      <w:r w:rsidRPr="005F41E3">
        <w:rPr>
          <w:rStyle w:val="Emphasis"/>
          <w:rFonts w:ascii="Times New Roman" w:hAnsi="Times New Roman" w:cs="Times New Roman"/>
          <w:sz w:val="24"/>
          <w:szCs w:val="24"/>
        </w:rPr>
        <w:t>T. rubrum</w:t>
      </w:r>
      <w:r w:rsidRPr="005F41E3">
        <w:rPr>
          <w:rFonts w:ascii="Times New Roman" w:hAnsi="Times New Roman" w:cs="Times New Roman"/>
          <w:sz w:val="24"/>
          <w:szCs w:val="24"/>
        </w:rPr>
        <w:t xml:space="preserve"> at lower concentrations. Griseofulvin, which has a much higher MIC of 100 mg/ml, shows a less potent effect compared to both fluconazole and ketoconazole. </w:t>
      </w:r>
    </w:p>
    <w:p w14:paraId="65BD9F8D" w14:textId="77777777" w:rsidR="00B83281" w:rsidRPr="00730E7C"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When considering plant extracts</w:t>
      </w:r>
      <w:r w:rsidR="00CF0BA3">
        <w:rPr>
          <w:rFonts w:ascii="Times New Roman" w:hAnsi="Times New Roman" w:cs="Times New Roman"/>
          <w:sz w:val="24"/>
          <w:szCs w:val="24"/>
        </w:rPr>
        <w:t xml:space="preserve"> in table 4</w:t>
      </w:r>
      <w:r w:rsidRPr="005F41E3">
        <w:rPr>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Vetia</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tevesia</w:t>
      </w:r>
      <w:proofErr w:type="spellEnd"/>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 xml:space="preserve">Vitellaria </w:t>
      </w:r>
      <w:proofErr w:type="spellStart"/>
      <w:r w:rsidRPr="005F41E3">
        <w:rPr>
          <w:rStyle w:val="Emphasis"/>
          <w:rFonts w:ascii="Times New Roman" w:hAnsi="Times New Roman" w:cs="Times New Roman"/>
          <w:sz w:val="24"/>
          <w:szCs w:val="24"/>
        </w:rPr>
        <w:t>paradoxa</w:t>
      </w:r>
      <w:proofErr w:type="spellEnd"/>
      <w:r w:rsidRPr="005F41E3">
        <w:rPr>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Mitracarpus</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villosus</w:t>
      </w:r>
      <w:proofErr w:type="spellEnd"/>
      <w:r w:rsidRPr="005F41E3">
        <w:rPr>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Parkia</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biglobosa</w:t>
      </w:r>
      <w:proofErr w:type="spellEnd"/>
      <w:r w:rsidRPr="005F41E3">
        <w:rPr>
          <w:rFonts w:ascii="Times New Roman" w:hAnsi="Times New Roman" w:cs="Times New Roman"/>
          <w:sz w:val="24"/>
          <w:szCs w:val="24"/>
        </w:rPr>
        <w:t xml:space="preserve">, and </w:t>
      </w:r>
      <w:proofErr w:type="spellStart"/>
      <w:r w:rsidRPr="005F41E3">
        <w:rPr>
          <w:rStyle w:val="Emphasis"/>
          <w:rFonts w:ascii="Times New Roman" w:hAnsi="Times New Roman" w:cs="Times New Roman"/>
          <w:sz w:val="24"/>
          <w:szCs w:val="24"/>
        </w:rPr>
        <w:t>Stereospernum</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kunthianum</w:t>
      </w:r>
      <w:proofErr w:type="spellEnd"/>
      <w:r w:rsidRPr="005F41E3">
        <w:rPr>
          <w:rFonts w:ascii="Times New Roman" w:hAnsi="Times New Roman" w:cs="Times New Roman"/>
          <w:sz w:val="24"/>
          <w:szCs w:val="24"/>
        </w:rPr>
        <w:t xml:space="preserve"> all exhibit varying degrees of antifungal activity. For example, the MIC for </w:t>
      </w:r>
      <w:proofErr w:type="spellStart"/>
      <w:r w:rsidRPr="005F41E3">
        <w:rPr>
          <w:rStyle w:val="Emphasis"/>
          <w:rFonts w:ascii="Times New Roman" w:hAnsi="Times New Roman" w:cs="Times New Roman"/>
          <w:sz w:val="24"/>
          <w:szCs w:val="24"/>
        </w:rPr>
        <w:t>Vetia</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tevesia</w:t>
      </w:r>
      <w:proofErr w:type="spellEnd"/>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 xml:space="preserve">Vitellaria </w:t>
      </w:r>
      <w:proofErr w:type="spellStart"/>
      <w:r w:rsidRPr="005F41E3">
        <w:rPr>
          <w:rStyle w:val="Emphasis"/>
          <w:rFonts w:ascii="Times New Roman" w:hAnsi="Times New Roman" w:cs="Times New Roman"/>
          <w:sz w:val="24"/>
          <w:szCs w:val="24"/>
        </w:rPr>
        <w:t>paradoxa</w:t>
      </w:r>
      <w:proofErr w:type="spellEnd"/>
      <w:r w:rsidRPr="005F41E3">
        <w:rPr>
          <w:rFonts w:ascii="Times New Roman" w:hAnsi="Times New Roman" w:cs="Times New Roman"/>
          <w:sz w:val="24"/>
          <w:szCs w:val="24"/>
        </w:rPr>
        <w:t xml:space="preserve">, and </w:t>
      </w:r>
      <w:proofErr w:type="spellStart"/>
      <w:r w:rsidRPr="005F41E3">
        <w:rPr>
          <w:rStyle w:val="Emphasis"/>
          <w:rFonts w:ascii="Times New Roman" w:hAnsi="Times New Roman" w:cs="Times New Roman"/>
          <w:sz w:val="24"/>
          <w:szCs w:val="24"/>
        </w:rPr>
        <w:t>Mitracarpus</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villosus</w:t>
      </w:r>
      <w:proofErr w:type="spellEnd"/>
      <w:r w:rsidRPr="005F41E3">
        <w:rPr>
          <w:rFonts w:ascii="Times New Roman" w:hAnsi="Times New Roman" w:cs="Times New Roman"/>
          <w:sz w:val="24"/>
          <w:szCs w:val="24"/>
        </w:rPr>
        <w:t xml:space="preserve"> is 50 mg/ml, indicating their strong antifungal potential. </w:t>
      </w:r>
      <w:proofErr w:type="spellStart"/>
      <w:r w:rsidRPr="005F41E3">
        <w:rPr>
          <w:rStyle w:val="Emphasis"/>
          <w:rFonts w:ascii="Times New Roman" w:hAnsi="Times New Roman" w:cs="Times New Roman"/>
          <w:sz w:val="24"/>
          <w:szCs w:val="24"/>
        </w:rPr>
        <w:t>Parkia</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biglobosa</w:t>
      </w:r>
      <w:proofErr w:type="spellEnd"/>
      <w:r w:rsidRPr="005F41E3">
        <w:rPr>
          <w:rFonts w:ascii="Times New Roman" w:hAnsi="Times New Roman" w:cs="Times New Roman"/>
          <w:sz w:val="24"/>
          <w:szCs w:val="24"/>
        </w:rPr>
        <w:t xml:space="preserve"> and </w:t>
      </w:r>
      <w:proofErr w:type="spellStart"/>
      <w:r w:rsidRPr="005F41E3">
        <w:rPr>
          <w:rStyle w:val="Emphasis"/>
          <w:rFonts w:ascii="Times New Roman" w:hAnsi="Times New Roman" w:cs="Times New Roman"/>
          <w:sz w:val="24"/>
          <w:szCs w:val="24"/>
        </w:rPr>
        <w:t>Stereospernum</w:t>
      </w:r>
      <w:proofErr w:type="spellEnd"/>
      <w:r w:rsidRPr="005F41E3">
        <w:rPr>
          <w:rStyle w:val="Emphasis"/>
          <w:rFonts w:ascii="Times New Roman" w:hAnsi="Times New Roman" w:cs="Times New Roman"/>
          <w:sz w:val="24"/>
          <w:szCs w:val="24"/>
        </w:rPr>
        <w:t xml:space="preserve"> </w:t>
      </w:r>
      <w:proofErr w:type="spellStart"/>
      <w:r w:rsidRPr="005F41E3">
        <w:rPr>
          <w:rStyle w:val="Emphasis"/>
          <w:rFonts w:ascii="Times New Roman" w:hAnsi="Times New Roman" w:cs="Times New Roman"/>
          <w:sz w:val="24"/>
          <w:szCs w:val="24"/>
        </w:rPr>
        <w:t>kunthianum</w:t>
      </w:r>
      <w:proofErr w:type="spellEnd"/>
      <w:r w:rsidRPr="005F41E3">
        <w:rPr>
          <w:rFonts w:ascii="Times New Roman" w:hAnsi="Times New Roman" w:cs="Times New Roman"/>
          <w:sz w:val="24"/>
          <w:szCs w:val="24"/>
        </w:rPr>
        <w:t xml:space="preserve"> have an MIC of 100 mg/ml, indicating moderate antifungal activity compared to the other plant extracts and antifungal drugs.</w:t>
      </w:r>
    </w:p>
    <w:p w14:paraId="369ED331" w14:textId="77777777" w:rsidR="0058184B" w:rsidRDefault="0058184B" w:rsidP="00D768F6">
      <w:pPr>
        <w:spacing w:line="240" w:lineRule="auto"/>
        <w:rPr>
          <w:rFonts w:ascii="Times New Roman" w:hAnsi="Times New Roman" w:cs="Times New Roman"/>
          <w:b/>
          <w:sz w:val="24"/>
          <w:szCs w:val="24"/>
        </w:rPr>
      </w:pPr>
    </w:p>
    <w:p w14:paraId="0618D905" w14:textId="77777777" w:rsidR="0058184B" w:rsidRPr="009E1BDC" w:rsidRDefault="0058184B" w:rsidP="00D768F6">
      <w:pPr>
        <w:spacing w:line="240" w:lineRule="auto"/>
        <w:rPr>
          <w:rFonts w:ascii="Times New Roman" w:hAnsi="Times New Roman" w:cs="Times New Roman"/>
          <w:b/>
          <w:sz w:val="24"/>
          <w:szCs w:val="24"/>
        </w:rPr>
      </w:pPr>
      <w:r w:rsidRPr="009E1BDC">
        <w:rPr>
          <w:rFonts w:ascii="Times New Roman" w:hAnsi="Times New Roman" w:cs="Times New Roman"/>
          <w:b/>
          <w:sz w:val="24"/>
          <w:szCs w:val="24"/>
        </w:rPr>
        <w:t>Table</w:t>
      </w:r>
      <w:r w:rsidR="00CC5BCF">
        <w:rPr>
          <w:rFonts w:ascii="Times New Roman" w:hAnsi="Times New Roman" w:cs="Times New Roman"/>
          <w:b/>
          <w:sz w:val="24"/>
          <w:szCs w:val="24"/>
        </w:rPr>
        <w:t xml:space="preserve"> 4</w:t>
      </w:r>
      <w:r w:rsidRPr="009E1BDC">
        <w:rPr>
          <w:rFonts w:ascii="Times New Roman" w:hAnsi="Times New Roman" w:cs="Times New Roman"/>
          <w:b/>
          <w:sz w:val="24"/>
          <w:szCs w:val="24"/>
        </w:rPr>
        <w:t>: MIC and MFC</w:t>
      </w:r>
      <w:r>
        <w:rPr>
          <w:rFonts w:ascii="Times New Roman" w:hAnsi="Times New Roman" w:cs="Times New Roman"/>
          <w:b/>
          <w:sz w:val="24"/>
          <w:szCs w:val="24"/>
        </w:rPr>
        <w:t xml:space="preserve"> of Antifungal drugs and plant extracts on </w:t>
      </w:r>
      <w:r w:rsidRPr="00B8286F">
        <w:rPr>
          <w:rFonts w:ascii="Times New Roman" w:hAnsi="Times New Roman" w:cs="Times New Roman"/>
          <w:b/>
          <w:i/>
          <w:sz w:val="24"/>
          <w:szCs w:val="24"/>
        </w:rPr>
        <w:t>T. rubrum</w:t>
      </w:r>
      <w:r>
        <w:rPr>
          <w:rFonts w:ascii="Times New Roman" w:hAnsi="Times New Roman" w:cs="Times New Roman"/>
          <w:b/>
          <w:sz w:val="24"/>
          <w:szCs w:val="24"/>
        </w:rPr>
        <w:t xml:space="preserve"> on patients in BSUTH and FMC</w:t>
      </w:r>
    </w:p>
    <w:tbl>
      <w:tblPr>
        <w:tblStyle w:val="TableGrid"/>
        <w:tblW w:w="0" w:type="auto"/>
        <w:tblLook w:val="04A0" w:firstRow="1" w:lastRow="0" w:firstColumn="1" w:lastColumn="0" w:noHBand="0" w:noVBand="1"/>
      </w:tblPr>
      <w:tblGrid>
        <w:gridCol w:w="3116"/>
        <w:gridCol w:w="3117"/>
        <w:gridCol w:w="3117"/>
      </w:tblGrid>
      <w:tr w:rsidR="0058184B" w:rsidRPr="009E1BDC" w14:paraId="016B7471" w14:textId="77777777" w:rsidTr="00634081">
        <w:tc>
          <w:tcPr>
            <w:tcW w:w="3116" w:type="dxa"/>
            <w:tcBorders>
              <w:left w:val="nil"/>
              <w:bottom w:val="single" w:sz="4" w:space="0" w:color="auto"/>
              <w:right w:val="nil"/>
            </w:tcBorders>
          </w:tcPr>
          <w:p w14:paraId="024A3C9C" w14:textId="77777777"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An</w:t>
            </w:r>
            <w:r>
              <w:rPr>
                <w:rFonts w:ascii="Times New Roman" w:hAnsi="Times New Roman" w:cs="Times New Roman"/>
                <w:b/>
                <w:sz w:val="24"/>
                <w:szCs w:val="24"/>
              </w:rPr>
              <w:t>t</w:t>
            </w:r>
            <w:r w:rsidRPr="009E1BDC">
              <w:rPr>
                <w:rFonts w:ascii="Times New Roman" w:hAnsi="Times New Roman" w:cs="Times New Roman"/>
                <w:b/>
                <w:sz w:val="24"/>
                <w:szCs w:val="24"/>
              </w:rPr>
              <w:t>ifungal drugs &amp; plant Extracts</w:t>
            </w:r>
          </w:p>
        </w:tc>
        <w:tc>
          <w:tcPr>
            <w:tcW w:w="3117" w:type="dxa"/>
            <w:tcBorders>
              <w:left w:val="nil"/>
              <w:bottom w:val="single" w:sz="4" w:space="0" w:color="auto"/>
              <w:right w:val="nil"/>
            </w:tcBorders>
          </w:tcPr>
          <w:p w14:paraId="7503CB17" w14:textId="77777777"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MIC</w:t>
            </w:r>
          </w:p>
        </w:tc>
        <w:tc>
          <w:tcPr>
            <w:tcW w:w="3117" w:type="dxa"/>
            <w:tcBorders>
              <w:left w:val="nil"/>
              <w:bottom w:val="single" w:sz="4" w:space="0" w:color="auto"/>
              <w:right w:val="nil"/>
            </w:tcBorders>
          </w:tcPr>
          <w:p w14:paraId="2D9327D2" w14:textId="77777777"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MFC</w:t>
            </w:r>
          </w:p>
        </w:tc>
      </w:tr>
      <w:tr w:rsidR="0058184B" w14:paraId="55E562F2" w14:textId="77777777" w:rsidTr="00634081">
        <w:tc>
          <w:tcPr>
            <w:tcW w:w="3116" w:type="dxa"/>
            <w:tcBorders>
              <w:top w:val="single" w:sz="4" w:space="0" w:color="auto"/>
              <w:left w:val="nil"/>
              <w:bottom w:val="nil"/>
              <w:right w:val="nil"/>
            </w:tcBorders>
          </w:tcPr>
          <w:p w14:paraId="125EBBAA"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Fluconazole</w:t>
            </w:r>
          </w:p>
        </w:tc>
        <w:tc>
          <w:tcPr>
            <w:tcW w:w="3117" w:type="dxa"/>
            <w:tcBorders>
              <w:left w:val="nil"/>
              <w:bottom w:val="nil"/>
              <w:right w:val="nil"/>
            </w:tcBorders>
          </w:tcPr>
          <w:p w14:paraId="57522D7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25 mg/ml</w:t>
            </w:r>
          </w:p>
        </w:tc>
        <w:tc>
          <w:tcPr>
            <w:tcW w:w="3117" w:type="dxa"/>
            <w:tcBorders>
              <w:left w:val="nil"/>
              <w:bottom w:val="nil"/>
              <w:right w:val="nil"/>
            </w:tcBorders>
          </w:tcPr>
          <w:p w14:paraId="06A7293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r>
      <w:tr w:rsidR="0058184B" w14:paraId="5F99E015" w14:textId="77777777" w:rsidTr="00634081">
        <w:tc>
          <w:tcPr>
            <w:tcW w:w="3116" w:type="dxa"/>
            <w:tcBorders>
              <w:top w:val="nil"/>
              <w:left w:val="nil"/>
              <w:bottom w:val="nil"/>
              <w:right w:val="nil"/>
            </w:tcBorders>
          </w:tcPr>
          <w:p w14:paraId="5C11C5B0"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Ketoconazole</w:t>
            </w:r>
          </w:p>
        </w:tc>
        <w:tc>
          <w:tcPr>
            <w:tcW w:w="3117" w:type="dxa"/>
            <w:tcBorders>
              <w:top w:val="nil"/>
              <w:left w:val="nil"/>
              <w:bottom w:val="nil"/>
              <w:right w:val="nil"/>
            </w:tcBorders>
          </w:tcPr>
          <w:p w14:paraId="30D9E0B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14:paraId="318F401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200 mg/ml</w:t>
            </w:r>
          </w:p>
        </w:tc>
      </w:tr>
      <w:tr w:rsidR="0058184B" w14:paraId="31FC72F0" w14:textId="77777777" w:rsidTr="00634081">
        <w:tc>
          <w:tcPr>
            <w:tcW w:w="3116" w:type="dxa"/>
            <w:tcBorders>
              <w:top w:val="nil"/>
              <w:left w:val="nil"/>
              <w:bottom w:val="nil"/>
              <w:right w:val="nil"/>
            </w:tcBorders>
          </w:tcPr>
          <w:p w14:paraId="2D3674E6"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Griseofulvin</w:t>
            </w:r>
          </w:p>
        </w:tc>
        <w:tc>
          <w:tcPr>
            <w:tcW w:w="3117" w:type="dxa"/>
            <w:tcBorders>
              <w:top w:val="nil"/>
              <w:left w:val="nil"/>
              <w:bottom w:val="nil"/>
              <w:right w:val="nil"/>
            </w:tcBorders>
          </w:tcPr>
          <w:p w14:paraId="1D2F6B4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14:paraId="3F3366D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265F3A42" w14:textId="77777777" w:rsidTr="00634081">
        <w:tc>
          <w:tcPr>
            <w:tcW w:w="3116" w:type="dxa"/>
            <w:tcBorders>
              <w:top w:val="nil"/>
              <w:left w:val="nil"/>
              <w:bottom w:val="nil"/>
              <w:right w:val="nil"/>
            </w:tcBorders>
          </w:tcPr>
          <w:p w14:paraId="3CD22333" w14:textId="77777777" w:rsidR="0058184B" w:rsidRDefault="0058184B" w:rsidP="00D768F6">
            <w:pPr>
              <w:rPr>
                <w:rFonts w:ascii="Times New Roman" w:hAnsi="Times New Roman" w:cs="Times New Roman"/>
                <w:sz w:val="24"/>
                <w:szCs w:val="24"/>
              </w:rPr>
            </w:pPr>
            <w:proofErr w:type="spellStart"/>
            <w:r w:rsidRPr="004C5078">
              <w:rPr>
                <w:rFonts w:ascii="Times New Roman" w:hAnsi="Times New Roman" w:cs="Times New Roman"/>
                <w:b/>
                <w:i/>
                <w:sz w:val="24"/>
                <w:szCs w:val="24"/>
              </w:rPr>
              <w:t>Vetia</w:t>
            </w:r>
            <w:proofErr w:type="spellEnd"/>
            <w:r w:rsidRPr="004C5078">
              <w:rPr>
                <w:rFonts w:ascii="Times New Roman" w:hAnsi="Times New Roman" w:cs="Times New Roman"/>
                <w:b/>
                <w:i/>
                <w:sz w:val="24"/>
                <w:szCs w:val="24"/>
              </w:rPr>
              <w:t xml:space="preserve"> </w:t>
            </w:r>
            <w:proofErr w:type="spellStart"/>
            <w:r w:rsidRPr="004C5078">
              <w:rPr>
                <w:rFonts w:ascii="Times New Roman" w:hAnsi="Times New Roman" w:cs="Times New Roman"/>
                <w:b/>
                <w:i/>
                <w:sz w:val="24"/>
                <w:szCs w:val="24"/>
              </w:rPr>
              <w:t>tevesia</w:t>
            </w:r>
            <w:proofErr w:type="spellEnd"/>
          </w:p>
        </w:tc>
        <w:tc>
          <w:tcPr>
            <w:tcW w:w="3117" w:type="dxa"/>
            <w:tcBorders>
              <w:top w:val="nil"/>
              <w:left w:val="nil"/>
              <w:bottom w:val="nil"/>
              <w:right w:val="nil"/>
            </w:tcBorders>
          </w:tcPr>
          <w:p w14:paraId="649D3657"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14:paraId="7E3A8723"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230600D7" w14:textId="77777777" w:rsidTr="00634081">
        <w:tc>
          <w:tcPr>
            <w:tcW w:w="3116" w:type="dxa"/>
            <w:tcBorders>
              <w:top w:val="nil"/>
              <w:left w:val="nil"/>
              <w:bottom w:val="nil"/>
              <w:right w:val="nil"/>
            </w:tcBorders>
          </w:tcPr>
          <w:p w14:paraId="2E4AC939" w14:textId="77777777" w:rsidR="0058184B" w:rsidRDefault="0058184B" w:rsidP="00D768F6">
            <w:pPr>
              <w:rPr>
                <w:rFonts w:ascii="Times New Roman" w:hAnsi="Times New Roman" w:cs="Times New Roman"/>
                <w:sz w:val="24"/>
                <w:szCs w:val="24"/>
              </w:rPr>
            </w:pPr>
            <w:r w:rsidRPr="00FF5A48">
              <w:rPr>
                <w:rFonts w:ascii="Times New Roman" w:hAnsi="Times New Roman" w:cs="Times New Roman"/>
                <w:b/>
                <w:i/>
                <w:sz w:val="24"/>
                <w:szCs w:val="24"/>
              </w:rPr>
              <w:t>Vitellaria paradoxa</w:t>
            </w:r>
          </w:p>
        </w:tc>
        <w:tc>
          <w:tcPr>
            <w:tcW w:w="3117" w:type="dxa"/>
            <w:tcBorders>
              <w:top w:val="nil"/>
              <w:left w:val="nil"/>
              <w:bottom w:val="nil"/>
              <w:right w:val="nil"/>
            </w:tcBorders>
          </w:tcPr>
          <w:p w14:paraId="061661F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14:paraId="23B99E98"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50514751" w14:textId="77777777" w:rsidTr="00634081">
        <w:tc>
          <w:tcPr>
            <w:tcW w:w="3116" w:type="dxa"/>
            <w:tcBorders>
              <w:top w:val="nil"/>
              <w:left w:val="nil"/>
              <w:bottom w:val="nil"/>
              <w:right w:val="nil"/>
            </w:tcBorders>
          </w:tcPr>
          <w:p w14:paraId="385B06DB" w14:textId="77777777" w:rsidR="0058184B" w:rsidRDefault="0058184B" w:rsidP="00D768F6">
            <w:pPr>
              <w:rPr>
                <w:rFonts w:ascii="Times New Roman" w:hAnsi="Times New Roman" w:cs="Times New Roman"/>
                <w:sz w:val="24"/>
                <w:szCs w:val="24"/>
              </w:rPr>
            </w:pPr>
            <w:proofErr w:type="spellStart"/>
            <w:r>
              <w:rPr>
                <w:rFonts w:ascii="Times New Roman" w:hAnsi="Times New Roman" w:cs="Times New Roman"/>
                <w:b/>
                <w:i/>
                <w:sz w:val="24"/>
                <w:szCs w:val="24"/>
              </w:rPr>
              <w:t>Parkia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biglobosa</w:t>
            </w:r>
            <w:proofErr w:type="spellEnd"/>
          </w:p>
        </w:tc>
        <w:tc>
          <w:tcPr>
            <w:tcW w:w="3117" w:type="dxa"/>
            <w:tcBorders>
              <w:top w:val="nil"/>
              <w:left w:val="nil"/>
              <w:bottom w:val="nil"/>
              <w:right w:val="nil"/>
            </w:tcBorders>
          </w:tcPr>
          <w:p w14:paraId="1722D5B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14:paraId="2E6E1611"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69E25BA3" w14:textId="77777777" w:rsidTr="00634081">
        <w:tc>
          <w:tcPr>
            <w:tcW w:w="3116" w:type="dxa"/>
            <w:tcBorders>
              <w:top w:val="nil"/>
              <w:left w:val="nil"/>
              <w:bottom w:val="nil"/>
              <w:right w:val="nil"/>
            </w:tcBorders>
          </w:tcPr>
          <w:p w14:paraId="5929D0A8" w14:textId="77777777" w:rsidR="0058184B" w:rsidRDefault="0058184B" w:rsidP="00D768F6">
            <w:pPr>
              <w:rPr>
                <w:rFonts w:ascii="Times New Roman" w:hAnsi="Times New Roman" w:cs="Times New Roman"/>
                <w:sz w:val="24"/>
                <w:szCs w:val="24"/>
              </w:rPr>
            </w:pPr>
            <w:proofErr w:type="spellStart"/>
            <w:r>
              <w:rPr>
                <w:rFonts w:ascii="Times New Roman" w:hAnsi="Times New Roman" w:cs="Times New Roman"/>
                <w:b/>
                <w:i/>
                <w:sz w:val="24"/>
                <w:szCs w:val="24"/>
              </w:rPr>
              <w:t>Stereospernum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kunthianum</w:t>
            </w:r>
            <w:proofErr w:type="spellEnd"/>
          </w:p>
        </w:tc>
        <w:tc>
          <w:tcPr>
            <w:tcW w:w="3117" w:type="dxa"/>
            <w:tcBorders>
              <w:top w:val="nil"/>
              <w:left w:val="nil"/>
              <w:bottom w:val="nil"/>
              <w:right w:val="nil"/>
            </w:tcBorders>
          </w:tcPr>
          <w:p w14:paraId="34369BE4"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14:paraId="2E075205"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14:paraId="6C063E5F" w14:textId="77777777" w:rsidTr="00634081">
        <w:tc>
          <w:tcPr>
            <w:tcW w:w="3116" w:type="dxa"/>
            <w:tcBorders>
              <w:top w:val="nil"/>
              <w:left w:val="nil"/>
              <w:right w:val="nil"/>
            </w:tcBorders>
          </w:tcPr>
          <w:p w14:paraId="2BE2638B" w14:textId="77777777" w:rsidR="0058184B" w:rsidRDefault="0058184B" w:rsidP="00D768F6">
            <w:pPr>
              <w:rPr>
                <w:rFonts w:ascii="Times New Roman" w:hAnsi="Times New Roman" w:cs="Times New Roman"/>
                <w:b/>
                <w:i/>
                <w:sz w:val="24"/>
                <w:szCs w:val="24"/>
              </w:rPr>
            </w:pPr>
            <w:proofErr w:type="spellStart"/>
            <w:r>
              <w:rPr>
                <w:rFonts w:ascii="Times New Roman" w:hAnsi="Times New Roman" w:cs="Times New Roman"/>
                <w:b/>
                <w:i/>
                <w:sz w:val="24"/>
                <w:szCs w:val="24"/>
              </w:rPr>
              <w:t>Mitracarpus</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villosus</w:t>
            </w:r>
            <w:proofErr w:type="spellEnd"/>
          </w:p>
        </w:tc>
        <w:tc>
          <w:tcPr>
            <w:tcW w:w="3117" w:type="dxa"/>
            <w:tcBorders>
              <w:top w:val="nil"/>
              <w:left w:val="nil"/>
              <w:right w:val="nil"/>
            </w:tcBorders>
          </w:tcPr>
          <w:p w14:paraId="2711917B"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right w:val="nil"/>
            </w:tcBorders>
          </w:tcPr>
          <w:p w14:paraId="6806E82F" w14:textId="77777777"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bl>
    <w:p w14:paraId="4693A08C" w14:textId="77777777" w:rsidR="0058184B" w:rsidRDefault="0058184B" w:rsidP="00D768F6">
      <w:pPr>
        <w:spacing w:line="240" w:lineRule="auto"/>
        <w:rPr>
          <w:rFonts w:ascii="Times New Roman" w:hAnsi="Times New Roman" w:cs="Times New Roman"/>
          <w:sz w:val="24"/>
          <w:szCs w:val="24"/>
        </w:rPr>
      </w:pPr>
    </w:p>
    <w:p w14:paraId="2882F334" w14:textId="77777777" w:rsidR="0058184B" w:rsidRDefault="0058184B" w:rsidP="00D768F6">
      <w:pPr>
        <w:spacing w:line="240" w:lineRule="auto"/>
        <w:rPr>
          <w:rFonts w:ascii="Times New Roman" w:hAnsi="Times New Roman" w:cs="Times New Roman"/>
          <w:b/>
          <w:sz w:val="24"/>
          <w:szCs w:val="24"/>
        </w:rPr>
      </w:pPr>
    </w:p>
    <w:p w14:paraId="42B8CB49" w14:textId="77777777"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The phytochemical</w:t>
      </w:r>
      <w:r w:rsidR="00CF0BA3">
        <w:rPr>
          <w:rFonts w:ascii="Times New Roman" w:eastAsia="Times New Roman" w:hAnsi="Times New Roman" w:cs="Times New Roman"/>
          <w:sz w:val="24"/>
          <w:szCs w:val="24"/>
        </w:rPr>
        <w:t xml:space="preserve"> in table 1</w:t>
      </w:r>
      <w:r w:rsidRPr="004807F6">
        <w:rPr>
          <w:rFonts w:ascii="Times New Roman" w:eastAsia="Times New Roman" w:hAnsi="Times New Roman" w:cs="Times New Roman"/>
          <w:sz w:val="24"/>
          <w:szCs w:val="24"/>
        </w:rPr>
        <w:t xml:space="preserve"> analysis of </w:t>
      </w:r>
      <w:proofErr w:type="spellStart"/>
      <w:r w:rsidRPr="004807F6">
        <w:rPr>
          <w:rFonts w:ascii="Times New Roman" w:eastAsia="Times New Roman" w:hAnsi="Times New Roman" w:cs="Times New Roman"/>
          <w:i/>
          <w:iCs/>
          <w:sz w:val="24"/>
          <w:szCs w:val="24"/>
        </w:rPr>
        <w:t>Vetiveria</w:t>
      </w:r>
      <w:proofErr w:type="spellEnd"/>
      <w:r w:rsidRPr="004807F6">
        <w:rPr>
          <w:rFonts w:ascii="Times New Roman" w:eastAsia="Times New Roman" w:hAnsi="Times New Roman" w:cs="Times New Roman"/>
          <w:i/>
          <w:iCs/>
          <w:sz w:val="24"/>
          <w:szCs w:val="24"/>
        </w:rPr>
        <w:t xml:space="preserve"> </w:t>
      </w:r>
      <w:proofErr w:type="spellStart"/>
      <w:r w:rsidRPr="004807F6">
        <w:rPr>
          <w:rFonts w:ascii="Times New Roman" w:eastAsia="Times New Roman" w:hAnsi="Times New Roman" w:cs="Times New Roman"/>
          <w:i/>
          <w:iCs/>
          <w:sz w:val="24"/>
          <w:szCs w:val="24"/>
        </w:rPr>
        <w:t>zizanioides</w:t>
      </w:r>
      <w:proofErr w:type="spellEnd"/>
      <w:r w:rsidRPr="004807F6">
        <w:rPr>
          <w:rFonts w:ascii="Times New Roman" w:eastAsia="Times New Roman" w:hAnsi="Times New Roman" w:cs="Times New Roman"/>
          <w:sz w:val="24"/>
          <w:szCs w:val="24"/>
        </w:rPr>
        <w:t xml:space="preserve"> (Mule </w:t>
      </w:r>
      <w:proofErr w:type="spellStart"/>
      <w:r w:rsidRPr="004807F6">
        <w:rPr>
          <w:rFonts w:ascii="Times New Roman" w:eastAsia="Times New Roman" w:hAnsi="Times New Roman" w:cs="Times New Roman"/>
          <w:sz w:val="24"/>
          <w:szCs w:val="24"/>
        </w:rPr>
        <w:t>kyegh</w:t>
      </w:r>
      <w:proofErr w:type="spellEnd"/>
      <w:r w:rsidRPr="004807F6">
        <w:rPr>
          <w:rFonts w:ascii="Times New Roman" w:eastAsia="Times New Roman" w:hAnsi="Times New Roman" w:cs="Times New Roman"/>
          <w:sz w:val="24"/>
          <w:szCs w:val="24"/>
        </w:rPr>
        <w:t>) identified several bioactive compounds, such as alkaloids, saponins, tannins, phenols, and flavonoids, which are known for thei</w:t>
      </w:r>
      <w:r>
        <w:rPr>
          <w:rFonts w:ascii="Times New Roman" w:eastAsia="Times New Roman" w:hAnsi="Times New Roman" w:cs="Times New Roman"/>
          <w:sz w:val="24"/>
          <w:szCs w:val="24"/>
        </w:rPr>
        <w:t>r antifungal properties</w:t>
      </w:r>
      <w:r w:rsidRPr="004807F6">
        <w:rPr>
          <w:rFonts w:ascii="Times New Roman" w:eastAsia="Times New Roman" w:hAnsi="Times New Roman" w:cs="Times New Roman"/>
          <w:sz w:val="24"/>
          <w:szCs w:val="24"/>
        </w:rPr>
        <w:t xml:space="preserve">. These results are consistent with earlier research demonstrating the therapeutic potential of medicinal plants containing these phytochemicals (Okeke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For example, alkaloids have been shown to disrupt fungal cell membranes and inhibit spore formation, making them effective against dermatophytes like </w:t>
      </w:r>
      <w:r w:rsidRPr="004807F6">
        <w:rPr>
          <w:rFonts w:ascii="Times New Roman" w:eastAsia="Times New Roman" w:hAnsi="Times New Roman" w:cs="Times New Roman"/>
          <w:i/>
          <w:iCs/>
          <w:sz w:val="24"/>
          <w:szCs w:val="24"/>
        </w:rPr>
        <w:t>Trichophyton rubrum</w:t>
      </w:r>
      <w:r w:rsidRPr="004807F6">
        <w:rPr>
          <w:rFonts w:ascii="Times New Roman" w:eastAsia="Times New Roman" w:hAnsi="Times New Roman" w:cs="Times New Roman"/>
          <w:sz w:val="24"/>
          <w:szCs w:val="24"/>
        </w:rPr>
        <w:t xml:space="preserve"> (Gupta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2021). Saponins, on the other hand, destabilize fungal cell walls, while tannins and phenols interfere with fungal enzymes and protein synthesis (Al-</w:t>
      </w:r>
      <w:proofErr w:type="spellStart"/>
      <w:r w:rsidRPr="004807F6">
        <w:rPr>
          <w:rFonts w:ascii="Times New Roman" w:eastAsia="Times New Roman" w:hAnsi="Times New Roman" w:cs="Times New Roman"/>
          <w:sz w:val="24"/>
          <w:szCs w:val="24"/>
        </w:rPr>
        <w:t>Snafi</w:t>
      </w:r>
      <w:proofErr w:type="spellEnd"/>
      <w:r w:rsidRPr="004807F6">
        <w:rPr>
          <w:rFonts w:ascii="Times New Roman" w:eastAsia="Times New Roman" w:hAnsi="Times New Roman" w:cs="Times New Roman"/>
          <w:sz w:val="24"/>
          <w:szCs w:val="24"/>
        </w:rPr>
        <w:t xml:space="preserve">, 2021). Flavonoids, known for their antioxidant and antifungal properties, further enhance the plant's potential as a natural antifungal agent (Eze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2022). However, the absence of glycosides, terpenoids, and steroids suggests that these compounds may not play a significant role in the plant's antifungal activity.</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lastRenderedPageBreak/>
        <w:t xml:space="preserve">The findings of this study have important implications for public health in Benue State. The antifungal properties of </w:t>
      </w:r>
      <w:proofErr w:type="spellStart"/>
      <w:r w:rsidRPr="004807F6">
        <w:rPr>
          <w:rFonts w:ascii="Times New Roman" w:eastAsia="Times New Roman" w:hAnsi="Times New Roman" w:cs="Times New Roman"/>
          <w:i/>
          <w:iCs/>
          <w:sz w:val="24"/>
          <w:szCs w:val="24"/>
        </w:rPr>
        <w:t>Vetiveria</w:t>
      </w:r>
      <w:proofErr w:type="spellEnd"/>
      <w:r w:rsidRPr="004807F6">
        <w:rPr>
          <w:rFonts w:ascii="Times New Roman" w:eastAsia="Times New Roman" w:hAnsi="Times New Roman" w:cs="Times New Roman"/>
          <w:i/>
          <w:iCs/>
          <w:sz w:val="24"/>
          <w:szCs w:val="24"/>
        </w:rPr>
        <w:t xml:space="preserve"> </w:t>
      </w:r>
      <w:proofErr w:type="spellStart"/>
      <w:r w:rsidRPr="004807F6">
        <w:rPr>
          <w:rFonts w:ascii="Times New Roman" w:eastAsia="Times New Roman" w:hAnsi="Times New Roman" w:cs="Times New Roman"/>
          <w:i/>
          <w:iCs/>
          <w:sz w:val="24"/>
          <w:szCs w:val="24"/>
        </w:rPr>
        <w:t>zizanioides</w:t>
      </w:r>
      <w:proofErr w:type="spellEnd"/>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14:paraId="465B8E9A" w14:textId="77777777"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 xml:space="preserve">The phytochemical analysis of </w:t>
      </w:r>
      <w:r w:rsidRPr="004807F6">
        <w:rPr>
          <w:rFonts w:ascii="Times New Roman" w:eastAsia="Times New Roman" w:hAnsi="Times New Roman" w:cs="Times New Roman"/>
          <w:i/>
          <w:iCs/>
          <w:sz w:val="24"/>
          <w:szCs w:val="24"/>
        </w:rPr>
        <w:t xml:space="preserve">Vitellaria </w:t>
      </w:r>
      <w:proofErr w:type="spellStart"/>
      <w:r w:rsidRPr="004807F6">
        <w:rPr>
          <w:rFonts w:ascii="Times New Roman" w:eastAsia="Times New Roman" w:hAnsi="Times New Roman" w:cs="Times New Roman"/>
          <w:i/>
          <w:iCs/>
          <w:sz w:val="24"/>
          <w:szCs w:val="24"/>
        </w:rPr>
        <w:t>paradoxa</w:t>
      </w:r>
      <w:proofErr w:type="spellEnd"/>
      <w:r w:rsidRPr="004807F6">
        <w:rPr>
          <w:rFonts w:ascii="Times New Roman" w:eastAsia="Times New Roman" w:hAnsi="Times New Roman" w:cs="Times New Roman"/>
          <w:sz w:val="24"/>
          <w:szCs w:val="24"/>
        </w:rPr>
        <w:t xml:space="preserve"> (</w:t>
      </w:r>
      <w:proofErr w:type="spellStart"/>
      <w:r w:rsidRPr="004807F6">
        <w:rPr>
          <w:rFonts w:ascii="Times New Roman" w:eastAsia="Times New Roman" w:hAnsi="Times New Roman" w:cs="Times New Roman"/>
          <w:sz w:val="24"/>
          <w:szCs w:val="24"/>
        </w:rPr>
        <w:t>Chamegh</w:t>
      </w:r>
      <w:proofErr w:type="spellEnd"/>
      <w:r w:rsidRPr="004807F6">
        <w:rPr>
          <w:rFonts w:ascii="Times New Roman" w:eastAsia="Times New Roman" w:hAnsi="Times New Roman" w:cs="Times New Roman"/>
          <w:sz w:val="24"/>
          <w:szCs w:val="24"/>
        </w:rPr>
        <w:t>) identified several bioactive compounds, including alkaloids, saponins, terpenoids, and steroids, which are known for thei</w:t>
      </w:r>
      <w:r>
        <w:rPr>
          <w:rFonts w:ascii="Times New Roman" w:eastAsia="Times New Roman" w:hAnsi="Times New Roman" w:cs="Times New Roman"/>
          <w:sz w:val="24"/>
          <w:szCs w:val="24"/>
        </w:rPr>
        <w:t>r antifungal properties</w:t>
      </w:r>
      <w:r w:rsidRPr="004807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terpenoids and steroids interfere with fungal growth and reproduction (Al-</w:t>
      </w:r>
      <w:proofErr w:type="spellStart"/>
      <w:r w:rsidRPr="004807F6">
        <w:rPr>
          <w:rFonts w:ascii="Times New Roman" w:eastAsia="Times New Roman" w:hAnsi="Times New Roman" w:cs="Times New Roman"/>
          <w:sz w:val="24"/>
          <w:szCs w:val="24"/>
        </w:rPr>
        <w:t>Snafi</w:t>
      </w:r>
      <w:proofErr w:type="spellEnd"/>
      <w:r w:rsidRPr="004807F6">
        <w:rPr>
          <w:rFonts w:ascii="Times New Roman" w:eastAsia="Times New Roman" w:hAnsi="Times New Roman" w:cs="Times New Roman"/>
          <w:sz w:val="24"/>
          <w:szCs w:val="24"/>
        </w:rPr>
        <w:t>, 2021). However, the absence of glycosides, tannins, phenols, and flavonoids suggests that these compounds may not play a significant role in the plant's antifungal activity.</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antifungal potential of </w:t>
      </w:r>
      <w:r w:rsidRPr="004807F6">
        <w:rPr>
          <w:rFonts w:ascii="Times New Roman" w:eastAsia="Times New Roman" w:hAnsi="Times New Roman" w:cs="Times New Roman"/>
          <w:i/>
          <w:iCs/>
          <w:sz w:val="24"/>
          <w:szCs w:val="24"/>
        </w:rPr>
        <w:t>Vitellaria paradoxa</w:t>
      </w:r>
      <w:r w:rsidRPr="004807F6">
        <w:rPr>
          <w:rFonts w:ascii="Times New Roman" w:eastAsia="Times New Roman" w:hAnsi="Times New Roman" w:cs="Times New Roman"/>
          <w:sz w:val="24"/>
          <w:szCs w:val="24"/>
        </w:rPr>
        <w:t xml:space="preserve"> against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findings of this study have important implications for public health in Benue State. The antifungal properties of </w:t>
      </w:r>
      <w:r w:rsidRPr="004807F6">
        <w:rPr>
          <w:rFonts w:ascii="Times New Roman" w:eastAsia="Times New Roman" w:hAnsi="Times New Roman" w:cs="Times New Roman"/>
          <w:i/>
          <w:iCs/>
          <w:sz w:val="24"/>
          <w:szCs w:val="24"/>
        </w:rPr>
        <w:t>Vitellaria paradoxa</w:t>
      </w:r>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14:paraId="417A970B" w14:textId="77777777"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 xml:space="preserve">The phytochemical analysis of </w:t>
      </w:r>
      <w:proofErr w:type="spellStart"/>
      <w:r w:rsidRPr="004807F6">
        <w:rPr>
          <w:rFonts w:ascii="Times New Roman" w:eastAsia="Times New Roman" w:hAnsi="Times New Roman" w:cs="Times New Roman"/>
          <w:i/>
          <w:iCs/>
          <w:sz w:val="24"/>
          <w:szCs w:val="24"/>
        </w:rPr>
        <w:t>Parkia</w:t>
      </w:r>
      <w:proofErr w:type="spellEnd"/>
      <w:r w:rsidRPr="004807F6">
        <w:rPr>
          <w:rFonts w:ascii="Times New Roman" w:eastAsia="Times New Roman" w:hAnsi="Times New Roman" w:cs="Times New Roman"/>
          <w:i/>
          <w:iCs/>
          <w:sz w:val="24"/>
          <w:szCs w:val="24"/>
        </w:rPr>
        <w:t xml:space="preserve"> </w:t>
      </w:r>
      <w:proofErr w:type="spellStart"/>
      <w:r w:rsidRPr="004807F6">
        <w:rPr>
          <w:rFonts w:ascii="Times New Roman" w:eastAsia="Times New Roman" w:hAnsi="Times New Roman" w:cs="Times New Roman"/>
          <w:i/>
          <w:iCs/>
          <w:sz w:val="24"/>
          <w:szCs w:val="24"/>
        </w:rPr>
        <w:t>biglobosa</w:t>
      </w:r>
      <w:proofErr w:type="spellEnd"/>
      <w:r w:rsidRPr="004807F6">
        <w:rPr>
          <w:rFonts w:ascii="Times New Roman" w:eastAsia="Times New Roman" w:hAnsi="Times New Roman" w:cs="Times New Roman"/>
          <w:sz w:val="24"/>
          <w:szCs w:val="24"/>
        </w:rPr>
        <w:t xml:space="preserve"> (</w:t>
      </w:r>
      <w:proofErr w:type="spellStart"/>
      <w:r w:rsidRPr="004807F6">
        <w:rPr>
          <w:rFonts w:ascii="Times New Roman" w:eastAsia="Times New Roman" w:hAnsi="Times New Roman" w:cs="Times New Roman"/>
          <w:sz w:val="24"/>
          <w:szCs w:val="24"/>
        </w:rPr>
        <w:t>Nune</w:t>
      </w:r>
      <w:proofErr w:type="spellEnd"/>
      <w:r w:rsidRPr="004807F6">
        <w:rPr>
          <w:rFonts w:ascii="Times New Roman" w:eastAsia="Times New Roman" w:hAnsi="Times New Roman" w:cs="Times New Roman"/>
          <w:sz w:val="24"/>
          <w:szCs w:val="24"/>
        </w:rPr>
        <w:t>) identified a wide range of bioactive compounds, including alkaloids, glycosides, saponins, terpenoids, tannins, phenols, f</w:t>
      </w:r>
      <w:r>
        <w:rPr>
          <w:rFonts w:ascii="Times New Roman" w:eastAsia="Times New Roman" w:hAnsi="Times New Roman" w:cs="Times New Roman"/>
          <w:sz w:val="24"/>
          <w:szCs w:val="24"/>
        </w:rPr>
        <w:t>lavonoids, and steroids</w:t>
      </w:r>
      <w:r w:rsidRPr="004807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presence of these diverse bioactive compounds in </w:t>
      </w:r>
      <w:proofErr w:type="spellStart"/>
      <w:r w:rsidRPr="004807F6">
        <w:rPr>
          <w:rFonts w:ascii="Times New Roman" w:eastAsia="Times New Roman" w:hAnsi="Times New Roman" w:cs="Times New Roman"/>
          <w:i/>
          <w:iCs/>
          <w:sz w:val="24"/>
          <w:szCs w:val="24"/>
        </w:rPr>
        <w:t>Parkia</w:t>
      </w:r>
      <w:proofErr w:type="spellEnd"/>
      <w:r w:rsidRPr="004807F6">
        <w:rPr>
          <w:rFonts w:ascii="Times New Roman" w:eastAsia="Times New Roman" w:hAnsi="Times New Roman" w:cs="Times New Roman"/>
          <w:i/>
          <w:iCs/>
          <w:sz w:val="24"/>
          <w:szCs w:val="24"/>
        </w:rPr>
        <w:t xml:space="preserve"> </w:t>
      </w:r>
      <w:proofErr w:type="spellStart"/>
      <w:r w:rsidRPr="004807F6">
        <w:rPr>
          <w:rFonts w:ascii="Times New Roman" w:eastAsia="Times New Roman" w:hAnsi="Times New Roman" w:cs="Times New Roman"/>
          <w:i/>
          <w:iCs/>
          <w:sz w:val="24"/>
          <w:szCs w:val="24"/>
        </w:rPr>
        <w:t>biglobosa</w:t>
      </w:r>
      <w:proofErr w:type="spellEnd"/>
      <w:r w:rsidRPr="004807F6">
        <w:rPr>
          <w:rFonts w:ascii="Times New Roman" w:eastAsia="Times New Roman" w:hAnsi="Times New Roman" w:cs="Times New Roman"/>
          <w:sz w:val="24"/>
          <w:szCs w:val="24"/>
        </w:rPr>
        <w:t xml:space="preserve"> underscores its potential as a potent natural antifungal agent</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antifungal potential of </w:t>
      </w:r>
      <w:proofErr w:type="spellStart"/>
      <w:r w:rsidRPr="004807F6">
        <w:rPr>
          <w:rFonts w:ascii="Times New Roman" w:eastAsia="Times New Roman" w:hAnsi="Times New Roman" w:cs="Times New Roman"/>
          <w:i/>
          <w:iCs/>
          <w:sz w:val="24"/>
          <w:szCs w:val="24"/>
        </w:rPr>
        <w:t>Parkia</w:t>
      </w:r>
      <w:proofErr w:type="spellEnd"/>
      <w:r w:rsidRPr="004807F6">
        <w:rPr>
          <w:rFonts w:ascii="Times New Roman" w:eastAsia="Times New Roman" w:hAnsi="Times New Roman" w:cs="Times New Roman"/>
          <w:i/>
          <w:iCs/>
          <w:sz w:val="24"/>
          <w:szCs w:val="24"/>
        </w:rPr>
        <w:t xml:space="preserve"> </w:t>
      </w:r>
      <w:proofErr w:type="spellStart"/>
      <w:r w:rsidRPr="004807F6">
        <w:rPr>
          <w:rFonts w:ascii="Times New Roman" w:eastAsia="Times New Roman" w:hAnsi="Times New Roman" w:cs="Times New Roman"/>
          <w:i/>
          <w:iCs/>
          <w:sz w:val="24"/>
          <w:szCs w:val="24"/>
        </w:rPr>
        <w:t>biglobosa</w:t>
      </w:r>
      <w:proofErr w:type="spellEnd"/>
      <w:r w:rsidRPr="004807F6">
        <w:rPr>
          <w:rFonts w:ascii="Times New Roman" w:eastAsia="Times New Roman" w:hAnsi="Times New Roman" w:cs="Times New Roman"/>
          <w:sz w:val="24"/>
          <w:szCs w:val="24"/>
        </w:rPr>
        <w:t xml:space="preserve"> against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antifungal properties of </w:t>
      </w:r>
      <w:proofErr w:type="spellStart"/>
      <w:r w:rsidRPr="004807F6">
        <w:rPr>
          <w:rFonts w:ascii="Times New Roman" w:eastAsia="Times New Roman" w:hAnsi="Times New Roman" w:cs="Times New Roman"/>
          <w:i/>
          <w:iCs/>
          <w:sz w:val="24"/>
          <w:szCs w:val="24"/>
        </w:rPr>
        <w:t>Parkia</w:t>
      </w:r>
      <w:proofErr w:type="spellEnd"/>
      <w:r w:rsidRPr="004807F6">
        <w:rPr>
          <w:rFonts w:ascii="Times New Roman" w:eastAsia="Times New Roman" w:hAnsi="Times New Roman" w:cs="Times New Roman"/>
          <w:i/>
          <w:iCs/>
          <w:sz w:val="24"/>
          <w:szCs w:val="24"/>
        </w:rPr>
        <w:t xml:space="preserve"> </w:t>
      </w:r>
      <w:proofErr w:type="spellStart"/>
      <w:r w:rsidRPr="004807F6">
        <w:rPr>
          <w:rFonts w:ascii="Times New Roman" w:eastAsia="Times New Roman" w:hAnsi="Times New Roman" w:cs="Times New Roman"/>
          <w:i/>
          <w:iCs/>
          <w:sz w:val="24"/>
          <w:szCs w:val="24"/>
        </w:rPr>
        <w:t>biglobosa</w:t>
      </w:r>
      <w:proofErr w:type="spellEnd"/>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14:paraId="17014675" w14:textId="77777777" w:rsidR="00D768F6" w:rsidRPr="009937BB"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9937BB">
        <w:rPr>
          <w:rFonts w:ascii="Times New Roman" w:eastAsia="Times New Roman" w:hAnsi="Times New Roman" w:cs="Times New Roman"/>
          <w:sz w:val="24"/>
          <w:szCs w:val="24"/>
        </w:rPr>
        <w:t xml:space="preserve">The phytochemical analysis of </w:t>
      </w:r>
      <w:proofErr w:type="spellStart"/>
      <w:r w:rsidRPr="009937BB">
        <w:rPr>
          <w:rFonts w:ascii="Times New Roman" w:eastAsia="Times New Roman" w:hAnsi="Times New Roman" w:cs="Times New Roman"/>
          <w:i/>
          <w:iCs/>
          <w:sz w:val="24"/>
          <w:szCs w:val="24"/>
        </w:rPr>
        <w:t>Stereospermum</w:t>
      </w:r>
      <w:proofErr w:type="spellEnd"/>
      <w:r w:rsidRPr="009937BB">
        <w:rPr>
          <w:rFonts w:ascii="Times New Roman" w:eastAsia="Times New Roman" w:hAnsi="Times New Roman" w:cs="Times New Roman"/>
          <w:i/>
          <w:iCs/>
          <w:sz w:val="24"/>
          <w:szCs w:val="24"/>
        </w:rPr>
        <w:t xml:space="preserve"> </w:t>
      </w:r>
      <w:proofErr w:type="spellStart"/>
      <w:r w:rsidRPr="009937BB">
        <w:rPr>
          <w:rFonts w:ascii="Times New Roman" w:eastAsia="Times New Roman" w:hAnsi="Times New Roman" w:cs="Times New Roman"/>
          <w:i/>
          <w:iCs/>
          <w:sz w:val="24"/>
          <w:szCs w:val="24"/>
        </w:rPr>
        <w:t>kunthianum</w:t>
      </w:r>
      <w:proofErr w:type="spellEnd"/>
      <w:r w:rsidRPr="009937BB">
        <w:rPr>
          <w:rFonts w:ascii="Times New Roman" w:eastAsia="Times New Roman" w:hAnsi="Times New Roman" w:cs="Times New Roman"/>
          <w:sz w:val="24"/>
          <w:szCs w:val="24"/>
        </w:rPr>
        <w:t xml:space="preserve"> (</w:t>
      </w:r>
      <w:proofErr w:type="spellStart"/>
      <w:r w:rsidRPr="009937BB">
        <w:rPr>
          <w:rFonts w:ascii="Times New Roman" w:eastAsia="Times New Roman" w:hAnsi="Times New Roman" w:cs="Times New Roman"/>
          <w:sz w:val="24"/>
          <w:szCs w:val="24"/>
        </w:rPr>
        <w:t>Umanatemba</w:t>
      </w:r>
      <w:proofErr w:type="spellEnd"/>
      <w:r w:rsidRPr="009937BB">
        <w:rPr>
          <w:rFonts w:ascii="Times New Roman" w:eastAsia="Times New Roman" w:hAnsi="Times New Roman" w:cs="Times New Roman"/>
          <w:sz w:val="24"/>
          <w:szCs w:val="24"/>
        </w:rPr>
        <w:t>) identified several bioactive compounds, including glycosides, saponins, terpenoids, tannins, phenols, and flavonoids, which are known for thei</w:t>
      </w:r>
      <w:r>
        <w:rPr>
          <w:rFonts w:ascii="Times New Roman" w:eastAsia="Times New Roman" w:hAnsi="Times New Roman" w:cs="Times New Roman"/>
          <w:sz w:val="24"/>
          <w:szCs w:val="24"/>
        </w:rPr>
        <w:t>r antifungal properties</w:t>
      </w:r>
      <w:r w:rsidRPr="009937BB">
        <w:rPr>
          <w:rFonts w:ascii="Times New Roman" w:eastAsia="Times New Roman" w:hAnsi="Times New Roman" w:cs="Times New Roman"/>
          <w:sz w:val="24"/>
          <w:szCs w:val="24"/>
        </w:rPr>
        <w:t xml:space="preserve">. These results are consistent with earlier research demonstrating the therapeutic potential of medicinal plants containing these phytochemicals (Okeke </w:t>
      </w:r>
      <w:r w:rsidRPr="00407B91">
        <w:rPr>
          <w:rFonts w:ascii="Times New Roman" w:eastAsia="Times New Roman" w:hAnsi="Times New Roman" w:cs="Times New Roman"/>
          <w:i/>
          <w:sz w:val="24"/>
          <w:szCs w:val="24"/>
        </w:rPr>
        <w:t>et al.,</w:t>
      </w:r>
      <w:r w:rsidRPr="009937BB">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w:t>
      </w:r>
      <w:r w:rsidRPr="009937BB">
        <w:rPr>
          <w:rFonts w:ascii="Times New Roman" w:eastAsia="Times New Roman" w:hAnsi="Times New Roman" w:cs="Times New Roman"/>
          <w:sz w:val="24"/>
          <w:szCs w:val="24"/>
        </w:rPr>
        <w:t>However, the absence of alkaloids and steroids suggests that these compounds may not play a significant role in the plant's antifungal activity.</w:t>
      </w:r>
      <w:r>
        <w:rPr>
          <w:rFonts w:ascii="Times New Roman" w:eastAsia="Times New Roman" w:hAnsi="Times New Roman" w:cs="Times New Roman"/>
          <w:sz w:val="24"/>
          <w:szCs w:val="24"/>
        </w:rPr>
        <w:t xml:space="preserve"> </w:t>
      </w:r>
      <w:r w:rsidRPr="009937BB">
        <w:rPr>
          <w:rFonts w:ascii="Times New Roman" w:eastAsia="Times New Roman" w:hAnsi="Times New Roman" w:cs="Times New Roman"/>
          <w:sz w:val="24"/>
          <w:szCs w:val="24"/>
        </w:rPr>
        <w:t xml:space="preserve">The antifungal potential of </w:t>
      </w:r>
      <w:proofErr w:type="spellStart"/>
      <w:r w:rsidRPr="009937BB">
        <w:rPr>
          <w:rFonts w:ascii="Times New Roman" w:eastAsia="Times New Roman" w:hAnsi="Times New Roman" w:cs="Times New Roman"/>
          <w:i/>
          <w:iCs/>
          <w:sz w:val="24"/>
          <w:szCs w:val="24"/>
        </w:rPr>
        <w:t>Stereospermum</w:t>
      </w:r>
      <w:proofErr w:type="spellEnd"/>
      <w:r w:rsidRPr="009937BB">
        <w:rPr>
          <w:rFonts w:ascii="Times New Roman" w:eastAsia="Times New Roman" w:hAnsi="Times New Roman" w:cs="Times New Roman"/>
          <w:i/>
          <w:iCs/>
          <w:sz w:val="24"/>
          <w:szCs w:val="24"/>
        </w:rPr>
        <w:t xml:space="preserve"> </w:t>
      </w:r>
      <w:proofErr w:type="spellStart"/>
      <w:r w:rsidRPr="009937BB">
        <w:rPr>
          <w:rFonts w:ascii="Times New Roman" w:eastAsia="Times New Roman" w:hAnsi="Times New Roman" w:cs="Times New Roman"/>
          <w:i/>
          <w:iCs/>
          <w:sz w:val="24"/>
          <w:szCs w:val="24"/>
        </w:rPr>
        <w:t>kunthianum</w:t>
      </w:r>
      <w:proofErr w:type="spellEnd"/>
      <w:r w:rsidRPr="009937BB">
        <w:rPr>
          <w:rFonts w:ascii="Times New Roman" w:eastAsia="Times New Roman" w:hAnsi="Times New Roman" w:cs="Times New Roman"/>
          <w:sz w:val="24"/>
          <w:szCs w:val="24"/>
        </w:rPr>
        <w:t xml:space="preserve"> against </w:t>
      </w:r>
      <w:r w:rsidRPr="009937BB">
        <w:rPr>
          <w:rFonts w:ascii="Times New Roman" w:eastAsia="Times New Roman" w:hAnsi="Times New Roman" w:cs="Times New Roman"/>
          <w:i/>
          <w:iCs/>
          <w:sz w:val="24"/>
          <w:szCs w:val="24"/>
        </w:rPr>
        <w:t>T. rubrum</w:t>
      </w:r>
      <w:r w:rsidRPr="009937BB">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9937BB">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9937BB">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9937BB">
        <w:rPr>
          <w:rFonts w:ascii="Times New Roman" w:eastAsia="Times New Roman" w:hAnsi="Times New Roman" w:cs="Times New Roman"/>
          <w:sz w:val="24"/>
          <w:szCs w:val="24"/>
        </w:rPr>
        <w:t xml:space="preserve">The findings of this study have important implications for public health in Benue State. The antifungal properties of </w:t>
      </w:r>
      <w:proofErr w:type="spellStart"/>
      <w:r w:rsidRPr="009937BB">
        <w:rPr>
          <w:rFonts w:ascii="Times New Roman" w:eastAsia="Times New Roman" w:hAnsi="Times New Roman" w:cs="Times New Roman"/>
          <w:i/>
          <w:iCs/>
          <w:sz w:val="24"/>
          <w:szCs w:val="24"/>
        </w:rPr>
        <w:t>Stereospermum</w:t>
      </w:r>
      <w:proofErr w:type="spellEnd"/>
      <w:r w:rsidRPr="009937BB">
        <w:rPr>
          <w:rFonts w:ascii="Times New Roman" w:eastAsia="Times New Roman" w:hAnsi="Times New Roman" w:cs="Times New Roman"/>
          <w:i/>
          <w:iCs/>
          <w:sz w:val="24"/>
          <w:szCs w:val="24"/>
        </w:rPr>
        <w:t xml:space="preserve"> </w:t>
      </w:r>
      <w:proofErr w:type="spellStart"/>
      <w:r w:rsidRPr="009937BB">
        <w:rPr>
          <w:rFonts w:ascii="Times New Roman" w:eastAsia="Times New Roman" w:hAnsi="Times New Roman" w:cs="Times New Roman"/>
          <w:i/>
          <w:iCs/>
          <w:sz w:val="24"/>
          <w:szCs w:val="24"/>
        </w:rPr>
        <w:t>kunthianum</w:t>
      </w:r>
      <w:proofErr w:type="spellEnd"/>
      <w:r w:rsidRPr="009937BB">
        <w:rPr>
          <w:rFonts w:ascii="Times New Roman" w:eastAsia="Times New Roman" w:hAnsi="Times New Roman" w:cs="Times New Roman"/>
          <w:sz w:val="24"/>
          <w:szCs w:val="24"/>
        </w:rPr>
        <w:t xml:space="preserve"> could offer a cost-effective and accessible treatment option for patients with </w:t>
      </w:r>
      <w:r w:rsidRPr="009937BB">
        <w:rPr>
          <w:rFonts w:ascii="Times New Roman" w:eastAsia="Times New Roman" w:hAnsi="Times New Roman" w:cs="Times New Roman"/>
          <w:i/>
          <w:iCs/>
          <w:sz w:val="24"/>
          <w:szCs w:val="24"/>
        </w:rPr>
        <w:t>T. rubrum</w:t>
      </w:r>
      <w:r w:rsidRPr="009937BB">
        <w:rPr>
          <w:rFonts w:ascii="Times New Roman" w:eastAsia="Times New Roman" w:hAnsi="Times New Roman" w:cs="Times New Roman"/>
          <w:sz w:val="24"/>
          <w:szCs w:val="24"/>
        </w:rPr>
        <w:t xml:space="preserve"> infections.</w:t>
      </w:r>
    </w:p>
    <w:p w14:paraId="26F8B898" w14:textId="77777777" w:rsidR="00D768F6" w:rsidRPr="005F1C60"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The phytochemical analysis of </w:t>
      </w:r>
      <w:proofErr w:type="spellStart"/>
      <w:r w:rsidRPr="005F1C60">
        <w:rPr>
          <w:rFonts w:ascii="Times New Roman" w:eastAsia="Times New Roman" w:hAnsi="Times New Roman" w:cs="Times New Roman"/>
          <w:i/>
          <w:iCs/>
          <w:sz w:val="24"/>
          <w:szCs w:val="24"/>
        </w:rPr>
        <w:t>Mitracarpus</w:t>
      </w:r>
      <w:proofErr w:type="spellEnd"/>
      <w:r w:rsidRPr="005F1C60">
        <w:rPr>
          <w:rFonts w:ascii="Times New Roman" w:eastAsia="Times New Roman" w:hAnsi="Times New Roman" w:cs="Times New Roman"/>
          <w:i/>
          <w:iCs/>
          <w:sz w:val="24"/>
          <w:szCs w:val="24"/>
        </w:rPr>
        <w:t xml:space="preserve"> </w:t>
      </w:r>
      <w:proofErr w:type="spellStart"/>
      <w:r w:rsidRPr="005F1C60">
        <w:rPr>
          <w:rFonts w:ascii="Times New Roman" w:eastAsia="Times New Roman" w:hAnsi="Times New Roman" w:cs="Times New Roman"/>
          <w:i/>
          <w:iCs/>
          <w:sz w:val="24"/>
          <w:szCs w:val="24"/>
        </w:rPr>
        <w:t>villosus</w:t>
      </w:r>
      <w:proofErr w:type="spellEnd"/>
      <w:r w:rsidRPr="005F1C60">
        <w:rPr>
          <w:rFonts w:ascii="Times New Roman" w:eastAsia="Times New Roman" w:hAnsi="Times New Roman" w:cs="Times New Roman"/>
          <w:sz w:val="24"/>
          <w:szCs w:val="24"/>
        </w:rPr>
        <w:t xml:space="preserve"> (</w:t>
      </w:r>
      <w:proofErr w:type="spellStart"/>
      <w:r w:rsidRPr="005F1C60">
        <w:rPr>
          <w:rFonts w:ascii="Times New Roman" w:eastAsia="Times New Roman" w:hAnsi="Times New Roman" w:cs="Times New Roman"/>
          <w:sz w:val="24"/>
          <w:szCs w:val="24"/>
        </w:rPr>
        <w:t>Antyo</w:t>
      </w:r>
      <w:proofErr w:type="spellEnd"/>
      <w:r w:rsidRPr="005F1C60">
        <w:rPr>
          <w:rFonts w:ascii="Times New Roman" w:eastAsia="Times New Roman" w:hAnsi="Times New Roman" w:cs="Times New Roman"/>
          <w:sz w:val="24"/>
          <w:szCs w:val="24"/>
        </w:rPr>
        <w:t xml:space="preserve"> </w:t>
      </w:r>
      <w:proofErr w:type="spellStart"/>
      <w:r w:rsidRPr="005F1C60">
        <w:rPr>
          <w:rFonts w:ascii="Times New Roman" w:eastAsia="Times New Roman" w:hAnsi="Times New Roman" w:cs="Times New Roman"/>
          <w:sz w:val="24"/>
          <w:szCs w:val="24"/>
        </w:rPr>
        <w:t>kpolough</w:t>
      </w:r>
      <w:proofErr w:type="spellEnd"/>
      <w:r w:rsidRPr="005F1C60">
        <w:rPr>
          <w:rFonts w:ascii="Times New Roman" w:eastAsia="Times New Roman" w:hAnsi="Times New Roman" w:cs="Times New Roman"/>
          <w:sz w:val="24"/>
          <w:szCs w:val="24"/>
        </w:rPr>
        <w:t>) identified several bioactive compounds, including glycosides, saponins, tannins, phenols, and flavonoids, which are known for thei</w:t>
      </w:r>
      <w:r>
        <w:rPr>
          <w:rFonts w:ascii="Times New Roman" w:eastAsia="Times New Roman" w:hAnsi="Times New Roman" w:cs="Times New Roman"/>
          <w:sz w:val="24"/>
          <w:szCs w:val="24"/>
        </w:rPr>
        <w:t>r antifungal properties</w:t>
      </w:r>
      <w:r w:rsidRPr="005F1C60">
        <w:rPr>
          <w:rFonts w:ascii="Times New Roman" w:eastAsia="Times New Roman" w:hAnsi="Times New Roman" w:cs="Times New Roman"/>
          <w:sz w:val="24"/>
          <w:szCs w:val="24"/>
        </w:rPr>
        <w:t xml:space="preserve">. However, the absence of alkaloids, terpenoids, and steroids suggests </w:t>
      </w:r>
      <w:r w:rsidRPr="005F1C60">
        <w:rPr>
          <w:rFonts w:ascii="Times New Roman" w:eastAsia="Times New Roman" w:hAnsi="Times New Roman" w:cs="Times New Roman"/>
          <w:sz w:val="24"/>
          <w:szCs w:val="24"/>
        </w:rPr>
        <w:lastRenderedPageBreak/>
        <w:t>that these compounds may not play a significant role in the plant's antifungal activity.</w:t>
      </w:r>
      <w:r>
        <w:rPr>
          <w:rFonts w:ascii="Times New Roman" w:eastAsia="Times New Roman" w:hAnsi="Times New Roman" w:cs="Times New Roman"/>
          <w:sz w:val="24"/>
          <w:szCs w:val="24"/>
        </w:rPr>
        <w:t xml:space="preserve"> </w:t>
      </w:r>
      <w:r w:rsidRPr="005F1C60">
        <w:rPr>
          <w:rFonts w:ascii="Times New Roman" w:eastAsia="Times New Roman" w:hAnsi="Times New Roman" w:cs="Times New Roman"/>
          <w:sz w:val="24"/>
          <w:szCs w:val="24"/>
        </w:rPr>
        <w:t xml:space="preserve">The antifungal potential of </w:t>
      </w:r>
      <w:proofErr w:type="spellStart"/>
      <w:r w:rsidRPr="005F1C60">
        <w:rPr>
          <w:rFonts w:ascii="Times New Roman" w:eastAsia="Times New Roman" w:hAnsi="Times New Roman" w:cs="Times New Roman"/>
          <w:i/>
          <w:iCs/>
          <w:sz w:val="24"/>
          <w:szCs w:val="24"/>
        </w:rPr>
        <w:t>Mitracarpus</w:t>
      </w:r>
      <w:proofErr w:type="spellEnd"/>
      <w:r w:rsidRPr="005F1C60">
        <w:rPr>
          <w:rFonts w:ascii="Times New Roman" w:eastAsia="Times New Roman" w:hAnsi="Times New Roman" w:cs="Times New Roman"/>
          <w:i/>
          <w:iCs/>
          <w:sz w:val="24"/>
          <w:szCs w:val="24"/>
        </w:rPr>
        <w:t xml:space="preserve"> </w:t>
      </w:r>
      <w:proofErr w:type="spellStart"/>
      <w:r w:rsidRPr="005F1C60">
        <w:rPr>
          <w:rFonts w:ascii="Times New Roman" w:eastAsia="Times New Roman" w:hAnsi="Times New Roman" w:cs="Times New Roman"/>
          <w:i/>
          <w:iCs/>
          <w:sz w:val="24"/>
          <w:szCs w:val="24"/>
        </w:rPr>
        <w:t>villosus</w:t>
      </w:r>
      <w:proofErr w:type="spellEnd"/>
      <w:r w:rsidRPr="005F1C60">
        <w:rPr>
          <w:rFonts w:ascii="Times New Roman" w:eastAsia="Times New Roman" w:hAnsi="Times New Roman" w:cs="Times New Roman"/>
          <w:sz w:val="24"/>
          <w:szCs w:val="24"/>
        </w:rPr>
        <w:t xml:space="preserve"> against </w:t>
      </w:r>
      <w:r w:rsidRPr="005F1C60">
        <w:rPr>
          <w:rFonts w:ascii="Times New Roman" w:eastAsia="Times New Roman" w:hAnsi="Times New Roman" w:cs="Times New Roman"/>
          <w:i/>
          <w:iCs/>
          <w:sz w:val="24"/>
          <w:szCs w:val="24"/>
        </w:rPr>
        <w:t>T. rubrum</w:t>
      </w:r>
      <w:r w:rsidRPr="005F1C60">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5F1C60">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5F1C60">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5F1C60">
        <w:rPr>
          <w:rFonts w:ascii="Times New Roman" w:eastAsia="Times New Roman" w:hAnsi="Times New Roman" w:cs="Times New Roman"/>
          <w:sz w:val="24"/>
          <w:szCs w:val="24"/>
        </w:rPr>
        <w:t xml:space="preserve">The findings of this study have important implications for public health in Benue State. The antifungal properties of </w:t>
      </w:r>
      <w:proofErr w:type="spellStart"/>
      <w:r w:rsidRPr="005F1C60">
        <w:rPr>
          <w:rFonts w:ascii="Times New Roman" w:eastAsia="Times New Roman" w:hAnsi="Times New Roman" w:cs="Times New Roman"/>
          <w:i/>
          <w:iCs/>
          <w:sz w:val="24"/>
          <w:szCs w:val="24"/>
        </w:rPr>
        <w:t>Mitracarpus</w:t>
      </w:r>
      <w:proofErr w:type="spellEnd"/>
      <w:r w:rsidRPr="005F1C60">
        <w:rPr>
          <w:rFonts w:ascii="Times New Roman" w:eastAsia="Times New Roman" w:hAnsi="Times New Roman" w:cs="Times New Roman"/>
          <w:i/>
          <w:iCs/>
          <w:sz w:val="24"/>
          <w:szCs w:val="24"/>
        </w:rPr>
        <w:t xml:space="preserve"> </w:t>
      </w:r>
      <w:proofErr w:type="spellStart"/>
      <w:r w:rsidRPr="005F1C60">
        <w:rPr>
          <w:rFonts w:ascii="Times New Roman" w:eastAsia="Times New Roman" w:hAnsi="Times New Roman" w:cs="Times New Roman"/>
          <w:i/>
          <w:iCs/>
          <w:sz w:val="24"/>
          <w:szCs w:val="24"/>
        </w:rPr>
        <w:t>villosus</w:t>
      </w:r>
      <w:proofErr w:type="spellEnd"/>
      <w:r w:rsidRPr="005F1C60">
        <w:rPr>
          <w:rFonts w:ascii="Times New Roman" w:eastAsia="Times New Roman" w:hAnsi="Times New Roman" w:cs="Times New Roman"/>
          <w:sz w:val="24"/>
          <w:szCs w:val="24"/>
        </w:rPr>
        <w:t xml:space="preserve"> could offer a cost-effective and accessible treatment option for patients with </w:t>
      </w:r>
      <w:r w:rsidRPr="005F1C60">
        <w:rPr>
          <w:rFonts w:ascii="Times New Roman" w:eastAsia="Times New Roman" w:hAnsi="Times New Roman" w:cs="Times New Roman"/>
          <w:i/>
          <w:iCs/>
          <w:sz w:val="24"/>
          <w:szCs w:val="24"/>
        </w:rPr>
        <w:t>T. rubrum</w:t>
      </w:r>
      <w:r w:rsidRPr="005F1C60">
        <w:rPr>
          <w:rFonts w:ascii="Times New Roman" w:eastAsia="Times New Roman" w:hAnsi="Times New Roman" w:cs="Times New Roman"/>
          <w:sz w:val="24"/>
          <w:szCs w:val="24"/>
        </w:rPr>
        <w:t xml:space="preserve"> infections.</w:t>
      </w:r>
    </w:p>
    <w:p w14:paraId="2ECE5AA3" w14:textId="77777777" w:rsidR="00D768F6" w:rsidRDefault="00D768F6" w:rsidP="00D768F6">
      <w:pPr>
        <w:pStyle w:val="NormalWeb"/>
        <w:jc w:val="both"/>
      </w:pPr>
      <w:r>
        <w:t xml:space="preserve">The </w:t>
      </w:r>
      <w:r w:rsidR="00CF0BA3">
        <w:t>data in table 2</w:t>
      </w:r>
      <w:r>
        <w:t xml:space="preserve"> suggests that higher concentrations of these extracts yielded better antifungal effects, highlighting the dose-dependent nature of their bioactivity. Conversely, extracts from </w:t>
      </w:r>
      <w:proofErr w:type="spellStart"/>
      <w:r>
        <w:rPr>
          <w:rStyle w:val="Emphasis"/>
        </w:rPr>
        <w:t>Parkia</w:t>
      </w:r>
      <w:proofErr w:type="spellEnd"/>
      <w:r>
        <w:rPr>
          <w:rStyle w:val="Emphasis"/>
        </w:rPr>
        <w:t xml:space="preserve"> </w:t>
      </w:r>
      <w:proofErr w:type="spellStart"/>
      <w:r>
        <w:rPr>
          <w:rStyle w:val="Emphasis"/>
        </w:rPr>
        <w:t>biglobosa</w:t>
      </w:r>
      <w:proofErr w:type="spellEnd"/>
      <w:r>
        <w:t xml:space="preserve"> and </w:t>
      </w:r>
      <w:proofErr w:type="spellStart"/>
      <w:r>
        <w:rPr>
          <w:rStyle w:val="Emphasis"/>
        </w:rPr>
        <w:t>Stereospernum</w:t>
      </w:r>
      <w:proofErr w:type="spellEnd"/>
      <w:r>
        <w:rPr>
          <w:rStyle w:val="Emphasis"/>
        </w:rPr>
        <w:t xml:space="preserve"> </w:t>
      </w:r>
      <w:proofErr w:type="spellStart"/>
      <w:r>
        <w:rPr>
          <w:rStyle w:val="Emphasis"/>
        </w:rPr>
        <w:t>kunthianum</w:t>
      </w:r>
      <w:proofErr w:type="spellEnd"/>
      <w:r>
        <w:t xml:space="preserve"> demonstrated less activity, with zones of inhibition recorded as low as 10 mm or none at all at lower concentrations, aligning with findings by Johnson </w:t>
      </w:r>
      <w:r w:rsidRPr="00407B91">
        <w:rPr>
          <w:i/>
        </w:rPr>
        <w:t>et al</w:t>
      </w:r>
      <w:r>
        <w:t xml:space="preserve">. (2022) that suggest some plant extracts have varying degrees of efficacy depending on their phytochemical composition. Interestingly,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demonstrated notable antifungal potential at 200 mg/ml, with inhibition zones ranging from 25 mm to 26 mm, indicating a promising candidate for antifungal development. This is consistent with previous studies by Adeyemi </w:t>
      </w:r>
      <w:r w:rsidRPr="00407B91">
        <w:rPr>
          <w:i/>
        </w:rPr>
        <w:t>et al</w:t>
      </w:r>
      <w:r>
        <w:t xml:space="preserve">. (2020), which also highlighted the significant antifungal activity of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in treating fungal infections. The results of this study underscore the importance of integrating traditional medicinal plants into therapeutic strategies, especially in regions like Benue State, where fungal infections remain a significant health challenge. The use of these plants as potential sources of new antifungal agents could reduce reliance on synthetic drugs and offer alternative treatment options for patients attending tertiary health facilities. Moreover, the growing concern over antifungal resistance emphasizes the need for ongoing research into the bioactive compounds of these plants to identify effective, safe, and affordable treatments (Adeyemi </w:t>
      </w:r>
      <w:r w:rsidRPr="00407B91">
        <w:rPr>
          <w:i/>
        </w:rPr>
        <w:t>et al</w:t>
      </w:r>
      <w:r>
        <w:t>., 2020).</w:t>
      </w:r>
    </w:p>
    <w:p w14:paraId="3D77FAA1" w14:textId="151C481D" w:rsidR="00D768F6" w:rsidRDefault="00D768F6" w:rsidP="00D768F6">
      <w:pPr>
        <w:pStyle w:val="NormalWeb"/>
        <w:jc w:val="both"/>
      </w:pPr>
      <w:r>
        <w:t>The comparison of antifungal drug efficacy to the plant extracts mentioned in the table 2</w:t>
      </w:r>
      <w:r w:rsidR="003315D9">
        <w:t xml:space="preserve"> </w:t>
      </w:r>
      <w:r>
        <w:t xml:space="preserve">reveals interesting insights. </w:t>
      </w:r>
      <w:proofErr w:type="spellStart"/>
      <w:r>
        <w:rPr>
          <w:rStyle w:val="Emphasis"/>
        </w:rPr>
        <w:t>Vetia</w:t>
      </w:r>
      <w:proofErr w:type="spellEnd"/>
      <w:r>
        <w:rPr>
          <w:rStyle w:val="Emphasis"/>
        </w:rPr>
        <w:t xml:space="preserve"> </w:t>
      </w:r>
      <w:proofErr w:type="spellStart"/>
      <w:r>
        <w:rPr>
          <w:rStyle w:val="Emphasis"/>
        </w:rPr>
        <w:t>tevesia</w:t>
      </w:r>
      <w:proofErr w:type="spellEnd"/>
      <w:r>
        <w:t xml:space="preserve"> and </w:t>
      </w:r>
      <w:r>
        <w:rPr>
          <w:rStyle w:val="Emphasis"/>
        </w:rPr>
        <w:t>Vitellaria paradoxa</w:t>
      </w:r>
      <w:r>
        <w:t xml:space="preserve"> exhibited strong antifungal activity, particularly at higher concentrations, with zones of inhibition as large as 25 mm at 200 mg/ml. This suggests that plant-derived bioactive compounds can offer competitive antifungal properties against </w:t>
      </w:r>
      <w:r>
        <w:rPr>
          <w:rStyle w:val="Emphasis"/>
        </w:rPr>
        <w:t>T. rubrum</w:t>
      </w:r>
      <w:r>
        <w:t xml:space="preserve">. Phytochemicals such as flavonoids, alkaloids, and saponins, commonly found in these plants, have been shown to exhibit broad-spectrum antifungal activity (Akintoye </w:t>
      </w:r>
      <w:r w:rsidRPr="00407B91">
        <w:rPr>
          <w:i/>
        </w:rPr>
        <w:t>et al</w:t>
      </w:r>
      <w:r>
        <w:t xml:space="preserve">., 2021). In contrast,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demonstrated promising activity, with inhibition zones reaching up to 26 mm, similar to fluconazole's performance at high concentrations. This suggests that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could be a potential source of new antifungal agents (Adeyemi </w:t>
      </w:r>
      <w:r w:rsidRPr="00407B91">
        <w:rPr>
          <w:i/>
        </w:rPr>
        <w:t>et al.,</w:t>
      </w:r>
      <w:r>
        <w:t xml:space="preserve"> 2020). While antifungal drugs such as fluconazole and ketoconazole are well-established in the treatment of dermatophyte infections, the search for alternative treatments, especially those derived from medicinal plants, is essential due to the rising concerns about drug resistance and side effects associated with long-term use of synthetic antifungals (Akintoye </w:t>
      </w:r>
      <w:r w:rsidRPr="00407B91">
        <w:rPr>
          <w:i/>
        </w:rPr>
        <w:t>et al</w:t>
      </w:r>
      <w:r>
        <w:t>., 2021). Additionally, the use of medicinal plants in treating fungal infections has the advantage of being potentially more affordable and accessible in rural and underserved areas such as Benue State.</w:t>
      </w:r>
    </w:p>
    <w:p w14:paraId="3ED6BD0B" w14:textId="77777777" w:rsidR="00D768F6" w:rsidRDefault="00D768F6" w:rsidP="00D768F6">
      <w:pPr>
        <w:pStyle w:val="NormalWeb"/>
        <w:jc w:val="both"/>
      </w:pPr>
      <w:r>
        <w:t xml:space="preserve">The bioactive potential of antifungal drugs and plant extracts against </w:t>
      </w:r>
      <w:r>
        <w:rPr>
          <w:rStyle w:val="Emphasis"/>
        </w:rPr>
        <w:t>T. rubrum</w:t>
      </w:r>
      <w:r>
        <w:t xml:space="preserve"> is an important aspect of treatment strategies, especially as antifungal resistance continues to rise. The Minimum Inhibitory Concentration (MIC) and Minimum Fungicidal Concentration (MFC) values in the table </w:t>
      </w:r>
      <w:r>
        <w:lastRenderedPageBreak/>
        <w:t xml:space="preserve">offer valuable insights into the efficacy of these substances. Fluconazole, a commonly used antifungal drug, demonstrated an MIC of 25 mg/ml and an MFC of 100 mg/ml, indicating strong antifungal activity. The low MIC suggests that fluconazole effectively inhibits the growth of </w:t>
      </w:r>
      <w:r>
        <w:rPr>
          <w:rStyle w:val="Emphasis"/>
        </w:rPr>
        <w:t>T. rubrum</w:t>
      </w:r>
      <w:r>
        <w:t xml:space="preserve">, while the MFC reflects its ability to kill the fungal cells at a higher concentration (Sullivan &amp; Patel, 2020). These findings are consistent with previous studies highlighting fluconazole’s potent action against dermatophytes due to its ability to inhibit ergosterol synthesis, a crucial component of the fungal cell membrane (Alvarado </w:t>
      </w:r>
      <w:r w:rsidRPr="00407B91">
        <w:rPr>
          <w:i/>
        </w:rPr>
        <w:t>et al</w:t>
      </w:r>
      <w:r>
        <w:t xml:space="preserve">., 2022). Ketoconazole, another antifungal agent, displayed an MIC of 50 mg/ml and an MFC of 200 mg/ml, which are higher than those of fluconazole, suggesting that ketoconazole is less potent against </w:t>
      </w:r>
      <w:r>
        <w:rPr>
          <w:rStyle w:val="Emphasis"/>
        </w:rPr>
        <w:t>T. rubrum</w:t>
      </w:r>
      <w:r>
        <w:t xml:space="preserve"> at lower concentrations. Ketoconazole works by inhibiting the synthesis of ergosterol, but its efficacy may vary based on the strain of </w:t>
      </w:r>
      <w:r>
        <w:rPr>
          <w:rStyle w:val="Emphasis"/>
        </w:rPr>
        <w:t>T. rubrum</w:t>
      </w:r>
      <w:r>
        <w:t xml:space="preserve"> and its resistance profile (</w:t>
      </w:r>
      <w:proofErr w:type="spellStart"/>
      <w:r>
        <w:t>Bostancı</w:t>
      </w:r>
      <w:proofErr w:type="spellEnd"/>
      <w:r>
        <w:t xml:space="preserve"> </w:t>
      </w:r>
      <w:r w:rsidRPr="00407B91">
        <w:rPr>
          <w:i/>
        </w:rPr>
        <w:t>et al</w:t>
      </w:r>
      <w:r>
        <w:t>., 2023).</w:t>
      </w:r>
    </w:p>
    <w:p w14:paraId="4F1F1E92" w14:textId="77777777" w:rsidR="00D768F6" w:rsidRDefault="00D768F6" w:rsidP="00D768F6">
      <w:pPr>
        <w:pStyle w:val="NormalWeb"/>
        <w:jc w:val="both"/>
      </w:pPr>
      <w:r>
        <w:t xml:space="preserve">Griseofulvin, which has a much higher MIC of 100 mg/ml, shows a less potent effect compared to both fluconazole and ketoconazole. Griseofulvin inhibits fungal mitosis by binding to microtubules, but its lower efficacy at killing </w:t>
      </w:r>
      <w:r>
        <w:rPr>
          <w:rStyle w:val="Emphasis"/>
        </w:rPr>
        <w:t>T. rubrum</w:t>
      </w:r>
      <w:r>
        <w:t xml:space="preserve"> could be attributed to the slow action and its limited spectrum of activity against certain dermatophytes (Alvarado </w:t>
      </w:r>
      <w:r w:rsidRPr="00407B91">
        <w:rPr>
          <w:i/>
        </w:rPr>
        <w:t>et al.,</w:t>
      </w:r>
      <w:r>
        <w:t xml:space="preserve"> 2022).</w:t>
      </w:r>
    </w:p>
    <w:p w14:paraId="77E49D21" w14:textId="77777777" w:rsidR="00D768F6" w:rsidRDefault="00D768F6" w:rsidP="00D768F6">
      <w:pPr>
        <w:pStyle w:val="NormalWeb"/>
        <w:jc w:val="both"/>
      </w:pPr>
      <w:r>
        <w:t xml:space="preserve">When considering plant extracts, </w:t>
      </w:r>
      <w:proofErr w:type="spellStart"/>
      <w:r>
        <w:rPr>
          <w:rStyle w:val="Emphasis"/>
        </w:rPr>
        <w:t>Vetia</w:t>
      </w:r>
      <w:proofErr w:type="spellEnd"/>
      <w:r>
        <w:rPr>
          <w:rStyle w:val="Emphasis"/>
        </w:rPr>
        <w:t xml:space="preserve"> </w:t>
      </w:r>
      <w:proofErr w:type="spellStart"/>
      <w:r>
        <w:rPr>
          <w:rStyle w:val="Emphasis"/>
        </w:rPr>
        <w:t>tevesia</w:t>
      </w:r>
      <w:proofErr w:type="spellEnd"/>
      <w:r>
        <w:t xml:space="preserve">, </w:t>
      </w:r>
      <w:r>
        <w:rPr>
          <w:rStyle w:val="Emphasis"/>
        </w:rPr>
        <w:t xml:space="preserve">Vitellaria </w:t>
      </w:r>
      <w:proofErr w:type="spellStart"/>
      <w:r>
        <w:rPr>
          <w:rStyle w:val="Emphasis"/>
        </w:rPr>
        <w:t>paradoxa</w:t>
      </w:r>
      <w:proofErr w:type="spellEnd"/>
      <w:r>
        <w:t xml:space="preserve">,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w:t>
      </w:r>
      <w:proofErr w:type="spellStart"/>
      <w:r>
        <w:rPr>
          <w:rStyle w:val="Emphasis"/>
        </w:rPr>
        <w:t>Parkia</w:t>
      </w:r>
      <w:proofErr w:type="spellEnd"/>
      <w:r>
        <w:rPr>
          <w:rStyle w:val="Emphasis"/>
        </w:rPr>
        <w:t xml:space="preserve"> </w:t>
      </w:r>
      <w:proofErr w:type="spellStart"/>
      <w:r>
        <w:rPr>
          <w:rStyle w:val="Emphasis"/>
        </w:rPr>
        <w:t>biglobosa</w:t>
      </w:r>
      <w:proofErr w:type="spellEnd"/>
      <w:r>
        <w:t xml:space="preserve">, and </w:t>
      </w:r>
      <w:proofErr w:type="spellStart"/>
      <w:r>
        <w:rPr>
          <w:rStyle w:val="Emphasis"/>
        </w:rPr>
        <w:t>Stereospernum</w:t>
      </w:r>
      <w:proofErr w:type="spellEnd"/>
      <w:r>
        <w:rPr>
          <w:rStyle w:val="Emphasis"/>
        </w:rPr>
        <w:t xml:space="preserve"> </w:t>
      </w:r>
      <w:proofErr w:type="spellStart"/>
      <w:r>
        <w:rPr>
          <w:rStyle w:val="Emphasis"/>
        </w:rPr>
        <w:t>kunthianum</w:t>
      </w:r>
      <w:proofErr w:type="spellEnd"/>
      <w:r>
        <w:t xml:space="preserve"> all exhibit varying degrees of antifungal activity. For example, the MIC for </w:t>
      </w:r>
      <w:proofErr w:type="spellStart"/>
      <w:r>
        <w:rPr>
          <w:rStyle w:val="Emphasis"/>
        </w:rPr>
        <w:t>Vetia</w:t>
      </w:r>
      <w:proofErr w:type="spellEnd"/>
      <w:r>
        <w:rPr>
          <w:rStyle w:val="Emphasis"/>
        </w:rPr>
        <w:t xml:space="preserve"> </w:t>
      </w:r>
      <w:proofErr w:type="spellStart"/>
      <w:r>
        <w:rPr>
          <w:rStyle w:val="Emphasis"/>
        </w:rPr>
        <w:t>tevesia</w:t>
      </w:r>
      <w:proofErr w:type="spellEnd"/>
      <w:r>
        <w:t xml:space="preserve">, </w:t>
      </w:r>
      <w:r>
        <w:rPr>
          <w:rStyle w:val="Emphasis"/>
        </w:rPr>
        <w:t xml:space="preserve">Vitellaria </w:t>
      </w:r>
      <w:proofErr w:type="spellStart"/>
      <w:r>
        <w:rPr>
          <w:rStyle w:val="Emphasis"/>
        </w:rPr>
        <w:t>paradoxa</w:t>
      </w:r>
      <w:proofErr w:type="spellEnd"/>
      <w:r>
        <w:t xml:space="preserve">, and </w:t>
      </w:r>
      <w:proofErr w:type="spellStart"/>
      <w:r>
        <w:rPr>
          <w:rStyle w:val="Emphasis"/>
        </w:rPr>
        <w:t>Mitracarpus</w:t>
      </w:r>
      <w:proofErr w:type="spellEnd"/>
      <w:r>
        <w:rPr>
          <w:rStyle w:val="Emphasis"/>
        </w:rPr>
        <w:t xml:space="preserve"> </w:t>
      </w:r>
      <w:proofErr w:type="spellStart"/>
      <w:r>
        <w:rPr>
          <w:rStyle w:val="Emphasis"/>
        </w:rPr>
        <w:t>villosus</w:t>
      </w:r>
      <w:proofErr w:type="spellEnd"/>
      <w:r>
        <w:t xml:space="preserve"> is 50 mg/ml, indicating their strong antifungal potential. These plants contain bioactive compounds such as flavonoids, alkaloids, and terpenoids, which are known to disrupt fungal cell walls and membranes, contributing to their antifungal effects (Akintoye </w:t>
      </w:r>
      <w:r w:rsidRPr="00407B91">
        <w:rPr>
          <w:i/>
        </w:rPr>
        <w:t>et al</w:t>
      </w:r>
      <w:r>
        <w:t>., 2021). The lack of MFC data for these plant extracts suggests that while they inhibit fungal growth, further studies are needed to determine their fungicidal properties.</w:t>
      </w:r>
    </w:p>
    <w:p w14:paraId="186CEFE1" w14:textId="77777777" w:rsidR="00D768F6" w:rsidRDefault="00D768F6" w:rsidP="00D768F6">
      <w:pPr>
        <w:pStyle w:val="NormalWeb"/>
        <w:jc w:val="both"/>
      </w:pPr>
      <w:proofErr w:type="spellStart"/>
      <w:r>
        <w:rPr>
          <w:rStyle w:val="Emphasis"/>
        </w:rPr>
        <w:t>Parkia</w:t>
      </w:r>
      <w:proofErr w:type="spellEnd"/>
      <w:r>
        <w:rPr>
          <w:rStyle w:val="Emphasis"/>
        </w:rPr>
        <w:t xml:space="preserve"> </w:t>
      </w:r>
      <w:proofErr w:type="spellStart"/>
      <w:r>
        <w:rPr>
          <w:rStyle w:val="Emphasis"/>
        </w:rPr>
        <w:t>biglobosa</w:t>
      </w:r>
      <w:proofErr w:type="spellEnd"/>
      <w:r>
        <w:t xml:space="preserve"> and </w:t>
      </w:r>
      <w:proofErr w:type="spellStart"/>
      <w:r>
        <w:rPr>
          <w:rStyle w:val="Emphasis"/>
        </w:rPr>
        <w:t>Stereospernum</w:t>
      </w:r>
      <w:proofErr w:type="spellEnd"/>
      <w:r>
        <w:rPr>
          <w:rStyle w:val="Emphasis"/>
        </w:rPr>
        <w:t xml:space="preserve"> </w:t>
      </w:r>
      <w:proofErr w:type="spellStart"/>
      <w:r>
        <w:rPr>
          <w:rStyle w:val="Emphasis"/>
        </w:rPr>
        <w:t>kunthianum</w:t>
      </w:r>
      <w:proofErr w:type="spellEnd"/>
      <w:r>
        <w:t xml:space="preserve"> have an MIC of 100 mg/ml, indicating moderate antifungal activity compared to the other plant extracts and antifungal drugs. These plants may still hold promise as adjunct therapies or alternative treatments, particularly in resource-limited settings like Benue State, where plant-based remedies are more accessible (Adeyemi </w:t>
      </w:r>
      <w:r w:rsidRPr="00407B91">
        <w:rPr>
          <w:i/>
        </w:rPr>
        <w:t>et al.,</w:t>
      </w:r>
      <w:r>
        <w:t xml:space="preserve"> 2020).</w:t>
      </w:r>
    </w:p>
    <w:p w14:paraId="263B4C01" w14:textId="77777777" w:rsidR="00D768F6" w:rsidRPr="00EE312C" w:rsidRDefault="00D768F6" w:rsidP="00D768F6">
      <w:pPr>
        <w:pStyle w:val="NormalWeb"/>
        <w:jc w:val="both"/>
      </w:pPr>
      <w:r>
        <w:t xml:space="preserve">The results of this study emphasize the importance of both synthetic antifungal agents and plant-derived remedies in the treatment of </w:t>
      </w:r>
      <w:r>
        <w:rPr>
          <w:rStyle w:val="Emphasis"/>
        </w:rPr>
        <w:t>T. rubrum</w:t>
      </w:r>
      <w:r>
        <w:t xml:space="preserve"> infections. While fluconazole remains a potent option, the inclusion of medicinal plants such as </w:t>
      </w:r>
      <w:proofErr w:type="spellStart"/>
      <w:r>
        <w:rPr>
          <w:rStyle w:val="Emphasis"/>
        </w:rPr>
        <w:t>Vetia</w:t>
      </w:r>
      <w:proofErr w:type="spellEnd"/>
      <w:r>
        <w:rPr>
          <w:rStyle w:val="Emphasis"/>
        </w:rPr>
        <w:t xml:space="preserve"> </w:t>
      </w:r>
      <w:proofErr w:type="spellStart"/>
      <w:r>
        <w:rPr>
          <w:rStyle w:val="Emphasis"/>
        </w:rPr>
        <w:t>tevesia</w:t>
      </w:r>
      <w:proofErr w:type="spellEnd"/>
      <w:r>
        <w:t xml:space="preserve"> and </w:t>
      </w:r>
      <w:proofErr w:type="spellStart"/>
      <w:r>
        <w:rPr>
          <w:rStyle w:val="Emphasis"/>
        </w:rPr>
        <w:t>Mitracarpus</w:t>
      </w:r>
      <w:proofErr w:type="spellEnd"/>
      <w:r>
        <w:rPr>
          <w:rStyle w:val="Emphasis"/>
        </w:rPr>
        <w:t xml:space="preserve"> villosus</w:t>
      </w:r>
      <w:r>
        <w:t xml:space="preserve"> offers alternative or complementary therapeutic pathways, particularly in regions where access to pharmaceuticals may be restricted or where there is a growing concern over antifungal resistance.</w:t>
      </w:r>
    </w:p>
    <w:p w14:paraId="4BDF7DDB" w14:textId="77777777" w:rsidR="0058184B" w:rsidRDefault="0058184B" w:rsidP="00D768F6">
      <w:pPr>
        <w:spacing w:line="240" w:lineRule="auto"/>
        <w:rPr>
          <w:rFonts w:ascii="Times New Roman" w:hAnsi="Times New Roman" w:cs="Times New Roman"/>
          <w:b/>
          <w:sz w:val="24"/>
          <w:szCs w:val="24"/>
        </w:rPr>
      </w:pPr>
    </w:p>
    <w:p w14:paraId="57EC1CF0" w14:textId="77777777" w:rsidR="0058184B" w:rsidRDefault="00F06635"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81F0FFC" w14:textId="77777777" w:rsidR="00F06635" w:rsidRDefault="00F06635" w:rsidP="00F06635"/>
    <w:p w14:paraId="7AB5067E" w14:textId="77777777" w:rsidR="00F06635" w:rsidRDefault="00F06635" w:rsidP="00F06635">
      <w:pPr>
        <w:pStyle w:val="NormalWeb"/>
      </w:pPr>
      <w:r>
        <w:t xml:space="preserve">Adeyemi, A. A., Olagunju, A. S., &amp; Ogundipe, O. T. (2020). Antifungal activity of </w:t>
      </w:r>
      <w:proofErr w:type="spellStart"/>
      <w:r>
        <w:rPr>
          <w:rStyle w:val="Emphasis"/>
        </w:rPr>
        <w:t>Mitracarpus</w:t>
      </w:r>
      <w:proofErr w:type="spellEnd"/>
      <w:r>
        <w:rPr>
          <w:rStyle w:val="Emphasis"/>
        </w:rPr>
        <w:t xml:space="preserve"> </w:t>
      </w:r>
      <w:r>
        <w:rPr>
          <w:rStyle w:val="Emphasis"/>
        </w:rPr>
        <w:tab/>
      </w:r>
      <w:proofErr w:type="spellStart"/>
      <w:r>
        <w:rPr>
          <w:rStyle w:val="Emphasis"/>
        </w:rPr>
        <w:t>villosus</w:t>
      </w:r>
      <w:proofErr w:type="spellEnd"/>
      <w:r>
        <w:t xml:space="preserve"> and its phytochemical composition. </w:t>
      </w:r>
      <w:r>
        <w:rPr>
          <w:rStyle w:val="Emphasis"/>
        </w:rPr>
        <w:t>Journal of Medicinal Plants</w:t>
      </w:r>
      <w:r>
        <w:t xml:space="preserve">, 11(4), 101-109. </w:t>
      </w:r>
      <w:r>
        <w:tab/>
        <w:t>https://doi.org/10.1016/j.jmedplant.2020.04.004</w:t>
      </w:r>
    </w:p>
    <w:p w14:paraId="0DC708B6" w14:textId="77777777" w:rsidR="00F06635" w:rsidRPr="00443222" w:rsidRDefault="00F06635" w:rsidP="00F06635">
      <w:pPr>
        <w:spacing w:before="100" w:beforeAutospacing="1" w:after="100" w:afterAutospacing="1"/>
        <w:rPr>
          <w:rFonts w:ascii="Times New Roman" w:hAnsi="Times New Roman" w:cs="Times New Roman"/>
          <w:sz w:val="24"/>
          <w:szCs w:val="24"/>
        </w:rPr>
      </w:pPr>
      <w:r w:rsidRPr="00443222">
        <w:rPr>
          <w:rFonts w:ascii="Times New Roman" w:hAnsi="Times New Roman" w:cs="Times New Roman"/>
          <w:sz w:val="24"/>
          <w:szCs w:val="24"/>
        </w:rPr>
        <w:lastRenderedPageBreak/>
        <w:t xml:space="preserve">Akhter, M., Ali, M., &amp; Rahman, M. (2020). Antifungal potential of medicinal plants against </w:t>
      </w:r>
      <w:r>
        <w:rPr>
          <w:rFonts w:ascii="Times New Roman" w:hAnsi="Times New Roman" w:cs="Times New Roman"/>
          <w:sz w:val="24"/>
          <w:szCs w:val="24"/>
        </w:rPr>
        <w:tab/>
      </w:r>
      <w:r w:rsidRPr="00443222">
        <w:rPr>
          <w:rFonts w:ascii="Times New Roman" w:hAnsi="Times New Roman" w:cs="Times New Roman"/>
          <w:sz w:val="24"/>
          <w:szCs w:val="24"/>
        </w:rPr>
        <w:t xml:space="preserve">dermatophytes: A review. </w:t>
      </w:r>
      <w:r w:rsidRPr="00443222">
        <w:rPr>
          <w:rStyle w:val="Emphasis"/>
          <w:rFonts w:ascii="Times New Roman" w:hAnsi="Times New Roman" w:cs="Times New Roman"/>
          <w:sz w:val="24"/>
          <w:szCs w:val="24"/>
        </w:rPr>
        <w:t>Journal of Medicinal Plants Research</w:t>
      </w:r>
      <w:r w:rsidRPr="00443222">
        <w:rPr>
          <w:rFonts w:ascii="Times New Roman" w:hAnsi="Times New Roman" w:cs="Times New Roman"/>
          <w:sz w:val="24"/>
          <w:szCs w:val="24"/>
        </w:rPr>
        <w:t xml:space="preserve">, 14(6), 145-153. </w:t>
      </w:r>
      <w:r>
        <w:rPr>
          <w:rFonts w:ascii="Times New Roman" w:hAnsi="Times New Roman" w:cs="Times New Roman"/>
          <w:sz w:val="24"/>
          <w:szCs w:val="24"/>
        </w:rPr>
        <w:tab/>
      </w:r>
      <w:r w:rsidRPr="00443222">
        <w:rPr>
          <w:rFonts w:ascii="Times New Roman" w:hAnsi="Times New Roman" w:cs="Times New Roman"/>
          <w:sz w:val="24"/>
          <w:szCs w:val="24"/>
        </w:rPr>
        <w:t>https://doi.org/10.5897/JMPR2020.7024</w:t>
      </w:r>
    </w:p>
    <w:p w14:paraId="27A5E830" w14:textId="77777777" w:rsidR="00F06635" w:rsidRDefault="00F06635" w:rsidP="00F06635">
      <w:pPr>
        <w:pStyle w:val="NormalWeb"/>
      </w:pPr>
      <w:r>
        <w:t xml:space="preserve">Akintoye, S. O., Ojo, O. A., &amp; Adeosun, B. A. (2021). Evaluation of antimicrobial potentials of </w:t>
      </w:r>
      <w:r>
        <w:tab/>
      </w:r>
      <w:proofErr w:type="spellStart"/>
      <w:r>
        <w:rPr>
          <w:rStyle w:val="Emphasis"/>
        </w:rPr>
        <w:t>Vetia</w:t>
      </w:r>
      <w:proofErr w:type="spellEnd"/>
      <w:r>
        <w:rPr>
          <w:rStyle w:val="Emphasis"/>
        </w:rPr>
        <w:t xml:space="preserve"> </w:t>
      </w:r>
      <w:proofErr w:type="spellStart"/>
      <w:r>
        <w:rPr>
          <w:rStyle w:val="Emphasis"/>
        </w:rPr>
        <w:t>tevesia</w:t>
      </w:r>
      <w:proofErr w:type="spellEnd"/>
      <w:r>
        <w:t xml:space="preserve"> and </w:t>
      </w:r>
      <w:r>
        <w:rPr>
          <w:rStyle w:val="Emphasis"/>
        </w:rPr>
        <w:t>Vitellaria paradoxa</w:t>
      </w:r>
      <w:r>
        <w:t xml:space="preserve"> in fungal infections. </w:t>
      </w:r>
      <w:r>
        <w:rPr>
          <w:rStyle w:val="Emphasis"/>
        </w:rPr>
        <w:t xml:space="preserve">Journal of Plant Pathology </w:t>
      </w:r>
      <w:r>
        <w:rPr>
          <w:rStyle w:val="Emphasis"/>
        </w:rPr>
        <w:tab/>
        <w:t>and Microbiology</w:t>
      </w:r>
      <w:r>
        <w:t>, 12(5), 352-358. https://doi.org/10.3892/jppm.2021.103</w:t>
      </w:r>
    </w:p>
    <w:p w14:paraId="22C94A83" w14:textId="77777777" w:rsidR="00F06635" w:rsidRDefault="00F06635" w:rsidP="00F066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Al-Snafi, A. E. (2021). Chemical constituents and pharmacological effects of medicinal plants: A </w:t>
      </w:r>
      <w:r>
        <w:rPr>
          <w:rFonts w:ascii="Times New Roman" w:eastAsia="Times New Roman" w:hAnsi="Times New Roman" w:cs="Times New Roman"/>
          <w:sz w:val="24"/>
          <w:szCs w:val="24"/>
        </w:rPr>
        <w:tab/>
        <w:t xml:space="preserve">review. </w:t>
      </w:r>
      <w:r>
        <w:rPr>
          <w:rFonts w:ascii="Times New Roman" w:eastAsia="Times New Roman" w:hAnsi="Times New Roman" w:cs="Times New Roman"/>
          <w:i/>
          <w:iCs/>
          <w:sz w:val="24"/>
          <w:szCs w:val="24"/>
        </w:rPr>
        <w:t>International Journal of Pharmaceutical Sciences and Research, 12</w:t>
      </w:r>
      <w:r>
        <w:rPr>
          <w:rFonts w:ascii="Times New Roman" w:eastAsia="Times New Roman" w:hAnsi="Times New Roman" w:cs="Times New Roman"/>
          <w:sz w:val="24"/>
          <w:szCs w:val="24"/>
        </w:rPr>
        <w:t>(3), 1234-</w:t>
      </w:r>
      <w:r>
        <w:rPr>
          <w:rFonts w:ascii="Times New Roman" w:eastAsia="Times New Roman" w:hAnsi="Times New Roman" w:cs="Times New Roman"/>
          <w:sz w:val="24"/>
          <w:szCs w:val="24"/>
        </w:rPr>
        <w:tab/>
        <w:t xml:space="preserve">1245. </w:t>
      </w:r>
      <w:hyperlink r:id="rId6" w:tgtFrame="_blank" w:history="1">
        <w:r>
          <w:rPr>
            <w:rStyle w:val="Hyperlink"/>
            <w:sz w:val="24"/>
            <w:szCs w:val="24"/>
          </w:rPr>
          <w:t>https://doi.org/10.13040/IJPSR.0975-8232</w:t>
        </w:r>
      </w:hyperlink>
    </w:p>
    <w:p w14:paraId="1F3C4B99" w14:textId="77777777" w:rsidR="00F06635" w:rsidRDefault="00F06635" w:rsidP="00F06635">
      <w:pPr>
        <w:pStyle w:val="NormalWeb"/>
      </w:pPr>
      <w:r>
        <w:t xml:space="preserve">Alvarado, D. M., Barbosa, R. M., &amp; Gomez, R. (2022). Comparative analysis of antifungal </w:t>
      </w:r>
      <w:r>
        <w:tab/>
        <w:t xml:space="preserve">efficacy of ketoconazole and fluconazole against dermatophytes. </w:t>
      </w:r>
      <w:r>
        <w:rPr>
          <w:rStyle w:val="Emphasis"/>
        </w:rPr>
        <w:t xml:space="preserve">Journal of Mycology </w:t>
      </w:r>
      <w:r>
        <w:rPr>
          <w:rStyle w:val="Emphasis"/>
        </w:rPr>
        <w:tab/>
        <w:t>and Antifungal Therapy</w:t>
      </w:r>
      <w:r>
        <w:t>, 13(3), 215-222. https://doi.org/10.1016/j.jmat.2022.02.004</w:t>
      </w:r>
    </w:p>
    <w:p w14:paraId="672CF569" w14:textId="77777777" w:rsidR="00F06635" w:rsidRDefault="00F06635" w:rsidP="00F066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Ameen, M., Arenas, R., &amp; Ghannoum, M. (2020). Dermatophyte infections: Epidemiology, </w:t>
      </w:r>
      <w:r>
        <w:rPr>
          <w:rFonts w:ascii="Times New Roman" w:eastAsia="Times New Roman" w:hAnsi="Times New Roman" w:cs="Times New Roman"/>
          <w:sz w:val="24"/>
          <w:szCs w:val="24"/>
        </w:rPr>
        <w:tab/>
        <w:t xml:space="preserve">molecular characterization, and treatment. </w:t>
      </w:r>
      <w:r>
        <w:rPr>
          <w:rFonts w:ascii="Times New Roman" w:eastAsia="Times New Roman" w:hAnsi="Times New Roman" w:cs="Times New Roman"/>
          <w:i/>
          <w:iCs/>
          <w:sz w:val="24"/>
          <w:szCs w:val="24"/>
        </w:rPr>
        <w:t>Journal of Fungi, 6</w:t>
      </w:r>
      <w:r>
        <w:rPr>
          <w:rFonts w:ascii="Times New Roman" w:eastAsia="Times New Roman" w:hAnsi="Times New Roman" w:cs="Times New Roman"/>
          <w:sz w:val="24"/>
          <w:szCs w:val="24"/>
        </w:rPr>
        <w:t xml:space="preserve">(3), 123. </w:t>
      </w:r>
      <w:r>
        <w:rPr>
          <w:rFonts w:ascii="Times New Roman" w:eastAsia="Times New Roman" w:hAnsi="Times New Roman" w:cs="Times New Roman"/>
          <w:sz w:val="24"/>
          <w:szCs w:val="24"/>
        </w:rPr>
        <w:tab/>
      </w:r>
      <w:hyperlink r:id="rId7" w:tgtFrame="_blank" w:history="1">
        <w:r>
          <w:rPr>
            <w:rStyle w:val="Hyperlink"/>
            <w:sz w:val="24"/>
            <w:szCs w:val="24"/>
          </w:rPr>
          <w:t>https://doi.org/10.3390/jof6030123</w:t>
        </w:r>
      </w:hyperlink>
    </w:p>
    <w:p w14:paraId="42CFAC43" w14:textId="77777777" w:rsidR="00F06635" w:rsidRPr="005B24BD"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5B24BD">
        <w:rPr>
          <w:rFonts w:ascii="Times New Roman" w:eastAsia="Times New Roman" w:hAnsi="Times New Roman" w:cs="Times New Roman"/>
          <w:sz w:val="24"/>
          <w:szCs w:val="24"/>
        </w:rPr>
        <w:t xml:space="preserve">Ameen, M., Duggal, S., Khushboo, &amp; Malik, P. (2020). History and evolution of dermatophyte </w:t>
      </w:r>
      <w:r>
        <w:rPr>
          <w:rFonts w:ascii="Times New Roman" w:eastAsia="Times New Roman" w:hAnsi="Times New Roman" w:cs="Times New Roman"/>
          <w:sz w:val="24"/>
          <w:szCs w:val="24"/>
        </w:rPr>
        <w:tab/>
      </w:r>
      <w:r w:rsidRPr="005B24BD">
        <w:rPr>
          <w:rFonts w:ascii="Times New Roman" w:eastAsia="Times New Roman" w:hAnsi="Times New Roman" w:cs="Times New Roman"/>
          <w:sz w:val="24"/>
          <w:szCs w:val="24"/>
        </w:rPr>
        <w:t xml:space="preserve">infections with a focus on </w:t>
      </w:r>
      <w:r w:rsidRPr="00E3654A">
        <w:rPr>
          <w:rFonts w:ascii="Times New Roman" w:eastAsia="Times New Roman" w:hAnsi="Times New Roman" w:cs="Times New Roman"/>
          <w:i/>
          <w:sz w:val="24"/>
          <w:szCs w:val="24"/>
        </w:rPr>
        <w:t>Trichophyton rubrum</w:t>
      </w:r>
      <w:r w:rsidRPr="005B24BD">
        <w:rPr>
          <w:rFonts w:ascii="Times New Roman" w:eastAsia="Times New Roman" w:hAnsi="Times New Roman" w:cs="Times New Roman"/>
          <w:sz w:val="24"/>
          <w:szCs w:val="24"/>
        </w:rPr>
        <w:t xml:space="preserve">. </w:t>
      </w:r>
      <w:r w:rsidRPr="005B24BD">
        <w:rPr>
          <w:rFonts w:ascii="Times New Roman" w:eastAsia="Times New Roman" w:hAnsi="Times New Roman" w:cs="Times New Roman"/>
          <w:i/>
          <w:iCs/>
          <w:sz w:val="24"/>
          <w:szCs w:val="24"/>
        </w:rPr>
        <w:t xml:space="preserve">Journal of Dermatology and Infectious </w:t>
      </w:r>
      <w:r>
        <w:rPr>
          <w:rFonts w:ascii="Times New Roman" w:eastAsia="Times New Roman" w:hAnsi="Times New Roman" w:cs="Times New Roman"/>
          <w:i/>
          <w:iCs/>
          <w:sz w:val="24"/>
          <w:szCs w:val="24"/>
        </w:rPr>
        <w:tab/>
      </w:r>
      <w:r w:rsidRPr="005B24BD">
        <w:rPr>
          <w:rFonts w:ascii="Times New Roman" w:eastAsia="Times New Roman" w:hAnsi="Times New Roman" w:cs="Times New Roman"/>
          <w:i/>
          <w:iCs/>
          <w:sz w:val="24"/>
          <w:szCs w:val="24"/>
        </w:rPr>
        <w:t>Diseases, 17</w:t>
      </w:r>
      <w:r w:rsidRPr="005B24BD">
        <w:rPr>
          <w:rFonts w:ascii="Times New Roman" w:eastAsia="Times New Roman" w:hAnsi="Times New Roman" w:cs="Times New Roman"/>
          <w:sz w:val="24"/>
          <w:szCs w:val="24"/>
        </w:rPr>
        <w:t>(3), 120-135.</w:t>
      </w:r>
    </w:p>
    <w:p w14:paraId="34106E7E" w14:textId="77777777" w:rsidR="00F06635" w:rsidRPr="005B24BD"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5B24BD">
        <w:rPr>
          <w:rFonts w:ascii="Times New Roman" w:eastAsia="Times New Roman" w:hAnsi="Times New Roman" w:cs="Times New Roman"/>
          <w:sz w:val="24"/>
          <w:szCs w:val="24"/>
        </w:rPr>
        <w:t xml:space="preserve">Ameen, M., Duggal, S., Khushboo, &amp; Malik, P. (2020). History and evolution of dermatophyte </w:t>
      </w:r>
      <w:r>
        <w:rPr>
          <w:rFonts w:ascii="Times New Roman" w:eastAsia="Times New Roman" w:hAnsi="Times New Roman" w:cs="Times New Roman"/>
          <w:sz w:val="24"/>
          <w:szCs w:val="24"/>
        </w:rPr>
        <w:tab/>
      </w:r>
      <w:r w:rsidRPr="005B24BD">
        <w:rPr>
          <w:rFonts w:ascii="Times New Roman" w:eastAsia="Times New Roman" w:hAnsi="Times New Roman" w:cs="Times New Roman"/>
          <w:sz w:val="24"/>
          <w:szCs w:val="24"/>
        </w:rPr>
        <w:t xml:space="preserve">infections with a focus on </w:t>
      </w:r>
      <w:r w:rsidRPr="00E3654A">
        <w:rPr>
          <w:rFonts w:ascii="Times New Roman" w:eastAsia="Times New Roman" w:hAnsi="Times New Roman" w:cs="Times New Roman"/>
          <w:i/>
          <w:sz w:val="24"/>
          <w:szCs w:val="24"/>
        </w:rPr>
        <w:t>Trichophyton rubrum</w:t>
      </w:r>
      <w:r w:rsidRPr="005B24BD">
        <w:rPr>
          <w:rFonts w:ascii="Times New Roman" w:eastAsia="Times New Roman" w:hAnsi="Times New Roman" w:cs="Times New Roman"/>
          <w:sz w:val="24"/>
          <w:szCs w:val="24"/>
        </w:rPr>
        <w:t xml:space="preserve">. </w:t>
      </w:r>
      <w:r w:rsidRPr="005B24BD">
        <w:rPr>
          <w:rFonts w:ascii="Times New Roman" w:eastAsia="Times New Roman" w:hAnsi="Times New Roman" w:cs="Times New Roman"/>
          <w:i/>
          <w:iCs/>
          <w:sz w:val="24"/>
          <w:szCs w:val="24"/>
        </w:rPr>
        <w:t xml:space="preserve">Journal of Dermatology and Infectious </w:t>
      </w:r>
      <w:r>
        <w:rPr>
          <w:rFonts w:ascii="Times New Roman" w:eastAsia="Times New Roman" w:hAnsi="Times New Roman" w:cs="Times New Roman"/>
          <w:i/>
          <w:iCs/>
          <w:sz w:val="24"/>
          <w:szCs w:val="24"/>
        </w:rPr>
        <w:tab/>
      </w:r>
      <w:r w:rsidRPr="005B24BD">
        <w:rPr>
          <w:rFonts w:ascii="Times New Roman" w:eastAsia="Times New Roman" w:hAnsi="Times New Roman" w:cs="Times New Roman"/>
          <w:i/>
          <w:iCs/>
          <w:sz w:val="24"/>
          <w:szCs w:val="24"/>
        </w:rPr>
        <w:t>Diseases, 17</w:t>
      </w:r>
      <w:r w:rsidRPr="005B24BD">
        <w:rPr>
          <w:rFonts w:ascii="Times New Roman" w:eastAsia="Times New Roman" w:hAnsi="Times New Roman" w:cs="Times New Roman"/>
          <w:sz w:val="24"/>
          <w:szCs w:val="24"/>
        </w:rPr>
        <w:t>(3), 120-135.</w:t>
      </w:r>
    </w:p>
    <w:p w14:paraId="756B9DAE" w14:textId="77777777" w:rsidR="00F06635" w:rsidRDefault="00F06635" w:rsidP="00F06635">
      <w:pPr>
        <w:rPr>
          <w:rFonts w:ascii="Times New Roman" w:hAnsi="Times New Roman" w:cs="Times New Roman"/>
          <w:sz w:val="24"/>
          <w:szCs w:val="24"/>
        </w:rPr>
      </w:pPr>
      <w:r>
        <w:rPr>
          <w:rFonts w:ascii="Times New Roman" w:hAnsi="Times New Roman" w:cs="Times New Roman"/>
          <w:sz w:val="24"/>
          <w:szCs w:val="24"/>
        </w:rPr>
        <w:t xml:space="preserve">Baki, A.S., Bello, A., Mohammad, U.K., Farouq, A.A., Usman, </w:t>
      </w:r>
      <w:proofErr w:type="gramStart"/>
      <w:r>
        <w:rPr>
          <w:rFonts w:ascii="Times New Roman" w:hAnsi="Times New Roman" w:cs="Times New Roman"/>
          <w:sz w:val="24"/>
          <w:szCs w:val="24"/>
        </w:rPr>
        <w:t>A.A..</w:t>
      </w:r>
      <w:proofErr w:type="gramEnd"/>
      <w:r>
        <w:rPr>
          <w:rFonts w:ascii="Times New Roman" w:hAnsi="Times New Roman" w:cs="Times New Roman"/>
          <w:sz w:val="24"/>
          <w:szCs w:val="24"/>
        </w:rPr>
        <w:t xml:space="preserve"> (2018) A Survey for </w:t>
      </w:r>
      <w:r>
        <w:rPr>
          <w:rFonts w:ascii="Times New Roman" w:hAnsi="Times New Roman" w:cs="Times New Roman"/>
          <w:sz w:val="24"/>
          <w:szCs w:val="24"/>
        </w:rPr>
        <w:tab/>
        <w:t xml:space="preserve">Onychomycosis among Patients Attending General Hospital </w:t>
      </w:r>
      <w:proofErr w:type="spellStart"/>
      <w:r>
        <w:rPr>
          <w:rFonts w:ascii="Times New Roman" w:hAnsi="Times New Roman" w:cs="Times New Roman"/>
          <w:sz w:val="24"/>
          <w:szCs w:val="24"/>
        </w:rPr>
        <w:t>Ammannawa</w:t>
      </w:r>
      <w:proofErr w:type="spellEnd"/>
      <w:r>
        <w:rPr>
          <w:rFonts w:ascii="Times New Roman" w:hAnsi="Times New Roman" w:cs="Times New Roman"/>
          <w:sz w:val="24"/>
          <w:szCs w:val="24"/>
        </w:rPr>
        <w:t xml:space="preserve">, Sokoto State </w:t>
      </w:r>
      <w:r>
        <w:rPr>
          <w:rFonts w:ascii="Times New Roman" w:hAnsi="Times New Roman" w:cs="Times New Roman"/>
          <w:sz w:val="24"/>
          <w:szCs w:val="24"/>
        </w:rPr>
        <w:tab/>
        <w:t xml:space="preserve">Nigeria. </w:t>
      </w:r>
      <w:r w:rsidRPr="005B050C">
        <w:rPr>
          <w:rFonts w:ascii="Times New Roman" w:hAnsi="Times New Roman" w:cs="Times New Roman"/>
          <w:i/>
          <w:sz w:val="24"/>
          <w:szCs w:val="24"/>
        </w:rPr>
        <w:t>Journal Microbiology Pathology</w:t>
      </w:r>
      <w:r>
        <w:rPr>
          <w:rFonts w:ascii="Times New Roman" w:hAnsi="Times New Roman" w:cs="Times New Roman"/>
          <w:sz w:val="24"/>
          <w:szCs w:val="24"/>
        </w:rPr>
        <w:t xml:space="preserve"> 2: 108.</w:t>
      </w:r>
    </w:p>
    <w:p w14:paraId="3C8D081C" w14:textId="77777777" w:rsidR="00F06635" w:rsidRPr="00B53336" w:rsidRDefault="00F06635" w:rsidP="00F06635">
      <w:pPr>
        <w:pStyle w:val="NormalWeb"/>
      </w:pPr>
      <w:proofErr w:type="spellStart"/>
      <w:r>
        <w:t>Bostancı</w:t>
      </w:r>
      <w:proofErr w:type="spellEnd"/>
      <w:r>
        <w:t xml:space="preserve">, A. T., Koc, M., &amp; Kizil, S. (2023). Antifungal susceptibility testing of </w:t>
      </w:r>
      <w:r>
        <w:rPr>
          <w:rStyle w:val="Emphasis"/>
        </w:rPr>
        <w:t xml:space="preserve">Trichophyton </w:t>
      </w:r>
      <w:r>
        <w:rPr>
          <w:rStyle w:val="Emphasis"/>
        </w:rPr>
        <w:tab/>
        <w:t>rubrum</w:t>
      </w:r>
      <w:r>
        <w:t xml:space="preserve"> strains isolated from clinical samples. </w:t>
      </w:r>
      <w:r>
        <w:rPr>
          <w:rStyle w:val="Emphasis"/>
        </w:rPr>
        <w:t>Fungal Biology Reviews</w:t>
      </w:r>
      <w:r>
        <w:t xml:space="preserve">, 52(1), 70-75. </w:t>
      </w:r>
      <w:r>
        <w:tab/>
        <w:t>https://doi.org/10.1016/j.fbr.2023.02.007</w:t>
      </w:r>
    </w:p>
    <w:p w14:paraId="097CE33B" w14:textId="77777777" w:rsidR="00F06635" w:rsidRDefault="00F06635" w:rsidP="00F06635">
      <w:pPr>
        <w:rPr>
          <w:rFonts w:ascii="Times New Roman" w:hAnsi="Times New Roman" w:cs="Times New Roman"/>
          <w:sz w:val="24"/>
          <w:szCs w:val="24"/>
        </w:rPr>
      </w:pPr>
      <w:r>
        <w:rPr>
          <w:rFonts w:ascii="Times New Roman" w:hAnsi="Times New Roman" w:cs="Times New Roman"/>
          <w:sz w:val="24"/>
          <w:szCs w:val="24"/>
        </w:rPr>
        <w:t xml:space="preserve">De Berker, D. A. R., André, J. and Baran, R. (2007). Nail biology and nail science. </w:t>
      </w:r>
      <w:r w:rsidRPr="005B050C">
        <w:rPr>
          <w:rFonts w:ascii="Times New Roman" w:hAnsi="Times New Roman" w:cs="Times New Roman"/>
          <w:i/>
          <w:sz w:val="24"/>
          <w:szCs w:val="24"/>
        </w:rPr>
        <w:t xml:space="preserve">International </w:t>
      </w:r>
      <w:r>
        <w:rPr>
          <w:rFonts w:ascii="Times New Roman" w:hAnsi="Times New Roman" w:cs="Times New Roman"/>
          <w:i/>
          <w:sz w:val="24"/>
          <w:szCs w:val="24"/>
        </w:rPr>
        <w:tab/>
      </w:r>
      <w:r w:rsidRPr="005B050C">
        <w:rPr>
          <w:rFonts w:ascii="Times New Roman" w:hAnsi="Times New Roman" w:cs="Times New Roman"/>
          <w:i/>
          <w:sz w:val="24"/>
          <w:szCs w:val="24"/>
        </w:rPr>
        <w:t>Journal of Cosmetic Science,</w:t>
      </w:r>
      <w:r>
        <w:rPr>
          <w:rFonts w:ascii="Times New Roman" w:hAnsi="Times New Roman" w:cs="Times New Roman"/>
          <w:sz w:val="24"/>
          <w:szCs w:val="24"/>
        </w:rPr>
        <w:t xml:space="preserve"> 29(4); 241–275.</w:t>
      </w:r>
    </w:p>
    <w:p w14:paraId="172605BC" w14:textId="77777777" w:rsidR="00F06635" w:rsidRPr="0084036E"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84036E">
        <w:rPr>
          <w:rFonts w:ascii="Times New Roman" w:eastAsia="Times New Roman" w:hAnsi="Times New Roman" w:cs="Times New Roman"/>
          <w:sz w:val="24"/>
          <w:szCs w:val="24"/>
        </w:rPr>
        <w:t xml:space="preserve">Gupta, A., Venkataraman, M., &amp; Renaud, H. (2021). </w:t>
      </w:r>
      <w:r w:rsidRPr="0084036E">
        <w:rPr>
          <w:rFonts w:ascii="Times New Roman" w:eastAsia="Times New Roman" w:hAnsi="Times New Roman" w:cs="Times New Roman"/>
          <w:i/>
          <w:iCs/>
          <w:sz w:val="24"/>
          <w:szCs w:val="24"/>
        </w:rPr>
        <w:t xml:space="preserve">The changing epidemiology of </w:t>
      </w:r>
      <w:r>
        <w:rPr>
          <w:rFonts w:ascii="Times New Roman" w:eastAsia="Times New Roman" w:hAnsi="Times New Roman" w:cs="Times New Roman"/>
          <w:i/>
          <w:iCs/>
          <w:sz w:val="24"/>
          <w:szCs w:val="24"/>
        </w:rPr>
        <w:tab/>
      </w:r>
      <w:r w:rsidRPr="0084036E">
        <w:rPr>
          <w:rFonts w:ascii="Times New Roman" w:eastAsia="Times New Roman" w:hAnsi="Times New Roman" w:cs="Times New Roman"/>
          <w:i/>
          <w:iCs/>
          <w:sz w:val="24"/>
          <w:szCs w:val="24"/>
        </w:rPr>
        <w:t>dermatophytosis: A global perspective</w:t>
      </w:r>
      <w:r w:rsidRPr="0084036E">
        <w:rPr>
          <w:rFonts w:ascii="Times New Roman" w:eastAsia="Times New Roman" w:hAnsi="Times New Roman" w:cs="Times New Roman"/>
          <w:sz w:val="24"/>
          <w:szCs w:val="24"/>
        </w:rPr>
        <w:t xml:space="preserve">. Mycoses, </w:t>
      </w:r>
      <w:r w:rsidRPr="0084036E">
        <w:rPr>
          <w:rFonts w:ascii="Times New Roman" w:eastAsia="Times New Roman" w:hAnsi="Times New Roman" w:cs="Times New Roman"/>
          <w:i/>
          <w:iCs/>
          <w:sz w:val="24"/>
          <w:szCs w:val="24"/>
        </w:rPr>
        <w:t>64</w:t>
      </w:r>
      <w:r w:rsidRPr="0084036E">
        <w:rPr>
          <w:rFonts w:ascii="Times New Roman" w:eastAsia="Times New Roman" w:hAnsi="Times New Roman" w:cs="Times New Roman"/>
          <w:sz w:val="24"/>
          <w:szCs w:val="24"/>
        </w:rPr>
        <w:t xml:space="preserve">(6), 582–589. </w:t>
      </w:r>
      <w:r>
        <w:rPr>
          <w:rFonts w:ascii="Times New Roman" w:eastAsia="Times New Roman" w:hAnsi="Times New Roman" w:cs="Times New Roman"/>
          <w:sz w:val="24"/>
          <w:szCs w:val="24"/>
        </w:rPr>
        <w:tab/>
      </w:r>
      <w:hyperlink r:id="rId8" w:tgtFrame="_blank" w:history="1">
        <w:r w:rsidRPr="0084036E">
          <w:rPr>
            <w:rFonts w:ascii="Times New Roman" w:eastAsia="Times New Roman" w:hAnsi="Times New Roman" w:cs="Times New Roman"/>
            <w:color w:val="0000FF"/>
            <w:sz w:val="24"/>
            <w:szCs w:val="24"/>
            <w:u w:val="single"/>
          </w:rPr>
          <w:t>https://doi.org/10.1111/myc.13247</w:t>
        </w:r>
      </w:hyperlink>
    </w:p>
    <w:p w14:paraId="28B6B2B9" w14:textId="77777777" w:rsidR="00F06635" w:rsidRDefault="00F06635" w:rsidP="00F06635">
      <w:pPr>
        <w:rPr>
          <w:rFonts w:ascii="Times New Roman" w:hAnsi="Times New Roman" w:cs="Times New Roman"/>
          <w:sz w:val="24"/>
          <w:szCs w:val="24"/>
        </w:rPr>
      </w:pPr>
      <w:proofErr w:type="spellStart"/>
      <w:r>
        <w:rPr>
          <w:rFonts w:ascii="Times New Roman" w:hAnsi="Times New Roman" w:cs="Times New Roman"/>
          <w:sz w:val="24"/>
          <w:szCs w:val="24"/>
        </w:rPr>
        <w:lastRenderedPageBreak/>
        <w:t>Jazdarehee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Malekafzali</w:t>
      </w:r>
      <w:proofErr w:type="spellEnd"/>
      <w:r>
        <w:rPr>
          <w:rFonts w:ascii="Times New Roman" w:hAnsi="Times New Roman" w:cs="Times New Roman"/>
          <w:sz w:val="24"/>
          <w:szCs w:val="24"/>
        </w:rPr>
        <w:t xml:space="preserve">, L., Lee, J., Lewis, R. and Mukovozov, I. (2022). Transmission of </w:t>
      </w:r>
      <w:r>
        <w:rPr>
          <w:rFonts w:ascii="Times New Roman" w:hAnsi="Times New Roman" w:cs="Times New Roman"/>
          <w:sz w:val="24"/>
          <w:szCs w:val="24"/>
        </w:rPr>
        <w:tab/>
        <w:t xml:space="preserve">Onychomycosis and Dermatophytosis between Household Members: A Scoping Review. </w:t>
      </w:r>
      <w:r>
        <w:rPr>
          <w:rFonts w:ascii="Times New Roman" w:hAnsi="Times New Roman" w:cs="Times New Roman"/>
          <w:sz w:val="24"/>
          <w:szCs w:val="24"/>
        </w:rPr>
        <w:tab/>
      </w:r>
      <w:r w:rsidRPr="005B050C">
        <w:rPr>
          <w:rFonts w:ascii="Times New Roman" w:hAnsi="Times New Roman" w:cs="Times New Roman"/>
          <w:i/>
          <w:sz w:val="24"/>
          <w:szCs w:val="24"/>
        </w:rPr>
        <w:t>Journal of Fungi,</w:t>
      </w:r>
      <w:r>
        <w:rPr>
          <w:rFonts w:ascii="Times New Roman" w:hAnsi="Times New Roman" w:cs="Times New Roman"/>
          <w:sz w:val="24"/>
          <w:szCs w:val="24"/>
        </w:rPr>
        <w:t xml:space="preserve"> 8, 60.</w:t>
      </w:r>
    </w:p>
    <w:p w14:paraId="03F32A3E" w14:textId="77777777" w:rsidR="00F06635" w:rsidRDefault="00F06635" w:rsidP="00F066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M. I., Okoli, A. S., &amp; Eze, P. M. (2023). Antifungal potential of Nigerian medicinal </w:t>
      </w:r>
      <w:r>
        <w:rPr>
          <w:rFonts w:ascii="Times New Roman" w:eastAsia="Times New Roman" w:hAnsi="Times New Roman" w:cs="Times New Roman"/>
          <w:sz w:val="24"/>
          <w:szCs w:val="24"/>
        </w:rPr>
        <w:tab/>
        <w:t xml:space="preserve">plants: A review. </w:t>
      </w:r>
      <w:r>
        <w:rPr>
          <w:rFonts w:ascii="Times New Roman" w:eastAsia="Times New Roman" w:hAnsi="Times New Roman" w:cs="Times New Roman"/>
          <w:i/>
          <w:iCs/>
          <w:sz w:val="24"/>
          <w:szCs w:val="24"/>
        </w:rPr>
        <w:t xml:space="preserve">African Journal of Traditional, Complementary, and Alternative </w:t>
      </w:r>
      <w:r>
        <w:rPr>
          <w:rFonts w:ascii="Times New Roman" w:eastAsia="Times New Roman" w:hAnsi="Times New Roman" w:cs="Times New Roman"/>
          <w:i/>
          <w:iCs/>
          <w:sz w:val="24"/>
          <w:szCs w:val="24"/>
        </w:rPr>
        <w:tab/>
        <w:t>Medicines, 20</w:t>
      </w:r>
      <w:r>
        <w:rPr>
          <w:rFonts w:ascii="Times New Roman" w:eastAsia="Times New Roman" w:hAnsi="Times New Roman" w:cs="Times New Roman"/>
          <w:sz w:val="24"/>
          <w:szCs w:val="24"/>
        </w:rPr>
        <w:t xml:space="preserve">(1), 45-56. </w:t>
      </w:r>
      <w:hyperlink r:id="rId9" w:tgtFrame="_blank" w:history="1">
        <w:r>
          <w:rPr>
            <w:rStyle w:val="Hyperlink"/>
            <w:sz w:val="24"/>
            <w:szCs w:val="24"/>
          </w:rPr>
          <w:t>https://doi.org/10.21010/ajtcam.v20i1.5</w:t>
        </w:r>
      </w:hyperlink>
    </w:p>
    <w:p w14:paraId="22A8477E" w14:textId="77777777" w:rsidR="00F06635" w:rsidRDefault="00F06635" w:rsidP="00F06635">
      <w:pPr>
        <w:pStyle w:val="NormalWeb"/>
      </w:pPr>
      <w:r>
        <w:t xml:space="preserve">Sullivan, S., &amp; Patel, N. (2020). Fluconazole pharmacodynamics and resistance mechanisms in </w:t>
      </w:r>
      <w:r>
        <w:tab/>
        <w:t xml:space="preserve">dermatophytes. </w:t>
      </w:r>
      <w:r>
        <w:rPr>
          <w:rStyle w:val="Emphasis"/>
        </w:rPr>
        <w:t>Antimicrobial Agents and Chemotherapy</w:t>
      </w:r>
      <w:r>
        <w:t xml:space="preserve">, 64(5), 512-520. </w:t>
      </w:r>
      <w:r>
        <w:tab/>
        <w:t>https://doi.org/10.1128/AAC.02159-19</w:t>
      </w:r>
    </w:p>
    <w:p w14:paraId="2CCB84BE" w14:textId="77777777" w:rsidR="00F06635" w:rsidRDefault="00F06635" w:rsidP="00F06635">
      <w:pPr>
        <w:rPr>
          <w:rFonts w:ascii="Times New Roman" w:hAnsi="Times New Roman" w:cs="Times New Roman"/>
          <w:sz w:val="24"/>
          <w:szCs w:val="24"/>
        </w:rPr>
      </w:pPr>
      <w:r>
        <w:rPr>
          <w:rFonts w:ascii="Times New Roman" w:hAnsi="Times New Roman" w:cs="Times New Roman"/>
          <w:sz w:val="24"/>
          <w:szCs w:val="24"/>
        </w:rPr>
        <w:t xml:space="preserve">Westerberg, D. P. and </w:t>
      </w:r>
      <w:proofErr w:type="spellStart"/>
      <w:r>
        <w:rPr>
          <w:rFonts w:ascii="Times New Roman" w:hAnsi="Times New Roman" w:cs="Times New Roman"/>
          <w:sz w:val="24"/>
          <w:szCs w:val="24"/>
        </w:rPr>
        <w:t>Voyack</w:t>
      </w:r>
      <w:proofErr w:type="spellEnd"/>
      <w:r>
        <w:rPr>
          <w:rFonts w:ascii="Times New Roman" w:hAnsi="Times New Roman" w:cs="Times New Roman"/>
          <w:sz w:val="24"/>
          <w:szCs w:val="24"/>
        </w:rPr>
        <w:t xml:space="preserve">, M. J. (2013). Onychomycosis: Current trends in diagnosis and </w:t>
      </w:r>
      <w:r>
        <w:rPr>
          <w:rFonts w:ascii="Times New Roman" w:hAnsi="Times New Roman" w:cs="Times New Roman"/>
          <w:sz w:val="24"/>
          <w:szCs w:val="24"/>
        </w:rPr>
        <w:tab/>
        <w:t xml:space="preserve">treatment. </w:t>
      </w:r>
      <w:r w:rsidRPr="005B050C">
        <w:rPr>
          <w:rFonts w:ascii="Times New Roman" w:hAnsi="Times New Roman" w:cs="Times New Roman"/>
          <w:i/>
          <w:sz w:val="24"/>
          <w:szCs w:val="24"/>
        </w:rPr>
        <w:t>American Family Physician</w:t>
      </w:r>
      <w:r>
        <w:rPr>
          <w:rFonts w:ascii="Times New Roman" w:hAnsi="Times New Roman" w:cs="Times New Roman"/>
          <w:sz w:val="24"/>
          <w:szCs w:val="24"/>
        </w:rPr>
        <w:t>, 88(11); 762–770.</w:t>
      </w:r>
    </w:p>
    <w:p w14:paraId="16B029F1" w14:textId="77777777" w:rsidR="00F06635" w:rsidRPr="0084036E"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84036E">
        <w:rPr>
          <w:rFonts w:ascii="Times New Roman" w:eastAsia="Times New Roman" w:hAnsi="Times New Roman" w:cs="Times New Roman"/>
          <w:sz w:val="24"/>
          <w:szCs w:val="24"/>
        </w:rPr>
        <w:t xml:space="preserve">Zhan, P., &amp; Liu, W. (2022). </w:t>
      </w:r>
      <w:r w:rsidRPr="00304A9B">
        <w:rPr>
          <w:rFonts w:ascii="Times New Roman" w:eastAsia="Times New Roman" w:hAnsi="Times New Roman" w:cs="Times New Roman"/>
          <w:iCs/>
          <w:sz w:val="24"/>
          <w:szCs w:val="24"/>
        </w:rPr>
        <w:t xml:space="preserve">The changing face of dermatophytosis: Emerging trends and new </w:t>
      </w:r>
      <w:r w:rsidRPr="00304A9B">
        <w:rPr>
          <w:rFonts w:ascii="Times New Roman" w:eastAsia="Times New Roman" w:hAnsi="Times New Roman" w:cs="Times New Roman"/>
          <w:iCs/>
          <w:sz w:val="24"/>
          <w:szCs w:val="24"/>
        </w:rPr>
        <w:tab/>
        <w:t>challenges</w:t>
      </w:r>
      <w:r w:rsidRPr="00304A9B">
        <w:rPr>
          <w:rFonts w:ascii="Times New Roman" w:eastAsia="Times New Roman" w:hAnsi="Times New Roman" w:cs="Times New Roman"/>
          <w:sz w:val="24"/>
          <w:szCs w:val="24"/>
        </w:rPr>
        <w:t>.</w:t>
      </w:r>
      <w:r w:rsidRPr="0084036E">
        <w:rPr>
          <w:rFonts w:ascii="Times New Roman" w:eastAsia="Times New Roman" w:hAnsi="Times New Roman" w:cs="Times New Roman"/>
          <w:sz w:val="24"/>
          <w:szCs w:val="24"/>
        </w:rPr>
        <w:t xml:space="preserve"> </w:t>
      </w:r>
      <w:r w:rsidRPr="00304A9B">
        <w:rPr>
          <w:rFonts w:ascii="Times New Roman" w:eastAsia="Times New Roman" w:hAnsi="Times New Roman" w:cs="Times New Roman"/>
          <w:i/>
          <w:sz w:val="24"/>
          <w:szCs w:val="24"/>
        </w:rPr>
        <w:t>Frontiers in Microbiology</w:t>
      </w:r>
      <w:r w:rsidRPr="0084036E">
        <w:rPr>
          <w:rFonts w:ascii="Times New Roman" w:eastAsia="Times New Roman" w:hAnsi="Times New Roman" w:cs="Times New Roman"/>
          <w:sz w:val="24"/>
          <w:szCs w:val="24"/>
        </w:rPr>
        <w:t xml:space="preserve">, </w:t>
      </w:r>
      <w:r w:rsidRPr="0084036E">
        <w:rPr>
          <w:rFonts w:ascii="Times New Roman" w:eastAsia="Times New Roman" w:hAnsi="Times New Roman" w:cs="Times New Roman"/>
          <w:i/>
          <w:iCs/>
          <w:sz w:val="24"/>
          <w:szCs w:val="24"/>
        </w:rPr>
        <w:t>13</w:t>
      </w:r>
      <w:r w:rsidRPr="0084036E">
        <w:rPr>
          <w:rFonts w:ascii="Times New Roman" w:eastAsia="Times New Roman" w:hAnsi="Times New Roman" w:cs="Times New Roman"/>
          <w:sz w:val="24"/>
          <w:szCs w:val="24"/>
        </w:rPr>
        <w:t xml:space="preserve">, 987312. </w:t>
      </w:r>
      <w:r>
        <w:rPr>
          <w:rFonts w:ascii="Times New Roman" w:eastAsia="Times New Roman" w:hAnsi="Times New Roman" w:cs="Times New Roman"/>
          <w:sz w:val="24"/>
          <w:szCs w:val="24"/>
        </w:rPr>
        <w:tab/>
      </w:r>
      <w:hyperlink r:id="rId10" w:tgtFrame="_blank" w:history="1">
        <w:r w:rsidRPr="0084036E">
          <w:rPr>
            <w:rFonts w:ascii="Times New Roman" w:eastAsia="Times New Roman" w:hAnsi="Times New Roman" w:cs="Times New Roman"/>
            <w:color w:val="0000FF"/>
            <w:sz w:val="24"/>
            <w:szCs w:val="24"/>
            <w:u w:val="single"/>
          </w:rPr>
          <w:t>https://doi.org/10.3389/fmicb.2022.987312</w:t>
        </w:r>
      </w:hyperlink>
    </w:p>
    <w:p w14:paraId="7F45CFE0" w14:textId="77777777" w:rsidR="00F06635" w:rsidRPr="00922300" w:rsidRDefault="00F06635" w:rsidP="00D768F6">
      <w:pPr>
        <w:spacing w:before="100" w:beforeAutospacing="1" w:after="100" w:afterAutospacing="1" w:line="240" w:lineRule="auto"/>
        <w:rPr>
          <w:rFonts w:ascii="Times New Roman" w:eastAsia="Times New Roman" w:hAnsi="Times New Roman" w:cs="Times New Roman"/>
          <w:b/>
          <w:sz w:val="24"/>
          <w:szCs w:val="24"/>
        </w:rPr>
      </w:pPr>
    </w:p>
    <w:p w14:paraId="3444AF99" w14:textId="77777777" w:rsidR="00877EF9" w:rsidRDefault="00877EF9" w:rsidP="00D768F6">
      <w:pPr>
        <w:spacing w:line="240" w:lineRule="auto"/>
      </w:pPr>
    </w:p>
    <w:sectPr w:rsidR="00877E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10A32" w14:textId="77777777" w:rsidR="00DB49A4" w:rsidRDefault="00DB49A4" w:rsidP="00CC5BCF">
      <w:pPr>
        <w:spacing w:after="0" w:line="240" w:lineRule="auto"/>
      </w:pPr>
      <w:r>
        <w:separator/>
      </w:r>
    </w:p>
  </w:endnote>
  <w:endnote w:type="continuationSeparator" w:id="0">
    <w:p w14:paraId="7232A5C4" w14:textId="77777777" w:rsidR="00DB49A4" w:rsidRDefault="00DB49A4" w:rsidP="00CC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4ACD" w14:textId="77777777" w:rsidR="000C0575" w:rsidRDefault="000C0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955654"/>
      <w:docPartObj>
        <w:docPartGallery w:val="Page Numbers (Bottom of Page)"/>
        <w:docPartUnique/>
      </w:docPartObj>
    </w:sdtPr>
    <w:sdtEndPr>
      <w:rPr>
        <w:noProof/>
      </w:rPr>
    </w:sdtEndPr>
    <w:sdtContent>
      <w:p w14:paraId="61A3B1AA" w14:textId="77777777" w:rsidR="00CC5BCF" w:rsidRDefault="00CC5BCF">
        <w:pPr>
          <w:pStyle w:val="Footer"/>
          <w:jc w:val="center"/>
        </w:pPr>
        <w:r>
          <w:fldChar w:fldCharType="begin"/>
        </w:r>
        <w:r>
          <w:instrText xml:space="preserve"> PAGE   \* MERGEFORMAT </w:instrText>
        </w:r>
        <w:r>
          <w:fldChar w:fldCharType="separate"/>
        </w:r>
        <w:r w:rsidR="00B65E89">
          <w:rPr>
            <w:noProof/>
          </w:rPr>
          <w:t>1</w:t>
        </w:r>
        <w:r>
          <w:rPr>
            <w:noProof/>
          </w:rPr>
          <w:fldChar w:fldCharType="end"/>
        </w:r>
      </w:p>
    </w:sdtContent>
  </w:sdt>
  <w:p w14:paraId="5FE3A3D1" w14:textId="77777777" w:rsidR="00CC5BCF" w:rsidRDefault="00CC5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F043" w14:textId="77777777" w:rsidR="000C0575" w:rsidRDefault="000C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E7BE0" w14:textId="77777777" w:rsidR="00DB49A4" w:rsidRDefault="00DB49A4" w:rsidP="00CC5BCF">
      <w:pPr>
        <w:spacing w:after="0" w:line="240" w:lineRule="auto"/>
      </w:pPr>
      <w:r>
        <w:separator/>
      </w:r>
    </w:p>
  </w:footnote>
  <w:footnote w:type="continuationSeparator" w:id="0">
    <w:p w14:paraId="3A1EB696" w14:textId="77777777" w:rsidR="00DB49A4" w:rsidRDefault="00DB49A4" w:rsidP="00CC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9F78" w14:textId="1715EF83" w:rsidR="000C0575" w:rsidRDefault="000C0575">
    <w:pPr>
      <w:pStyle w:val="Header"/>
    </w:pPr>
    <w:r>
      <w:rPr>
        <w:noProof/>
      </w:rPr>
      <w:pict w14:anchorId="0E4C1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D553" w14:textId="6A76F1A3" w:rsidR="000C0575" w:rsidRDefault="000C0575">
    <w:pPr>
      <w:pStyle w:val="Header"/>
    </w:pPr>
    <w:r>
      <w:rPr>
        <w:noProof/>
      </w:rPr>
      <w:pict w14:anchorId="2A6E7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67D0" w14:textId="2B0684B8" w:rsidR="000C0575" w:rsidRDefault="000C0575">
    <w:pPr>
      <w:pStyle w:val="Header"/>
    </w:pPr>
    <w:r>
      <w:rPr>
        <w:noProof/>
      </w:rPr>
      <w:pict w14:anchorId="68A55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4F"/>
    <w:rsid w:val="00090236"/>
    <w:rsid w:val="000B776B"/>
    <w:rsid w:val="000C0575"/>
    <w:rsid w:val="003315D9"/>
    <w:rsid w:val="00343476"/>
    <w:rsid w:val="003726FF"/>
    <w:rsid w:val="00466898"/>
    <w:rsid w:val="004D418A"/>
    <w:rsid w:val="004D51A5"/>
    <w:rsid w:val="0058184B"/>
    <w:rsid w:val="00597285"/>
    <w:rsid w:val="00877EF9"/>
    <w:rsid w:val="00922300"/>
    <w:rsid w:val="00976C71"/>
    <w:rsid w:val="009801D6"/>
    <w:rsid w:val="009D0223"/>
    <w:rsid w:val="00AC564F"/>
    <w:rsid w:val="00B65E89"/>
    <w:rsid w:val="00B83281"/>
    <w:rsid w:val="00C31034"/>
    <w:rsid w:val="00CC5BCF"/>
    <w:rsid w:val="00CF0BA3"/>
    <w:rsid w:val="00D768F6"/>
    <w:rsid w:val="00DB49A4"/>
    <w:rsid w:val="00DD4ABA"/>
    <w:rsid w:val="00E0668F"/>
    <w:rsid w:val="00F06635"/>
    <w:rsid w:val="00F166AC"/>
    <w:rsid w:val="00F6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6C277A"/>
  <w15:chartTrackingRefBased/>
  <w15:docId w15:val="{CED0F88D-1C7F-4E5F-A164-E2ADD05B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F655CC"/>
  </w:style>
  <w:style w:type="table" w:styleId="TableGrid">
    <w:name w:val="Table Grid"/>
    <w:basedOn w:val="TableNormal"/>
    <w:uiPriority w:val="39"/>
    <w:rsid w:val="0058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184B"/>
    <w:rPr>
      <w:i/>
      <w:iCs/>
    </w:rPr>
  </w:style>
  <w:style w:type="paragraph" w:styleId="NormalWeb">
    <w:name w:val="Normal (Web)"/>
    <w:basedOn w:val="Normal"/>
    <w:uiPriority w:val="99"/>
    <w:unhideWhenUsed/>
    <w:rsid w:val="005818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5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BCF"/>
  </w:style>
  <w:style w:type="paragraph" w:styleId="Footer">
    <w:name w:val="footer"/>
    <w:basedOn w:val="Normal"/>
    <w:link w:val="FooterChar"/>
    <w:uiPriority w:val="99"/>
    <w:unhideWhenUsed/>
    <w:rsid w:val="00CC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BCF"/>
  </w:style>
  <w:style w:type="character" w:styleId="Hyperlink">
    <w:name w:val="Hyperlink"/>
    <w:basedOn w:val="DefaultParagraphFont"/>
    <w:uiPriority w:val="99"/>
    <w:unhideWhenUsed/>
    <w:rsid w:val="00F06635"/>
    <w:rPr>
      <w:color w:val="0000FF"/>
      <w:u w:val="single"/>
    </w:rPr>
  </w:style>
  <w:style w:type="character" w:styleId="UnresolvedMention">
    <w:name w:val="Unresolved Mention"/>
    <w:basedOn w:val="DefaultParagraphFont"/>
    <w:uiPriority w:val="99"/>
    <w:semiHidden/>
    <w:unhideWhenUsed/>
    <w:rsid w:val="00331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yc.1324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390/jof603012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3040/IJPSR.0975-8232"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3389/fmicb.2022.987312" TargetMode="External"/><Relationship Id="rId4" Type="http://schemas.openxmlformats.org/officeDocument/2006/relationships/footnotes" Target="footnotes.xml"/><Relationship Id="rId9" Type="http://schemas.openxmlformats.org/officeDocument/2006/relationships/hyperlink" Target="https://doi.org/10.21010/ajtcam.v20i1.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4647</Words>
  <Characters>26490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cp:revision>
  <dcterms:created xsi:type="dcterms:W3CDTF">2026-03-20T09:58:00Z</dcterms:created>
  <dcterms:modified xsi:type="dcterms:W3CDTF">2026-04-01T09:16:00Z</dcterms:modified>
</cp:coreProperties>
</file>