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20ACC" w14:textId="77777777" w:rsidR="0036010B" w:rsidRDefault="00877B91">
      <w:pPr>
        <w:pStyle w:val="Author"/>
        <w:rPr>
          <w:rFonts w:ascii="Arial" w:eastAsia="Calibri" w:hAnsi="Arial" w:cs="Arial"/>
          <w:kern w:val="2"/>
        </w:rPr>
      </w:pPr>
      <w:r>
        <w:rPr>
          <w:rFonts w:ascii="Arial" w:eastAsia="Calibri" w:hAnsi="Arial" w:cs="Arial"/>
          <w:kern w:val="2"/>
        </w:rPr>
        <w:t>ENHANCING READING COMPREHENSION THROUGH THINK-PAIR-SHARE IN THE GRADE 5 PUPILS OF CATIGBIAN</w:t>
      </w:r>
    </w:p>
    <w:p w14:paraId="4F05294C" w14:textId="77777777" w:rsidR="0036010B" w:rsidRDefault="00877B91">
      <w:pPr>
        <w:pStyle w:val="Author"/>
        <w:spacing w:line="240" w:lineRule="auto"/>
        <w:rPr>
          <w:rFonts w:ascii="Arial" w:hAnsi="Arial" w:cs="Arial"/>
          <w:bCs/>
          <w:iCs/>
          <w:kern w:val="2"/>
        </w:rPr>
      </w:pPr>
      <w:r>
        <w:rPr>
          <w:rFonts w:ascii="Arial" w:eastAsia="Calibri" w:hAnsi="Arial" w:cs="Arial"/>
          <w:kern w:val="2"/>
        </w:rPr>
        <w:t>ELEMENTARY SCHOOL</w:t>
      </w:r>
    </w:p>
    <w:p w14:paraId="140E25C0" w14:textId="77777777" w:rsidR="0036010B" w:rsidRDefault="0036010B">
      <w:pPr>
        <w:pStyle w:val="Author"/>
        <w:spacing w:line="240" w:lineRule="auto"/>
        <w:jc w:val="both"/>
        <w:rPr>
          <w:rFonts w:ascii="Arial" w:hAnsi="Arial" w:cs="Arial"/>
          <w:sz w:val="36"/>
        </w:rPr>
      </w:pPr>
    </w:p>
    <w:p w14:paraId="234297C5" w14:textId="77777777" w:rsidR="0036010B" w:rsidRDefault="0036010B">
      <w:pPr>
        <w:pStyle w:val="Affiliation"/>
        <w:spacing w:after="0" w:line="240" w:lineRule="auto"/>
        <w:jc w:val="both"/>
        <w:rPr>
          <w:rFonts w:ascii="Arial" w:hAnsi="Arial" w:cs="Arial"/>
        </w:rPr>
      </w:pPr>
    </w:p>
    <w:p w14:paraId="4CC5171D" w14:textId="77777777" w:rsidR="0036010B" w:rsidRDefault="00877B91">
      <w:pPr>
        <w:pStyle w:val="Copyright"/>
        <w:spacing w:after="0" w:line="240" w:lineRule="auto"/>
        <w:jc w:val="both"/>
        <w:rPr>
          <w:rFonts w:ascii="Arial" w:hAnsi="Arial" w:cs="Arial"/>
        </w:rPr>
      </w:pPr>
      <w:r>
        <w:rPr>
          <w:noProof/>
          <w:lang w:eastAsia="ko-KR"/>
        </w:rPr>
        <mc:AlternateContent>
          <mc:Choice Requires="wps">
            <w:drawing>
              <wp:inline distT="0" distB="0" distL="0" distR="0" wp14:anchorId="36612C94" wp14:editId="48F7F585">
                <wp:extent cx="5303520" cy="635"/>
                <wp:effectExtent l="114300" t="0" r="114300" b="0"/>
                <wp:docPr id="1026" name="Shap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03520" cy="635"/>
                        </a:xfrm>
                        <a:prstGeom prst="straightConnector1">
                          <a:avLst/>
                        </a:prstGeom>
                        <a:ln w="19080" cap="flat" cmpd="sng">
                          <a:solidFill>
                            <a:srgbClr val="000000"/>
                          </a:solidFill>
                          <a:prstDash val="solid"/>
                          <a:round/>
                          <a:headEnd/>
                          <a:tailE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32" coordsize="21600,21600" o:spt="32" o:oned="t" path="m,l21600,21600e">
                <v:path arrowok="t" fillok="f" o:connecttype="none"/>
                <o:lock v:ext="edit" shapetype="t"/>
              </v:shapetype>
              <v:shape id="1026" type="#_x0000_t32" filled="f" style="margin-left:0.0pt;margin-top:0.0pt;width:417.6pt;height:0.05pt;mso-wrap-distance-left:0.0pt;mso-wrap-distance-right:0.0pt;visibility:visible;">
                <w10:anchorlock/>
                <v:stroke weight="1.5pt"/>
                <v:fill rotate="true"/>
              </v:shape>
            </w:pict>
          </mc:Fallback>
        </mc:AlternateContent>
      </w:r>
      <w:r>
        <w:rPr>
          <w:rFonts w:ascii="Arial" w:hAnsi="Arial" w:cs="Arial"/>
        </w:rPr>
        <w:t>.</w:t>
      </w:r>
    </w:p>
    <w:p w14:paraId="4014965E" w14:textId="77777777" w:rsidR="0036010B" w:rsidRDefault="0036010B">
      <w:pPr>
        <w:sectPr w:rsidR="0036010B" w:rsidSect="00144188">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cols w:space="720"/>
          <w:docGrid w:linePitch="272" w:charSpace="24576"/>
        </w:sectPr>
      </w:pPr>
    </w:p>
    <w:p w14:paraId="70D95E06" w14:textId="77777777" w:rsidR="0036010B" w:rsidRDefault="00877B91">
      <w:pPr>
        <w:pStyle w:val="AbstHead"/>
        <w:spacing w:after="0"/>
        <w:jc w:val="both"/>
        <w:rPr>
          <w:rFonts w:ascii="Arial" w:hAnsi="Arial" w:cs="Arial"/>
        </w:rPr>
      </w:pPr>
      <w:r>
        <w:rPr>
          <w:rFonts w:ascii="Arial" w:hAnsi="Arial" w:cs="Arial"/>
        </w:rPr>
        <w:t xml:space="preserve">ABSTRACT </w:t>
      </w:r>
    </w:p>
    <w:tbl>
      <w:tblPr>
        <w:tblW w:w="9349" w:type="dxa"/>
        <w:tblLayout w:type="fixed"/>
        <w:tblLook w:val="04A0" w:firstRow="1" w:lastRow="0" w:firstColumn="1" w:lastColumn="0" w:noHBand="0" w:noVBand="1"/>
      </w:tblPr>
      <w:tblGrid>
        <w:gridCol w:w="9349"/>
      </w:tblGrid>
      <w:tr w:rsidR="0036010B" w14:paraId="393A4C6C" w14:textId="77777777">
        <w:tc>
          <w:tcPr>
            <w:tcW w:w="9349" w:type="dxa"/>
            <w:tcBorders>
              <w:top w:val="single" w:sz="4" w:space="0" w:color="000000"/>
              <w:left w:val="single" w:sz="4" w:space="0" w:color="000000"/>
              <w:bottom w:val="single" w:sz="4" w:space="0" w:color="000000"/>
              <w:right w:val="single" w:sz="4" w:space="0" w:color="000000"/>
            </w:tcBorders>
            <w:shd w:val="clear" w:color="auto" w:fill="F2F2F2"/>
          </w:tcPr>
          <w:p w14:paraId="5DF91020" w14:textId="77777777" w:rsidR="0036010B" w:rsidRDefault="00877B91">
            <w:pPr>
              <w:suppressAutoHyphens w:val="0"/>
              <w:spacing w:before="100" w:beforeAutospacing="1" w:after="100" w:afterAutospacing="1"/>
              <w:jc w:val="both"/>
              <w:rPr>
                <w:rFonts w:ascii="Arial" w:hAnsi="Arial" w:cs="Arial"/>
                <w:szCs w:val="24"/>
                <w:lang w:val="en-PH" w:eastAsia="ko-KR"/>
              </w:rPr>
            </w:pPr>
            <w:r>
              <w:rPr>
                <w:rFonts w:ascii="Arial" w:hAnsi="Arial" w:cs="Arial"/>
                <w:szCs w:val="24"/>
                <w:lang w:val="en-PH" w:eastAsia="ko-KR"/>
              </w:rPr>
              <w:t>This action research examined the effectiveness of the Think-Pair-Share strategy in improving the reading comprehension skills of Grade 5 pupils at Catigbian Elementary School. The intervention was conducted over three sessions, each consisting of three di</w:t>
            </w:r>
            <w:r>
              <w:rPr>
                <w:rFonts w:ascii="Arial" w:hAnsi="Arial" w:cs="Arial"/>
                <w:szCs w:val="24"/>
                <w:lang w:val="en-PH" w:eastAsia="ko-KR"/>
              </w:rPr>
              <w:t xml:space="preserve">stinct phases: reading a story, engaging in paired discussions to share and interpret information, and presenting shared ideas in front of the class. Through this process, students actively participated, articulated their thoughts, and built confidence in </w:t>
            </w:r>
            <w:r>
              <w:rPr>
                <w:rFonts w:ascii="Arial" w:hAnsi="Arial" w:cs="Arial"/>
                <w:szCs w:val="24"/>
                <w:lang w:val="en-PH" w:eastAsia="ko-KR"/>
              </w:rPr>
              <w:t xml:space="preserve">understanding and analyzing texts. </w:t>
            </w:r>
          </w:p>
          <w:p w14:paraId="36EC96E2" w14:textId="77777777" w:rsidR="0036010B" w:rsidRDefault="00877B91">
            <w:pPr>
              <w:suppressAutoHyphens w:val="0"/>
              <w:spacing w:before="100" w:beforeAutospacing="1" w:after="100" w:afterAutospacing="1"/>
              <w:jc w:val="both"/>
              <w:rPr>
                <w:rFonts w:ascii="Arial" w:hAnsi="Arial" w:cs="Arial"/>
                <w:szCs w:val="24"/>
                <w:lang w:val="en-PH" w:eastAsia="ko-KR"/>
              </w:rPr>
            </w:pPr>
            <w:r>
              <w:rPr>
                <w:rFonts w:ascii="Arial" w:hAnsi="Arial" w:cs="Arial"/>
                <w:szCs w:val="24"/>
                <w:lang w:val="en-PH" w:eastAsia="ko-KR"/>
              </w:rPr>
              <w:t>The researchers employed an experimental method to assess the impact of Think-Pair-Share on literacy development. Pretest and posttest assessments were administered using the Phil-IRI graded assessment tool, with a t-tes</w:t>
            </w:r>
            <w:r>
              <w:rPr>
                <w:rFonts w:ascii="Arial" w:hAnsi="Arial" w:cs="Arial"/>
                <w:szCs w:val="24"/>
                <w:lang w:val="en-PH" w:eastAsia="ko-KR"/>
              </w:rPr>
              <w:t>t applied to determine the mean difference between the two sets of results. The pretest revealed a mean score of 12.50 with a standard deviation of 4.56, while the posttest showed a significant improvement, with a mean score of 16.56 and a standard deviati</w:t>
            </w:r>
            <w:r>
              <w:rPr>
                <w:rFonts w:ascii="Arial" w:hAnsi="Arial" w:cs="Arial"/>
                <w:szCs w:val="24"/>
                <w:lang w:val="en-PH" w:eastAsia="ko-KR"/>
              </w:rPr>
              <w:t xml:space="preserve">on of 4.59. </w:t>
            </w:r>
          </w:p>
          <w:p w14:paraId="2D652E39" w14:textId="77777777" w:rsidR="0036010B" w:rsidRDefault="00877B91">
            <w:pPr>
              <w:suppressAutoHyphens w:val="0"/>
              <w:spacing w:before="100" w:beforeAutospacing="1" w:after="100" w:afterAutospacing="1"/>
              <w:jc w:val="both"/>
              <w:rPr>
                <w:rFonts w:ascii="Arial" w:hAnsi="Arial" w:cs="Arial"/>
                <w:szCs w:val="24"/>
                <w:lang w:val="en-PH" w:eastAsia="ko-KR"/>
              </w:rPr>
            </w:pPr>
            <w:r>
              <w:rPr>
                <w:rFonts w:ascii="Arial" w:hAnsi="Arial" w:cs="Arial"/>
                <w:szCs w:val="24"/>
                <w:lang w:val="en-PH" w:eastAsia="ko-KR"/>
              </w:rPr>
              <w:t>Findings indicated that Think-Pair-Share effectively enhanced students' reading comprehension by fostering collaborative discussions, critical thinking, and active engagement. The results suggested that when learners articulated their thoughts</w:t>
            </w:r>
            <w:r>
              <w:rPr>
                <w:rFonts w:ascii="Arial" w:hAnsi="Arial" w:cs="Arial"/>
                <w:szCs w:val="24"/>
                <w:lang w:val="en-PH" w:eastAsia="ko-KR"/>
              </w:rPr>
              <w:t xml:space="preserve"> and exchanged ideas with their peers, they improved their comprehension skills, gained confidence in expressing themselves, and developed better retention of information. Additionally, the structured nature of the strategy enabled pupils to build meaningf</w:t>
            </w:r>
            <w:r>
              <w:rPr>
                <w:rFonts w:ascii="Arial" w:hAnsi="Arial" w:cs="Arial"/>
                <w:szCs w:val="24"/>
                <w:lang w:val="en-PH" w:eastAsia="ko-KR"/>
              </w:rPr>
              <w:t xml:space="preserve">ul connections with texts, enhance their analytical skills, and cultivate a deeper understanding of reading materials. </w:t>
            </w:r>
          </w:p>
          <w:p w14:paraId="1DAB1D8C" w14:textId="77777777" w:rsidR="0036010B" w:rsidRDefault="00877B91">
            <w:pPr>
              <w:suppressAutoHyphens w:val="0"/>
              <w:spacing w:before="100" w:beforeAutospacing="1" w:after="100" w:afterAutospacing="1"/>
              <w:jc w:val="both"/>
              <w:rPr>
                <w:rFonts w:ascii="Arial" w:hAnsi="Arial" w:cs="Arial"/>
                <w:szCs w:val="24"/>
                <w:lang w:val="en-PH" w:eastAsia="ko-KR"/>
              </w:rPr>
            </w:pPr>
            <w:r>
              <w:rPr>
                <w:rFonts w:ascii="Arial" w:hAnsi="Arial" w:cs="Arial"/>
                <w:szCs w:val="24"/>
                <w:lang w:val="en-PH" w:eastAsia="ko-KR"/>
              </w:rPr>
              <w:t>Furthermore, the study underscored the importance of interactive learning environments in fostering literacy development. Pupils who act</w:t>
            </w:r>
            <w:r>
              <w:rPr>
                <w:rFonts w:ascii="Arial" w:hAnsi="Arial" w:cs="Arial"/>
                <w:szCs w:val="24"/>
                <w:lang w:val="en-PH" w:eastAsia="ko-KR"/>
              </w:rPr>
              <w:t>ively participated in the intervention demonstrated increased enthusiasm for reading, improved communication skills, and greater engagement in classroom discussions. The collaborative approach not only reinforced comprehension strategies but also encourage</w:t>
            </w:r>
            <w:r>
              <w:rPr>
                <w:rFonts w:ascii="Arial" w:hAnsi="Arial" w:cs="Arial"/>
                <w:szCs w:val="24"/>
                <w:lang w:val="en-PH" w:eastAsia="ko-KR"/>
              </w:rPr>
              <w:t xml:space="preserve">d a more inclusive and participative learning atmosphere. </w:t>
            </w:r>
          </w:p>
          <w:p w14:paraId="4899395C" w14:textId="77777777" w:rsidR="0036010B" w:rsidRDefault="00877B91">
            <w:pPr>
              <w:suppressAutoHyphens w:val="0"/>
              <w:spacing w:before="100" w:beforeAutospacing="1" w:after="100" w:afterAutospacing="1"/>
              <w:jc w:val="both"/>
              <w:rPr>
                <w:rFonts w:ascii="Arial" w:hAnsi="Arial" w:cs="Arial"/>
                <w:szCs w:val="24"/>
                <w:lang w:val="en-PH" w:eastAsia="ko-KR"/>
              </w:rPr>
            </w:pPr>
            <w:r>
              <w:rPr>
                <w:rFonts w:ascii="Arial" w:hAnsi="Arial" w:cs="Arial"/>
                <w:szCs w:val="24"/>
                <w:lang w:val="en-PH" w:eastAsia="ko-KR"/>
              </w:rPr>
              <w:t>These findings highlight the potential of Think-Pair-Share as a valuable instructional strategy that educators can integrate into reading lessons to enhance literacy outcomes. By promoting meaningf</w:t>
            </w:r>
            <w:r>
              <w:rPr>
                <w:rFonts w:ascii="Arial" w:hAnsi="Arial" w:cs="Arial"/>
                <w:szCs w:val="24"/>
                <w:lang w:val="en-PH" w:eastAsia="ko-KR"/>
              </w:rPr>
              <w:t>ul peer interactions and structured discussions, this strategy serves as an effective tool for improving comprehension, boosting student engagement, and creating a dynamic classroom setting. Future studies may explore its long-term effects and adaptability</w:t>
            </w:r>
            <w:r>
              <w:rPr>
                <w:rFonts w:ascii="Arial" w:hAnsi="Arial" w:cs="Arial"/>
                <w:szCs w:val="24"/>
                <w:lang w:val="en-PH" w:eastAsia="ko-KR"/>
              </w:rPr>
              <w:t xml:space="preserve"> across different educational contexts to further validate its </w:t>
            </w:r>
            <w:r>
              <w:rPr>
                <w:rFonts w:ascii="Arial" w:hAnsi="Arial" w:cs="Arial"/>
                <w:lang w:val="en-PH" w:eastAsia="ko-KR"/>
              </w:rPr>
              <w:t>effectiveness in literacy development.</w:t>
            </w:r>
          </w:p>
        </w:tc>
      </w:tr>
    </w:tbl>
    <w:p w14:paraId="0C92A873" w14:textId="77777777" w:rsidR="0036010B" w:rsidRDefault="0036010B">
      <w:pPr>
        <w:pStyle w:val="Body"/>
        <w:spacing w:after="0"/>
        <w:rPr>
          <w:rFonts w:ascii="Arial" w:hAnsi="Arial" w:cs="Arial"/>
          <w:i/>
        </w:rPr>
      </w:pPr>
    </w:p>
    <w:p w14:paraId="7154F5C0" w14:textId="77777777" w:rsidR="0036010B" w:rsidRDefault="00877B91">
      <w:pPr>
        <w:pStyle w:val="Body"/>
        <w:spacing w:after="0"/>
        <w:rPr>
          <w:rFonts w:ascii="Arial" w:hAnsi="Arial" w:cs="Arial"/>
          <w:i/>
        </w:rPr>
      </w:pPr>
      <w:r>
        <w:rPr>
          <w:rFonts w:ascii="Arial" w:hAnsi="Arial" w:cs="Arial"/>
          <w:i/>
        </w:rPr>
        <w:t>Keywords: Reading comprehension, think-pair-share, interactive, collaborative, literacy</w:t>
      </w:r>
    </w:p>
    <w:p w14:paraId="6364CCDF" w14:textId="77777777" w:rsidR="0036010B" w:rsidRDefault="0036010B">
      <w:pPr>
        <w:pStyle w:val="Body"/>
        <w:spacing w:after="0"/>
        <w:rPr>
          <w:rFonts w:ascii="Arial" w:hAnsi="Arial" w:cs="Arial"/>
          <w:i/>
        </w:rPr>
      </w:pPr>
    </w:p>
    <w:p w14:paraId="2D14663F" w14:textId="77777777" w:rsidR="0036010B" w:rsidRDefault="0036010B">
      <w:pPr>
        <w:pStyle w:val="Body"/>
        <w:spacing w:after="0"/>
        <w:rPr>
          <w:rFonts w:ascii="Arial" w:hAnsi="Arial" w:cs="Arial"/>
          <w:i/>
        </w:rPr>
      </w:pPr>
    </w:p>
    <w:p w14:paraId="02A3538F" w14:textId="77777777" w:rsidR="0036010B" w:rsidRDefault="00877B91">
      <w:pPr>
        <w:pStyle w:val="AbstHead"/>
        <w:numPr>
          <w:ilvl w:val="0"/>
          <w:numId w:val="2"/>
        </w:numPr>
        <w:spacing w:after="0"/>
        <w:jc w:val="both"/>
        <w:rPr>
          <w:rFonts w:ascii="Arial" w:hAnsi="Arial" w:cs="Arial"/>
        </w:rPr>
      </w:pPr>
      <w:r>
        <w:rPr>
          <w:rFonts w:ascii="Arial" w:hAnsi="Arial" w:cs="Arial"/>
        </w:rPr>
        <w:t xml:space="preserve">INTRODUCTION </w:t>
      </w:r>
    </w:p>
    <w:p w14:paraId="4EC9522A" w14:textId="77777777" w:rsidR="0036010B" w:rsidRDefault="0036010B">
      <w:pPr>
        <w:pStyle w:val="AbstHead"/>
        <w:spacing w:after="0"/>
        <w:ind w:left="720"/>
        <w:jc w:val="both"/>
        <w:rPr>
          <w:rFonts w:ascii="Arial" w:hAnsi="Arial" w:cs="Arial"/>
        </w:rPr>
      </w:pPr>
    </w:p>
    <w:p w14:paraId="1C61FE76" w14:textId="77777777" w:rsidR="0036010B" w:rsidRDefault="00877B91">
      <w:pPr>
        <w:jc w:val="both"/>
        <w:rPr>
          <w:rFonts w:ascii="Arial" w:hAnsi="Arial" w:cs="Arial"/>
          <w:szCs w:val="24"/>
          <w:lang w:val="en-PH" w:eastAsia="ko-KR"/>
        </w:rPr>
      </w:pPr>
      <w:r>
        <w:rPr>
          <w:rFonts w:ascii="Arial" w:hAnsi="Arial" w:cs="Arial"/>
          <w:szCs w:val="24"/>
          <w:lang w:val="en-PH" w:eastAsia="ko-KR"/>
        </w:rPr>
        <w:t xml:space="preserve">Reading comprehension plays a vital role in academic success, as it enables students to analyze texts, extract meaning, and apply knowledge across various subjects. However, many learners struggle with reading comprehension, which affects their ability to </w:t>
      </w:r>
      <w:r>
        <w:rPr>
          <w:rFonts w:ascii="Arial" w:hAnsi="Arial" w:cs="Arial"/>
          <w:szCs w:val="24"/>
          <w:lang w:val="en-PH" w:eastAsia="ko-KR"/>
        </w:rPr>
        <w:t xml:space="preserve">keep up with lessons and, consequently, leads to lower academic performance. Specifically, in Barangay </w:t>
      </w:r>
      <w:r>
        <w:rPr>
          <w:rFonts w:ascii="Arial" w:hAnsi="Arial" w:cs="Arial"/>
          <w:szCs w:val="24"/>
          <w:lang w:val="en-PH" w:eastAsia="ko-KR"/>
        </w:rPr>
        <w:lastRenderedPageBreak/>
        <w:t>Catigbian, Laoang, Northern Samar, Grade 5 pupils at Catigbian Elementary School experience difficulties in reading comprehension, which can be attribute</w:t>
      </w:r>
      <w:r>
        <w:rPr>
          <w:rFonts w:ascii="Arial" w:hAnsi="Arial" w:cs="Arial"/>
          <w:szCs w:val="24"/>
          <w:lang w:val="en-PH" w:eastAsia="ko-KR"/>
        </w:rPr>
        <w:t>d to limited vocabulary, lack of exposure to diverse reading materials, and minimal opportunities for structured discussions. As a result, addressing this issue has become a priority, prompting the researchers to explore Think-Pair-Share (T-P-S) as an inte</w:t>
      </w:r>
      <w:r>
        <w:rPr>
          <w:rFonts w:ascii="Arial" w:hAnsi="Arial" w:cs="Arial"/>
          <w:szCs w:val="24"/>
          <w:lang w:val="en-PH" w:eastAsia="ko-KR"/>
        </w:rPr>
        <w:t xml:space="preserve">rvention to enhance students’ reading skills through peer collaboration, interactive learning, and shared discussions. </w:t>
      </w:r>
    </w:p>
    <w:p w14:paraId="766BC03E" w14:textId="77777777" w:rsidR="0036010B" w:rsidRDefault="0036010B">
      <w:pPr>
        <w:jc w:val="both"/>
        <w:rPr>
          <w:rFonts w:ascii="Arial" w:hAnsi="Arial" w:cs="Arial"/>
          <w:szCs w:val="24"/>
          <w:lang w:val="en-PH" w:eastAsia="ko-KR"/>
        </w:rPr>
      </w:pPr>
    </w:p>
    <w:p w14:paraId="1EBB0063" w14:textId="77777777" w:rsidR="0036010B" w:rsidRDefault="00877B91">
      <w:pPr>
        <w:jc w:val="both"/>
        <w:rPr>
          <w:rFonts w:ascii="Arial" w:hAnsi="Arial" w:cs="Arial"/>
          <w:szCs w:val="24"/>
          <w:lang w:val="en-PH" w:eastAsia="ko-KR"/>
        </w:rPr>
      </w:pPr>
      <w:r>
        <w:rPr>
          <w:rFonts w:ascii="Arial" w:hAnsi="Arial" w:cs="Arial"/>
          <w:szCs w:val="24"/>
          <w:lang w:val="en-PH" w:eastAsia="ko-KR"/>
        </w:rPr>
        <w:t>To assess the effectiveness of the Think-Pair-Share strategy, this study employed an experimental action research design, conducted dur</w:t>
      </w:r>
      <w:r>
        <w:rPr>
          <w:rFonts w:ascii="Arial" w:hAnsi="Arial" w:cs="Arial"/>
          <w:szCs w:val="24"/>
          <w:lang w:val="en-PH" w:eastAsia="ko-KR"/>
        </w:rPr>
        <w:t>ing School Year 2024–2025 at Catigbian Elementary School. Specifically, the study focused on 30 Grade 5 pupils, consisting of 13 males and 17 females, who were officially enrolled and selected as study participants. Through this intervention, students were</w:t>
      </w:r>
      <w:r>
        <w:rPr>
          <w:rFonts w:ascii="Arial" w:hAnsi="Arial" w:cs="Arial"/>
          <w:szCs w:val="24"/>
          <w:lang w:val="en-PH" w:eastAsia="ko-KR"/>
        </w:rPr>
        <w:t xml:space="preserve"> allowed to articulate their thoughts, exchange ideas </w:t>
      </w:r>
    </w:p>
    <w:p w14:paraId="070AA52B" w14:textId="77777777" w:rsidR="0036010B" w:rsidRDefault="00877B91">
      <w:pPr>
        <w:jc w:val="both"/>
        <w:rPr>
          <w:rFonts w:ascii="Arial" w:hAnsi="Arial" w:cs="Arial"/>
          <w:szCs w:val="24"/>
          <w:lang w:val="en-PH" w:eastAsia="ko-KR"/>
        </w:rPr>
      </w:pPr>
      <w:r>
        <w:rPr>
          <w:rFonts w:ascii="Arial" w:hAnsi="Arial" w:cs="Arial"/>
          <w:szCs w:val="24"/>
          <w:lang w:val="en-PH" w:eastAsia="ko-KR"/>
        </w:rPr>
        <w:t>with their peers, and refine their comprehension skills through structured activities, thereby fostering deeper understanding and engagement. Developed by Frank Lyman (1981) at the University of Maryland, Think-Pair-Share has gained recognition among educa</w:t>
      </w:r>
      <w:r>
        <w:rPr>
          <w:rFonts w:ascii="Arial" w:hAnsi="Arial" w:cs="Arial"/>
          <w:szCs w:val="24"/>
          <w:lang w:val="en-PH" w:eastAsia="ko-KR"/>
        </w:rPr>
        <w:t xml:space="preserve">tors who advocate interactive learning strategies. More specifically, this method follows three key phases: Think, where students reflect individually on a topic; Pair, where they discuss their 6 </w:t>
      </w:r>
    </w:p>
    <w:p w14:paraId="3E6F15DF" w14:textId="77777777" w:rsidR="0036010B" w:rsidRDefault="00877B91">
      <w:pPr>
        <w:jc w:val="both"/>
        <w:rPr>
          <w:rFonts w:ascii="Arial" w:hAnsi="Arial" w:cs="Arial"/>
          <w:szCs w:val="24"/>
          <w:lang w:val="en-PH" w:eastAsia="ko-KR"/>
        </w:rPr>
      </w:pPr>
      <w:r>
        <w:rPr>
          <w:rFonts w:ascii="Arial" w:hAnsi="Arial" w:cs="Arial"/>
          <w:szCs w:val="24"/>
          <w:lang w:val="en-PH" w:eastAsia="ko-KR"/>
        </w:rPr>
        <w:t>insights with a partner; and Share, where they present thei</w:t>
      </w:r>
      <w:r>
        <w:rPr>
          <w:rFonts w:ascii="Arial" w:hAnsi="Arial" w:cs="Arial"/>
          <w:szCs w:val="24"/>
          <w:lang w:val="en-PH" w:eastAsia="ko-KR"/>
        </w:rPr>
        <w:t>r findings to the class. By following these steps, students not only develop their reading comprehension but also enhance their critical thinking and communication skills. According to Shih &amp; Reynolds (2015), this approach fosters comprehension by encourag</w:t>
      </w:r>
      <w:r>
        <w:rPr>
          <w:rFonts w:ascii="Arial" w:hAnsi="Arial" w:cs="Arial"/>
          <w:szCs w:val="24"/>
          <w:lang w:val="en-PH" w:eastAsia="ko-KR"/>
        </w:rPr>
        <w:t xml:space="preserve">ing students to articulate and refine ideas while engaging in meaningful discussions. Furthermore, studies have shown that peer interactions provide learners with opportunities to process information </w:t>
      </w:r>
    </w:p>
    <w:p w14:paraId="46A6EF24" w14:textId="77777777" w:rsidR="0036010B" w:rsidRDefault="00877B91">
      <w:pPr>
        <w:jc w:val="both"/>
        <w:rPr>
          <w:rFonts w:ascii="Arial" w:hAnsi="Arial" w:cs="Arial"/>
          <w:szCs w:val="24"/>
          <w:lang w:val="en-PH" w:eastAsia="ko-KR"/>
        </w:rPr>
      </w:pPr>
      <w:r>
        <w:rPr>
          <w:rFonts w:ascii="Arial" w:hAnsi="Arial" w:cs="Arial"/>
          <w:szCs w:val="24"/>
          <w:lang w:val="en-PH" w:eastAsia="ko-KR"/>
        </w:rPr>
        <w:t>collaboratively, improve retention, and develop analyti</w:t>
      </w:r>
      <w:r>
        <w:rPr>
          <w:rFonts w:ascii="Arial" w:hAnsi="Arial" w:cs="Arial"/>
          <w:szCs w:val="24"/>
          <w:lang w:val="en-PH" w:eastAsia="ko-KR"/>
        </w:rPr>
        <w:t xml:space="preserve">cal thinking skills (Ayu, </w:t>
      </w:r>
    </w:p>
    <w:p w14:paraId="0D311DD6" w14:textId="77777777" w:rsidR="0036010B" w:rsidRDefault="00877B91">
      <w:pPr>
        <w:jc w:val="both"/>
        <w:rPr>
          <w:rFonts w:ascii="Arial" w:hAnsi="Arial" w:cs="Arial"/>
          <w:szCs w:val="24"/>
          <w:lang w:val="en-PH" w:eastAsia="ko-KR"/>
        </w:rPr>
      </w:pPr>
      <w:r>
        <w:rPr>
          <w:rFonts w:ascii="Arial" w:hAnsi="Arial" w:cs="Arial"/>
          <w:szCs w:val="24"/>
          <w:lang w:val="en-PH" w:eastAsia="ko-KR"/>
        </w:rPr>
        <w:t xml:space="preserve">Diem, &amp; Vianty, 2017). </w:t>
      </w:r>
    </w:p>
    <w:p w14:paraId="3052417B" w14:textId="77777777" w:rsidR="0036010B" w:rsidRDefault="0036010B">
      <w:pPr>
        <w:jc w:val="both"/>
        <w:rPr>
          <w:rFonts w:ascii="Arial" w:hAnsi="Arial" w:cs="Arial"/>
          <w:szCs w:val="24"/>
          <w:lang w:val="en-PH" w:eastAsia="ko-KR"/>
        </w:rPr>
      </w:pPr>
    </w:p>
    <w:p w14:paraId="5EA6E200" w14:textId="77777777" w:rsidR="0036010B" w:rsidRDefault="00877B91">
      <w:pPr>
        <w:jc w:val="both"/>
        <w:rPr>
          <w:rFonts w:ascii="Arial" w:hAnsi="Arial" w:cs="Arial"/>
          <w:szCs w:val="24"/>
          <w:lang w:val="en-PH" w:eastAsia="ko-KR"/>
        </w:rPr>
      </w:pPr>
      <w:r>
        <w:rPr>
          <w:rFonts w:ascii="Arial" w:hAnsi="Arial" w:cs="Arial"/>
          <w:szCs w:val="24"/>
          <w:lang w:val="en-PH" w:eastAsia="ko-KR"/>
        </w:rPr>
        <w:t>In addition, storytelling exercises were integrated into the intervention, requiring students to understand texts, identify essential details, and prepare scripts for presentation. As Wahyudin (2017) note</w:t>
      </w:r>
      <w:r>
        <w:rPr>
          <w:rFonts w:ascii="Arial" w:hAnsi="Arial" w:cs="Arial"/>
          <w:szCs w:val="24"/>
          <w:lang w:val="en-PH" w:eastAsia="ko-KR"/>
        </w:rPr>
        <w:t>d, such activities contribute to improved comprehension and fluency, while Devi, Musthafa, &amp; Gustine (2015) emphasized that post-storytelling discussions allow students to assess strengths and weaknesses in their comprehension skills. Similarly, teachers p</w:t>
      </w:r>
      <w:r>
        <w:rPr>
          <w:rFonts w:ascii="Arial" w:hAnsi="Arial" w:cs="Arial"/>
          <w:szCs w:val="24"/>
          <w:lang w:val="en-PH" w:eastAsia="ko-KR"/>
        </w:rPr>
        <w:t>lay a crucial role in guiding discussions by asking thought-provoking questions and using structured prompts to elicit well-formed responses from students (Rido &amp; Sari, 2018). Since passive learning methods have become less effective in addressing students</w:t>
      </w:r>
      <w:r>
        <w:rPr>
          <w:rFonts w:ascii="Arial" w:hAnsi="Arial" w:cs="Arial"/>
          <w:szCs w:val="24"/>
          <w:lang w:val="en-PH" w:eastAsia="ko-KR"/>
        </w:rPr>
        <w:t>' literacy needs, 21st-century education requires more student-centered approaches to cultivate deeper learning experiences. In particular, reading comprehension is a multidimensional and complex process that demands interventions focusing on decoding skil</w:t>
      </w:r>
      <w:r>
        <w:rPr>
          <w:rFonts w:ascii="Arial" w:hAnsi="Arial" w:cs="Arial"/>
          <w:szCs w:val="24"/>
          <w:lang w:val="en-PH" w:eastAsia="ko-KR"/>
        </w:rPr>
        <w:t xml:space="preserve">ls, fluency, vocabulary development, and critical thinking. Therefore, moving beyond traditional teaching techniques and embracing interactive strategies 7 such as Think-Pair-Share can significantly enhance comprehension and student engagement. </w:t>
      </w:r>
    </w:p>
    <w:p w14:paraId="4338FD6E" w14:textId="77777777" w:rsidR="0036010B" w:rsidRDefault="0036010B">
      <w:pPr>
        <w:jc w:val="both"/>
        <w:rPr>
          <w:rFonts w:ascii="Arial" w:hAnsi="Arial" w:cs="Arial"/>
          <w:szCs w:val="24"/>
          <w:lang w:val="en-PH" w:eastAsia="ko-KR"/>
        </w:rPr>
      </w:pPr>
    </w:p>
    <w:p w14:paraId="7C5F4038" w14:textId="77777777" w:rsidR="0036010B" w:rsidRDefault="00877B91">
      <w:pPr>
        <w:jc w:val="both"/>
        <w:rPr>
          <w:rFonts w:ascii="Arial" w:hAnsi="Arial" w:cs="Arial"/>
          <w:szCs w:val="24"/>
          <w:lang w:val="en-PH" w:eastAsia="ko-KR"/>
        </w:rPr>
      </w:pPr>
      <w:r>
        <w:rPr>
          <w:rFonts w:ascii="Arial" w:hAnsi="Arial" w:cs="Arial"/>
          <w:szCs w:val="24"/>
          <w:lang w:val="en-PH" w:eastAsia="ko-KR"/>
        </w:rPr>
        <w:t>The Phili</w:t>
      </w:r>
      <w:r>
        <w:rPr>
          <w:rFonts w:ascii="Arial" w:hAnsi="Arial" w:cs="Arial"/>
          <w:szCs w:val="24"/>
          <w:lang w:val="en-PH" w:eastAsia="ko-KR"/>
        </w:rPr>
        <w:t>ppines’ low performance in international literacy assessments further underscores the urgency of improving reading comprehension instruction. For instance, in the 2022 Programme for International Student Assessment (PISA), the country ranked 76th out of 81</w:t>
      </w:r>
      <w:r>
        <w:rPr>
          <w:rFonts w:ascii="Arial" w:hAnsi="Arial" w:cs="Arial"/>
          <w:szCs w:val="24"/>
          <w:lang w:val="en-PH" w:eastAsia="ko-KR"/>
        </w:rPr>
        <w:t xml:space="preserve"> nations, placing it among the bottom 10 in reading comprehension. Even though efforts have been made to strengthen literacy education, Filipino students continue to struggle with reading, analytical reasoning, and problem-solving (OECD, 2023). This reinfo</w:t>
      </w:r>
      <w:r>
        <w:rPr>
          <w:rFonts w:ascii="Arial" w:hAnsi="Arial" w:cs="Arial"/>
          <w:szCs w:val="24"/>
          <w:lang w:val="en-PH" w:eastAsia="ko-KR"/>
        </w:rPr>
        <w:t>rces the necessity for innovative, interactive strategies that promote literacy development and foster meaningful engagement with texts.</w:t>
      </w:r>
    </w:p>
    <w:p w14:paraId="6D2FADAF" w14:textId="77777777" w:rsidR="0036010B" w:rsidRDefault="0036010B">
      <w:pPr>
        <w:jc w:val="both"/>
        <w:rPr>
          <w:rFonts w:ascii="Arial" w:hAnsi="Arial" w:cs="Arial"/>
          <w:szCs w:val="24"/>
          <w:lang w:val="en-PH" w:eastAsia="ko-KR"/>
        </w:rPr>
      </w:pPr>
    </w:p>
    <w:p w14:paraId="592710D4" w14:textId="77777777" w:rsidR="0036010B" w:rsidRDefault="00877B91">
      <w:pPr>
        <w:jc w:val="both"/>
        <w:rPr>
          <w:rFonts w:ascii="Arial" w:hAnsi="Arial" w:cs="Arial"/>
          <w:szCs w:val="24"/>
          <w:lang w:val="en-PH" w:eastAsia="ko-KR"/>
        </w:rPr>
      </w:pPr>
      <w:r>
        <w:rPr>
          <w:rFonts w:ascii="Arial" w:hAnsi="Arial" w:cs="Arial"/>
          <w:szCs w:val="24"/>
          <w:lang w:val="en-PH" w:eastAsia="ko-KR"/>
        </w:rPr>
        <w:t xml:space="preserve"> An informal interview with a Grade 5 teacher at Catigbian Elementary School revealed substantial challenges faced by </w:t>
      </w:r>
      <w:r>
        <w:rPr>
          <w:rFonts w:ascii="Arial" w:hAnsi="Arial" w:cs="Arial"/>
          <w:szCs w:val="24"/>
          <w:lang w:val="en-PH" w:eastAsia="ko-KR"/>
        </w:rPr>
        <w:t xml:space="preserve">students in reading comprehension. Based on Phil-IRI assessments, 19 students were at the "Frustration" level, struggling significantly with texts, </w:t>
      </w:r>
      <w:r>
        <w:rPr>
          <w:rFonts w:ascii="Arial" w:hAnsi="Arial" w:cs="Arial"/>
          <w:szCs w:val="24"/>
          <w:lang w:val="en-PH" w:eastAsia="ko-KR"/>
        </w:rPr>
        <w:lastRenderedPageBreak/>
        <w:t>while 9 students were at the "Instructional" level, showing moderate comprehension abilities. On the other h</w:t>
      </w:r>
      <w:r>
        <w:rPr>
          <w:rFonts w:ascii="Arial" w:hAnsi="Arial" w:cs="Arial"/>
          <w:szCs w:val="24"/>
          <w:lang w:val="en-PH" w:eastAsia="ko-KR"/>
        </w:rPr>
        <w:t>and, only 2 students were identified as "Independent readers", demonstrating proficiency in understanding texts. Several factors contributed to these difficulties, including limited vocabulary, poor retention, difficulty concentrating, and lack of foundati</w:t>
      </w:r>
      <w:r>
        <w:rPr>
          <w:rFonts w:ascii="Arial" w:hAnsi="Arial" w:cs="Arial"/>
          <w:szCs w:val="24"/>
          <w:lang w:val="en-PH" w:eastAsia="ko-KR"/>
        </w:rPr>
        <w:t>onal reading skills. Additionally, the pupils communicated primarily in their Mother Tongue, Tagalog, and English, but the lack of books and learning materials further hindered their literacy development. This issue was reflected in the school’s Mean Perce</w:t>
      </w:r>
      <w:r>
        <w:rPr>
          <w:rFonts w:ascii="Arial" w:hAnsi="Arial" w:cs="Arial"/>
          <w:szCs w:val="24"/>
          <w:lang w:val="en-PH" w:eastAsia="ko-KR"/>
        </w:rPr>
        <w:t xml:space="preserve">ntage Score (MPS) in </w:t>
      </w:r>
    </w:p>
    <w:p w14:paraId="4ABD7167" w14:textId="77777777" w:rsidR="0036010B" w:rsidRDefault="00877B91">
      <w:pPr>
        <w:jc w:val="both"/>
        <w:rPr>
          <w:rFonts w:ascii="Arial" w:hAnsi="Arial" w:cs="Arial"/>
          <w:szCs w:val="24"/>
          <w:lang w:val="en-PH" w:eastAsia="ko-KR"/>
        </w:rPr>
      </w:pPr>
      <w:r>
        <w:rPr>
          <w:rFonts w:ascii="Arial" w:hAnsi="Arial" w:cs="Arial"/>
          <w:szCs w:val="24"/>
          <w:lang w:val="en-PH" w:eastAsia="ko-KR"/>
        </w:rPr>
        <w:t>English, which was 62.27% in the 1st Quarter and 69.81% in the 2nd Quarter, highlighting persistent reading comprehension struggles among learners. 8 Given these findings, this study emphasizes the potential of Think-Pair-Share as a v</w:t>
      </w:r>
      <w:r>
        <w:rPr>
          <w:rFonts w:ascii="Arial" w:hAnsi="Arial" w:cs="Arial"/>
          <w:szCs w:val="24"/>
          <w:lang w:val="en-PH" w:eastAsia="ko-KR"/>
        </w:rPr>
        <w:t>aluable instructional approach for improving literacy outcomes. Through structured peer collaboration, guided discussions, and active engagement, Think-Pair-Share encourages students to develop comprehension skills while fostering confidence, analytical th</w:t>
      </w:r>
      <w:r>
        <w:rPr>
          <w:rFonts w:ascii="Arial" w:hAnsi="Arial" w:cs="Arial"/>
          <w:szCs w:val="24"/>
          <w:lang w:val="en-PH" w:eastAsia="ko-KR"/>
        </w:rPr>
        <w:t>inking, and cooperative learning. By integrating this method into regular classroom instruction, educators can promote a more inclusive, interactive, and student-centered learning environment, benefiting students of varying reading levels.</w:t>
      </w:r>
    </w:p>
    <w:p w14:paraId="60B454D5" w14:textId="77777777" w:rsidR="0036010B" w:rsidRDefault="0036010B">
      <w:pPr>
        <w:jc w:val="both"/>
        <w:rPr>
          <w:rFonts w:ascii="Arial" w:hAnsi="Arial" w:cs="Arial"/>
          <w:szCs w:val="24"/>
          <w:lang w:val="en-PH" w:eastAsia="ko-KR"/>
        </w:rPr>
      </w:pPr>
    </w:p>
    <w:p w14:paraId="0127561C" w14:textId="77777777" w:rsidR="0036010B" w:rsidRDefault="0036010B">
      <w:pPr>
        <w:jc w:val="both"/>
        <w:rPr>
          <w:rFonts w:ascii="Arial" w:hAnsi="Arial" w:cs="Arial"/>
          <w:szCs w:val="24"/>
          <w:lang w:val="en-PH" w:eastAsia="ko-KR"/>
        </w:rPr>
      </w:pPr>
    </w:p>
    <w:p w14:paraId="5D1F24C5" w14:textId="77777777" w:rsidR="0036010B" w:rsidRDefault="00877B91">
      <w:pPr>
        <w:jc w:val="both"/>
        <w:rPr>
          <w:rFonts w:ascii="Arial" w:hAnsi="Arial" w:cs="Arial"/>
          <w:szCs w:val="24"/>
          <w:lang w:val="en-PH" w:eastAsia="ko-KR"/>
        </w:rPr>
      </w:pPr>
      <w:r>
        <w:rPr>
          <w:rFonts w:ascii="Arial" w:hAnsi="Arial" w:cs="Arial"/>
          <w:szCs w:val="24"/>
          <w:lang w:val="en-PH" w:eastAsia="ko-KR"/>
        </w:rPr>
        <w:t xml:space="preserve"> Ultimately, t</w:t>
      </w:r>
      <w:r>
        <w:rPr>
          <w:rFonts w:ascii="Arial" w:hAnsi="Arial" w:cs="Arial"/>
          <w:szCs w:val="24"/>
          <w:lang w:val="en-PH" w:eastAsia="ko-KR"/>
        </w:rPr>
        <w:t>he results of this research may provide valuable insights for educators, curriculum developers, and policymakers, guiding future literacy programs aimed at improving reading comprehension in elementary education. Additionally, continued efforts should be m</w:t>
      </w:r>
      <w:r>
        <w:rPr>
          <w:rFonts w:ascii="Arial" w:hAnsi="Arial" w:cs="Arial"/>
          <w:szCs w:val="24"/>
          <w:lang w:val="en-PH" w:eastAsia="ko-KR"/>
        </w:rPr>
        <w:t>ade to explore long-term impacts, adaptations, and applications of Think-Pair-Share in diverse learning environments, as doing so can further validate its effectiveness in literacy instruction. Through the integration of innovative strategies and purposefu</w:t>
      </w:r>
      <w:r>
        <w:rPr>
          <w:rFonts w:ascii="Arial" w:hAnsi="Arial" w:cs="Arial"/>
          <w:szCs w:val="24"/>
          <w:lang w:val="en-PH" w:eastAsia="ko-KR"/>
        </w:rPr>
        <w:t xml:space="preserve">l interventions, schools can enhance students' reading comprehension and equip them with essential literacy skills necessary for academic and lifelong success. </w:t>
      </w:r>
    </w:p>
    <w:p w14:paraId="0ED2870B" w14:textId="77777777" w:rsidR="0036010B" w:rsidRDefault="0036010B">
      <w:pPr>
        <w:jc w:val="both"/>
        <w:rPr>
          <w:rFonts w:ascii="Arial" w:hAnsi="Arial" w:cs="Arial"/>
          <w:szCs w:val="24"/>
          <w:lang w:val="en-PH" w:eastAsia="ko-KR"/>
        </w:rPr>
      </w:pPr>
    </w:p>
    <w:p w14:paraId="3D935809" w14:textId="77777777" w:rsidR="0036010B" w:rsidRDefault="00877B91">
      <w:pPr>
        <w:jc w:val="both"/>
        <w:rPr>
          <w:rFonts w:ascii="Arial" w:hAnsi="Arial" w:cs="Arial"/>
          <w:szCs w:val="24"/>
          <w:lang w:val="en-PH" w:eastAsia="ko-KR"/>
        </w:rPr>
      </w:pPr>
      <w:r>
        <w:rPr>
          <w:rFonts w:ascii="Arial" w:hAnsi="Arial" w:cs="Arial"/>
          <w:szCs w:val="24"/>
          <w:lang w:val="en-PH" w:eastAsia="ko-KR"/>
        </w:rPr>
        <w:t>Based on the findings of this study, the Think-Pair-Share (T-P-S) strategy has proven to be an</w:t>
      </w:r>
      <w:r>
        <w:rPr>
          <w:rFonts w:ascii="Arial" w:hAnsi="Arial" w:cs="Arial"/>
          <w:szCs w:val="24"/>
          <w:lang w:val="en-PH" w:eastAsia="ko-KR"/>
        </w:rPr>
        <w:t xml:space="preserve"> effective intervention in enhancing pupils' reading comprehension skills. The comparative analysis of pre-test and post-test results demonstrated significant improvement in comprehension levels, indicating the positive impact of peer-based learning and st</w:t>
      </w:r>
      <w:r>
        <w:rPr>
          <w:rFonts w:ascii="Arial" w:hAnsi="Arial" w:cs="Arial"/>
          <w:szCs w:val="24"/>
          <w:lang w:val="en-PH" w:eastAsia="ko-KR"/>
        </w:rPr>
        <w:t xml:space="preserve">ructured </w:t>
      </w:r>
    </w:p>
    <w:p w14:paraId="58A51D19" w14:textId="77777777" w:rsidR="0036010B" w:rsidRDefault="00877B91">
      <w:pPr>
        <w:jc w:val="both"/>
        <w:rPr>
          <w:rFonts w:ascii="Arial" w:hAnsi="Arial" w:cs="Arial"/>
          <w:szCs w:val="24"/>
          <w:lang w:val="en-PH" w:eastAsia="ko-KR"/>
        </w:rPr>
      </w:pPr>
      <w:r>
        <w:rPr>
          <w:rFonts w:ascii="Arial" w:hAnsi="Arial" w:cs="Arial"/>
          <w:szCs w:val="24"/>
          <w:lang w:val="en-PH" w:eastAsia="ko-KR"/>
        </w:rPr>
        <w:t>discussions. By providing pupils with opportunities to think independently, collaborate with their peers, and articulate their insights, T-P-S fosters deeper 9 engagement and critical thinking, ultimately contributing to literacy development. Wit</w:t>
      </w:r>
      <w:r>
        <w:rPr>
          <w:rFonts w:ascii="Arial" w:hAnsi="Arial" w:cs="Arial"/>
          <w:szCs w:val="24"/>
          <w:lang w:val="en-PH" w:eastAsia="ko-KR"/>
        </w:rPr>
        <w:t>h these, integrating Think-Pair-Share into regular instructional practices can help educators create a more interactive and student-centered learning environment, supporting learners with diverse literacy needs.</w:t>
      </w:r>
    </w:p>
    <w:p w14:paraId="515A1B07" w14:textId="77777777" w:rsidR="0036010B" w:rsidRDefault="0036010B">
      <w:pPr>
        <w:jc w:val="both"/>
        <w:rPr>
          <w:rFonts w:ascii="Arial" w:hAnsi="Arial" w:cs="Arial"/>
          <w:b/>
          <w:szCs w:val="24"/>
        </w:rPr>
      </w:pPr>
    </w:p>
    <w:p w14:paraId="08CBB84F" w14:textId="77777777" w:rsidR="0036010B" w:rsidRDefault="0036010B">
      <w:pPr>
        <w:jc w:val="both"/>
        <w:rPr>
          <w:rFonts w:ascii="Arial" w:hAnsi="Arial" w:cs="Arial"/>
          <w:b/>
          <w:szCs w:val="24"/>
        </w:rPr>
      </w:pPr>
    </w:p>
    <w:p w14:paraId="0A6A5D3C" w14:textId="77777777" w:rsidR="0036010B" w:rsidRDefault="00877B91">
      <w:pPr>
        <w:jc w:val="both"/>
        <w:rPr>
          <w:rFonts w:ascii="Arial" w:hAnsi="Arial" w:cs="Arial"/>
          <w:b/>
          <w:sz w:val="24"/>
          <w:szCs w:val="24"/>
        </w:rPr>
      </w:pPr>
      <w:r>
        <w:rPr>
          <w:rFonts w:ascii="Arial" w:hAnsi="Arial" w:cs="Arial"/>
          <w:b/>
          <w:szCs w:val="24"/>
        </w:rPr>
        <w:t>Objectives</w:t>
      </w:r>
    </w:p>
    <w:p w14:paraId="2D87728E" w14:textId="77777777" w:rsidR="0036010B" w:rsidRDefault="0036010B">
      <w:pPr>
        <w:ind w:left="31" w:firstLine="689"/>
        <w:jc w:val="both"/>
        <w:rPr>
          <w:rFonts w:ascii="Arial" w:hAnsi="Arial" w:cs="Arial"/>
          <w:b/>
          <w:sz w:val="24"/>
          <w:szCs w:val="24"/>
        </w:rPr>
      </w:pPr>
    </w:p>
    <w:p w14:paraId="40428E6C" w14:textId="77777777" w:rsidR="0036010B" w:rsidRDefault="00877B91">
      <w:pPr>
        <w:ind w:left="31" w:firstLine="689"/>
        <w:jc w:val="both"/>
        <w:rPr>
          <w:rFonts w:ascii="Arial" w:eastAsia="Calibri" w:hAnsi="Arial" w:cs="Arial"/>
          <w:szCs w:val="24"/>
        </w:rPr>
      </w:pPr>
      <w:r>
        <w:rPr>
          <w:rFonts w:ascii="Arial" w:eastAsia="Calibri" w:hAnsi="Arial" w:cs="Arial"/>
          <w:szCs w:val="24"/>
        </w:rPr>
        <w:t>This study aims to determine t</w:t>
      </w:r>
      <w:r>
        <w:rPr>
          <w:rFonts w:ascii="Arial" w:eastAsia="Calibri" w:hAnsi="Arial" w:cs="Arial"/>
          <w:szCs w:val="24"/>
        </w:rPr>
        <w:t>he level of reading comprehension of grade 5 pupils in Catigbian Elementary School during the school year 2024-2025.</w:t>
      </w:r>
    </w:p>
    <w:p w14:paraId="545EA118" w14:textId="77777777" w:rsidR="0036010B" w:rsidRDefault="0036010B">
      <w:pPr>
        <w:ind w:left="31" w:firstLine="689"/>
        <w:jc w:val="both"/>
        <w:rPr>
          <w:rFonts w:ascii="Arial" w:hAnsi="Arial" w:cs="Arial"/>
          <w:sz w:val="22"/>
          <w:szCs w:val="24"/>
        </w:rPr>
      </w:pPr>
    </w:p>
    <w:p w14:paraId="4D570A15" w14:textId="77777777" w:rsidR="0036010B" w:rsidRDefault="00877B91">
      <w:pPr>
        <w:jc w:val="both"/>
        <w:rPr>
          <w:rFonts w:ascii="Arial" w:eastAsia="Calibri" w:hAnsi="Arial" w:cs="Arial"/>
        </w:rPr>
      </w:pPr>
      <w:r>
        <w:rPr>
          <w:rFonts w:ascii="Arial" w:eastAsia="Calibri" w:hAnsi="Arial" w:cs="Arial"/>
        </w:rPr>
        <w:t xml:space="preserve">Specifically, it aimed to: </w:t>
      </w:r>
    </w:p>
    <w:p w14:paraId="1F2AA4D8" w14:textId="77777777" w:rsidR="0036010B" w:rsidRDefault="0036010B">
      <w:pPr>
        <w:jc w:val="both"/>
        <w:rPr>
          <w:rFonts w:ascii="Arial" w:hAnsi="Arial" w:cs="Arial"/>
        </w:rPr>
      </w:pPr>
    </w:p>
    <w:p w14:paraId="4202A472" w14:textId="77777777" w:rsidR="0036010B" w:rsidRDefault="00877B91">
      <w:pPr>
        <w:ind w:left="456" w:hanging="456"/>
        <w:jc w:val="both"/>
        <w:rPr>
          <w:rFonts w:ascii="Arial" w:eastAsia="Calibri" w:hAnsi="Arial" w:cs="Arial"/>
        </w:rPr>
      </w:pPr>
      <w:r>
        <w:rPr>
          <w:rFonts w:ascii="Arial" w:eastAsia="Calibri" w:hAnsi="Arial" w:cs="Arial"/>
        </w:rPr>
        <w:t xml:space="preserve"> 1. Determine the pre-test results of the participants in reading comprehension</w:t>
      </w:r>
    </w:p>
    <w:p w14:paraId="7A6B892B" w14:textId="77777777" w:rsidR="0036010B" w:rsidRDefault="00877B91">
      <w:pPr>
        <w:ind w:left="456" w:hanging="456"/>
        <w:jc w:val="both"/>
        <w:rPr>
          <w:rFonts w:ascii="Arial" w:hAnsi="Arial" w:cs="Arial"/>
        </w:rPr>
      </w:pPr>
      <w:r>
        <w:rPr>
          <w:rFonts w:ascii="Arial" w:eastAsia="Calibri" w:hAnsi="Arial" w:cs="Arial"/>
        </w:rPr>
        <w:t xml:space="preserve"> 2. Determine the post-test results of the participants in reading comprehension</w:t>
      </w:r>
    </w:p>
    <w:p w14:paraId="0A7A3C12" w14:textId="77777777" w:rsidR="0036010B" w:rsidRDefault="00877B91">
      <w:pPr>
        <w:ind w:left="456" w:hanging="456"/>
        <w:jc w:val="both"/>
        <w:rPr>
          <w:rFonts w:ascii="Arial" w:hAnsi="Arial" w:cs="Arial"/>
          <w:b/>
          <w:szCs w:val="24"/>
        </w:rPr>
      </w:pPr>
      <w:r>
        <w:rPr>
          <w:rFonts w:ascii="Arial" w:eastAsia="Calibri" w:hAnsi="Arial" w:cs="Arial"/>
        </w:rPr>
        <w:t xml:space="preserve"> 3. To find out if there is a significant difference between the pre-test and post-test results of the participants in reading comprehension.</w:t>
      </w:r>
    </w:p>
    <w:p w14:paraId="0E5F455A" w14:textId="77777777" w:rsidR="0036010B" w:rsidRDefault="0036010B">
      <w:pPr>
        <w:jc w:val="both"/>
        <w:rPr>
          <w:rFonts w:ascii="Arial" w:hAnsi="Arial" w:cs="Arial"/>
          <w:b/>
          <w:szCs w:val="24"/>
        </w:rPr>
      </w:pPr>
    </w:p>
    <w:p w14:paraId="77F433C1" w14:textId="77777777" w:rsidR="0036010B" w:rsidRDefault="0036010B">
      <w:pPr>
        <w:pStyle w:val="Body"/>
        <w:spacing w:after="0"/>
        <w:rPr>
          <w:rFonts w:ascii="Arial" w:hAnsi="Arial" w:cs="Arial"/>
          <w:szCs w:val="24"/>
        </w:rPr>
      </w:pPr>
    </w:p>
    <w:p w14:paraId="6E727DCE" w14:textId="77777777" w:rsidR="0036010B" w:rsidRDefault="00877B91">
      <w:pPr>
        <w:pStyle w:val="AbstHead"/>
        <w:spacing w:after="0"/>
        <w:jc w:val="both"/>
        <w:rPr>
          <w:rFonts w:ascii="Arial" w:hAnsi="Arial" w:cs="Arial"/>
          <w:szCs w:val="24"/>
        </w:rPr>
      </w:pPr>
      <w:r>
        <w:rPr>
          <w:rFonts w:ascii="Arial" w:hAnsi="Arial" w:cs="Arial"/>
          <w:szCs w:val="24"/>
        </w:rPr>
        <w:lastRenderedPageBreak/>
        <w:t xml:space="preserve">2. methodology </w:t>
      </w:r>
    </w:p>
    <w:p w14:paraId="39512A11" w14:textId="77777777" w:rsidR="0036010B" w:rsidRDefault="0036010B">
      <w:pPr>
        <w:pStyle w:val="AbstHead"/>
        <w:spacing w:after="0"/>
        <w:jc w:val="both"/>
        <w:rPr>
          <w:rFonts w:ascii="Arial" w:hAnsi="Arial" w:cs="Arial"/>
          <w:sz w:val="20"/>
          <w:szCs w:val="24"/>
        </w:rPr>
      </w:pPr>
    </w:p>
    <w:p w14:paraId="79C7AD1B" w14:textId="77777777" w:rsidR="0036010B" w:rsidRDefault="00877B91">
      <w:pPr>
        <w:pStyle w:val="ListParagraph"/>
        <w:spacing w:after="0" w:line="240" w:lineRule="auto"/>
        <w:ind w:left="0"/>
        <w:jc w:val="both"/>
        <w:rPr>
          <w:rFonts w:ascii="Arial" w:hAnsi="Arial" w:cs="Arial"/>
          <w:b/>
          <w:sz w:val="20"/>
          <w:szCs w:val="24"/>
        </w:rPr>
      </w:pPr>
      <w:r>
        <w:rPr>
          <w:rFonts w:ascii="Arial" w:hAnsi="Arial" w:cs="Arial"/>
          <w:b/>
          <w:sz w:val="20"/>
          <w:szCs w:val="24"/>
        </w:rPr>
        <w:t>1. Research De</w:t>
      </w:r>
      <w:r>
        <w:rPr>
          <w:rFonts w:ascii="Arial" w:hAnsi="Arial" w:cs="Arial"/>
          <w:b/>
          <w:sz w:val="20"/>
          <w:szCs w:val="24"/>
        </w:rPr>
        <w:t xml:space="preserve">sign </w:t>
      </w:r>
    </w:p>
    <w:p w14:paraId="7C48EA54" w14:textId="77777777" w:rsidR="0036010B" w:rsidRDefault="00877B91">
      <w:pPr>
        <w:pStyle w:val="ListParagraph"/>
        <w:spacing w:after="0" w:line="240" w:lineRule="auto"/>
        <w:ind w:left="0" w:firstLine="720"/>
        <w:jc w:val="both"/>
        <w:rPr>
          <w:rFonts w:ascii="Arial" w:hAnsi="Arial" w:cs="Arial"/>
          <w:sz w:val="20"/>
          <w:szCs w:val="24"/>
        </w:rPr>
      </w:pPr>
      <w:r>
        <w:rPr>
          <w:rFonts w:ascii="Arial" w:hAnsi="Arial" w:cs="Arial"/>
          <w:sz w:val="20"/>
          <w:szCs w:val="24"/>
        </w:rPr>
        <w:t xml:space="preserve">This study employed an experimental action research design to assess the effectiveness of the Think-Pair-Share (T-P-S) strategy in improving reading comprehension among elementary students. </w:t>
      </w:r>
    </w:p>
    <w:p w14:paraId="14528CBB" w14:textId="77777777" w:rsidR="0036010B" w:rsidRDefault="0036010B">
      <w:pPr>
        <w:pStyle w:val="ListParagraph"/>
        <w:spacing w:after="0" w:line="240" w:lineRule="auto"/>
        <w:ind w:left="0" w:firstLine="720"/>
        <w:jc w:val="both"/>
        <w:rPr>
          <w:rFonts w:ascii="Arial" w:hAnsi="Arial" w:cs="Arial"/>
          <w:sz w:val="20"/>
          <w:szCs w:val="24"/>
        </w:rPr>
      </w:pPr>
    </w:p>
    <w:p w14:paraId="3DEDB148" w14:textId="77777777" w:rsidR="0036010B" w:rsidRDefault="00877B91">
      <w:pPr>
        <w:pStyle w:val="ListParagraph"/>
        <w:spacing w:after="0" w:line="240" w:lineRule="auto"/>
        <w:ind w:left="0"/>
        <w:jc w:val="both"/>
        <w:rPr>
          <w:rFonts w:ascii="Arial" w:hAnsi="Arial" w:cs="Arial"/>
          <w:b/>
          <w:sz w:val="20"/>
          <w:szCs w:val="24"/>
        </w:rPr>
      </w:pPr>
      <w:r>
        <w:rPr>
          <w:rFonts w:ascii="Arial" w:hAnsi="Arial" w:cs="Arial"/>
          <w:b/>
          <w:sz w:val="20"/>
          <w:szCs w:val="24"/>
        </w:rPr>
        <w:t xml:space="preserve">2. Respondents </w:t>
      </w:r>
    </w:p>
    <w:p w14:paraId="62B6FEB5" w14:textId="77777777" w:rsidR="0036010B" w:rsidRDefault="00877B91">
      <w:pPr>
        <w:pStyle w:val="ListParagraph"/>
        <w:spacing w:after="0" w:line="240" w:lineRule="auto"/>
        <w:ind w:left="0" w:firstLine="720"/>
        <w:jc w:val="both"/>
        <w:rPr>
          <w:rFonts w:ascii="Arial" w:hAnsi="Arial" w:cs="Arial"/>
          <w:sz w:val="20"/>
          <w:szCs w:val="24"/>
        </w:rPr>
      </w:pPr>
      <w:r>
        <w:rPr>
          <w:rFonts w:ascii="Arial" w:hAnsi="Arial" w:cs="Arial"/>
          <w:sz w:val="20"/>
          <w:szCs w:val="24"/>
        </w:rPr>
        <w:t>The respondents of the study were composed</w:t>
      </w:r>
      <w:r>
        <w:rPr>
          <w:rFonts w:ascii="Arial" w:hAnsi="Arial" w:cs="Arial"/>
          <w:sz w:val="20"/>
          <w:szCs w:val="24"/>
        </w:rPr>
        <w:t xml:space="preserve"> of thirty (30) grade 5 </w:t>
      </w:r>
      <w:proofErr w:type="gramStart"/>
      <w:r>
        <w:rPr>
          <w:rFonts w:ascii="Arial" w:hAnsi="Arial" w:cs="Arial"/>
          <w:sz w:val="20"/>
          <w:szCs w:val="24"/>
        </w:rPr>
        <w:t>pupils  who</w:t>
      </w:r>
      <w:proofErr w:type="gramEnd"/>
      <w:r>
        <w:rPr>
          <w:rFonts w:ascii="Arial" w:hAnsi="Arial" w:cs="Arial"/>
          <w:sz w:val="20"/>
          <w:szCs w:val="24"/>
        </w:rPr>
        <w:t xml:space="preserve"> were officially enrolled at Catigbian Elementary School during the School Year 2024-2025.</w:t>
      </w:r>
    </w:p>
    <w:p w14:paraId="215640A5" w14:textId="77777777" w:rsidR="0036010B" w:rsidRDefault="0036010B">
      <w:pPr>
        <w:pStyle w:val="ListParagraph"/>
        <w:spacing w:after="0" w:line="240" w:lineRule="auto"/>
        <w:ind w:left="0" w:firstLine="720"/>
        <w:jc w:val="both"/>
        <w:rPr>
          <w:rFonts w:ascii="Arial" w:hAnsi="Arial" w:cs="Arial"/>
          <w:sz w:val="20"/>
          <w:szCs w:val="24"/>
        </w:rPr>
      </w:pPr>
    </w:p>
    <w:p w14:paraId="04FABA15" w14:textId="77777777" w:rsidR="0036010B" w:rsidRDefault="0036010B">
      <w:pPr>
        <w:pStyle w:val="ListParagraph"/>
        <w:spacing w:after="0" w:line="240" w:lineRule="auto"/>
        <w:ind w:left="0"/>
        <w:jc w:val="both"/>
        <w:rPr>
          <w:rFonts w:ascii="Arial" w:hAnsi="Arial" w:cs="Arial"/>
          <w:b/>
          <w:sz w:val="20"/>
          <w:szCs w:val="24"/>
          <w:lang w:val="en-US"/>
        </w:rPr>
      </w:pPr>
    </w:p>
    <w:p w14:paraId="21C17DB0" w14:textId="77777777" w:rsidR="0036010B" w:rsidRDefault="00877B91">
      <w:pPr>
        <w:pStyle w:val="ListParagraph"/>
        <w:spacing w:after="0" w:line="240" w:lineRule="auto"/>
        <w:ind w:left="0"/>
        <w:jc w:val="both"/>
        <w:rPr>
          <w:rFonts w:ascii="Arial" w:hAnsi="Arial" w:cs="Arial"/>
          <w:b/>
          <w:sz w:val="20"/>
          <w:szCs w:val="24"/>
        </w:rPr>
      </w:pPr>
      <w:r>
        <w:rPr>
          <w:rFonts w:ascii="Arial" w:hAnsi="Arial" w:cs="Arial"/>
          <w:b/>
          <w:sz w:val="20"/>
          <w:szCs w:val="24"/>
        </w:rPr>
        <w:t>3. Sampling Technique</w:t>
      </w:r>
    </w:p>
    <w:p w14:paraId="16FF9C69" w14:textId="77777777" w:rsidR="0036010B" w:rsidRDefault="00877B91">
      <w:pPr>
        <w:pStyle w:val="ListParagraph"/>
        <w:spacing w:after="0" w:line="240" w:lineRule="auto"/>
        <w:ind w:left="0" w:firstLine="720"/>
        <w:jc w:val="both"/>
        <w:rPr>
          <w:rFonts w:ascii="Arial" w:hAnsi="Arial" w:cs="Arial"/>
          <w:sz w:val="20"/>
          <w:szCs w:val="24"/>
        </w:rPr>
      </w:pPr>
      <w:r>
        <w:rPr>
          <w:rFonts w:ascii="Arial" w:hAnsi="Arial" w:cs="Arial"/>
          <w:sz w:val="20"/>
          <w:szCs w:val="24"/>
        </w:rPr>
        <w:t>The study used pre-test, post-test, and think-pair-share strategy, meaning all available and willing parti</w:t>
      </w:r>
      <w:r>
        <w:rPr>
          <w:rFonts w:ascii="Arial" w:hAnsi="Arial" w:cs="Arial"/>
          <w:sz w:val="20"/>
          <w:szCs w:val="24"/>
        </w:rPr>
        <w:t>cipants from the defined group were included.</w:t>
      </w:r>
    </w:p>
    <w:p w14:paraId="672028F5" w14:textId="77777777" w:rsidR="0036010B" w:rsidRDefault="0036010B">
      <w:pPr>
        <w:jc w:val="both"/>
        <w:rPr>
          <w:rFonts w:ascii="Arial" w:hAnsi="Arial" w:cs="Arial"/>
          <w:b/>
          <w:szCs w:val="24"/>
        </w:rPr>
      </w:pPr>
    </w:p>
    <w:p w14:paraId="57D01D6A" w14:textId="77777777" w:rsidR="0036010B" w:rsidRDefault="00877B91">
      <w:pPr>
        <w:pStyle w:val="ListParagraph"/>
        <w:spacing w:after="0" w:line="240" w:lineRule="auto"/>
        <w:ind w:left="0"/>
        <w:jc w:val="both"/>
        <w:rPr>
          <w:rFonts w:ascii="Arial" w:hAnsi="Arial" w:cs="Arial"/>
          <w:b/>
          <w:sz w:val="20"/>
          <w:szCs w:val="24"/>
        </w:rPr>
      </w:pPr>
      <w:r>
        <w:rPr>
          <w:rFonts w:ascii="Arial" w:hAnsi="Arial" w:cs="Arial"/>
          <w:b/>
          <w:sz w:val="20"/>
          <w:szCs w:val="24"/>
        </w:rPr>
        <w:t xml:space="preserve">4. Research Instruments </w:t>
      </w:r>
    </w:p>
    <w:p w14:paraId="66054040" w14:textId="77777777" w:rsidR="0036010B" w:rsidRDefault="00877B91">
      <w:pPr>
        <w:pStyle w:val="ListParagraph"/>
        <w:spacing w:after="0" w:line="240" w:lineRule="auto"/>
        <w:ind w:left="0" w:firstLine="720"/>
        <w:jc w:val="both"/>
        <w:rPr>
          <w:rFonts w:ascii="Arial" w:hAnsi="Arial" w:cs="Arial"/>
          <w:b/>
          <w:sz w:val="20"/>
          <w:szCs w:val="24"/>
        </w:rPr>
      </w:pPr>
      <w:r>
        <w:rPr>
          <w:rFonts w:ascii="Arial" w:hAnsi="Arial" w:cs="Arial"/>
          <w:sz w:val="20"/>
          <w:szCs w:val="24"/>
        </w:rPr>
        <w:t xml:space="preserve"> The researcher-made instrument was validated to ensure clarity, relevance, and reliability. Experts reviewed the items to confirm that they accurately reflected the concepts being stu</w:t>
      </w:r>
      <w:r>
        <w:rPr>
          <w:rFonts w:ascii="Arial" w:hAnsi="Arial" w:cs="Arial"/>
          <w:sz w:val="20"/>
          <w:szCs w:val="24"/>
        </w:rPr>
        <w:t>died and suggested necessary improvements.</w:t>
      </w:r>
    </w:p>
    <w:p w14:paraId="727EC1CC" w14:textId="77777777" w:rsidR="0036010B" w:rsidRDefault="0036010B">
      <w:pPr>
        <w:jc w:val="both"/>
        <w:rPr>
          <w:rFonts w:ascii="Arial" w:hAnsi="Arial" w:cs="Arial"/>
          <w:color w:val="FF0000"/>
          <w:szCs w:val="24"/>
        </w:rPr>
      </w:pPr>
    </w:p>
    <w:p w14:paraId="03DD9431" w14:textId="77777777" w:rsidR="0036010B" w:rsidRDefault="00877B91">
      <w:pPr>
        <w:pStyle w:val="ListParagraph"/>
        <w:spacing w:after="0" w:line="240" w:lineRule="auto"/>
        <w:ind w:left="0"/>
        <w:jc w:val="both"/>
        <w:rPr>
          <w:rFonts w:ascii="Arial" w:hAnsi="Arial" w:cs="Arial"/>
          <w:b/>
          <w:sz w:val="20"/>
          <w:szCs w:val="24"/>
        </w:rPr>
      </w:pPr>
      <w:r>
        <w:rPr>
          <w:rFonts w:ascii="Arial" w:hAnsi="Arial" w:cs="Arial"/>
          <w:b/>
          <w:sz w:val="20"/>
          <w:szCs w:val="24"/>
        </w:rPr>
        <w:t xml:space="preserve">5. Data Analysis </w:t>
      </w:r>
    </w:p>
    <w:p w14:paraId="668AD0A0" w14:textId="77777777" w:rsidR="0036010B" w:rsidRDefault="00877B91">
      <w:pPr>
        <w:pStyle w:val="ListParagraph"/>
        <w:spacing w:after="0" w:line="240" w:lineRule="auto"/>
        <w:ind w:left="0" w:firstLine="720"/>
        <w:jc w:val="both"/>
        <w:rPr>
          <w:rFonts w:ascii="Arial" w:hAnsi="Arial" w:cs="Arial"/>
          <w:sz w:val="20"/>
        </w:rPr>
      </w:pPr>
      <w:r>
        <w:rPr>
          <w:rFonts w:ascii="Arial" w:hAnsi="Arial" w:cs="Arial"/>
          <w:sz w:val="20"/>
        </w:rPr>
        <w:t>The statistical tools used in the study included frequency counts, percentages, and weighted mean. These methods were employed to analyze and interpret the gathered data effectively.</w:t>
      </w:r>
    </w:p>
    <w:p w14:paraId="76726622" w14:textId="77777777" w:rsidR="0036010B" w:rsidRDefault="0036010B">
      <w:pPr>
        <w:pStyle w:val="ListParagraph"/>
        <w:spacing w:after="0" w:line="240" w:lineRule="auto"/>
        <w:ind w:left="0" w:firstLine="720"/>
        <w:jc w:val="both"/>
        <w:rPr>
          <w:rFonts w:ascii="Arial" w:hAnsi="Arial" w:cs="Arial"/>
          <w:sz w:val="20"/>
        </w:rPr>
      </w:pPr>
    </w:p>
    <w:p w14:paraId="1DC528A7" w14:textId="77777777" w:rsidR="0036010B" w:rsidRDefault="0036010B">
      <w:pPr>
        <w:pStyle w:val="ListParagraph"/>
        <w:spacing w:after="0" w:line="240" w:lineRule="auto"/>
        <w:ind w:left="0" w:firstLine="720"/>
        <w:jc w:val="both"/>
        <w:rPr>
          <w:rFonts w:ascii="Arial" w:hAnsi="Arial" w:cs="Arial"/>
          <w:sz w:val="20"/>
        </w:rPr>
      </w:pPr>
    </w:p>
    <w:p w14:paraId="2FB563B7" w14:textId="77777777" w:rsidR="0036010B" w:rsidRDefault="00877B91">
      <w:pPr>
        <w:pStyle w:val="Head1"/>
        <w:spacing w:after="0"/>
        <w:jc w:val="both"/>
        <w:rPr>
          <w:rFonts w:ascii="Arial" w:hAnsi="Arial" w:cs="Arial"/>
        </w:rPr>
      </w:pPr>
      <w:r>
        <w:rPr>
          <w:rFonts w:ascii="Arial" w:hAnsi="Arial" w:cs="Arial"/>
        </w:rPr>
        <w:t xml:space="preserve">3. </w:t>
      </w:r>
      <w:r>
        <w:rPr>
          <w:rFonts w:ascii="Arial" w:hAnsi="Arial" w:cs="Arial"/>
        </w:rPr>
        <w:t>results and discussion</w:t>
      </w:r>
    </w:p>
    <w:p w14:paraId="5CBF1D2D" w14:textId="77777777" w:rsidR="0036010B" w:rsidRDefault="00877B91">
      <w:pPr>
        <w:suppressAutoHyphens w:val="0"/>
        <w:spacing w:before="100" w:beforeAutospacing="1" w:after="100" w:afterAutospacing="1"/>
        <w:jc w:val="both"/>
        <w:rPr>
          <w:rFonts w:ascii="Arial" w:hAnsi="Arial" w:cs="Arial"/>
          <w:szCs w:val="24"/>
          <w:lang w:val="en-PH" w:eastAsia="ko-KR"/>
        </w:rPr>
      </w:pPr>
      <w:r>
        <w:rPr>
          <w:rFonts w:ascii="Arial" w:hAnsi="Arial" w:cs="Arial"/>
          <w:szCs w:val="24"/>
          <w:lang w:val="en-PH" w:eastAsia="ko-KR"/>
        </w:rPr>
        <w:t xml:space="preserve">The findings of this study highlight the initial reading comprehension challenges faced by Grade 5 pupils at Catigbian Elementary School. The pre-test results, shown in Table 1, reveal a mean score of 12.50 with a standard deviation </w:t>
      </w:r>
      <w:r>
        <w:rPr>
          <w:rFonts w:ascii="Arial" w:hAnsi="Arial" w:cs="Arial"/>
          <w:szCs w:val="24"/>
          <w:lang w:val="en-PH" w:eastAsia="ko-KR"/>
        </w:rPr>
        <w:t>of 4.56, indicating a wide range of student performance levels. Specifically, only 6.2% of respondents achieved the highest score of 21, while a considerable proportion scored below the instructional level, suggesting significant difficulties in comprehens</w:t>
      </w:r>
      <w:r>
        <w:rPr>
          <w:rFonts w:ascii="Arial" w:hAnsi="Arial" w:cs="Arial"/>
          <w:szCs w:val="24"/>
          <w:lang w:val="en-PH" w:eastAsia="ko-KR"/>
        </w:rPr>
        <w:t>ion.</w:t>
      </w:r>
    </w:p>
    <w:p w14:paraId="2ACF1BF1" w14:textId="77777777" w:rsidR="0036010B" w:rsidRDefault="00877B91">
      <w:pPr>
        <w:pStyle w:val="NormalWeb"/>
        <w:spacing w:before="280" w:after="280"/>
        <w:jc w:val="both"/>
        <w:rPr>
          <w:rFonts w:ascii="Arial" w:hAnsi="Arial" w:cs="Arial"/>
          <w:sz w:val="20"/>
          <w:lang w:val="en-US" w:eastAsia="ko-KR"/>
        </w:rPr>
      </w:pPr>
      <w:r>
        <w:rPr>
          <w:rFonts w:ascii="Arial" w:hAnsi="Arial" w:cs="Arial"/>
          <w:sz w:val="20"/>
          <w:lang w:val="en-US" w:eastAsia="ko-KR"/>
        </w:rPr>
        <w:t>The distribution of scores shows variability in students' prior knowledge, with the most frequently occurring score being 13, attained by 18.8% of respondents. The presence of scores as low as 4 indicates that certain students struggle with basic comp</w:t>
      </w:r>
      <w:r>
        <w:rPr>
          <w:rFonts w:ascii="Arial" w:hAnsi="Arial" w:cs="Arial"/>
          <w:sz w:val="20"/>
          <w:lang w:val="en-US" w:eastAsia="ko-KR"/>
        </w:rPr>
        <w:t>rehension skills, likely requiring additional reading interventions to improve their literacy development. This disparity in performance suggests that while some students demonstrate fundamental reading abilities, many require targeted support programs, re</w:t>
      </w:r>
      <w:r>
        <w:rPr>
          <w:rFonts w:ascii="Arial" w:hAnsi="Arial" w:cs="Arial"/>
          <w:sz w:val="20"/>
          <w:lang w:val="en-US" w:eastAsia="ko-KR"/>
        </w:rPr>
        <w:t>mediation, and differentiated instruction to enhance their understanding of texts.</w:t>
      </w:r>
    </w:p>
    <w:p w14:paraId="666FC929" w14:textId="77777777" w:rsidR="0036010B" w:rsidRDefault="00877B91">
      <w:pPr>
        <w:pStyle w:val="NormalWeb"/>
        <w:spacing w:before="280" w:after="280"/>
        <w:jc w:val="both"/>
        <w:rPr>
          <w:rFonts w:ascii="Arial" w:hAnsi="Arial" w:cs="Arial"/>
          <w:sz w:val="20"/>
          <w:lang w:val="en-US" w:eastAsia="ko-KR"/>
        </w:rPr>
      </w:pPr>
      <w:r>
        <w:rPr>
          <w:rFonts w:ascii="Arial" w:hAnsi="Arial" w:cs="Arial"/>
          <w:sz w:val="20"/>
          <w:lang w:val="en-US" w:eastAsia="ko-KR"/>
        </w:rPr>
        <w:t>Given these results, it is evident that many pupils fall within the "Frustration" level of reading comprehension, where they struggle to decode and process information effec</w:t>
      </w:r>
      <w:r>
        <w:rPr>
          <w:rFonts w:ascii="Arial" w:hAnsi="Arial" w:cs="Arial"/>
          <w:sz w:val="20"/>
          <w:lang w:val="en-US" w:eastAsia="ko-KR"/>
        </w:rPr>
        <w:t>tively. This finding underscores the urgent need for instructional approaches that enhance cognitive engagement while fostering collaborative learning experiences to bridge literacy gaps. According to Utami &amp; Rusdarti (2021), Think-Pair-Share provides stud</w:t>
      </w:r>
      <w:r>
        <w:rPr>
          <w:rFonts w:ascii="Arial" w:hAnsi="Arial" w:cs="Arial"/>
          <w:sz w:val="20"/>
          <w:lang w:val="en-US" w:eastAsia="ko-KR"/>
        </w:rPr>
        <w:t xml:space="preserve">ents with a structured approach to problem-solving and comprehension, allowing them to work collaboratively, share ideas, and reinforce their understanding through peer discussions. Likewise, Lestari (2022) </w:t>
      </w:r>
      <w:r>
        <w:rPr>
          <w:rFonts w:ascii="Arial" w:hAnsi="Arial" w:cs="Arial"/>
          <w:sz w:val="20"/>
          <w:lang w:val="en-US" w:eastAsia="ko-KR"/>
        </w:rPr>
        <w:lastRenderedPageBreak/>
        <w:t>emphasizes that cooperative learning strategies e</w:t>
      </w:r>
      <w:r>
        <w:rPr>
          <w:rFonts w:ascii="Arial" w:hAnsi="Arial" w:cs="Arial"/>
          <w:sz w:val="20"/>
          <w:lang w:val="en-US" w:eastAsia="ko-KR"/>
        </w:rPr>
        <w:t>mpower students to think critically and articulate responses, making literacy development more dynamic and engaging.</w:t>
      </w:r>
    </w:p>
    <w:p w14:paraId="69851736" w14:textId="77777777" w:rsidR="0036010B" w:rsidRDefault="00877B91">
      <w:pPr>
        <w:pStyle w:val="NormalWeb"/>
        <w:spacing w:before="280" w:after="280"/>
        <w:jc w:val="both"/>
        <w:rPr>
          <w:rFonts w:ascii="Arial" w:hAnsi="Arial" w:cs="Arial"/>
          <w:sz w:val="20"/>
          <w:lang w:val="en-US" w:eastAsia="ko-KR"/>
        </w:rPr>
      </w:pPr>
      <w:r>
        <w:rPr>
          <w:rFonts w:ascii="Arial" w:hAnsi="Arial" w:cs="Arial"/>
          <w:sz w:val="20"/>
          <w:lang w:val="en-US" w:eastAsia="ko-KR"/>
        </w:rPr>
        <w:t>The study's findings emphasize the importance of differentiated teaching strategies in addressing students' reading comprehension gaps. Low</w:t>
      </w:r>
      <w:r>
        <w:rPr>
          <w:rFonts w:ascii="Arial" w:hAnsi="Arial" w:cs="Arial"/>
          <w:sz w:val="20"/>
          <w:lang w:val="en-US" w:eastAsia="ko-KR"/>
        </w:rPr>
        <w:t>-performing pupils may benefit from remedial instruction, personalized tutoring, and scaffolded learning activities to strengthen foundational literacy skills. Meanwhile, higher-performing students require enrichment opportunities, advanced reading assignm</w:t>
      </w:r>
      <w:r>
        <w:rPr>
          <w:rFonts w:ascii="Arial" w:hAnsi="Arial" w:cs="Arial"/>
          <w:sz w:val="20"/>
          <w:lang w:val="en-US" w:eastAsia="ko-KR"/>
        </w:rPr>
        <w:t>ents, and analytical discussions to further develop their comprehension abilities.</w:t>
      </w:r>
    </w:p>
    <w:p w14:paraId="31D87358" w14:textId="77777777" w:rsidR="0036010B" w:rsidRDefault="00877B91">
      <w:pPr>
        <w:pStyle w:val="NormalWeb"/>
        <w:spacing w:before="280" w:after="280"/>
        <w:jc w:val="both"/>
        <w:rPr>
          <w:rFonts w:ascii="Arial" w:hAnsi="Arial" w:cs="Arial"/>
          <w:sz w:val="20"/>
          <w:lang w:val="en-US" w:eastAsia="ko-KR"/>
        </w:rPr>
      </w:pPr>
      <w:r>
        <w:rPr>
          <w:rFonts w:ascii="Arial" w:hAnsi="Arial" w:cs="Arial"/>
          <w:sz w:val="20"/>
          <w:lang w:val="en-US" w:eastAsia="ko-KR"/>
        </w:rPr>
        <w:t>Additionally, implementing Think-Pair-Share as a core instructional strategy can create a supportive learning environment, allowing students to engage with texts more intera</w:t>
      </w:r>
      <w:r>
        <w:rPr>
          <w:rFonts w:ascii="Arial" w:hAnsi="Arial" w:cs="Arial"/>
          <w:sz w:val="20"/>
          <w:lang w:val="en-US" w:eastAsia="ko-KR"/>
        </w:rPr>
        <w:t>ctively and collaboratively. By encouraging peer discussions, guided reading activities, and structured reflections, educators can facilitate active learning experiences that promote text analysis, synthesis, and comprehension retention.</w:t>
      </w:r>
    </w:p>
    <w:p w14:paraId="57CDD30E" w14:textId="77777777" w:rsidR="0036010B" w:rsidRDefault="00877B91">
      <w:pPr>
        <w:pStyle w:val="NormalWeb"/>
        <w:spacing w:before="280" w:after="280"/>
        <w:jc w:val="both"/>
        <w:rPr>
          <w:rFonts w:ascii="Arial" w:hAnsi="Arial" w:cs="Arial"/>
          <w:sz w:val="20"/>
          <w:lang w:val="en-US" w:eastAsia="ko-KR"/>
        </w:rPr>
      </w:pPr>
      <w:r>
        <w:rPr>
          <w:rFonts w:ascii="Arial" w:hAnsi="Arial" w:cs="Arial"/>
          <w:sz w:val="20"/>
          <w:lang w:val="en-US" w:eastAsia="ko-KR"/>
        </w:rPr>
        <w:t>Furthermore, given</w:t>
      </w:r>
      <w:r>
        <w:rPr>
          <w:rFonts w:ascii="Arial" w:hAnsi="Arial" w:cs="Arial"/>
          <w:sz w:val="20"/>
          <w:lang w:val="en-US" w:eastAsia="ko-KR"/>
        </w:rPr>
        <w:t xml:space="preserve"> the significant role of vocabulary acquisition in comprehension, future instructional practices should integrate explicit vocabulary instruction, exposure to varied texts, and interactive storytelling techniques to build students' reading fluency. The ado</w:t>
      </w:r>
      <w:r>
        <w:rPr>
          <w:rFonts w:ascii="Arial" w:hAnsi="Arial" w:cs="Arial"/>
          <w:sz w:val="20"/>
          <w:lang w:val="en-US" w:eastAsia="ko-KR"/>
        </w:rPr>
        <w:t>ption of multi-sensory learning methods, such as visual aids, graphic organizers, and digital literacy tools, can further enhance comprehension, ensuring that students engage meaningfully with reading materials.</w:t>
      </w:r>
    </w:p>
    <w:p w14:paraId="0E26A2FF" w14:textId="77777777" w:rsidR="0036010B" w:rsidRDefault="00877B91">
      <w:pPr>
        <w:pStyle w:val="NormalWeb"/>
        <w:spacing w:before="280" w:after="280"/>
        <w:jc w:val="both"/>
        <w:rPr>
          <w:rFonts w:ascii="Arial" w:hAnsi="Arial" w:cs="Arial"/>
          <w:sz w:val="20"/>
          <w:lang w:val="en-US" w:eastAsia="ko-KR"/>
        </w:rPr>
      </w:pPr>
      <w:r>
        <w:rPr>
          <w:rFonts w:ascii="Arial" w:hAnsi="Arial" w:cs="Arial"/>
          <w:sz w:val="20"/>
          <w:lang w:val="en-US" w:eastAsia="ko-KR"/>
        </w:rPr>
        <w:t>The pre-test results confirm that many stude</w:t>
      </w:r>
      <w:r>
        <w:rPr>
          <w:rFonts w:ascii="Arial" w:hAnsi="Arial" w:cs="Arial"/>
          <w:sz w:val="20"/>
          <w:lang w:val="en-US" w:eastAsia="ko-KR"/>
        </w:rPr>
        <w:t>nts struggle with reading comprehension, making it imperative for educators to implement effective literacy interventions that address their specific learning needs. The Think-Pair-Share strategy, when applied systematically, has the potential to enhance c</w:t>
      </w:r>
      <w:r>
        <w:rPr>
          <w:rFonts w:ascii="Arial" w:hAnsi="Arial" w:cs="Arial"/>
          <w:sz w:val="20"/>
          <w:lang w:val="en-US" w:eastAsia="ko-KR"/>
        </w:rPr>
        <w:t>omprehension, boost confidence, and improve text retention. Moving forward, schools should prioritize evidence-based literacy programs, focusing on collaborative learning models, differentiated instruction, and targeted comprehension exercises to strengthe</w:t>
      </w:r>
      <w:r>
        <w:rPr>
          <w:rFonts w:ascii="Arial" w:hAnsi="Arial" w:cs="Arial"/>
          <w:sz w:val="20"/>
          <w:lang w:val="en-US" w:eastAsia="ko-KR"/>
        </w:rPr>
        <w:t>n reading proficiency among elementary learners.</w:t>
      </w:r>
    </w:p>
    <w:p w14:paraId="7B47BB1E" w14:textId="77777777" w:rsidR="0036010B" w:rsidRDefault="00877B91">
      <w:pPr>
        <w:pStyle w:val="NormalWeb"/>
        <w:spacing w:before="280" w:after="280"/>
        <w:jc w:val="center"/>
        <w:rPr>
          <w:rFonts w:ascii="Arial" w:hAnsi="Arial" w:cs="Arial"/>
          <w:sz w:val="20"/>
          <w:lang w:val="en-US" w:eastAsia="ko-KR"/>
        </w:rPr>
      </w:pPr>
      <w:r>
        <w:rPr>
          <w:rFonts w:ascii="Arial" w:eastAsia="Calibri" w:hAnsi="Arial" w:cs="Arial"/>
          <w:b/>
          <w:sz w:val="20"/>
        </w:rPr>
        <w:t>Table 1: Pre-test Result</w:t>
      </w:r>
    </w:p>
    <w:tbl>
      <w:tblPr>
        <w:tblStyle w:val="TableGrid"/>
        <w:tblW w:w="8208" w:type="dxa"/>
        <w:tblLayout w:type="fixed"/>
        <w:tblLook w:val="04A0" w:firstRow="1" w:lastRow="0" w:firstColumn="1" w:lastColumn="0" w:noHBand="0" w:noVBand="1"/>
      </w:tblPr>
      <w:tblGrid>
        <w:gridCol w:w="2235"/>
        <w:gridCol w:w="2976"/>
        <w:gridCol w:w="1467"/>
        <w:gridCol w:w="1530"/>
      </w:tblGrid>
      <w:tr w:rsidR="0036010B" w14:paraId="7231137B" w14:textId="77777777">
        <w:trPr>
          <w:trHeight w:val="187"/>
        </w:trPr>
        <w:tc>
          <w:tcPr>
            <w:tcW w:w="2235" w:type="dxa"/>
          </w:tcPr>
          <w:p w14:paraId="09E26DBB" w14:textId="77777777" w:rsidR="0036010B" w:rsidRDefault="00877B91">
            <w:pPr>
              <w:pStyle w:val="NormalWeb"/>
              <w:jc w:val="center"/>
              <w:rPr>
                <w:rFonts w:ascii="Arial" w:hAnsi="Arial" w:cs="Arial"/>
                <w:b/>
                <w:sz w:val="20"/>
              </w:rPr>
            </w:pPr>
            <w:r>
              <w:rPr>
                <w:rFonts w:ascii="Arial" w:eastAsia="Calibri" w:hAnsi="Arial" w:cs="Arial"/>
                <w:b/>
                <w:sz w:val="20"/>
              </w:rPr>
              <w:t>Scores</w:t>
            </w:r>
          </w:p>
        </w:tc>
        <w:tc>
          <w:tcPr>
            <w:tcW w:w="2976" w:type="dxa"/>
          </w:tcPr>
          <w:p w14:paraId="4E984DEA" w14:textId="77777777" w:rsidR="0036010B" w:rsidRDefault="00877B91">
            <w:pPr>
              <w:pStyle w:val="NormalWeb"/>
              <w:jc w:val="center"/>
              <w:rPr>
                <w:rFonts w:ascii="Arial" w:hAnsi="Arial" w:cs="Arial"/>
                <w:b/>
                <w:sz w:val="20"/>
              </w:rPr>
            </w:pPr>
            <w:r>
              <w:rPr>
                <w:rFonts w:ascii="Arial" w:eastAsia="Calibri" w:hAnsi="Arial" w:cs="Arial"/>
                <w:b/>
                <w:sz w:val="20"/>
              </w:rPr>
              <w:t>Comprehension Percentage</w:t>
            </w:r>
          </w:p>
        </w:tc>
        <w:tc>
          <w:tcPr>
            <w:tcW w:w="1467" w:type="dxa"/>
          </w:tcPr>
          <w:p w14:paraId="43F1DF93" w14:textId="77777777" w:rsidR="0036010B" w:rsidRDefault="00877B91">
            <w:pPr>
              <w:pStyle w:val="NormalWeb"/>
              <w:jc w:val="center"/>
              <w:rPr>
                <w:rFonts w:ascii="Arial" w:hAnsi="Arial" w:cs="Arial"/>
                <w:b/>
                <w:sz w:val="20"/>
              </w:rPr>
            </w:pPr>
            <w:r>
              <w:rPr>
                <w:rFonts w:ascii="Arial" w:eastAsia="Calibri" w:hAnsi="Arial" w:cs="Arial"/>
                <w:b/>
                <w:sz w:val="20"/>
              </w:rPr>
              <w:t>Frequency</w:t>
            </w:r>
          </w:p>
        </w:tc>
        <w:tc>
          <w:tcPr>
            <w:tcW w:w="1530" w:type="dxa"/>
          </w:tcPr>
          <w:p w14:paraId="311AF4E0" w14:textId="77777777" w:rsidR="0036010B" w:rsidRDefault="00877B91">
            <w:pPr>
              <w:pStyle w:val="NormalWeb"/>
              <w:jc w:val="center"/>
              <w:rPr>
                <w:rFonts w:ascii="Arial" w:hAnsi="Arial" w:cs="Arial"/>
                <w:b/>
                <w:sz w:val="20"/>
              </w:rPr>
            </w:pPr>
            <w:r>
              <w:rPr>
                <w:rFonts w:ascii="Arial" w:eastAsia="Calibri" w:hAnsi="Arial" w:cs="Arial"/>
                <w:b/>
                <w:sz w:val="20"/>
              </w:rPr>
              <w:t>Percentage</w:t>
            </w:r>
          </w:p>
        </w:tc>
      </w:tr>
      <w:tr w:rsidR="0036010B" w14:paraId="0C66A4CC" w14:textId="77777777">
        <w:trPr>
          <w:trHeight w:val="269"/>
        </w:trPr>
        <w:tc>
          <w:tcPr>
            <w:tcW w:w="2235" w:type="dxa"/>
          </w:tcPr>
          <w:p w14:paraId="5FC55B47" w14:textId="77777777" w:rsidR="0036010B" w:rsidRDefault="00877B91">
            <w:pPr>
              <w:pStyle w:val="NormalWeb"/>
              <w:spacing w:before="100" w:after="100"/>
              <w:jc w:val="center"/>
              <w:rPr>
                <w:rFonts w:ascii="Arial" w:hAnsi="Arial" w:cs="Arial"/>
                <w:sz w:val="20"/>
              </w:rPr>
            </w:pPr>
            <w:r>
              <w:rPr>
                <w:rFonts w:ascii="Arial" w:hAnsi="Arial" w:cs="Arial"/>
                <w:sz w:val="20"/>
              </w:rPr>
              <w:t>4</w:t>
            </w:r>
          </w:p>
        </w:tc>
        <w:tc>
          <w:tcPr>
            <w:tcW w:w="2976" w:type="dxa"/>
          </w:tcPr>
          <w:p w14:paraId="314BADE7" w14:textId="77777777" w:rsidR="0036010B" w:rsidRDefault="00877B91">
            <w:pPr>
              <w:pStyle w:val="NormalWeb"/>
              <w:jc w:val="center"/>
              <w:rPr>
                <w:rFonts w:ascii="Arial" w:hAnsi="Arial" w:cs="Arial"/>
                <w:bCs/>
                <w:sz w:val="20"/>
              </w:rPr>
            </w:pPr>
            <w:r>
              <w:rPr>
                <w:rFonts w:ascii="Arial" w:hAnsi="Arial" w:cs="Arial"/>
                <w:bCs/>
                <w:sz w:val="20"/>
              </w:rPr>
              <w:t>16%</w:t>
            </w:r>
          </w:p>
        </w:tc>
        <w:tc>
          <w:tcPr>
            <w:tcW w:w="1467" w:type="dxa"/>
          </w:tcPr>
          <w:p w14:paraId="3F5B3B1A" w14:textId="77777777" w:rsidR="0036010B" w:rsidRDefault="00877B91">
            <w:pPr>
              <w:pStyle w:val="NormalWeb"/>
              <w:jc w:val="center"/>
              <w:rPr>
                <w:rFonts w:ascii="Arial" w:hAnsi="Arial" w:cs="Arial"/>
                <w:sz w:val="20"/>
              </w:rPr>
            </w:pPr>
            <w:r>
              <w:rPr>
                <w:rFonts w:ascii="Arial" w:hAnsi="Arial" w:cs="Arial"/>
                <w:sz w:val="20"/>
              </w:rPr>
              <w:t>1</w:t>
            </w:r>
          </w:p>
        </w:tc>
        <w:tc>
          <w:tcPr>
            <w:tcW w:w="1530" w:type="dxa"/>
          </w:tcPr>
          <w:p w14:paraId="29F73986" w14:textId="77777777" w:rsidR="0036010B" w:rsidRDefault="00877B91">
            <w:pPr>
              <w:pStyle w:val="NormalWeb"/>
              <w:jc w:val="center"/>
              <w:rPr>
                <w:rFonts w:ascii="Arial" w:hAnsi="Arial" w:cs="Arial"/>
                <w:sz w:val="20"/>
              </w:rPr>
            </w:pPr>
            <w:r>
              <w:rPr>
                <w:rFonts w:ascii="Arial" w:hAnsi="Arial" w:cs="Arial"/>
                <w:sz w:val="20"/>
              </w:rPr>
              <w:t>6.2</w:t>
            </w:r>
            <w:r>
              <w:rPr>
                <w:rFonts w:ascii="Arial" w:hAnsi="Arial" w:cs="Arial"/>
                <w:bCs/>
                <w:sz w:val="20"/>
              </w:rPr>
              <w:t>%</w:t>
            </w:r>
          </w:p>
        </w:tc>
      </w:tr>
      <w:tr w:rsidR="0036010B" w14:paraId="70A7748A" w14:textId="77777777">
        <w:trPr>
          <w:trHeight w:val="269"/>
        </w:trPr>
        <w:tc>
          <w:tcPr>
            <w:tcW w:w="2235" w:type="dxa"/>
          </w:tcPr>
          <w:p w14:paraId="58CCD4CA" w14:textId="77777777" w:rsidR="0036010B" w:rsidRDefault="00877B91">
            <w:pPr>
              <w:pStyle w:val="NormalWeb"/>
              <w:jc w:val="center"/>
              <w:rPr>
                <w:rFonts w:ascii="Arial" w:hAnsi="Arial" w:cs="Arial"/>
                <w:sz w:val="20"/>
              </w:rPr>
            </w:pPr>
            <w:r>
              <w:rPr>
                <w:rFonts w:ascii="Arial" w:hAnsi="Arial" w:cs="Arial"/>
                <w:sz w:val="20"/>
              </w:rPr>
              <w:t>6</w:t>
            </w:r>
          </w:p>
        </w:tc>
        <w:tc>
          <w:tcPr>
            <w:tcW w:w="2976" w:type="dxa"/>
          </w:tcPr>
          <w:p w14:paraId="450C2971" w14:textId="77777777" w:rsidR="0036010B" w:rsidRDefault="00877B91">
            <w:pPr>
              <w:pStyle w:val="NormalWeb"/>
              <w:jc w:val="center"/>
              <w:rPr>
                <w:rFonts w:ascii="Arial" w:hAnsi="Arial" w:cs="Arial"/>
                <w:bCs/>
                <w:sz w:val="20"/>
              </w:rPr>
            </w:pPr>
            <w:r>
              <w:rPr>
                <w:rFonts w:ascii="Arial" w:hAnsi="Arial" w:cs="Arial"/>
                <w:bCs/>
                <w:sz w:val="20"/>
              </w:rPr>
              <w:t>24%</w:t>
            </w:r>
          </w:p>
        </w:tc>
        <w:tc>
          <w:tcPr>
            <w:tcW w:w="1467" w:type="dxa"/>
          </w:tcPr>
          <w:p w14:paraId="7E9EA8A4" w14:textId="77777777" w:rsidR="0036010B" w:rsidRDefault="00877B91">
            <w:pPr>
              <w:pStyle w:val="NormalWeb"/>
              <w:jc w:val="center"/>
              <w:rPr>
                <w:rFonts w:ascii="Arial" w:hAnsi="Arial" w:cs="Arial"/>
                <w:sz w:val="20"/>
              </w:rPr>
            </w:pPr>
            <w:r>
              <w:rPr>
                <w:rFonts w:ascii="Arial" w:hAnsi="Arial" w:cs="Arial"/>
                <w:sz w:val="20"/>
              </w:rPr>
              <w:t>1</w:t>
            </w:r>
          </w:p>
        </w:tc>
        <w:tc>
          <w:tcPr>
            <w:tcW w:w="1530" w:type="dxa"/>
          </w:tcPr>
          <w:p w14:paraId="27B89E8E" w14:textId="77777777" w:rsidR="0036010B" w:rsidRDefault="00877B91">
            <w:pPr>
              <w:pStyle w:val="NormalWeb"/>
              <w:jc w:val="center"/>
              <w:rPr>
                <w:rFonts w:ascii="Arial" w:hAnsi="Arial" w:cs="Arial"/>
                <w:sz w:val="20"/>
              </w:rPr>
            </w:pPr>
            <w:r>
              <w:rPr>
                <w:rFonts w:ascii="Arial" w:hAnsi="Arial" w:cs="Arial"/>
                <w:sz w:val="20"/>
              </w:rPr>
              <w:t>6.2</w:t>
            </w:r>
            <w:r>
              <w:rPr>
                <w:rFonts w:ascii="Arial" w:hAnsi="Arial" w:cs="Arial"/>
                <w:bCs/>
                <w:sz w:val="20"/>
              </w:rPr>
              <w:t>%</w:t>
            </w:r>
          </w:p>
        </w:tc>
      </w:tr>
      <w:tr w:rsidR="0036010B" w14:paraId="2AED24E6" w14:textId="77777777">
        <w:trPr>
          <w:trHeight w:val="257"/>
        </w:trPr>
        <w:tc>
          <w:tcPr>
            <w:tcW w:w="2235" w:type="dxa"/>
          </w:tcPr>
          <w:p w14:paraId="632ED2DC" w14:textId="77777777" w:rsidR="0036010B" w:rsidRDefault="00877B91">
            <w:pPr>
              <w:pStyle w:val="NormalWeb"/>
              <w:jc w:val="center"/>
              <w:rPr>
                <w:rFonts w:ascii="Arial" w:hAnsi="Arial" w:cs="Arial"/>
                <w:sz w:val="20"/>
              </w:rPr>
            </w:pPr>
            <w:r>
              <w:rPr>
                <w:rFonts w:ascii="Arial" w:hAnsi="Arial" w:cs="Arial"/>
                <w:sz w:val="20"/>
              </w:rPr>
              <w:t>7</w:t>
            </w:r>
          </w:p>
        </w:tc>
        <w:tc>
          <w:tcPr>
            <w:tcW w:w="2976" w:type="dxa"/>
          </w:tcPr>
          <w:p w14:paraId="165C1E29" w14:textId="77777777" w:rsidR="0036010B" w:rsidRDefault="00877B91">
            <w:pPr>
              <w:pStyle w:val="NormalWeb"/>
              <w:jc w:val="center"/>
              <w:rPr>
                <w:rFonts w:ascii="Arial" w:hAnsi="Arial" w:cs="Arial"/>
                <w:bCs/>
                <w:sz w:val="20"/>
              </w:rPr>
            </w:pPr>
            <w:r>
              <w:rPr>
                <w:rFonts w:ascii="Arial" w:hAnsi="Arial" w:cs="Arial"/>
                <w:bCs/>
                <w:sz w:val="20"/>
              </w:rPr>
              <w:t>28%</w:t>
            </w:r>
          </w:p>
        </w:tc>
        <w:tc>
          <w:tcPr>
            <w:tcW w:w="1467" w:type="dxa"/>
          </w:tcPr>
          <w:p w14:paraId="66FDD55F" w14:textId="77777777" w:rsidR="0036010B" w:rsidRDefault="00877B91">
            <w:pPr>
              <w:pStyle w:val="NormalWeb"/>
              <w:jc w:val="center"/>
              <w:rPr>
                <w:rFonts w:ascii="Arial" w:hAnsi="Arial" w:cs="Arial"/>
                <w:sz w:val="20"/>
              </w:rPr>
            </w:pPr>
            <w:r>
              <w:rPr>
                <w:rFonts w:ascii="Arial" w:hAnsi="Arial" w:cs="Arial"/>
                <w:sz w:val="20"/>
              </w:rPr>
              <w:t>1</w:t>
            </w:r>
          </w:p>
        </w:tc>
        <w:tc>
          <w:tcPr>
            <w:tcW w:w="1530" w:type="dxa"/>
          </w:tcPr>
          <w:p w14:paraId="32EF8C7B" w14:textId="77777777" w:rsidR="0036010B" w:rsidRDefault="00877B91">
            <w:pPr>
              <w:pStyle w:val="NormalWeb"/>
              <w:jc w:val="center"/>
              <w:rPr>
                <w:rFonts w:ascii="Arial" w:hAnsi="Arial" w:cs="Arial"/>
                <w:sz w:val="20"/>
              </w:rPr>
            </w:pPr>
            <w:r>
              <w:rPr>
                <w:rFonts w:ascii="Arial" w:hAnsi="Arial" w:cs="Arial"/>
                <w:sz w:val="20"/>
              </w:rPr>
              <w:t>6.2</w:t>
            </w:r>
            <w:r>
              <w:rPr>
                <w:rFonts w:ascii="Arial" w:hAnsi="Arial" w:cs="Arial"/>
                <w:bCs/>
                <w:sz w:val="20"/>
              </w:rPr>
              <w:t>%</w:t>
            </w:r>
          </w:p>
        </w:tc>
      </w:tr>
      <w:tr w:rsidR="0036010B" w14:paraId="04CC7B98" w14:textId="77777777">
        <w:trPr>
          <w:trHeight w:val="257"/>
        </w:trPr>
        <w:tc>
          <w:tcPr>
            <w:tcW w:w="2235" w:type="dxa"/>
          </w:tcPr>
          <w:p w14:paraId="66AD59B4" w14:textId="77777777" w:rsidR="0036010B" w:rsidRDefault="00877B91">
            <w:pPr>
              <w:pStyle w:val="NormalWeb"/>
              <w:jc w:val="center"/>
              <w:rPr>
                <w:rFonts w:ascii="Arial" w:hAnsi="Arial" w:cs="Arial"/>
                <w:sz w:val="20"/>
              </w:rPr>
            </w:pPr>
            <w:r>
              <w:rPr>
                <w:rFonts w:ascii="Arial" w:hAnsi="Arial" w:cs="Arial"/>
                <w:sz w:val="20"/>
              </w:rPr>
              <w:t>9</w:t>
            </w:r>
          </w:p>
        </w:tc>
        <w:tc>
          <w:tcPr>
            <w:tcW w:w="2976" w:type="dxa"/>
          </w:tcPr>
          <w:p w14:paraId="2357398A" w14:textId="77777777" w:rsidR="0036010B" w:rsidRDefault="00877B91">
            <w:pPr>
              <w:pStyle w:val="NormalWeb"/>
              <w:jc w:val="center"/>
              <w:rPr>
                <w:rFonts w:ascii="Arial" w:eastAsia="Calibri" w:hAnsi="Arial" w:cs="Arial"/>
                <w:bCs/>
                <w:sz w:val="20"/>
                <w:lang w:val="en-PH"/>
              </w:rPr>
            </w:pPr>
            <w:r>
              <w:rPr>
                <w:rFonts w:ascii="Arial" w:eastAsia="Calibri" w:hAnsi="Arial" w:cs="Arial"/>
                <w:bCs/>
                <w:sz w:val="20"/>
                <w:lang w:val="en-PH"/>
              </w:rPr>
              <w:t>36</w:t>
            </w:r>
            <w:r>
              <w:rPr>
                <w:rFonts w:ascii="Arial" w:hAnsi="Arial" w:cs="Arial"/>
                <w:bCs/>
                <w:sz w:val="20"/>
              </w:rPr>
              <w:t>%</w:t>
            </w:r>
          </w:p>
        </w:tc>
        <w:tc>
          <w:tcPr>
            <w:tcW w:w="1467" w:type="dxa"/>
          </w:tcPr>
          <w:p w14:paraId="6447333B" w14:textId="77777777" w:rsidR="0036010B" w:rsidRDefault="00877B91">
            <w:pPr>
              <w:pStyle w:val="NormalWeb"/>
              <w:jc w:val="center"/>
              <w:rPr>
                <w:rFonts w:ascii="Arial" w:eastAsia="Calibri" w:hAnsi="Arial" w:cs="Arial"/>
                <w:sz w:val="20"/>
              </w:rPr>
            </w:pPr>
            <w:r>
              <w:rPr>
                <w:rFonts w:ascii="Arial" w:eastAsia="Calibri" w:hAnsi="Arial" w:cs="Arial"/>
                <w:sz w:val="20"/>
              </w:rPr>
              <w:t>1</w:t>
            </w:r>
          </w:p>
        </w:tc>
        <w:tc>
          <w:tcPr>
            <w:tcW w:w="1530" w:type="dxa"/>
          </w:tcPr>
          <w:p w14:paraId="1A853EF2" w14:textId="77777777" w:rsidR="0036010B" w:rsidRDefault="00877B91">
            <w:pPr>
              <w:pStyle w:val="NormalWeb"/>
              <w:jc w:val="center"/>
              <w:rPr>
                <w:rFonts w:ascii="Arial" w:eastAsia="Calibri" w:hAnsi="Arial" w:cs="Arial"/>
                <w:sz w:val="20"/>
              </w:rPr>
            </w:pPr>
            <w:r>
              <w:rPr>
                <w:rFonts w:ascii="Arial" w:eastAsia="Calibri" w:hAnsi="Arial" w:cs="Arial"/>
                <w:sz w:val="20"/>
              </w:rPr>
              <w:t>6.2</w:t>
            </w:r>
            <w:r>
              <w:rPr>
                <w:rFonts w:ascii="Arial" w:hAnsi="Arial" w:cs="Arial"/>
                <w:bCs/>
                <w:sz w:val="20"/>
              </w:rPr>
              <w:t>%</w:t>
            </w:r>
          </w:p>
        </w:tc>
      </w:tr>
      <w:tr w:rsidR="0036010B" w14:paraId="4F2334D4" w14:textId="77777777">
        <w:trPr>
          <w:trHeight w:val="257"/>
        </w:trPr>
        <w:tc>
          <w:tcPr>
            <w:tcW w:w="2235" w:type="dxa"/>
          </w:tcPr>
          <w:p w14:paraId="33AE3A1B" w14:textId="77777777" w:rsidR="0036010B" w:rsidRDefault="00877B91">
            <w:pPr>
              <w:pStyle w:val="NormalWeb"/>
              <w:jc w:val="center"/>
              <w:rPr>
                <w:rFonts w:ascii="Arial" w:hAnsi="Arial" w:cs="Arial"/>
                <w:sz w:val="20"/>
              </w:rPr>
            </w:pPr>
            <w:r>
              <w:rPr>
                <w:rFonts w:ascii="Arial" w:hAnsi="Arial" w:cs="Arial"/>
                <w:sz w:val="20"/>
              </w:rPr>
              <w:t>11</w:t>
            </w:r>
          </w:p>
        </w:tc>
        <w:tc>
          <w:tcPr>
            <w:tcW w:w="2976" w:type="dxa"/>
          </w:tcPr>
          <w:p w14:paraId="3DF7E704" w14:textId="77777777" w:rsidR="0036010B" w:rsidRDefault="00877B91">
            <w:pPr>
              <w:pStyle w:val="NormalWeb"/>
              <w:jc w:val="center"/>
              <w:rPr>
                <w:rFonts w:ascii="Arial" w:eastAsia="Calibri" w:hAnsi="Arial" w:cs="Arial"/>
                <w:bCs/>
                <w:sz w:val="20"/>
                <w:lang w:val="en-PH"/>
              </w:rPr>
            </w:pPr>
            <w:r>
              <w:rPr>
                <w:rFonts w:ascii="Arial" w:eastAsia="Calibri" w:hAnsi="Arial" w:cs="Arial"/>
                <w:bCs/>
                <w:sz w:val="20"/>
                <w:lang w:val="en-PH"/>
              </w:rPr>
              <w:t>44</w:t>
            </w:r>
            <w:r>
              <w:rPr>
                <w:rFonts w:ascii="Arial" w:hAnsi="Arial" w:cs="Arial"/>
                <w:bCs/>
                <w:sz w:val="20"/>
              </w:rPr>
              <w:t>%</w:t>
            </w:r>
          </w:p>
        </w:tc>
        <w:tc>
          <w:tcPr>
            <w:tcW w:w="1467" w:type="dxa"/>
          </w:tcPr>
          <w:p w14:paraId="6A6649AF" w14:textId="77777777" w:rsidR="0036010B" w:rsidRDefault="00877B91">
            <w:pPr>
              <w:pStyle w:val="NormalWeb"/>
              <w:jc w:val="center"/>
              <w:rPr>
                <w:rFonts w:ascii="Arial" w:eastAsia="Calibri" w:hAnsi="Arial" w:cs="Arial"/>
                <w:sz w:val="20"/>
              </w:rPr>
            </w:pPr>
            <w:r>
              <w:rPr>
                <w:rFonts w:ascii="Arial" w:eastAsia="Calibri" w:hAnsi="Arial" w:cs="Arial"/>
                <w:sz w:val="20"/>
              </w:rPr>
              <w:t>2</w:t>
            </w:r>
          </w:p>
        </w:tc>
        <w:tc>
          <w:tcPr>
            <w:tcW w:w="1530" w:type="dxa"/>
          </w:tcPr>
          <w:p w14:paraId="7125B87B" w14:textId="77777777" w:rsidR="0036010B" w:rsidRDefault="00877B91">
            <w:pPr>
              <w:pStyle w:val="NormalWeb"/>
              <w:jc w:val="center"/>
              <w:rPr>
                <w:rFonts w:ascii="Arial" w:eastAsia="Calibri" w:hAnsi="Arial" w:cs="Arial"/>
                <w:sz w:val="20"/>
              </w:rPr>
            </w:pPr>
            <w:r>
              <w:rPr>
                <w:rFonts w:ascii="Arial" w:eastAsia="Calibri" w:hAnsi="Arial" w:cs="Arial"/>
                <w:sz w:val="20"/>
              </w:rPr>
              <w:t>12.5</w:t>
            </w:r>
            <w:r>
              <w:rPr>
                <w:rFonts w:ascii="Arial" w:hAnsi="Arial" w:cs="Arial"/>
                <w:bCs/>
                <w:sz w:val="20"/>
              </w:rPr>
              <w:t>%</w:t>
            </w:r>
          </w:p>
        </w:tc>
      </w:tr>
      <w:tr w:rsidR="0036010B" w14:paraId="3F59FB71" w14:textId="77777777">
        <w:trPr>
          <w:trHeight w:val="257"/>
        </w:trPr>
        <w:tc>
          <w:tcPr>
            <w:tcW w:w="2235" w:type="dxa"/>
          </w:tcPr>
          <w:p w14:paraId="14AE8375" w14:textId="77777777" w:rsidR="0036010B" w:rsidRDefault="00877B91">
            <w:pPr>
              <w:pStyle w:val="NormalWeb"/>
              <w:jc w:val="center"/>
              <w:rPr>
                <w:rFonts w:ascii="Arial" w:hAnsi="Arial" w:cs="Arial"/>
                <w:sz w:val="20"/>
              </w:rPr>
            </w:pPr>
            <w:r>
              <w:rPr>
                <w:rFonts w:ascii="Arial" w:hAnsi="Arial" w:cs="Arial"/>
                <w:sz w:val="20"/>
              </w:rPr>
              <w:t>12</w:t>
            </w:r>
          </w:p>
        </w:tc>
        <w:tc>
          <w:tcPr>
            <w:tcW w:w="2976" w:type="dxa"/>
          </w:tcPr>
          <w:p w14:paraId="05F5DC33" w14:textId="77777777" w:rsidR="0036010B" w:rsidRDefault="00877B91">
            <w:pPr>
              <w:pStyle w:val="NormalWeb"/>
              <w:jc w:val="center"/>
              <w:rPr>
                <w:rFonts w:ascii="Arial" w:eastAsia="Calibri" w:hAnsi="Arial" w:cs="Arial"/>
                <w:bCs/>
                <w:sz w:val="20"/>
                <w:lang w:val="en-PH"/>
              </w:rPr>
            </w:pPr>
            <w:r>
              <w:rPr>
                <w:rFonts w:ascii="Arial" w:eastAsia="Calibri" w:hAnsi="Arial" w:cs="Arial"/>
                <w:bCs/>
                <w:sz w:val="20"/>
                <w:lang w:val="en-PH"/>
              </w:rPr>
              <w:t>48</w:t>
            </w:r>
            <w:r>
              <w:rPr>
                <w:rFonts w:ascii="Arial" w:hAnsi="Arial" w:cs="Arial"/>
                <w:bCs/>
                <w:sz w:val="20"/>
              </w:rPr>
              <w:t>%</w:t>
            </w:r>
          </w:p>
        </w:tc>
        <w:tc>
          <w:tcPr>
            <w:tcW w:w="1467" w:type="dxa"/>
          </w:tcPr>
          <w:p w14:paraId="440D48F3" w14:textId="77777777" w:rsidR="0036010B" w:rsidRDefault="00877B91">
            <w:pPr>
              <w:pStyle w:val="NormalWeb"/>
              <w:jc w:val="center"/>
              <w:rPr>
                <w:rFonts w:ascii="Arial" w:eastAsia="Calibri" w:hAnsi="Arial" w:cs="Arial"/>
                <w:sz w:val="20"/>
              </w:rPr>
            </w:pPr>
            <w:r>
              <w:rPr>
                <w:rFonts w:ascii="Arial" w:eastAsia="Calibri" w:hAnsi="Arial" w:cs="Arial"/>
                <w:sz w:val="20"/>
              </w:rPr>
              <w:t>1</w:t>
            </w:r>
          </w:p>
        </w:tc>
        <w:tc>
          <w:tcPr>
            <w:tcW w:w="1530" w:type="dxa"/>
          </w:tcPr>
          <w:p w14:paraId="4CB46380" w14:textId="77777777" w:rsidR="0036010B" w:rsidRDefault="00877B91">
            <w:pPr>
              <w:pStyle w:val="NormalWeb"/>
              <w:jc w:val="center"/>
              <w:rPr>
                <w:rFonts w:ascii="Arial" w:eastAsia="Calibri" w:hAnsi="Arial" w:cs="Arial"/>
                <w:sz w:val="20"/>
              </w:rPr>
            </w:pPr>
            <w:r>
              <w:rPr>
                <w:rFonts w:ascii="Arial" w:eastAsia="Calibri" w:hAnsi="Arial" w:cs="Arial"/>
                <w:sz w:val="20"/>
              </w:rPr>
              <w:t>6.2</w:t>
            </w:r>
            <w:r>
              <w:rPr>
                <w:rFonts w:ascii="Arial" w:hAnsi="Arial" w:cs="Arial"/>
                <w:bCs/>
                <w:sz w:val="20"/>
              </w:rPr>
              <w:t>%</w:t>
            </w:r>
          </w:p>
        </w:tc>
      </w:tr>
      <w:tr w:rsidR="0036010B" w14:paraId="78D40F4D" w14:textId="77777777">
        <w:trPr>
          <w:trHeight w:val="257"/>
        </w:trPr>
        <w:tc>
          <w:tcPr>
            <w:tcW w:w="2235" w:type="dxa"/>
          </w:tcPr>
          <w:p w14:paraId="7A100500" w14:textId="77777777" w:rsidR="0036010B" w:rsidRDefault="00877B91">
            <w:pPr>
              <w:pStyle w:val="NormalWeb"/>
              <w:jc w:val="center"/>
              <w:rPr>
                <w:rFonts w:ascii="Arial" w:hAnsi="Arial" w:cs="Arial"/>
                <w:sz w:val="20"/>
              </w:rPr>
            </w:pPr>
            <w:r>
              <w:rPr>
                <w:rFonts w:ascii="Arial" w:hAnsi="Arial" w:cs="Arial"/>
                <w:sz w:val="20"/>
              </w:rPr>
              <w:t>13</w:t>
            </w:r>
          </w:p>
        </w:tc>
        <w:tc>
          <w:tcPr>
            <w:tcW w:w="2976" w:type="dxa"/>
          </w:tcPr>
          <w:p w14:paraId="539CC0DE" w14:textId="77777777" w:rsidR="0036010B" w:rsidRDefault="00877B91">
            <w:pPr>
              <w:pStyle w:val="NormalWeb"/>
              <w:jc w:val="center"/>
              <w:rPr>
                <w:rFonts w:ascii="Arial" w:eastAsia="Calibri" w:hAnsi="Arial" w:cs="Arial"/>
                <w:bCs/>
                <w:sz w:val="20"/>
                <w:lang w:val="en-PH"/>
              </w:rPr>
            </w:pPr>
            <w:r>
              <w:rPr>
                <w:rFonts w:ascii="Arial" w:eastAsia="Calibri" w:hAnsi="Arial" w:cs="Arial"/>
                <w:bCs/>
                <w:sz w:val="20"/>
                <w:lang w:val="en-PH"/>
              </w:rPr>
              <w:t>52</w:t>
            </w:r>
            <w:r>
              <w:rPr>
                <w:rFonts w:ascii="Arial" w:hAnsi="Arial" w:cs="Arial"/>
                <w:bCs/>
                <w:sz w:val="20"/>
              </w:rPr>
              <w:t>%</w:t>
            </w:r>
          </w:p>
        </w:tc>
        <w:tc>
          <w:tcPr>
            <w:tcW w:w="1467" w:type="dxa"/>
          </w:tcPr>
          <w:p w14:paraId="3F9FE5D5" w14:textId="77777777" w:rsidR="0036010B" w:rsidRDefault="00877B91">
            <w:pPr>
              <w:pStyle w:val="NormalWeb"/>
              <w:jc w:val="center"/>
              <w:rPr>
                <w:rFonts w:ascii="Arial" w:eastAsia="Calibri" w:hAnsi="Arial" w:cs="Arial"/>
                <w:sz w:val="20"/>
              </w:rPr>
            </w:pPr>
            <w:r>
              <w:rPr>
                <w:rFonts w:ascii="Arial" w:eastAsia="Calibri" w:hAnsi="Arial" w:cs="Arial"/>
                <w:sz w:val="20"/>
              </w:rPr>
              <w:t>3</w:t>
            </w:r>
          </w:p>
        </w:tc>
        <w:tc>
          <w:tcPr>
            <w:tcW w:w="1530" w:type="dxa"/>
          </w:tcPr>
          <w:p w14:paraId="7440E668" w14:textId="77777777" w:rsidR="0036010B" w:rsidRDefault="00877B91">
            <w:pPr>
              <w:pStyle w:val="NormalWeb"/>
              <w:jc w:val="center"/>
              <w:rPr>
                <w:rFonts w:ascii="Arial" w:eastAsia="Calibri" w:hAnsi="Arial" w:cs="Arial"/>
                <w:sz w:val="20"/>
              </w:rPr>
            </w:pPr>
            <w:r>
              <w:rPr>
                <w:rFonts w:ascii="Arial" w:eastAsia="Calibri" w:hAnsi="Arial" w:cs="Arial"/>
                <w:sz w:val="20"/>
              </w:rPr>
              <w:t>18.8</w:t>
            </w:r>
            <w:r>
              <w:rPr>
                <w:rFonts w:ascii="Arial" w:hAnsi="Arial" w:cs="Arial"/>
                <w:bCs/>
                <w:sz w:val="20"/>
              </w:rPr>
              <w:t>%</w:t>
            </w:r>
          </w:p>
        </w:tc>
      </w:tr>
      <w:tr w:rsidR="0036010B" w14:paraId="5F69C496" w14:textId="77777777">
        <w:trPr>
          <w:trHeight w:val="257"/>
        </w:trPr>
        <w:tc>
          <w:tcPr>
            <w:tcW w:w="2235" w:type="dxa"/>
          </w:tcPr>
          <w:p w14:paraId="7A5BEFFC" w14:textId="77777777" w:rsidR="0036010B" w:rsidRDefault="00877B91">
            <w:pPr>
              <w:pStyle w:val="NormalWeb"/>
              <w:jc w:val="center"/>
              <w:rPr>
                <w:rFonts w:ascii="Arial" w:hAnsi="Arial" w:cs="Arial"/>
                <w:sz w:val="20"/>
              </w:rPr>
            </w:pPr>
            <w:r>
              <w:rPr>
                <w:rFonts w:ascii="Arial" w:hAnsi="Arial" w:cs="Arial"/>
                <w:sz w:val="20"/>
              </w:rPr>
              <w:t>14</w:t>
            </w:r>
          </w:p>
        </w:tc>
        <w:tc>
          <w:tcPr>
            <w:tcW w:w="2976" w:type="dxa"/>
          </w:tcPr>
          <w:p w14:paraId="34128FDB" w14:textId="77777777" w:rsidR="0036010B" w:rsidRDefault="00877B91">
            <w:pPr>
              <w:pStyle w:val="NormalWeb"/>
              <w:jc w:val="center"/>
              <w:rPr>
                <w:rFonts w:ascii="Arial" w:eastAsia="Calibri" w:hAnsi="Arial" w:cs="Arial"/>
                <w:bCs/>
                <w:sz w:val="20"/>
                <w:lang w:val="en-PH"/>
              </w:rPr>
            </w:pPr>
            <w:r>
              <w:rPr>
                <w:rFonts w:ascii="Arial" w:eastAsia="Calibri" w:hAnsi="Arial" w:cs="Arial"/>
                <w:bCs/>
                <w:sz w:val="20"/>
                <w:lang w:val="en-PH"/>
              </w:rPr>
              <w:t>56</w:t>
            </w:r>
            <w:r>
              <w:rPr>
                <w:rFonts w:ascii="Arial" w:hAnsi="Arial" w:cs="Arial"/>
                <w:bCs/>
                <w:sz w:val="20"/>
              </w:rPr>
              <w:t>%</w:t>
            </w:r>
          </w:p>
        </w:tc>
        <w:tc>
          <w:tcPr>
            <w:tcW w:w="1467" w:type="dxa"/>
          </w:tcPr>
          <w:p w14:paraId="4725A165" w14:textId="77777777" w:rsidR="0036010B" w:rsidRDefault="00877B91">
            <w:pPr>
              <w:pStyle w:val="NormalWeb"/>
              <w:jc w:val="center"/>
              <w:rPr>
                <w:rFonts w:ascii="Arial" w:eastAsia="Calibri" w:hAnsi="Arial" w:cs="Arial"/>
                <w:sz w:val="20"/>
              </w:rPr>
            </w:pPr>
            <w:r>
              <w:rPr>
                <w:rFonts w:ascii="Arial" w:eastAsia="Calibri" w:hAnsi="Arial" w:cs="Arial"/>
                <w:sz w:val="20"/>
              </w:rPr>
              <w:t>2</w:t>
            </w:r>
          </w:p>
        </w:tc>
        <w:tc>
          <w:tcPr>
            <w:tcW w:w="1530" w:type="dxa"/>
          </w:tcPr>
          <w:p w14:paraId="09AD7B8F" w14:textId="77777777" w:rsidR="0036010B" w:rsidRDefault="00877B91">
            <w:pPr>
              <w:pStyle w:val="NormalWeb"/>
              <w:jc w:val="center"/>
              <w:rPr>
                <w:rFonts w:ascii="Arial" w:eastAsia="Calibri" w:hAnsi="Arial" w:cs="Arial"/>
                <w:sz w:val="20"/>
              </w:rPr>
            </w:pPr>
            <w:r>
              <w:rPr>
                <w:rFonts w:ascii="Arial" w:eastAsia="Calibri" w:hAnsi="Arial" w:cs="Arial"/>
                <w:sz w:val="20"/>
              </w:rPr>
              <w:t>12.5</w:t>
            </w:r>
            <w:r>
              <w:rPr>
                <w:rFonts w:ascii="Arial" w:hAnsi="Arial" w:cs="Arial"/>
                <w:bCs/>
                <w:sz w:val="20"/>
              </w:rPr>
              <w:t>%</w:t>
            </w:r>
          </w:p>
        </w:tc>
      </w:tr>
      <w:tr w:rsidR="0036010B" w14:paraId="7DA3F474" w14:textId="77777777">
        <w:trPr>
          <w:trHeight w:val="257"/>
        </w:trPr>
        <w:tc>
          <w:tcPr>
            <w:tcW w:w="2235" w:type="dxa"/>
          </w:tcPr>
          <w:p w14:paraId="77A78BB3" w14:textId="77777777" w:rsidR="0036010B" w:rsidRDefault="00877B91">
            <w:pPr>
              <w:pStyle w:val="NormalWeb"/>
              <w:jc w:val="center"/>
              <w:rPr>
                <w:rFonts w:ascii="Arial" w:hAnsi="Arial" w:cs="Arial"/>
                <w:sz w:val="20"/>
              </w:rPr>
            </w:pPr>
            <w:r>
              <w:rPr>
                <w:rFonts w:ascii="Arial" w:hAnsi="Arial" w:cs="Arial"/>
                <w:sz w:val="20"/>
              </w:rPr>
              <w:t>16</w:t>
            </w:r>
          </w:p>
        </w:tc>
        <w:tc>
          <w:tcPr>
            <w:tcW w:w="2976" w:type="dxa"/>
          </w:tcPr>
          <w:p w14:paraId="71A750BA" w14:textId="77777777" w:rsidR="0036010B" w:rsidRDefault="00877B91">
            <w:pPr>
              <w:pStyle w:val="NormalWeb"/>
              <w:jc w:val="center"/>
              <w:rPr>
                <w:rFonts w:ascii="Arial" w:eastAsia="Calibri" w:hAnsi="Arial" w:cs="Arial"/>
                <w:bCs/>
                <w:sz w:val="20"/>
                <w:lang w:val="en-PH"/>
              </w:rPr>
            </w:pPr>
            <w:r>
              <w:rPr>
                <w:rFonts w:ascii="Arial" w:eastAsia="Calibri" w:hAnsi="Arial" w:cs="Arial"/>
                <w:bCs/>
                <w:sz w:val="20"/>
                <w:lang w:val="en-PH"/>
              </w:rPr>
              <w:t>64</w:t>
            </w:r>
            <w:r>
              <w:rPr>
                <w:rFonts w:ascii="Arial" w:hAnsi="Arial" w:cs="Arial"/>
                <w:bCs/>
                <w:sz w:val="20"/>
              </w:rPr>
              <w:t>%</w:t>
            </w:r>
          </w:p>
        </w:tc>
        <w:tc>
          <w:tcPr>
            <w:tcW w:w="1467" w:type="dxa"/>
          </w:tcPr>
          <w:p w14:paraId="3AD0F5C4" w14:textId="77777777" w:rsidR="0036010B" w:rsidRDefault="00877B91">
            <w:pPr>
              <w:pStyle w:val="NormalWeb"/>
              <w:jc w:val="center"/>
              <w:rPr>
                <w:rFonts w:ascii="Arial" w:eastAsia="Calibri" w:hAnsi="Arial" w:cs="Arial"/>
                <w:sz w:val="20"/>
              </w:rPr>
            </w:pPr>
            <w:r>
              <w:rPr>
                <w:rFonts w:ascii="Arial" w:eastAsia="Calibri" w:hAnsi="Arial" w:cs="Arial"/>
                <w:sz w:val="20"/>
              </w:rPr>
              <w:t>1</w:t>
            </w:r>
          </w:p>
        </w:tc>
        <w:tc>
          <w:tcPr>
            <w:tcW w:w="1530" w:type="dxa"/>
          </w:tcPr>
          <w:p w14:paraId="7D714654" w14:textId="77777777" w:rsidR="0036010B" w:rsidRDefault="00877B91">
            <w:pPr>
              <w:pStyle w:val="NormalWeb"/>
              <w:jc w:val="center"/>
              <w:rPr>
                <w:rFonts w:ascii="Arial" w:eastAsia="Calibri" w:hAnsi="Arial" w:cs="Arial"/>
                <w:sz w:val="20"/>
              </w:rPr>
            </w:pPr>
            <w:r>
              <w:rPr>
                <w:rFonts w:ascii="Arial" w:eastAsia="Calibri" w:hAnsi="Arial" w:cs="Arial"/>
                <w:sz w:val="20"/>
              </w:rPr>
              <w:t>6.2</w:t>
            </w:r>
            <w:r>
              <w:rPr>
                <w:rFonts w:ascii="Arial" w:hAnsi="Arial" w:cs="Arial"/>
                <w:bCs/>
                <w:sz w:val="20"/>
              </w:rPr>
              <w:t>%</w:t>
            </w:r>
          </w:p>
        </w:tc>
      </w:tr>
      <w:tr w:rsidR="0036010B" w14:paraId="409ABB98" w14:textId="77777777">
        <w:trPr>
          <w:trHeight w:val="257"/>
        </w:trPr>
        <w:tc>
          <w:tcPr>
            <w:tcW w:w="2235" w:type="dxa"/>
          </w:tcPr>
          <w:p w14:paraId="15E614BB" w14:textId="77777777" w:rsidR="0036010B" w:rsidRDefault="00877B91">
            <w:pPr>
              <w:pStyle w:val="NormalWeb"/>
              <w:jc w:val="center"/>
              <w:rPr>
                <w:rFonts w:ascii="Arial" w:hAnsi="Arial" w:cs="Arial"/>
                <w:sz w:val="20"/>
              </w:rPr>
            </w:pPr>
            <w:r>
              <w:rPr>
                <w:rFonts w:ascii="Arial" w:hAnsi="Arial" w:cs="Arial"/>
                <w:sz w:val="20"/>
              </w:rPr>
              <w:t>18</w:t>
            </w:r>
          </w:p>
        </w:tc>
        <w:tc>
          <w:tcPr>
            <w:tcW w:w="2976" w:type="dxa"/>
          </w:tcPr>
          <w:p w14:paraId="36B616E3" w14:textId="77777777" w:rsidR="0036010B" w:rsidRDefault="00877B91">
            <w:pPr>
              <w:pStyle w:val="NormalWeb"/>
              <w:jc w:val="center"/>
              <w:rPr>
                <w:rFonts w:ascii="Arial" w:eastAsia="Calibri" w:hAnsi="Arial" w:cs="Arial"/>
                <w:bCs/>
                <w:sz w:val="20"/>
                <w:lang w:val="en-PH"/>
              </w:rPr>
            </w:pPr>
            <w:r>
              <w:rPr>
                <w:rFonts w:ascii="Arial" w:eastAsia="Calibri" w:hAnsi="Arial" w:cs="Arial"/>
                <w:bCs/>
                <w:sz w:val="20"/>
                <w:lang w:val="en-PH"/>
              </w:rPr>
              <w:t>72</w:t>
            </w:r>
            <w:r>
              <w:rPr>
                <w:rFonts w:ascii="Arial" w:hAnsi="Arial" w:cs="Arial"/>
                <w:bCs/>
                <w:sz w:val="20"/>
              </w:rPr>
              <w:t>%</w:t>
            </w:r>
          </w:p>
        </w:tc>
        <w:tc>
          <w:tcPr>
            <w:tcW w:w="1467" w:type="dxa"/>
          </w:tcPr>
          <w:p w14:paraId="0298CADA" w14:textId="77777777" w:rsidR="0036010B" w:rsidRDefault="00877B91">
            <w:pPr>
              <w:pStyle w:val="NormalWeb"/>
              <w:jc w:val="center"/>
              <w:rPr>
                <w:rFonts w:ascii="Arial" w:eastAsia="Calibri" w:hAnsi="Arial" w:cs="Arial"/>
                <w:sz w:val="20"/>
              </w:rPr>
            </w:pPr>
            <w:r>
              <w:rPr>
                <w:rFonts w:ascii="Arial" w:eastAsia="Calibri" w:hAnsi="Arial" w:cs="Arial"/>
                <w:sz w:val="20"/>
              </w:rPr>
              <w:t>2</w:t>
            </w:r>
          </w:p>
        </w:tc>
        <w:tc>
          <w:tcPr>
            <w:tcW w:w="1530" w:type="dxa"/>
          </w:tcPr>
          <w:p w14:paraId="3AAAAC24" w14:textId="77777777" w:rsidR="0036010B" w:rsidRDefault="00877B91">
            <w:pPr>
              <w:pStyle w:val="NormalWeb"/>
              <w:jc w:val="center"/>
              <w:rPr>
                <w:rFonts w:ascii="Arial" w:eastAsia="Calibri" w:hAnsi="Arial" w:cs="Arial"/>
                <w:sz w:val="20"/>
              </w:rPr>
            </w:pPr>
            <w:r>
              <w:rPr>
                <w:rFonts w:ascii="Arial" w:eastAsia="Calibri" w:hAnsi="Arial" w:cs="Arial"/>
                <w:sz w:val="20"/>
              </w:rPr>
              <w:t>12.5</w:t>
            </w:r>
            <w:r>
              <w:rPr>
                <w:rFonts w:ascii="Arial" w:hAnsi="Arial" w:cs="Arial"/>
                <w:bCs/>
                <w:sz w:val="20"/>
              </w:rPr>
              <w:t>%</w:t>
            </w:r>
          </w:p>
        </w:tc>
      </w:tr>
      <w:tr w:rsidR="0036010B" w14:paraId="03143515" w14:textId="77777777">
        <w:trPr>
          <w:trHeight w:val="257"/>
        </w:trPr>
        <w:tc>
          <w:tcPr>
            <w:tcW w:w="2235" w:type="dxa"/>
          </w:tcPr>
          <w:p w14:paraId="0B1B90E3" w14:textId="77777777" w:rsidR="0036010B" w:rsidRDefault="00877B91">
            <w:pPr>
              <w:pStyle w:val="NormalWeb"/>
              <w:jc w:val="center"/>
              <w:rPr>
                <w:rFonts w:ascii="Arial" w:hAnsi="Arial" w:cs="Arial"/>
                <w:sz w:val="20"/>
              </w:rPr>
            </w:pPr>
            <w:r>
              <w:rPr>
                <w:rFonts w:ascii="Arial" w:hAnsi="Arial" w:cs="Arial"/>
                <w:sz w:val="20"/>
              </w:rPr>
              <w:t>20</w:t>
            </w:r>
          </w:p>
        </w:tc>
        <w:tc>
          <w:tcPr>
            <w:tcW w:w="2976" w:type="dxa"/>
          </w:tcPr>
          <w:p w14:paraId="3B91FFB3" w14:textId="77777777" w:rsidR="0036010B" w:rsidRDefault="00877B91">
            <w:pPr>
              <w:pStyle w:val="NormalWeb"/>
              <w:jc w:val="center"/>
              <w:rPr>
                <w:rFonts w:ascii="Arial" w:eastAsia="Calibri" w:hAnsi="Arial" w:cs="Arial"/>
                <w:bCs/>
                <w:sz w:val="20"/>
                <w:lang w:val="en-PH"/>
              </w:rPr>
            </w:pPr>
            <w:r>
              <w:rPr>
                <w:rFonts w:ascii="Arial" w:eastAsia="Calibri" w:hAnsi="Arial" w:cs="Arial"/>
                <w:bCs/>
                <w:sz w:val="20"/>
                <w:lang w:val="en-PH"/>
              </w:rPr>
              <w:t>84%</w:t>
            </w:r>
          </w:p>
        </w:tc>
        <w:tc>
          <w:tcPr>
            <w:tcW w:w="1467" w:type="dxa"/>
          </w:tcPr>
          <w:p w14:paraId="6B0B4872" w14:textId="77777777" w:rsidR="0036010B" w:rsidRDefault="00877B91">
            <w:pPr>
              <w:pStyle w:val="NormalWeb"/>
              <w:jc w:val="center"/>
              <w:rPr>
                <w:rFonts w:ascii="Arial" w:eastAsia="Calibri" w:hAnsi="Arial" w:cs="Arial"/>
                <w:sz w:val="20"/>
              </w:rPr>
            </w:pPr>
            <w:r>
              <w:rPr>
                <w:rFonts w:ascii="Arial" w:eastAsia="Calibri" w:hAnsi="Arial" w:cs="Arial"/>
                <w:sz w:val="20"/>
              </w:rPr>
              <w:t>1</w:t>
            </w:r>
          </w:p>
        </w:tc>
        <w:tc>
          <w:tcPr>
            <w:tcW w:w="1530" w:type="dxa"/>
          </w:tcPr>
          <w:p w14:paraId="2AE73620" w14:textId="77777777" w:rsidR="0036010B" w:rsidRDefault="00877B91">
            <w:pPr>
              <w:pStyle w:val="NormalWeb"/>
              <w:jc w:val="center"/>
              <w:rPr>
                <w:rFonts w:ascii="Arial" w:eastAsia="Calibri" w:hAnsi="Arial" w:cs="Arial"/>
                <w:sz w:val="20"/>
              </w:rPr>
            </w:pPr>
            <w:r>
              <w:rPr>
                <w:rFonts w:ascii="Arial" w:eastAsia="Calibri" w:hAnsi="Arial" w:cs="Arial"/>
                <w:sz w:val="20"/>
              </w:rPr>
              <w:t>6.2</w:t>
            </w:r>
            <w:r>
              <w:rPr>
                <w:rFonts w:ascii="Arial" w:hAnsi="Arial" w:cs="Arial"/>
                <w:bCs/>
                <w:sz w:val="20"/>
              </w:rPr>
              <w:t>%</w:t>
            </w:r>
          </w:p>
        </w:tc>
      </w:tr>
      <w:tr w:rsidR="0036010B" w14:paraId="2A85F54E" w14:textId="77777777">
        <w:trPr>
          <w:trHeight w:val="257"/>
        </w:trPr>
        <w:tc>
          <w:tcPr>
            <w:tcW w:w="8208" w:type="dxa"/>
            <w:gridSpan w:val="4"/>
          </w:tcPr>
          <w:p w14:paraId="394516BC" w14:textId="77777777" w:rsidR="0036010B" w:rsidRDefault="00877B91">
            <w:pPr>
              <w:pStyle w:val="NormalWeb"/>
              <w:rPr>
                <w:rFonts w:ascii="Arial" w:eastAsia="Calibri" w:hAnsi="Arial" w:cs="Arial"/>
                <w:b/>
                <w:bCs/>
                <w:sz w:val="20"/>
              </w:rPr>
            </w:pPr>
            <w:r>
              <w:rPr>
                <w:rFonts w:ascii="Arial" w:eastAsia="Calibri" w:hAnsi="Arial" w:cs="Arial"/>
                <w:b/>
                <w:bCs/>
                <w:sz w:val="20"/>
              </w:rPr>
              <w:t>Total:                                                                                             16                    100%</w:t>
            </w:r>
          </w:p>
        </w:tc>
      </w:tr>
      <w:tr w:rsidR="0036010B" w14:paraId="1C4A9CB9" w14:textId="77777777">
        <w:trPr>
          <w:trHeight w:val="257"/>
        </w:trPr>
        <w:tc>
          <w:tcPr>
            <w:tcW w:w="8208" w:type="dxa"/>
            <w:gridSpan w:val="4"/>
          </w:tcPr>
          <w:p w14:paraId="702074FE" w14:textId="77777777" w:rsidR="0036010B" w:rsidRDefault="00877B91">
            <w:pPr>
              <w:pStyle w:val="NormalWeb"/>
              <w:spacing w:beforeAutospacing="0" w:afterAutospacing="0"/>
              <w:rPr>
                <w:rFonts w:ascii="Arial" w:eastAsia="Calibri" w:hAnsi="Arial" w:cs="Arial"/>
                <w:sz w:val="20"/>
              </w:rPr>
            </w:pPr>
            <w:r>
              <w:rPr>
                <w:rFonts w:ascii="Arial" w:eastAsia="Calibri" w:hAnsi="Arial" w:cs="Arial"/>
                <w:sz w:val="20"/>
              </w:rPr>
              <w:t>Mean: 12.50</w:t>
            </w:r>
          </w:p>
          <w:p w14:paraId="2835354D" w14:textId="77777777" w:rsidR="0036010B" w:rsidRDefault="00877B91">
            <w:pPr>
              <w:pStyle w:val="NormalWeb"/>
              <w:spacing w:beforeAutospacing="0" w:afterAutospacing="0"/>
              <w:rPr>
                <w:rFonts w:ascii="Arial" w:eastAsia="Calibri" w:hAnsi="Arial" w:cs="Arial"/>
                <w:sz w:val="20"/>
              </w:rPr>
            </w:pPr>
            <w:r>
              <w:rPr>
                <w:rFonts w:ascii="Arial" w:eastAsia="Calibri" w:hAnsi="Arial" w:cs="Arial"/>
                <w:sz w:val="20"/>
              </w:rPr>
              <w:t>Std. Dev.: 4.56</w:t>
            </w:r>
          </w:p>
        </w:tc>
      </w:tr>
    </w:tbl>
    <w:p w14:paraId="756B1F33" w14:textId="77777777" w:rsidR="0036010B" w:rsidRDefault="0036010B">
      <w:pPr>
        <w:pStyle w:val="NormalWeb"/>
        <w:spacing w:beforeAutospacing="0" w:afterAutospacing="0"/>
        <w:jc w:val="both"/>
        <w:rPr>
          <w:rStyle w:val="Strong"/>
          <w:rFonts w:ascii="Arial" w:hAnsi="Arial" w:cs="Arial"/>
          <w:sz w:val="20"/>
        </w:rPr>
      </w:pPr>
    </w:p>
    <w:p w14:paraId="2998D7FF" w14:textId="77777777" w:rsidR="0036010B" w:rsidRDefault="0036010B">
      <w:pPr>
        <w:pStyle w:val="NormalWeb"/>
        <w:spacing w:beforeAutospacing="0" w:afterAutospacing="0"/>
        <w:jc w:val="both"/>
        <w:rPr>
          <w:rStyle w:val="Strong"/>
          <w:rFonts w:ascii="Arial" w:hAnsi="Arial" w:cs="Arial"/>
          <w:sz w:val="20"/>
        </w:rPr>
      </w:pPr>
    </w:p>
    <w:p w14:paraId="67A31DD6" w14:textId="77777777" w:rsidR="0036010B" w:rsidRDefault="00877B91">
      <w:pPr>
        <w:ind w:right="113"/>
        <w:jc w:val="both"/>
        <w:rPr>
          <w:rFonts w:ascii="Arial" w:hAnsi="Arial" w:cs="Arial"/>
          <w:szCs w:val="24"/>
          <w:lang w:eastAsia="ko-KR"/>
        </w:rPr>
      </w:pPr>
      <w:r>
        <w:rPr>
          <w:rFonts w:ascii="Arial" w:hAnsi="Arial" w:cs="Arial"/>
          <w:szCs w:val="24"/>
          <w:lang w:eastAsia="ko-KR"/>
        </w:rPr>
        <w:lastRenderedPageBreak/>
        <w:t xml:space="preserve">The findings of this study demonstrate a significant </w:t>
      </w:r>
      <w:r>
        <w:rPr>
          <w:rFonts w:ascii="Arial" w:hAnsi="Arial" w:cs="Arial"/>
          <w:szCs w:val="24"/>
          <w:lang w:eastAsia="ko-KR"/>
        </w:rPr>
        <w:t>improvement in the reading comprehension skills of Grade 5 pupils at Catigbian Elementary School following the intervention using Think-Pair-Share. As shown in Table 2, the post-test results reveal a higher mean score of 16.56 compared to the pre-test mean</w:t>
      </w:r>
      <w:r>
        <w:rPr>
          <w:rFonts w:ascii="Arial" w:hAnsi="Arial" w:cs="Arial"/>
          <w:szCs w:val="24"/>
          <w:lang w:eastAsia="ko-KR"/>
        </w:rPr>
        <w:t xml:space="preserve"> of 12.50, indicating substantial growth in comprehension abilities among the respondents. Moreover, the increase in performance scores suggests that Think-Pair-Share effectively enhanced students' ability to analyze, process, and articulate information, l</w:t>
      </w:r>
      <w:r>
        <w:rPr>
          <w:rFonts w:ascii="Arial" w:hAnsi="Arial" w:cs="Arial"/>
          <w:szCs w:val="24"/>
          <w:lang w:eastAsia="ko-KR"/>
        </w:rPr>
        <w:t>eading to better reading comprehension outcomes. Additionally, the most frequently occurring scores—14, 19, and 23—each at 18.8%, signify that students experienced positive shifts in their literacy development. This upward trend highlights the strategy's e</w:t>
      </w:r>
      <w:r>
        <w:rPr>
          <w:rFonts w:ascii="Arial" w:hAnsi="Arial" w:cs="Arial"/>
          <w:szCs w:val="24"/>
          <w:lang w:eastAsia="ko-KR"/>
        </w:rPr>
        <w:t>ffectiveness in promoting active learning, collaborative engagement, and deeper text analysis.</w:t>
      </w:r>
    </w:p>
    <w:p w14:paraId="77BC9087" w14:textId="77777777" w:rsidR="0036010B" w:rsidRDefault="0036010B">
      <w:pPr>
        <w:ind w:right="113"/>
        <w:jc w:val="both"/>
        <w:rPr>
          <w:rFonts w:ascii="Arial" w:hAnsi="Arial" w:cs="Arial"/>
          <w:szCs w:val="24"/>
          <w:lang w:eastAsia="ko-KR"/>
        </w:rPr>
      </w:pPr>
    </w:p>
    <w:p w14:paraId="18017991" w14:textId="77777777" w:rsidR="0036010B" w:rsidRDefault="00877B91">
      <w:pPr>
        <w:ind w:right="113"/>
        <w:jc w:val="both"/>
        <w:rPr>
          <w:rFonts w:ascii="Arial" w:hAnsi="Arial" w:cs="Arial"/>
          <w:szCs w:val="24"/>
          <w:lang w:eastAsia="ko-KR"/>
        </w:rPr>
      </w:pPr>
      <w:r>
        <w:rPr>
          <w:rFonts w:ascii="Arial" w:hAnsi="Arial" w:cs="Arial"/>
          <w:szCs w:val="24"/>
          <w:lang w:eastAsia="ko-KR"/>
        </w:rPr>
        <w:t xml:space="preserve">Furthermore, the moderate standard deviation of 4.59 indicates that variability in student scores remains within a reasonable range. While some pupils achieved </w:t>
      </w:r>
      <w:r>
        <w:rPr>
          <w:rFonts w:ascii="Arial" w:hAnsi="Arial" w:cs="Arial"/>
          <w:szCs w:val="24"/>
          <w:lang w:eastAsia="ko-KR"/>
        </w:rPr>
        <w:t>higher comprehension mastery, others still require additional instructional support. Nevertheless, the overall trend in scores affirms the benefits of structured peer-based learning, emphasizing how interactive strategies can positively impact literacy dev</w:t>
      </w:r>
      <w:r>
        <w:rPr>
          <w:rFonts w:ascii="Arial" w:hAnsi="Arial" w:cs="Arial"/>
          <w:szCs w:val="24"/>
          <w:lang w:eastAsia="ko-KR"/>
        </w:rPr>
        <w:t>elopment. Consequently, the ThinkPair-Share intervention fostered a more engaging, student-centered approach that enabled learners to discuss, refine, and synthesize their ideas. By actively participating in paired discussions, pupils developed stronger co</w:t>
      </w:r>
      <w:r>
        <w:rPr>
          <w:rFonts w:ascii="Arial" w:hAnsi="Arial" w:cs="Arial"/>
          <w:szCs w:val="24"/>
          <w:lang w:eastAsia="ko-KR"/>
        </w:rPr>
        <w:t>gnitive connections with reading materials, leading to improved retention and understanding. Research supports that cooperative learning enhances comprehension skills by allowing students to verbalize their thoughts, exchange perspectives, and apply critic</w:t>
      </w:r>
      <w:r>
        <w:rPr>
          <w:rFonts w:ascii="Arial" w:hAnsi="Arial" w:cs="Arial"/>
          <w:szCs w:val="24"/>
          <w:lang w:eastAsia="ko-KR"/>
        </w:rPr>
        <w:t xml:space="preserve">al thinking strategies (Utami &amp; Rusdarti, </w:t>
      </w:r>
      <w:proofErr w:type="gramStart"/>
      <w:r>
        <w:rPr>
          <w:rFonts w:ascii="Arial" w:hAnsi="Arial" w:cs="Arial"/>
          <w:szCs w:val="24"/>
          <w:lang w:eastAsia="ko-KR"/>
        </w:rPr>
        <w:t>2021;Lestari</w:t>
      </w:r>
      <w:proofErr w:type="gramEnd"/>
      <w:r>
        <w:rPr>
          <w:rFonts w:ascii="Arial" w:hAnsi="Arial" w:cs="Arial"/>
          <w:szCs w:val="24"/>
          <w:lang w:eastAsia="ko-KR"/>
        </w:rPr>
        <w:t>, 2022).</w:t>
      </w:r>
    </w:p>
    <w:p w14:paraId="0BA16028" w14:textId="77777777" w:rsidR="0036010B" w:rsidRDefault="0036010B">
      <w:pPr>
        <w:ind w:right="113"/>
        <w:jc w:val="both"/>
        <w:rPr>
          <w:rFonts w:ascii="Arial" w:hAnsi="Arial" w:cs="Arial"/>
          <w:szCs w:val="24"/>
          <w:lang w:eastAsia="ko-KR"/>
        </w:rPr>
      </w:pPr>
    </w:p>
    <w:p w14:paraId="48F2A603" w14:textId="77777777" w:rsidR="0036010B" w:rsidRDefault="00877B91">
      <w:pPr>
        <w:ind w:right="113"/>
        <w:jc w:val="both"/>
        <w:rPr>
          <w:rFonts w:ascii="Arial" w:hAnsi="Arial" w:cs="Arial"/>
          <w:szCs w:val="24"/>
          <w:lang w:eastAsia="ko-KR"/>
        </w:rPr>
      </w:pPr>
      <w:r>
        <w:rPr>
          <w:rFonts w:ascii="Arial" w:hAnsi="Arial" w:cs="Arial"/>
          <w:szCs w:val="24"/>
          <w:lang w:eastAsia="ko-KR"/>
        </w:rPr>
        <w:t>As a result, the findings reinforce the importance of interactive and collaborative teaching strategies in elementary education. The observed progress in student performance suggests that stru</w:t>
      </w:r>
      <w:r>
        <w:rPr>
          <w:rFonts w:ascii="Arial" w:hAnsi="Arial" w:cs="Arial"/>
          <w:szCs w:val="24"/>
          <w:lang w:eastAsia="ko-KR"/>
        </w:rPr>
        <w:t>ctured peer discussions provide meaningful opportunities for learners to process information more effectively and engage deeply with texts. Therefore, educators should continue implementing Think-Pair-Share regularly, as it fosters confidence, analytical r</w:t>
      </w:r>
      <w:r>
        <w:rPr>
          <w:rFonts w:ascii="Arial" w:hAnsi="Arial" w:cs="Arial"/>
          <w:szCs w:val="24"/>
          <w:lang w:eastAsia="ko-KR"/>
        </w:rPr>
        <w:t>easoning, and comprehension enhancement. Additionally, to sustain this positive literacy growth, teachers should adopt Think-Pair-Share as an ongoing instructional strategy while integrating additional interventions for lower-performing students. Specifica</w:t>
      </w:r>
      <w:r>
        <w:rPr>
          <w:rFonts w:ascii="Arial" w:hAnsi="Arial" w:cs="Arial"/>
          <w:szCs w:val="24"/>
          <w:lang w:eastAsia="ko-KR"/>
        </w:rPr>
        <w:t>lly, guided reading sessions can offer targeted support for struggling readers through teacher-facilitated discussions and structured comprehension exercises. At the same time, small-group instruction can provide individualized attention to students who ne</w:t>
      </w:r>
      <w:r>
        <w:rPr>
          <w:rFonts w:ascii="Arial" w:hAnsi="Arial" w:cs="Arial"/>
          <w:szCs w:val="24"/>
          <w:lang w:eastAsia="ko-KR"/>
        </w:rPr>
        <w:t xml:space="preserve">ed further development in specific comprehension areas. </w:t>
      </w:r>
    </w:p>
    <w:p w14:paraId="1FD7A5DF" w14:textId="77777777" w:rsidR="0036010B" w:rsidRDefault="0036010B">
      <w:pPr>
        <w:ind w:right="113"/>
        <w:jc w:val="both"/>
        <w:rPr>
          <w:rFonts w:ascii="Arial" w:hAnsi="Arial" w:cs="Arial"/>
          <w:szCs w:val="24"/>
          <w:lang w:eastAsia="ko-KR"/>
        </w:rPr>
      </w:pPr>
    </w:p>
    <w:p w14:paraId="2F031B41" w14:textId="77777777" w:rsidR="0036010B" w:rsidRDefault="00877B91">
      <w:pPr>
        <w:ind w:right="113"/>
        <w:jc w:val="both"/>
        <w:rPr>
          <w:rFonts w:ascii="Arial" w:hAnsi="Arial" w:cs="Arial"/>
          <w:szCs w:val="24"/>
          <w:lang w:eastAsia="ko-KR"/>
        </w:rPr>
      </w:pPr>
      <w:r>
        <w:rPr>
          <w:rFonts w:ascii="Arial" w:hAnsi="Arial" w:cs="Arial"/>
          <w:szCs w:val="24"/>
          <w:lang w:eastAsia="ko-KR"/>
        </w:rPr>
        <w:t>Moreover, expanding reading materials is essential to expose pupils to diverse genres, vocabulary, and contexts, thereby enriching their comprehension abilities. Likewise, interactive storytelling a</w:t>
      </w:r>
      <w:r>
        <w:rPr>
          <w:rFonts w:ascii="Arial" w:hAnsi="Arial" w:cs="Arial"/>
          <w:szCs w:val="24"/>
          <w:lang w:eastAsia="ko-KR"/>
        </w:rPr>
        <w:t>ctivities can encourage students to create, narrate, and critique stories, reinforcing their ability to synthesize and articulate ideas. Ultimately, the post-test results confirm that the Think-Pair-Share intervention significantly enhanced reading compreh</w:t>
      </w:r>
      <w:r>
        <w:rPr>
          <w:rFonts w:ascii="Arial" w:hAnsi="Arial" w:cs="Arial"/>
          <w:szCs w:val="24"/>
          <w:lang w:eastAsia="ko-KR"/>
        </w:rPr>
        <w:t>ension among Grade 5 pupils. By fostering interactive, student-centered learning, this strategy effectively bridges literacy gaps and cultivates analytical thinking skills. Moving forward, continued application of peer-based strategies, differentiated inst</w:t>
      </w:r>
      <w:r>
        <w:rPr>
          <w:rFonts w:ascii="Arial" w:hAnsi="Arial" w:cs="Arial"/>
          <w:szCs w:val="24"/>
          <w:lang w:eastAsia="ko-KR"/>
        </w:rPr>
        <w:t>ruction, and structured literacy activities will further strengthen students’ reading comprehension abilities and overall academic success. Through collaborative engagement and strategic implementation, educators can ensure that students transition from fr</w:t>
      </w:r>
      <w:r>
        <w:rPr>
          <w:rFonts w:ascii="Arial" w:hAnsi="Arial" w:cs="Arial"/>
          <w:szCs w:val="24"/>
          <w:lang w:eastAsia="ko-KR"/>
        </w:rPr>
        <w:t xml:space="preserve">ustration to independent reading levels while developing critical thinking and analytical skills necessary </w:t>
      </w:r>
    </w:p>
    <w:p w14:paraId="25394BC8" w14:textId="77777777" w:rsidR="0036010B" w:rsidRDefault="00877B91">
      <w:pPr>
        <w:ind w:right="113"/>
        <w:jc w:val="both"/>
        <w:rPr>
          <w:rFonts w:ascii="Arial" w:hAnsi="Arial" w:cs="Arial"/>
          <w:szCs w:val="24"/>
          <w:lang w:eastAsia="ko-KR"/>
        </w:rPr>
      </w:pPr>
      <w:r>
        <w:rPr>
          <w:rFonts w:ascii="Arial" w:hAnsi="Arial" w:cs="Arial"/>
          <w:szCs w:val="24"/>
          <w:lang w:eastAsia="ko-KR"/>
        </w:rPr>
        <w:t>for lifelong learning.</w:t>
      </w:r>
    </w:p>
    <w:p w14:paraId="221CEFDB" w14:textId="77777777" w:rsidR="0036010B" w:rsidRDefault="0036010B">
      <w:pPr>
        <w:ind w:right="113"/>
        <w:jc w:val="both"/>
        <w:rPr>
          <w:rFonts w:ascii="Arial" w:hAnsi="Arial" w:cs="Arial"/>
          <w:szCs w:val="24"/>
        </w:rPr>
      </w:pPr>
    </w:p>
    <w:p w14:paraId="4B2A60E0" w14:textId="77777777" w:rsidR="0036010B" w:rsidRDefault="0036010B">
      <w:pPr>
        <w:ind w:right="113"/>
        <w:jc w:val="both"/>
        <w:rPr>
          <w:rFonts w:ascii="Arial" w:hAnsi="Arial" w:cs="Arial"/>
          <w:szCs w:val="24"/>
        </w:rPr>
      </w:pPr>
    </w:p>
    <w:p w14:paraId="33D353AF" w14:textId="77777777" w:rsidR="0036010B" w:rsidRDefault="00877B91">
      <w:pPr>
        <w:ind w:right="113"/>
        <w:jc w:val="center"/>
        <w:rPr>
          <w:rFonts w:ascii="Arial" w:hAnsi="Arial" w:cs="Arial"/>
          <w:b/>
          <w:bCs/>
          <w:szCs w:val="24"/>
        </w:rPr>
      </w:pPr>
      <w:r>
        <w:rPr>
          <w:rFonts w:ascii="Arial" w:hAnsi="Arial" w:cs="Arial"/>
          <w:b/>
          <w:bCs/>
          <w:szCs w:val="24"/>
        </w:rPr>
        <w:lastRenderedPageBreak/>
        <w:t>Table 2: Post-test Result</w:t>
      </w:r>
    </w:p>
    <w:tbl>
      <w:tblPr>
        <w:tblStyle w:val="TableGrid"/>
        <w:tblpPr w:leftFromText="180" w:rightFromText="180" w:vertAnchor="text" w:horzAnchor="margin" w:tblpXSpec="center" w:tblpY="651"/>
        <w:tblW w:w="8649" w:type="dxa"/>
        <w:tblLayout w:type="fixed"/>
        <w:tblLook w:val="04A0" w:firstRow="1" w:lastRow="0" w:firstColumn="1" w:lastColumn="0" w:noHBand="0" w:noVBand="1"/>
      </w:tblPr>
      <w:tblGrid>
        <w:gridCol w:w="1384"/>
        <w:gridCol w:w="3260"/>
        <w:gridCol w:w="2105"/>
        <w:gridCol w:w="1900"/>
      </w:tblGrid>
      <w:tr w:rsidR="0036010B" w14:paraId="0EBA835B" w14:textId="77777777">
        <w:trPr>
          <w:trHeight w:val="284"/>
        </w:trPr>
        <w:tc>
          <w:tcPr>
            <w:tcW w:w="1384" w:type="dxa"/>
          </w:tcPr>
          <w:p w14:paraId="4D3E200A" w14:textId="77777777" w:rsidR="0036010B" w:rsidRDefault="00877B91">
            <w:pPr>
              <w:spacing w:beforeAutospacing="1"/>
              <w:jc w:val="center"/>
              <w:outlineLvl w:val="2"/>
              <w:rPr>
                <w:rFonts w:ascii="Arial" w:hAnsi="Arial" w:cs="Arial"/>
                <w:b/>
                <w:bCs/>
                <w:sz w:val="24"/>
                <w:szCs w:val="24"/>
                <w:lang w:eastAsia="en-PH"/>
              </w:rPr>
            </w:pPr>
            <w:r>
              <w:rPr>
                <w:b/>
                <w:bCs/>
              </w:rPr>
              <w:t>Scores</w:t>
            </w:r>
          </w:p>
        </w:tc>
        <w:tc>
          <w:tcPr>
            <w:tcW w:w="3260" w:type="dxa"/>
          </w:tcPr>
          <w:p w14:paraId="635FF3B3" w14:textId="77777777" w:rsidR="0036010B" w:rsidRDefault="00877B91">
            <w:pPr>
              <w:spacing w:beforeAutospacing="1"/>
              <w:jc w:val="center"/>
              <w:outlineLvl w:val="2"/>
              <w:rPr>
                <w:b/>
                <w:bCs/>
                <w:sz w:val="20"/>
              </w:rPr>
            </w:pPr>
            <w:r>
              <w:rPr>
                <w:b/>
                <w:bCs/>
              </w:rPr>
              <w:t>Comprehension Percentage</w:t>
            </w:r>
          </w:p>
        </w:tc>
        <w:tc>
          <w:tcPr>
            <w:tcW w:w="2105" w:type="dxa"/>
          </w:tcPr>
          <w:p w14:paraId="73151296" w14:textId="77777777" w:rsidR="0036010B" w:rsidRDefault="00877B91">
            <w:pPr>
              <w:spacing w:beforeAutospacing="1"/>
              <w:jc w:val="center"/>
              <w:outlineLvl w:val="2"/>
              <w:rPr>
                <w:b/>
                <w:bCs/>
                <w:sz w:val="20"/>
              </w:rPr>
            </w:pPr>
            <w:r>
              <w:rPr>
                <w:b/>
                <w:bCs/>
              </w:rPr>
              <w:t>Frequency</w:t>
            </w:r>
          </w:p>
        </w:tc>
        <w:tc>
          <w:tcPr>
            <w:tcW w:w="1900" w:type="dxa"/>
          </w:tcPr>
          <w:p w14:paraId="0A76E84D" w14:textId="77777777" w:rsidR="0036010B" w:rsidRDefault="00877B91">
            <w:pPr>
              <w:spacing w:beforeAutospacing="1"/>
              <w:jc w:val="center"/>
              <w:outlineLvl w:val="2"/>
              <w:rPr>
                <w:b/>
                <w:bCs/>
                <w:sz w:val="20"/>
              </w:rPr>
            </w:pPr>
            <w:r>
              <w:rPr>
                <w:b/>
                <w:bCs/>
              </w:rPr>
              <w:t>Percentage</w:t>
            </w:r>
          </w:p>
        </w:tc>
      </w:tr>
      <w:tr w:rsidR="0036010B" w14:paraId="7604A316" w14:textId="77777777">
        <w:trPr>
          <w:trHeight w:val="284"/>
        </w:trPr>
        <w:tc>
          <w:tcPr>
            <w:tcW w:w="1384" w:type="dxa"/>
          </w:tcPr>
          <w:p w14:paraId="244DE213" w14:textId="77777777" w:rsidR="0036010B" w:rsidRDefault="00877B91">
            <w:pPr>
              <w:spacing w:beforeAutospacing="1"/>
              <w:jc w:val="center"/>
              <w:outlineLvl w:val="2"/>
              <w:rPr>
                <w:rFonts w:ascii="Arial" w:hAnsi="Arial" w:cs="Arial"/>
                <w:bCs/>
                <w:sz w:val="24"/>
                <w:szCs w:val="24"/>
                <w:lang w:eastAsia="en-PH"/>
              </w:rPr>
            </w:pPr>
            <w:r>
              <w:t>10</w:t>
            </w:r>
          </w:p>
        </w:tc>
        <w:tc>
          <w:tcPr>
            <w:tcW w:w="3260" w:type="dxa"/>
          </w:tcPr>
          <w:p w14:paraId="5AE6A63A" w14:textId="77777777" w:rsidR="0036010B" w:rsidRDefault="00877B91">
            <w:pPr>
              <w:jc w:val="center"/>
              <w:rPr>
                <w:sz w:val="20"/>
              </w:rPr>
            </w:pPr>
            <w:r>
              <w:t>40%</w:t>
            </w:r>
          </w:p>
        </w:tc>
        <w:tc>
          <w:tcPr>
            <w:tcW w:w="2105" w:type="dxa"/>
          </w:tcPr>
          <w:p w14:paraId="5D83E92B" w14:textId="77777777" w:rsidR="0036010B" w:rsidRDefault="00877B91">
            <w:pPr>
              <w:jc w:val="center"/>
              <w:rPr>
                <w:sz w:val="20"/>
              </w:rPr>
            </w:pPr>
            <w:r>
              <w:t>2</w:t>
            </w:r>
          </w:p>
        </w:tc>
        <w:tc>
          <w:tcPr>
            <w:tcW w:w="1900" w:type="dxa"/>
          </w:tcPr>
          <w:p w14:paraId="2894F841" w14:textId="77777777" w:rsidR="0036010B" w:rsidRDefault="00877B91">
            <w:pPr>
              <w:spacing w:beforeAutospacing="1"/>
              <w:jc w:val="center"/>
              <w:outlineLvl w:val="2"/>
              <w:rPr>
                <w:sz w:val="20"/>
              </w:rPr>
            </w:pPr>
            <w:r>
              <w:t>12.5%</w:t>
            </w:r>
          </w:p>
        </w:tc>
      </w:tr>
      <w:tr w:rsidR="0036010B" w14:paraId="1EC6C40A" w14:textId="77777777">
        <w:trPr>
          <w:trHeight w:val="284"/>
        </w:trPr>
        <w:tc>
          <w:tcPr>
            <w:tcW w:w="1384" w:type="dxa"/>
          </w:tcPr>
          <w:p w14:paraId="2AF17C27" w14:textId="77777777" w:rsidR="0036010B" w:rsidRDefault="00877B91">
            <w:pPr>
              <w:spacing w:beforeAutospacing="1"/>
              <w:jc w:val="center"/>
              <w:outlineLvl w:val="2"/>
              <w:rPr>
                <w:rFonts w:ascii="Arial" w:hAnsi="Arial" w:cs="Arial"/>
                <w:bCs/>
                <w:sz w:val="24"/>
                <w:szCs w:val="24"/>
                <w:lang w:eastAsia="en-PH"/>
              </w:rPr>
            </w:pPr>
            <w:r>
              <w:t>12</w:t>
            </w:r>
          </w:p>
        </w:tc>
        <w:tc>
          <w:tcPr>
            <w:tcW w:w="3260" w:type="dxa"/>
          </w:tcPr>
          <w:p w14:paraId="0D34B312" w14:textId="77777777" w:rsidR="0036010B" w:rsidRDefault="00877B91">
            <w:pPr>
              <w:jc w:val="center"/>
              <w:rPr>
                <w:sz w:val="20"/>
              </w:rPr>
            </w:pPr>
            <w:r>
              <w:t>48%</w:t>
            </w:r>
          </w:p>
        </w:tc>
        <w:tc>
          <w:tcPr>
            <w:tcW w:w="2105" w:type="dxa"/>
          </w:tcPr>
          <w:p w14:paraId="39C67748" w14:textId="77777777" w:rsidR="0036010B" w:rsidRDefault="00877B91">
            <w:pPr>
              <w:jc w:val="center"/>
              <w:rPr>
                <w:sz w:val="20"/>
              </w:rPr>
            </w:pPr>
            <w:r>
              <w:t>1</w:t>
            </w:r>
          </w:p>
        </w:tc>
        <w:tc>
          <w:tcPr>
            <w:tcW w:w="1900" w:type="dxa"/>
          </w:tcPr>
          <w:p w14:paraId="0DDAD269" w14:textId="77777777" w:rsidR="0036010B" w:rsidRDefault="00877B91">
            <w:pPr>
              <w:spacing w:beforeAutospacing="1"/>
              <w:jc w:val="center"/>
              <w:outlineLvl w:val="2"/>
              <w:rPr>
                <w:sz w:val="20"/>
              </w:rPr>
            </w:pPr>
            <w:r>
              <w:t>6.2%</w:t>
            </w:r>
          </w:p>
        </w:tc>
      </w:tr>
      <w:tr w:rsidR="0036010B" w14:paraId="243EE55A" w14:textId="77777777">
        <w:trPr>
          <w:trHeight w:val="284"/>
        </w:trPr>
        <w:tc>
          <w:tcPr>
            <w:tcW w:w="1384" w:type="dxa"/>
          </w:tcPr>
          <w:p w14:paraId="4A5B6875" w14:textId="77777777" w:rsidR="0036010B" w:rsidRDefault="00877B91">
            <w:pPr>
              <w:spacing w:beforeAutospacing="1"/>
              <w:jc w:val="center"/>
              <w:outlineLvl w:val="2"/>
              <w:rPr>
                <w:rFonts w:ascii="Arial" w:hAnsi="Arial" w:cs="Arial"/>
                <w:bCs/>
                <w:sz w:val="24"/>
                <w:szCs w:val="24"/>
                <w:lang w:eastAsia="en-PH"/>
              </w:rPr>
            </w:pPr>
            <w:r>
              <w:t>13</w:t>
            </w:r>
          </w:p>
        </w:tc>
        <w:tc>
          <w:tcPr>
            <w:tcW w:w="3260" w:type="dxa"/>
          </w:tcPr>
          <w:p w14:paraId="2FC32C84" w14:textId="77777777" w:rsidR="0036010B" w:rsidRDefault="00877B91">
            <w:pPr>
              <w:jc w:val="center"/>
              <w:rPr>
                <w:sz w:val="20"/>
              </w:rPr>
            </w:pPr>
            <w:r>
              <w:t>52%</w:t>
            </w:r>
          </w:p>
        </w:tc>
        <w:tc>
          <w:tcPr>
            <w:tcW w:w="2105" w:type="dxa"/>
          </w:tcPr>
          <w:p w14:paraId="6D8F9FE3" w14:textId="77777777" w:rsidR="0036010B" w:rsidRDefault="00877B91">
            <w:pPr>
              <w:jc w:val="center"/>
              <w:rPr>
                <w:sz w:val="20"/>
              </w:rPr>
            </w:pPr>
            <w:r>
              <w:t>2</w:t>
            </w:r>
          </w:p>
        </w:tc>
        <w:tc>
          <w:tcPr>
            <w:tcW w:w="1900" w:type="dxa"/>
          </w:tcPr>
          <w:p w14:paraId="39F5C2CC" w14:textId="77777777" w:rsidR="0036010B" w:rsidRDefault="00877B91">
            <w:pPr>
              <w:spacing w:beforeAutospacing="1"/>
              <w:jc w:val="center"/>
              <w:outlineLvl w:val="2"/>
              <w:rPr>
                <w:sz w:val="20"/>
              </w:rPr>
            </w:pPr>
            <w:r>
              <w:t>12.5%</w:t>
            </w:r>
          </w:p>
        </w:tc>
      </w:tr>
      <w:tr w:rsidR="0036010B" w14:paraId="576D33CB" w14:textId="77777777">
        <w:trPr>
          <w:trHeight w:val="284"/>
        </w:trPr>
        <w:tc>
          <w:tcPr>
            <w:tcW w:w="1384" w:type="dxa"/>
          </w:tcPr>
          <w:p w14:paraId="1BF16DFC" w14:textId="77777777" w:rsidR="0036010B" w:rsidRDefault="00877B91">
            <w:pPr>
              <w:spacing w:beforeAutospacing="1"/>
              <w:jc w:val="center"/>
              <w:outlineLvl w:val="2"/>
              <w:rPr>
                <w:rFonts w:ascii="Arial" w:hAnsi="Arial" w:cs="Arial"/>
                <w:bCs/>
                <w:sz w:val="24"/>
                <w:szCs w:val="24"/>
                <w:lang w:eastAsia="en-PH"/>
              </w:rPr>
            </w:pPr>
            <w:r>
              <w:t>14</w:t>
            </w:r>
          </w:p>
        </w:tc>
        <w:tc>
          <w:tcPr>
            <w:tcW w:w="3260" w:type="dxa"/>
          </w:tcPr>
          <w:p w14:paraId="1815308B" w14:textId="77777777" w:rsidR="0036010B" w:rsidRDefault="00877B91">
            <w:pPr>
              <w:jc w:val="center"/>
              <w:rPr>
                <w:sz w:val="20"/>
              </w:rPr>
            </w:pPr>
            <w:r>
              <w:t>56%</w:t>
            </w:r>
          </w:p>
        </w:tc>
        <w:tc>
          <w:tcPr>
            <w:tcW w:w="2105" w:type="dxa"/>
          </w:tcPr>
          <w:p w14:paraId="7FF40FB8" w14:textId="77777777" w:rsidR="0036010B" w:rsidRDefault="00877B91">
            <w:pPr>
              <w:jc w:val="center"/>
              <w:rPr>
                <w:sz w:val="20"/>
              </w:rPr>
            </w:pPr>
            <w:r>
              <w:t>3</w:t>
            </w:r>
          </w:p>
        </w:tc>
        <w:tc>
          <w:tcPr>
            <w:tcW w:w="1900" w:type="dxa"/>
          </w:tcPr>
          <w:p w14:paraId="510C1422" w14:textId="77777777" w:rsidR="0036010B" w:rsidRDefault="00877B91">
            <w:pPr>
              <w:spacing w:beforeAutospacing="1"/>
              <w:jc w:val="center"/>
              <w:outlineLvl w:val="2"/>
              <w:rPr>
                <w:sz w:val="20"/>
              </w:rPr>
            </w:pPr>
            <w:r>
              <w:t>18.8%</w:t>
            </w:r>
          </w:p>
        </w:tc>
      </w:tr>
      <w:tr w:rsidR="0036010B" w14:paraId="3AC8BF5D" w14:textId="77777777">
        <w:trPr>
          <w:trHeight w:val="284"/>
        </w:trPr>
        <w:tc>
          <w:tcPr>
            <w:tcW w:w="1384" w:type="dxa"/>
          </w:tcPr>
          <w:p w14:paraId="1368CB9D" w14:textId="77777777" w:rsidR="0036010B" w:rsidRDefault="00877B91">
            <w:pPr>
              <w:spacing w:beforeAutospacing="1"/>
              <w:jc w:val="center"/>
              <w:outlineLvl w:val="2"/>
              <w:rPr>
                <w:rFonts w:ascii="Arial" w:hAnsi="Arial" w:cs="Arial"/>
                <w:bCs/>
                <w:sz w:val="24"/>
                <w:szCs w:val="24"/>
                <w:lang w:eastAsia="en-PH"/>
              </w:rPr>
            </w:pPr>
            <w:r>
              <w:t>18</w:t>
            </w:r>
          </w:p>
        </w:tc>
        <w:tc>
          <w:tcPr>
            <w:tcW w:w="3260" w:type="dxa"/>
          </w:tcPr>
          <w:p w14:paraId="365809D9" w14:textId="77777777" w:rsidR="0036010B" w:rsidRDefault="00877B91">
            <w:pPr>
              <w:jc w:val="center"/>
              <w:rPr>
                <w:sz w:val="20"/>
              </w:rPr>
            </w:pPr>
            <w:r>
              <w:t>72%</w:t>
            </w:r>
          </w:p>
        </w:tc>
        <w:tc>
          <w:tcPr>
            <w:tcW w:w="2105" w:type="dxa"/>
          </w:tcPr>
          <w:p w14:paraId="6A7E8C11" w14:textId="77777777" w:rsidR="0036010B" w:rsidRDefault="00877B91">
            <w:pPr>
              <w:jc w:val="center"/>
              <w:rPr>
                <w:sz w:val="20"/>
              </w:rPr>
            </w:pPr>
            <w:r>
              <w:t>1</w:t>
            </w:r>
          </w:p>
        </w:tc>
        <w:tc>
          <w:tcPr>
            <w:tcW w:w="1900" w:type="dxa"/>
          </w:tcPr>
          <w:p w14:paraId="13D057E6" w14:textId="77777777" w:rsidR="0036010B" w:rsidRDefault="00877B91">
            <w:pPr>
              <w:spacing w:beforeAutospacing="1"/>
              <w:jc w:val="center"/>
              <w:outlineLvl w:val="2"/>
              <w:rPr>
                <w:sz w:val="20"/>
              </w:rPr>
            </w:pPr>
            <w:r>
              <w:t>6.2%</w:t>
            </w:r>
          </w:p>
        </w:tc>
      </w:tr>
      <w:tr w:rsidR="0036010B" w14:paraId="308BE7BD" w14:textId="77777777">
        <w:trPr>
          <w:trHeight w:val="284"/>
        </w:trPr>
        <w:tc>
          <w:tcPr>
            <w:tcW w:w="1384" w:type="dxa"/>
          </w:tcPr>
          <w:p w14:paraId="42621E17" w14:textId="77777777" w:rsidR="0036010B" w:rsidRDefault="00877B91">
            <w:pPr>
              <w:spacing w:beforeAutospacing="1"/>
              <w:jc w:val="center"/>
              <w:outlineLvl w:val="2"/>
            </w:pPr>
            <w:r>
              <w:t>19</w:t>
            </w:r>
          </w:p>
        </w:tc>
        <w:tc>
          <w:tcPr>
            <w:tcW w:w="3260" w:type="dxa"/>
          </w:tcPr>
          <w:p w14:paraId="492920E3" w14:textId="77777777" w:rsidR="0036010B" w:rsidRDefault="00877B91">
            <w:pPr>
              <w:jc w:val="center"/>
            </w:pPr>
            <w:r>
              <w:t>76%</w:t>
            </w:r>
          </w:p>
        </w:tc>
        <w:tc>
          <w:tcPr>
            <w:tcW w:w="2105" w:type="dxa"/>
          </w:tcPr>
          <w:p w14:paraId="49DF77B6" w14:textId="77777777" w:rsidR="0036010B" w:rsidRDefault="00877B91">
            <w:pPr>
              <w:jc w:val="center"/>
            </w:pPr>
            <w:r>
              <w:t>3</w:t>
            </w:r>
          </w:p>
        </w:tc>
        <w:tc>
          <w:tcPr>
            <w:tcW w:w="1900" w:type="dxa"/>
          </w:tcPr>
          <w:p w14:paraId="1D005364" w14:textId="77777777" w:rsidR="0036010B" w:rsidRDefault="00877B91">
            <w:pPr>
              <w:spacing w:beforeAutospacing="1"/>
              <w:jc w:val="center"/>
              <w:outlineLvl w:val="2"/>
            </w:pPr>
            <w:r>
              <w:t>18.8%</w:t>
            </w:r>
          </w:p>
        </w:tc>
      </w:tr>
      <w:tr w:rsidR="0036010B" w14:paraId="3C4EA2DE" w14:textId="77777777">
        <w:trPr>
          <w:trHeight w:val="284"/>
        </w:trPr>
        <w:tc>
          <w:tcPr>
            <w:tcW w:w="1384" w:type="dxa"/>
          </w:tcPr>
          <w:p w14:paraId="02461149" w14:textId="77777777" w:rsidR="0036010B" w:rsidRDefault="00877B91">
            <w:pPr>
              <w:spacing w:beforeAutospacing="1"/>
              <w:jc w:val="center"/>
              <w:outlineLvl w:val="2"/>
            </w:pPr>
            <w:r>
              <w:t>21</w:t>
            </w:r>
          </w:p>
        </w:tc>
        <w:tc>
          <w:tcPr>
            <w:tcW w:w="3260" w:type="dxa"/>
          </w:tcPr>
          <w:p w14:paraId="5511C5E8" w14:textId="77777777" w:rsidR="0036010B" w:rsidRDefault="00877B91">
            <w:pPr>
              <w:jc w:val="center"/>
            </w:pPr>
            <w:r>
              <w:t>84%</w:t>
            </w:r>
          </w:p>
        </w:tc>
        <w:tc>
          <w:tcPr>
            <w:tcW w:w="2105" w:type="dxa"/>
          </w:tcPr>
          <w:p w14:paraId="25E22B74" w14:textId="77777777" w:rsidR="0036010B" w:rsidRDefault="00877B91">
            <w:pPr>
              <w:jc w:val="center"/>
            </w:pPr>
            <w:r>
              <w:t>1</w:t>
            </w:r>
          </w:p>
        </w:tc>
        <w:tc>
          <w:tcPr>
            <w:tcW w:w="1900" w:type="dxa"/>
          </w:tcPr>
          <w:p w14:paraId="70A9C745" w14:textId="77777777" w:rsidR="0036010B" w:rsidRDefault="00877B91">
            <w:pPr>
              <w:spacing w:beforeAutospacing="1"/>
              <w:jc w:val="center"/>
              <w:outlineLvl w:val="2"/>
            </w:pPr>
            <w:r>
              <w:t>6.2%</w:t>
            </w:r>
          </w:p>
        </w:tc>
      </w:tr>
      <w:tr w:rsidR="0036010B" w14:paraId="0B0BC982" w14:textId="77777777">
        <w:trPr>
          <w:trHeight w:val="284"/>
        </w:trPr>
        <w:tc>
          <w:tcPr>
            <w:tcW w:w="1384" w:type="dxa"/>
          </w:tcPr>
          <w:p w14:paraId="2FCB01C8" w14:textId="77777777" w:rsidR="0036010B" w:rsidRDefault="00877B91">
            <w:pPr>
              <w:spacing w:beforeAutospacing="1"/>
              <w:jc w:val="center"/>
              <w:outlineLvl w:val="2"/>
            </w:pPr>
            <w:r>
              <w:t>23</w:t>
            </w:r>
          </w:p>
        </w:tc>
        <w:tc>
          <w:tcPr>
            <w:tcW w:w="3260" w:type="dxa"/>
          </w:tcPr>
          <w:p w14:paraId="1A10150C" w14:textId="77777777" w:rsidR="0036010B" w:rsidRDefault="00877B91">
            <w:pPr>
              <w:jc w:val="center"/>
            </w:pPr>
            <w:r>
              <w:t>92%</w:t>
            </w:r>
          </w:p>
        </w:tc>
        <w:tc>
          <w:tcPr>
            <w:tcW w:w="2105" w:type="dxa"/>
          </w:tcPr>
          <w:p w14:paraId="76043A75" w14:textId="77777777" w:rsidR="0036010B" w:rsidRDefault="00877B91">
            <w:pPr>
              <w:jc w:val="center"/>
            </w:pPr>
            <w:r>
              <w:t>3</w:t>
            </w:r>
          </w:p>
        </w:tc>
        <w:tc>
          <w:tcPr>
            <w:tcW w:w="1900" w:type="dxa"/>
          </w:tcPr>
          <w:p w14:paraId="1B439730" w14:textId="77777777" w:rsidR="0036010B" w:rsidRDefault="00877B91">
            <w:pPr>
              <w:spacing w:beforeAutospacing="1"/>
              <w:jc w:val="center"/>
              <w:outlineLvl w:val="2"/>
            </w:pPr>
            <w:r>
              <w:t>18.8%</w:t>
            </w:r>
          </w:p>
        </w:tc>
      </w:tr>
      <w:tr w:rsidR="0036010B" w14:paraId="1388EF9C" w14:textId="77777777">
        <w:trPr>
          <w:trHeight w:val="284"/>
        </w:trPr>
        <w:tc>
          <w:tcPr>
            <w:tcW w:w="8649" w:type="dxa"/>
            <w:gridSpan w:val="4"/>
          </w:tcPr>
          <w:p w14:paraId="5E3E3520" w14:textId="77777777" w:rsidR="0036010B" w:rsidRDefault="00877B91">
            <w:pPr>
              <w:spacing w:beforeAutospacing="1"/>
              <w:outlineLvl w:val="2"/>
              <w:rPr>
                <w:b/>
                <w:bCs/>
              </w:rPr>
            </w:pPr>
            <w:r>
              <w:rPr>
                <w:b/>
                <w:bCs/>
              </w:rPr>
              <w:t>Total:                                                                                16                         100%</w:t>
            </w:r>
          </w:p>
        </w:tc>
      </w:tr>
      <w:tr w:rsidR="0036010B" w14:paraId="4659ECA9" w14:textId="77777777">
        <w:trPr>
          <w:trHeight w:val="284"/>
        </w:trPr>
        <w:tc>
          <w:tcPr>
            <w:tcW w:w="8649" w:type="dxa"/>
            <w:gridSpan w:val="4"/>
          </w:tcPr>
          <w:p w14:paraId="075CE521" w14:textId="77777777" w:rsidR="0036010B" w:rsidRDefault="00877B91">
            <w:pPr>
              <w:outlineLvl w:val="2"/>
            </w:pPr>
            <w:r>
              <w:t>Mean: 16.56</w:t>
            </w:r>
          </w:p>
          <w:p w14:paraId="11CED1F9" w14:textId="77777777" w:rsidR="0036010B" w:rsidRDefault="00877B91">
            <w:pPr>
              <w:outlineLvl w:val="2"/>
            </w:pPr>
            <w:r>
              <w:t>Std. Dev.: 4.59</w:t>
            </w:r>
          </w:p>
        </w:tc>
      </w:tr>
    </w:tbl>
    <w:p w14:paraId="02D8F9DF" w14:textId="77777777" w:rsidR="0036010B" w:rsidRDefault="0036010B">
      <w:pPr>
        <w:tabs>
          <w:tab w:val="left" w:pos="8647"/>
        </w:tabs>
        <w:spacing w:beforeAutospacing="1" w:afterAutospacing="1"/>
        <w:jc w:val="both"/>
        <w:rPr>
          <w:rFonts w:ascii="Arial" w:hAnsi="Arial" w:cs="Arial"/>
          <w:bCs/>
          <w:szCs w:val="24"/>
          <w:lang w:eastAsia="en-PH"/>
        </w:rPr>
      </w:pPr>
    </w:p>
    <w:p w14:paraId="58F697C2" w14:textId="77777777" w:rsidR="0036010B" w:rsidRDefault="00877B91">
      <w:pPr>
        <w:pStyle w:val="Body"/>
        <w:rPr>
          <w:rFonts w:ascii="Arial" w:hAnsi="Arial" w:cs="Arial"/>
          <w:bCs/>
          <w:lang w:val="en-PH" w:eastAsia="en-PH"/>
        </w:rPr>
      </w:pPr>
      <w:r>
        <w:rPr>
          <w:rFonts w:ascii="Arial" w:hAnsi="Arial" w:cs="Arial"/>
          <w:bCs/>
          <w:lang w:val="en-PH" w:eastAsia="en-PH"/>
        </w:rPr>
        <w:t>The findings of this study demonstrate a significant improvement in the reading comprehension skills of Grade 5 pupils at Catigbian Elementary School following the intervention using Think-Pair-Share. As shown in Table 2, the post-test results reveal a hig</w:t>
      </w:r>
      <w:r>
        <w:rPr>
          <w:rFonts w:ascii="Arial" w:hAnsi="Arial" w:cs="Arial"/>
          <w:bCs/>
          <w:lang w:val="en-PH" w:eastAsia="en-PH"/>
        </w:rPr>
        <w:t>her mean score of 16.56 compared to the pre-test mean of 12.50, indicating substantial growth in comprehension abilities among 19 the respondents. Moreover, the increase in performance scores suggests that Think-Pair-Share effectively enhanced students' ab</w:t>
      </w:r>
      <w:r>
        <w:rPr>
          <w:rFonts w:ascii="Arial" w:hAnsi="Arial" w:cs="Arial"/>
          <w:bCs/>
          <w:lang w:val="en-PH" w:eastAsia="en-PH"/>
        </w:rPr>
        <w:t>ility to analyze, process, and articulate information, leading to better reading comprehension outcomes. Additionally, the most frequently occurring scores—14, 19, and 23—each at 18.8%, signify that students experienced positive shifts in their literacy de</w:t>
      </w:r>
      <w:r>
        <w:rPr>
          <w:rFonts w:ascii="Arial" w:hAnsi="Arial" w:cs="Arial"/>
          <w:bCs/>
          <w:lang w:val="en-PH" w:eastAsia="en-PH"/>
        </w:rPr>
        <w:t xml:space="preserve">velopment. This upward trend highlights the strategy's effectiveness in promoting active learning, collaborative engagement, and deeper text analysis. </w:t>
      </w:r>
    </w:p>
    <w:p w14:paraId="0728CCB7" w14:textId="77777777" w:rsidR="0036010B" w:rsidRDefault="00877B91">
      <w:pPr>
        <w:pStyle w:val="Body"/>
        <w:rPr>
          <w:rFonts w:ascii="Arial" w:hAnsi="Arial" w:cs="Arial"/>
          <w:bCs/>
          <w:lang w:val="en-PH" w:eastAsia="en-PH"/>
        </w:rPr>
      </w:pPr>
      <w:r>
        <w:rPr>
          <w:rFonts w:ascii="Arial" w:hAnsi="Arial" w:cs="Arial"/>
          <w:bCs/>
          <w:lang w:val="en-PH" w:eastAsia="en-PH"/>
        </w:rPr>
        <w:t>Furthermore, the moderate standard deviation of 4.59 indicates that variability in student scores remain</w:t>
      </w:r>
      <w:r>
        <w:rPr>
          <w:rFonts w:ascii="Arial" w:hAnsi="Arial" w:cs="Arial"/>
          <w:bCs/>
          <w:lang w:val="en-PH" w:eastAsia="en-PH"/>
        </w:rPr>
        <w:t>s within a reasonable range. While some pupils achieved higher comprehension mastery, others still require additional instructional support. Nevertheless, the overall trend in scores affirms the benefits of structured peer-based learning, emphasizing how i</w:t>
      </w:r>
      <w:r>
        <w:rPr>
          <w:rFonts w:ascii="Arial" w:hAnsi="Arial" w:cs="Arial"/>
          <w:bCs/>
          <w:lang w:val="en-PH" w:eastAsia="en-PH"/>
        </w:rPr>
        <w:t>nteractive strategies can positively impact literacy development. Consequently, the Think-Pair-Share intervention fostered a more engaging, student-centered approach that enabled learners to discuss, refine, and synthesize their ideas. By actively particip</w:t>
      </w:r>
      <w:r>
        <w:rPr>
          <w:rFonts w:ascii="Arial" w:hAnsi="Arial" w:cs="Arial"/>
          <w:bCs/>
          <w:lang w:val="en-PH" w:eastAsia="en-PH"/>
        </w:rPr>
        <w:t>ating in paired discussions, pupils developed stronger cognitive connections with reading materials, leading to improved retention and understanding. Research supports that cooperative learning enhances comprehension skills by allowing students to verbaliz</w:t>
      </w:r>
      <w:r>
        <w:rPr>
          <w:rFonts w:ascii="Arial" w:hAnsi="Arial" w:cs="Arial"/>
          <w:bCs/>
          <w:lang w:val="en-PH" w:eastAsia="en-PH"/>
        </w:rPr>
        <w:t xml:space="preserve">e their thoughts, exchange perspectives, and apply critical thinking strategies (Utami &amp; Rusdarti, 2021; Lestari, 2022). </w:t>
      </w:r>
    </w:p>
    <w:p w14:paraId="43424DCA" w14:textId="77777777" w:rsidR="0036010B" w:rsidRDefault="00877B91">
      <w:pPr>
        <w:pStyle w:val="Body"/>
        <w:rPr>
          <w:rFonts w:ascii="Arial" w:hAnsi="Arial" w:cs="Arial"/>
          <w:bCs/>
          <w:lang w:val="en-PH" w:eastAsia="en-PH"/>
        </w:rPr>
      </w:pPr>
      <w:r>
        <w:rPr>
          <w:rFonts w:ascii="Arial" w:hAnsi="Arial" w:cs="Arial"/>
          <w:bCs/>
          <w:lang w:val="en-PH" w:eastAsia="en-PH"/>
        </w:rPr>
        <w:t>As a result, the findings reinforce the importance of interactive and collaborative teaching strategies in elementary education. The o</w:t>
      </w:r>
      <w:r>
        <w:rPr>
          <w:rFonts w:ascii="Arial" w:hAnsi="Arial" w:cs="Arial"/>
          <w:bCs/>
          <w:lang w:val="en-PH" w:eastAsia="en-PH"/>
        </w:rPr>
        <w:t>bserved progress in student performance suggests that structured peer discussions provide meaningful opportunities for learners to process information more 20 effectively and engage deeply with texts. Therefore, educators should continue implementing Think</w:t>
      </w:r>
      <w:r>
        <w:rPr>
          <w:rFonts w:ascii="Arial" w:hAnsi="Arial" w:cs="Arial"/>
          <w:bCs/>
          <w:lang w:val="en-PH" w:eastAsia="en-PH"/>
        </w:rPr>
        <w:t>-Pair-Share regularly, as it fosters confidence, analytical reasoning, and comprehension enhancement. Additionally, to sustain this positive literacy growth, teachers should adopt Think-Pair-Share as an ongoing instructional strategy while integrating addi</w:t>
      </w:r>
      <w:r>
        <w:rPr>
          <w:rFonts w:ascii="Arial" w:hAnsi="Arial" w:cs="Arial"/>
          <w:bCs/>
          <w:lang w:val="en-PH" w:eastAsia="en-PH"/>
        </w:rPr>
        <w:t xml:space="preserve">tional interventions for lower-performing students. Specifically, guided reading sessions can offer targeted support for struggling readers through teacher-facilitated discussions and structured comprehension exercises. At the same time, small-group </w:t>
      </w:r>
      <w:r>
        <w:rPr>
          <w:rFonts w:ascii="Arial" w:hAnsi="Arial" w:cs="Arial"/>
          <w:bCs/>
          <w:lang w:val="en-PH" w:eastAsia="en-PH"/>
        </w:rPr>
        <w:lastRenderedPageBreak/>
        <w:t>instru</w:t>
      </w:r>
      <w:r>
        <w:rPr>
          <w:rFonts w:ascii="Arial" w:hAnsi="Arial" w:cs="Arial"/>
          <w:bCs/>
          <w:lang w:val="en-PH" w:eastAsia="en-PH"/>
        </w:rPr>
        <w:t xml:space="preserve">ction can provide individualized attention to students who need further development in specific comprehension areas. </w:t>
      </w:r>
    </w:p>
    <w:p w14:paraId="61AF18E5" w14:textId="77777777" w:rsidR="0036010B" w:rsidRDefault="00877B91">
      <w:pPr>
        <w:pStyle w:val="Body"/>
        <w:rPr>
          <w:rFonts w:ascii="Arial" w:hAnsi="Arial" w:cs="Arial"/>
          <w:bCs/>
          <w:lang w:val="en-PH" w:eastAsia="en-PH"/>
        </w:rPr>
      </w:pPr>
      <w:r>
        <w:rPr>
          <w:rFonts w:ascii="Arial" w:hAnsi="Arial" w:cs="Arial"/>
          <w:bCs/>
          <w:lang w:val="en-PH" w:eastAsia="en-PH"/>
        </w:rPr>
        <w:t>Moreover, expanding reading materials is essential to expose pupils to diverse genres, vocabulary, and contexts, thereby enriching their c</w:t>
      </w:r>
      <w:r>
        <w:rPr>
          <w:rFonts w:ascii="Arial" w:hAnsi="Arial" w:cs="Arial"/>
          <w:bCs/>
          <w:lang w:val="en-PH" w:eastAsia="en-PH"/>
        </w:rPr>
        <w:t>omprehension abilities. Likewise, interactive storytelling activities can encourage students to create, narrate, and critique stories, reinforcing their ability to synthesize and articulate ideas. Ultimately, the post-test results confirm that the Think-Pa</w:t>
      </w:r>
      <w:r>
        <w:rPr>
          <w:rFonts w:ascii="Arial" w:hAnsi="Arial" w:cs="Arial"/>
          <w:bCs/>
          <w:lang w:val="en-PH" w:eastAsia="en-PH"/>
        </w:rPr>
        <w:t>ir-Share intervention significantly enhanced reading comprehension among Grade 5 pupils. By fostering interactive, student-centered learning, this strategy effectively bridges literacy gaps and cultivates analytical thinking skills. Moving forward, continu</w:t>
      </w:r>
      <w:r>
        <w:rPr>
          <w:rFonts w:ascii="Arial" w:hAnsi="Arial" w:cs="Arial"/>
          <w:bCs/>
          <w:lang w:val="en-PH" w:eastAsia="en-PH"/>
        </w:rPr>
        <w:t>ed application of peer-based strategies, differentiated instruction, and structured literacy activities will further strengthen students’ reading comprehension abilities and overall academic success. Through collaborative engagement and strategic implement</w:t>
      </w:r>
      <w:r>
        <w:rPr>
          <w:rFonts w:ascii="Arial" w:hAnsi="Arial" w:cs="Arial"/>
          <w:bCs/>
          <w:lang w:val="en-PH" w:eastAsia="en-PH"/>
        </w:rPr>
        <w:t>ation, educators can ensure that students transition from frustration to independent reading levels while developing critical thinking and analytical skills necessary for lifelong learning.</w:t>
      </w:r>
    </w:p>
    <w:p w14:paraId="155AF338" w14:textId="77777777" w:rsidR="0036010B" w:rsidRDefault="0036010B">
      <w:pPr>
        <w:pStyle w:val="Body"/>
        <w:spacing w:after="0"/>
        <w:rPr>
          <w:rFonts w:ascii="Arial" w:hAnsi="Arial" w:cs="Arial"/>
          <w:b/>
          <w:bCs/>
          <w:lang w:eastAsia="en-PH"/>
        </w:rPr>
      </w:pPr>
    </w:p>
    <w:p w14:paraId="5D315FA4" w14:textId="77777777" w:rsidR="0036010B" w:rsidRDefault="00877B91">
      <w:pPr>
        <w:pStyle w:val="Body"/>
        <w:spacing w:after="0"/>
        <w:jc w:val="center"/>
        <w:rPr>
          <w:rFonts w:ascii="Arial" w:hAnsi="Arial" w:cs="Arial"/>
        </w:rPr>
      </w:pPr>
      <w:r>
        <w:rPr>
          <w:rFonts w:ascii="Arial" w:hAnsi="Arial" w:cs="Arial"/>
          <w:b/>
          <w:bCs/>
          <w:lang w:eastAsia="en-PH"/>
        </w:rPr>
        <w:t>Table 3.</w:t>
      </w:r>
      <w:r>
        <w:rPr>
          <w:rFonts w:ascii="Arial-BoldMT" w:hAnsi="Arial-BoldMT"/>
          <w:b/>
          <w:bCs/>
          <w:color w:val="000000"/>
        </w:rPr>
        <w:t xml:space="preserve"> </w:t>
      </w:r>
      <w:r>
        <w:rPr>
          <w:rFonts w:ascii="Arial" w:hAnsi="Arial" w:cs="Arial"/>
          <w:b/>
          <w:bCs/>
          <w:lang w:eastAsia="en-PH"/>
        </w:rPr>
        <w:t xml:space="preserve">Significant Difference between the Posttest and Pretest </w:t>
      </w:r>
      <w:r>
        <w:rPr>
          <w:rFonts w:ascii="Arial" w:hAnsi="Arial" w:cs="Arial"/>
          <w:b/>
          <w:bCs/>
          <w:lang w:eastAsia="en-PH"/>
        </w:rPr>
        <w:t>Results</w:t>
      </w:r>
    </w:p>
    <w:tbl>
      <w:tblPr>
        <w:tblStyle w:val="TableGrid"/>
        <w:tblW w:w="0" w:type="auto"/>
        <w:tblLook w:val="04A0" w:firstRow="1" w:lastRow="0" w:firstColumn="1" w:lastColumn="0" w:noHBand="0" w:noVBand="1"/>
      </w:tblPr>
      <w:tblGrid>
        <w:gridCol w:w="1465"/>
        <w:gridCol w:w="1066"/>
        <w:gridCol w:w="1182"/>
        <w:gridCol w:w="1512"/>
        <w:gridCol w:w="1339"/>
        <w:gridCol w:w="1634"/>
      </w:tblGrid>
      <w:tr w:rsidR="0036010B" w14:paraId="7FEC30C8" w14:textId="77777777">
        <w:tc>
          <w:tcPr>
            <w:tcW w:w="1526" w:type="dxa"/>
          </w:tcPr>
          <w:p w14:paraId="4A2F0E8A" w14:textId="77777777" w:rsidR="0036010B" w:rsidRDefault="00877B91">
            <w:pPr>
              <w:spacing w:afterAutospacing="1"/>
              <w:jc w:val="center"/>
              <w:outlineLvl w:val="2"/>
              <w:rPr>
                <w:rFonts w:ascii="Arial" w:hAnsi="Arial" w:cs="Arial"/>
                <w:b/>
                <w:bCs/>
                <w:lang w:val="en-PH" w:eastAsia="en-PH"/>
              </w:rPr>
            </w:pPr>
            <w:bookmarkStart w:id="0" w:name="_Hlk211971698"/>
            <w:r>
              <w:rPr>
                <w:rFonts w:ascii="Arial" w:hAnsi="Arial" w:cs="Arial"/>
                <w:b/>
                <w:bCs/>
                <w:lang w:val="en-PH" w:eastAsia="en-PH"/>
              </w:rPr>
              <w:t>Variables</w:t>
            </w:r>
          </w:p>
        </w:tc>
        <w:tc>
          <w:tcPr>
            <w:tcW w:w="1131" w:type="dxa"/>
          </w:tcPr>
          <w:p w14:paraId="0A4D968F" w14:textId="77777777" w:rsidR="0036010B" w:rsidRDefault="00877B91">
            <w:pPr>
              <w:spacing w:afterAutospacing="1"/>
              <w:jc w:val="center"/>
              <w:outlineLvl w:val="2"/>
              <w:rPr>
                <w:rFonts w:ascii="Arial" w:hAnsi="Arial" w:cs="Arial"/>
                <w:b/>
                <w:bCs/>
                <w:lang w:eastAsia="en-PH"/>
              </w:rPr>
            </w:pPr>
            <w:r>
              <w:rPr>
                <w:rFonts w:ascii="Arial" w:hAnsi="Arial" w:cs="Arial"/>
                <w:b/>
                <w:bCs/>
                <w:lang w:eastAsia="en-PH"/>
              </w:rPr>
              <w:t>t - value</w:t>
            </w:r>
          </w:p>
        </w:tc>
        <w:tc>
          <w:tcPr>
            <w:tcW w:w="1274" w:type="dxa"/>
          </w:tcPr>
          <w:p w14:paraId="5D9597EE" w14:textId="77777777" w:rsidR="0036010B" w:rsidRDefault="00877B91">
            <w:pPr>
              <w:spacing w:afterAutospacing="1"/>
              <w:jc w:val="center"/>
              <w:outlineLvl w:val="2"/>
              <w:rPr>
                <w:rFonts w:ascii="Arial" w:hAnsi="Arial" w:cs="Arial"/>
                <w:b/>
                <w:bCs/>
                <w:lang w:eastAsia="en-PH"/>
              </w:rPr>
            </w:pPr>
            <w:r>
              <w:rPr>
                <w:rFonts w:ascii="Arial" w:hAnsi="Arial" w:cs="Arial"/>
                <w:b/>
                <w:bCs/>
                <w:lang w:eastAsia="en-PH"/>
              </w:rPr>
              <w:t>p - value</w:t>
            </w:r>
          </w:p>
        </w:tc>
        <w:tc>
          <w:tcPr>
            <w:tcW w:w="1512" w:type="dxa"/>
          </w:tcPr>
          <w:p w14:paraId="4EF27734" w14:textId="77777777" w:rsidR="0036010B" w:rsidRDefault="00877B91">
            <w:pPr>
              <w:spacing w:afterAutospacing="1"/>
              <w:jc w:val="center"/>
              <w:outlineLvl w:val="2"/>
              <w:rPr>
                <w:rFonts w:ascii="Arial" w:hAnsi="Arial" w:cs="Arial"/>
                <w:b/>
                <w:bCs/>
                <w:lang w:val="en-PH" w:eastAsia="en-PH"/>
              </w:rPr>
            </w:pPr>
            <w:r>
              <w:rPr>
                <w:rFonts w:ascii="Arial" w:hAnsi="Arial" w:cs="Arial"/>
                <w:b/>
                <w:bCs/>
                <w:lang w:val="en-PH" w:eastAsia="en-PH"/>
              </w:rPr>
              <w:t>Level of Significance</w:t>
            </w:r>
          </w:p>
        </w:tc>
        <w:tc>
          <w:tcPr>
            <w:tcW w:w="1347" w:type="dxa"/>
          </w:tcPr>
          <w:p w14:paraId="46D3D564" w14:textId="77777777" w:rsidR="0036010B" w:rsidRDefault="00877B91">
            <w:pPr>
              <w:spacing w:afterAutospacing="1"/>
              <w:jc w:val="center"/>
              <w:outlineLvl w:val="2"/>
              <w:rPr>
                <w:rFonts w:ascii="Arial" w:hAnsi="Arial" w:cs="Arial"/>
                <w:b/>
                <w:bCs/>
                <w:lang w:eastAsia="en-PH"/>
              </w:rPr>
            </w:pPr>
            <w:r>
              <w:rPr>
                <w:rFonts w:ascii="Arial" w:hAnsi="Arial" w:cs="Arial"/>
                <w:b/>
                <w:bCs/>
                <w:lang w:eastAsia="en-PH"/>
              </w:rPr>
              <w:t>Decision</w:t>
            </w:r>
          </w:p>
        </w:tc>
        <w:tc>
          <w:tcPr>
            <w:tcW w:w="1634" w:type="dxa"/>
          </w:tcPr>
          <w:p w14:paraId="47AE2C74" w14:textId="77777777" w:rsidR="0036010B" w:rsidRDefault="00877B91">
            <w:pPr>
              <w:spacing w:afterAutospacing="1"/>
              <w:jc w:val="center"/>
              <w:outlineLvl w:val="2"/>
              <w:rPr>
                <w:rFonts w:ascii="Arial" w:hAnsi="Arial" w:cs="Arial"/>
                <w:b/>
                <w:bCs/>
                <w:lang w:eastAsia="en-PH"/>
              </w:rPr>
            </w:pPr>
            <w:r>
              <w:rPr>
                <w:rFonts w:ascii="Arial" w:hAnsi="Arial" w:cs="Arial"/>
                <w:b/>
                <w:bCs/>
                <w:lang w:eastAsia="en-PH"/>
              </w:rPr>
              <w:t>Interpretation</w:t>
            </w:r>
          </w:p>
        </w:tc>
      </w:tr>
      <w:tr w:rsidR="0036010B" w14:paraId="561CCE6C" w14:textId="77777777">
        <w:tc>
          <w:tcPr>
            <w:tcW w:w="1526" w:type="dxa"/>
          </w:tcPr>
          <w:p w14:paraId="23187646" w14:textId="77777777" w:rsidR="0036010B" w:rsidRDefault="00877B91">
            <w:pPr>
              <w:jc w:val="center"/>
              <w:outlineLvl w:val="2"/>
              <w:rPr>
                <w:rFonts w:ascii="Arial" w:hAnsi="Arial" w:cs="Arial"/>
                <w:lang w:val="en-PH" w:eastAsia="en-PH"/>
              </w:rPr>
            </w:pPr>
            <w:r>
              <w:rPr>
                <w:rFonts w:ascii="Arial" w:hAnsi="Arial" w:cs="Arial"/>
                <w:lang w:val="en-PH" w:eastAsia="en-PH"/>
              </w:rPr>
              <w:t>Posttest and Pretest</w:t>
            </w:r>
          </w:p>
          <w:p w14:paraId="7C7E1A97" w14:textId="77777777" w:rsidR="0036010B" w:rsidRDefault="00877B91">
            <w:pPr>
              <w:jc w:val="center"/>
              <w:outlineLvl w:val="2"/>
              <w:rPr>
                <w:rFonts w:ascii="Arial" w:hAnsi="Arial" w:cs="Arial"/>
                <w:lang w:val="en-PH" w:eastAsia="en-PH"/>
              </w:rPr>
            </w:pPr>
            <w:r>
              <w:rPr>
                <w:rFonts w:ascii="Arial" w:hAnsi="Arial" w:cs="Arial"/>
                <w:lang w:val="en-PH" w:eastAsia="en-PH"/>
              </w:rPr>
              <w:t>Results</w:t>
            </w:r>
          </w:p>
        </w:tc>
        <w:tc>
          <w:tcPr>
            <w:tcW w:w="1131" w:type="dxa"/>
          </w:tcPr>
          <w:p w14:paraId="0CCF17C8" w14:textId="77777777" w:rsidR="0036010B" w:rsidRDefault="00877B91">
            <w:pPr>
              <w:spacing w:afterAutospacing="1"/>
              <w:jc w:val="center"/>
              <w:outlineLvl w:val="2"/>
              <w:rPr>
                <w:rFonts w:ascii="Arial" w:hAnsi="Arial" w:cs="Arial"/>
                <w:lang w:eastAsia="en-PH"/>
              </w:rPr>
            </w:pPr>
            <w:r>
              <w:rPr>
                <w:rFonts w:ascii="Arial" w:hAnsi="Arial" w:cs="Arial"/>
                <w:lang w:eastAsia="en-PH"/>
              </w:rPr>
              <w:t>-3.43</w:t>
            </w:r>
          </w:p>
        </w:tc>
        <w:tc>
          <w:tcPr>
            <w:tcW w:w="1274" w:type="dxa"/>
          </w:tcPr>
          <w:p w14:paraId="7FD0101F" w14:textId="77777777" w:rsidR="0036010B" w:rsidRDefault="00877B91">
            <w:pPr>
              <w:spacing w:afterAutospacing="1"/>
              <w:jc w:val="center"/>
              <w:outlineLvl w:val="2"/>
              <w:rPr>
                <w:rFonts w:ascii="Arial" w:hAnsi="Arial" w:cs="Arial"/>
                <w:lang w:eastAsia="en-PH"/>
              </w:rPr>
            </w:pPr>
            <w:r>
              <w:rPr>
                <w:rFonts w:ascii="Arial" w:hAnsi="Arial" w:cs="Arial"/>
                <w:lang w:eastAsia="en-PH"/>
              </w:rPr>
              <w:t>0.007</w:t>
            </w:r>
          </w:p>
        </w:tc>
        <w:tc>
          <w:tcPr>
            <w:tcW w:w="1512" w:type="dxa"/>
          </w:tcPr>
          <w:p w14:paraId="6C076580" w14:textId="77777777" w:rsidR="0036010B" w:rsidRDefault="00877B91">
            <w:pPr>
              <w:spacing w:afterAutospacing="1"/>
              <w:jc w:val="center"/>
              <w:outlineLvl w:val="2"/>
              <w:rPr>
                <w:rFonts w:ascii="Arial" w:hAnsi="Arial" w:cs="Arial"/>
                <w:lang w:eastAsia="en-PH"/>
              </w:rPr>
            </w:pPr>
            <w:r>
              <w:rPr>
                <w:rFonts w:ascii="Arial" w:hAnsi="Arial" w:cs="Arial"/>
                <w:lang w:eastAsia="en-PH"/>
              </w:rPr>
              <w:t>0.05</w:t>
            </w:r>
          </w:p>
        </w:tc>
        <w:tc>
          <w:tcPr>
            <w:tcW w:w="1347" w:type="dxa"/>
          </w:tcPr>
          <w:p w14:paraId="72CDE399" w14:textId="77777777" w:rsidR="0036010B" w:rsidRDefault="00877B91">
            <w:pPr>
              <w:jc w:val="center"/>
              <w:outlineLvl w:val="2"/>
              <w:rPr>
                <w:rFonts w:ascii="Arial" w:hAnsi="Arial" w:cs="Arial"/>
                <w:lang w:val="en-PH" w:eastAsia="en-PH"/>
              </w:rPr>
            </w:pPr>
            <w:r>
              <w:rPr>
                <w:rFonts w:ascii="Arial" w:hAnsi="Arial" w:cs="Arial"/>
                <w:lang w:val="en-PH" w:eastAsia="en-PH"/>
              </w:rPr>
              <w:t xml:space="preserve">Reject Null </w:t>
            </w:r>
          </w:p>
          <w:p w14:paraId="5FA14769" w14:textId="77777777" w:rsidR="0036010B" w:rsidRDefault="00877B91">
            <w:pPr>
              <w:jc w:val="center"/>
              <w:outlineLvl w:val="2"/>
              <w:rPr>
                <w:rFonts w:ascii="Arial" w:hAnsi="Arial" w:cs="Arial"/>
                <w:b/>
                <w:bCs/>
                <w:lang w:eastAsia="en-PH"/>
              </w:rPr>
            </w:pPr>
            <w:r>
              <w:rPr>
                <w:rFonts w:ascii="Arial" w:hAnsi="Arial" w:cs="Arial"/>
                <w:lang w:val="en-PH" w:eastAsia="en-PH"/>
              </w:rPr>
              <w:t>Hypothesis</w:t>
            </w:r>
          </w:p>
        </w:tc>
        <w:tc>
          <w:tcPr>
            <w:tcW w:w="1634" w:type="dxa"/>
          </w:tcPr>
          <w:p w14:paraId="493D7776" w14:textId="77777777" w:rsidR="0036010B" w:rsidRDefault="00877B91">
            <w:pPr>
              <w:spacing w:afterAutospacing="1"/>
              <w:jc w:val="center"/>
              <w:outlineLvl w:val="2"/>
              <w:rPr>
                <w:rFonts w:ascii="Arial" w:hAnsi="Arial" w:cs="Arial"/>
                <w:lang w:eastAsia="en-PH"/>
              </w:rPr>
            </w:pPr>
            <w:r>
              <w:rPr>
                <w:rFonts w:ascii="Arial" w:hAnsi="Arial" w:cs="Arial"/>
                <w:lang w:eastAsia="en-PH"/>
              </w:rPr>
              <w:t>Significant</w:t>
            </w:r>
          </w:p>
        </w:tc>
      </w:tr>
      <w:bookmarkEnd w:id="0"/>
    </w:tbl>
    <w:p w14:paraId="2A27D5EF" w14:textId="77777777" w:rsidR="0036010B" w:rsidRDefault="0036010B">
      <w:pPr>
        <w:ind w:left="180" w:firstLine="567"/>
        <w:jc w:val="both"/>
        <w:rPr>
          <w:rFonts w:ascii="Arial" w:hAnsi="Arial" w:cs="Arial"/>
          <w:bCs/>
          <w:lang w:eastAsia="en-PH"/>
        </w:rPr>
      </w:pPr>
    </w:p>
    <w:p w14:paraId="5546FD5A" w14:textId="77777777" w:rsidR="0036010B" w:rsidRDefault="00877B91">
      <w:pPr>
        <w:jc w:val="both"/>
        <w:rPr>
          <w:rFonts w:ascii="Arial" w:hAnsi="Arial" w:cs="Arial"/>
          <w:bCs/>
          <w:lang w:val="en-PH" w:eastAsia="en-PH"/>
        </w:rPr>
      </w:pPr>
      <w:r>
        <w:rPr>
          <w:rFonts w:ascii="Arial" w:hAnsi="Arial" w:cs="Arial"/>
          <w:bCs/>
          <w:lang w:val="en-PH" w:eastAsia="en-PH"/>
        </w:rPr>
        <w:t>Table 3, the results of the statistical analysis indicate a significant difference between the pre-test and post-test scores, confirming the effectiveness of the Think-Pair-Share (TPS) intervention in improving the reading comprehension skills of Grade 5 p</w:t>
      </w:r>
      <w:r>
        <w:rPr>
          <w:rFonts w:ascii="Arial" w:hAnsi="Arial" w:cs="Arial"/>
          <w:bCs/>
          <w:lang w:val="en-PH" w:eastAsia="en-PH"/>
        </w:rPr>
        <w:t xml:space="preserve">upils at Catigbian Elementary School. Specifically, the t-value of -3.43 and a p-value of 0.007, which is below </w:t>
      </w:r>
    </w:p>
    <w:p w14:paraId="1F724322" w14:textId="77777777" w:rsidR="0036010B" w:rsidRDefault="00877B91">
      <w:pPr>
        <w:jc w:val="both"/>
        <w:rPr>
          <w:rFonts w:ascii="Arial" w:hAnsi="Arial" w:cs="Arial"/>
          <w:bCs/>
          <w:lang w:val="en-PH" w:eastAsia="en-PH"/>
        </w:rPr>
      </w:pPr>
      <w:r>
        <w:rPr>
          <w:rFonts w:ascii="Arial" w:hAnsi="Arial" w:cs="Arial"/>
          <w:bCs/>
          <w:lang w:val="en-PH" w:eastAsia="en-PH"/>
        </w:rPr>
        <w:t xml:space="preserve">the 0.05 significance level, lead to the rejection of the null hypothesis. This means that the observed changes in student performance are not </w:t>
      </w:r>
      <w:r>
        <w:rPr>
          <w:rFonts w:ascii="Arial" w:hAnsi="Arial" w:cs="Arial"/>
          <w:bCs/>
          <w:lang w:val="en-PH" w:eastAsia="en-PH"/>
        </w:rPr>
        <w:t xml:space="preserve">due to chance, but rather a direct result of the intervention. Moreover, with the mean score increasing from 12.50 to 16.56, it is evident that students experienced substantial improvement in their ability to understand and interpret texts. </w:t>
      </w:r>
    </w:p>
    <w:p w14:paraId="7D86363B" w14:textId="77777777" w:rsidR="0036010B" w:rsidRDefault="0036010B">
      <w:pPr>
        <w:jc w:val="both"/>
        <w:rPr>
          <w:rFonts w:ascii="Arial" w:hAnsi="Arial" w:cs="Arial"/>
          <w:bCs/>
          <w:lang w:val="en-PH" w:eastAsia="en-PH"/>
        </w:rPr>
      </w:pPr>
    </w:p>
    <w:p w14:paraId="20DB6F32" w14:textId="77777777" w:rsidR="0036010B" w:rsidRDefault="00877B91">
      <w:pPr>
        <w:jc w:val="both"/>
        <w:rPr>
          <w:rFonts w:ascii="Arial" w:hAnsi="Arial" w:cs="Arial"/>
          <w:bCs/>
          <w:lang w:val="en-PH" w:eastAsia="en-PH"/>
        </w:rPr>
      </w:pPr>
      <w:r>
        <w:rPr>
          <w:rFonts w:ascii="Arial" w:hAnsi="Arial" w:cs="Arial"/>
          <w:bCs/>
          <w:lang w:val="en-PH" w:eastAsia="en-PH"/>
        </w:rPr>
        <w:t xml:space="preserve">The increase </w:t>
      </w:r>
      <w:r>
        <w:rPr>
          <w:rFonts w:ascii="Arial" w:hAnsi="Arial" w:cs="Arial"/>
          <w:bCs/>
          <w:lang w:val="en-PH" w:eastAsia="en-PH"/>
        </w:rPr>
        <w:t>in comprehension scores aligns with existing studies supporting the effectiveness of Think-Pair-Share in literacy development. According to Reading Rockets, TPS fosters active engagement and peer collaboration, helping students focus attention, improve par</w:t>
      </w:r>
      <w:r>
        <w:rPr>
          <w:rFonts w:ascii="Arial" w:hAnsi="Arial" w:cs="Arial"/>
          <w:bCs/>
          <w:lang w:val="en-PH" w:eastAsia="en-PH"/>
        </w:rPr>
        <w:t>ticipation, and develop oral communication skills, all of which enhance comprehension abilities. Additionally, a study by Bastian (</w:t>
      </w:r>
      <w:proofErr w:type="gramStart"/>
      <w:r>
        <w:rPr>
          <w:rFonts w:ascii="Arial" w:hAnsi="Arial" w:cs="Arial"/>
          <w:bCs/>
          <w:lang w:val="en-PH" w:eastAsia="en-PH"/>
        </w:rPr>
        <w:t>2021)found</w:t>
      </w:r>
      <w:proofErr w:type="gramEnd"/>
      <w:r>
        <w:rPr>
          <w:rFonts w:ascii="Arial" w:hAnsi="Arial" w:cs="Arial"/>
          <w:bCs/>
          <w:lang w:val="en-PH" w:eastAsia="en-PH"/>
        </w:rPr>
        <w:t xml:space="preserve"> a statistically significant 22 improvement in reading comprehension among students who participated in TPS, with a</w:t>
      </w:r>
      <w:r>
        <w:rPr>
          <w:rFonts w:ascii="Arial" w:hAnsi="Arial" w:cs="Arial"/>
          <w:bCs/>
          <w:lang w:val="en-PH" w:eastAsia="en-PH"/>
        </w:rPr>
        <w:t xml:space="preserve"> 24.5-point increase between pre-test and post-test scores. This study further supports that structured peer interactions and verbalization of thoughts strengthen comprehension retention. Similarly, Reading Quest emphasizes the structured discussion aspect</w:t>
      </w:r>
      <w:r>
        <w:rPr>
          <w:rFonts w:ascii="Arial" w:hAnsi="Arial" w:cs="Arial"/>
          <w:bCs/>
          <w:lang w:val="en-PH" w:eastAsia="en-PH"/>
        </w:rPr>
        <w:t xml:space="preserve"> of TPS, noting that it reduces off-task behavior, increases student accountability, and promotes deeper understanding of texts. </w:t>
      </w:r>
    </w:p>
    <w:p w14:paraId="1D458B16" w14:textId="77777777" w:rsidR="0036010B" w:rsidRDefault="0036010B">
      <w:pPr>
        <w:jc w:val="both"/>
        <w:rPr>
          <w:rFonts w:ascii="Arial" w:hAnsi="Arial" w:cs="Arial"/>
          <w:bCs/>
          <w:lang w:val="en-PH" w:eastAsia="en-PH"/>
        </w:rPr>
      </w:pPr>
    </w:p>
    <w:p w14:paraId="0FF58E22" w14:textId="77777777" w:rsidR="0036010B" w:rsidRDefault="00877B91">
      <w:pPr>
        <w:jc w:val="both"/>
        <w:rPr>
          <w:rFonts w:ascii="Arial" w:hAnsi="Arial" w:cs="Arial"/>
          <w:bCs/>
          <w:lang w:val="en-PH" w:eastAsia="en-PH"/>
        </w:rPr>
      </w:pPr>
      <w:r>
        <w:rPr>
          <w:rFonts w:ascii="Arial" w:hAnsi="Arial" w:cs="Arial"/>
          <w:bCs/>
          <w:lang w:val="en-PH" w:eastAsia="en-PH"/>
        </w:rPr>
        <w:t>Moreover, the findings underscore the positive impact of collaborative learning strategies on literacy development. The Think-Pair-Share approach, which emphasizes peer engagement, structured discussions, and shared learning experiences, has proven effecti</w:t>
      </w:r>
      <w:r>
        <w:rPr>
          <w:rFonts w:ascii="Arial" w:hAnsi="Arial" w:cs="Arial"/>
          <w:bCs/>
          <w:lang w:val="en-PH" w:eastAsia="en-PH"/>
        </w:rPr>
        <w:t>ve in fostering comprehension growth among students. Because learners are encouraged to articulate their thoughts, refine ideas with their peers, and engage in meaningful dialogue, they develop stronger cognitive connections with texts. Additionally, the s</w:t>
      </w:r>
      <w:r>
        <w:rPr>
          <w:rFonts w:ascii="Arial" w:hAnsi="Arial" w:cs="Arial"/>
          <w:bCs/>
          <w:lang w:val="en-PH" w:eastAsia="en-PH"/>
        </w:rPr>
        <w:t xml:space="preserve">trategy promotes critical thinking </w:t>
      </w:r>
      <w:r>
        <w:rPr>
          <w:rFonts w:ascii="Arial" w:hAnsi="Arial" w:cs="Arial"/>
          <w:bCs/>
          <w:lang w:val="en-PH" w:eastAsia="en-PH"/>
        </w:rPr>
        <w:lastRenderedPageBreak/>
        <w:t xml:space="preserve">and confidence-building, as students learn to process information independently before exchanging perspectives with their partners. </w:t>
      </w:r>
    </w:p>
    <w:p w14:paraId="5A5A583C" w14:textId="77777777" w:rsidR="0036010B" w:rsidRDefault="0036010B">
      <w:pPr>
        <w:jc w:val="both"/>
        <w:rPr>
          <w:rFonts w:ascii="Arial" w:hAnsi="Arial" w:cs="Arial"/>
          <w:bCs/>
          <w:lang w:val="en-PH" w:eastAsia="en-PH"/>
        </w:rPr>
      </w:pPr>
    </w:p>
    <w:p w14:paraId="56F7E43D" w14:textId="77777777" w:rsidR="0036010B" w:rsidRDefault="00877B91">
      <w:pPr>
        <w:jc w:val="both"/>
        <w:rPr>
          <w:rFonts w:ascii="Arial" w:hAnsi="Arial" w:cs="Arial"/>
          <w:bCs/>
          <w:lang w:val="en-PH" w:eastAsia="en-PH"/>
        </w:rPr>
      </w:pPr>
      <w:r>
        <w:rPr>
          <w:rFonts w:ascii="Arial" w:hAnsi="Arial" w:cs="Arial"/>
          <w:bCs/>
          <w:lang w:val="en-PH" w:eastAsia="en-PH"/>
        </w:rPr>
        <w:t xml:space="preserve">Consequently, these findings hold important educational implications, particularly for </w:t>
      </w:r>
      <w:r>
        <w:rPr>
          <w:rFonts w:ascii="Arial" w:hAnsi="Arial" w:cs="Arial"/>
          <w:bCs/>
          <w:lang w:val="en-PH" w:eastAsia="en-PH"/>
        </w:rPr>
        <w:t xml:space="preserve">instructional planning and curriculum development. First, the integration of peer-based learning strategies should be reinforced within the elementary curriculum to enhance students' comprehension skills. Since Think-Pair-Share has demonstrated success in </w:t>
      </w:r>
      <w:r>
        <w:rPr>
          <w:rFonts w:ascii="Arial" w:hAnsi="Arial" w:cs="Arial"/>
          <w:bCs/>
          <w:lang w:val="en-PH" w:eastAsia="en-PH"/>
        </w:rPr>
        <w:t xml:space="preserve">improving reading outcomes, it would be beneficial to implement it consistently in classroom settings to sustain student engagement and mastery of reading comprehension. Furthermore, low-performing pupils may require additional intervention through guided </w:t>
      </w:r>
      <w:r>
        <w:rPr>
          <w:rFonts w:ascii="Arial" w:hAnsi="Arial" w:cs="Arial"/>
          <w:bCs/>
          <w:lang w:val="en-PH" w:eastAsia="en-PH"/>
        </w:rPr>
        <w:t xml:space="preserve">23reading sessions, small-group instruction, and differentiated learning strategies to help them further develop their literacy proficiency. </w:t>
      </w:r>
    </w:p>
    <w:p w14:paraId="7EFBEE52" w14:textId="77777777" w:rsidR="0036010B" w:rsidRDefault="0036010B">
      <w:pPr>
        <w:jc w:val="both"/>
        <w:rPr>
          <w:rFonts w:ascii="Arial" w:hAnsi="Arial" w:cs="Arial"/>
          <w:bCs/>
          <w:lang w:val="en-PH" w:eastAsia="en-PH"/>
        </w:rPr>
      </w:pPr>
    </w:p>
    <w:p w14:paraId="21F2AACA" w14:textId="77777777" w:rsidR="0036010B" w:rsidRDefault="00877B91">
      <w:pPr>
        <w:jc w:val="both"/>
        <w:rPr>
          <w:rFonts w:ascii="Arial" w:hAnsi="Arial" w:cs="Arial"/>
          <w:bCs/>
          <w:lang w:val="en-PH" w:eastAsia="en-PH"/>
        </w:rPr>
      </w:pPr>
      <w:r>
        <w:rPr>
          <w:rFonts w:ascii="Arial" w:hAnsi="Arial" w:cs="Arial"/>
          <w:bCs/>
          <w:lang w:val="en-PH" w:eastAsia="en-PH"/>
        </w:rPr>
        <w:t>Similarly, educators should explore other cooperative learning models that align with Think-Pair-Share to further</w:t>
      </w:r>
      <w:r>
        <w:rPr>
          <w:rFonts w:ascii="Arial" w:hAnsi="Arial" w:cs="Arial"/>
          <w:bCs/>
          <w:lang w:val="en-PH" w:eastAsia="en-PH"/>
        </w:rPr>
        <w:t xml:space="preserve"> support comprehension skills. This could include interactive storytelling, inquiry-based discussions, and structured reading workshops designed to motivate students and deepen their engagement with texts. Additionally, expanding access to diverse reading </w:t>
      </w:r>
      <w:r>
        <w:rPr>
          <w:rFonts w:ascii="Arial" w:hAnsi="Arial" w:cs="Arial"/>
          <w:bCs/>
          <w:lang w:val="en-PH" w:eastAsia="en-PH"/>
        </w:rPr>
        <w:t xml:space="preserve">materials is crucial in fostering comprehension growth, as exposure to various genres, themes, and writing styles can enhance vocabulary acquisition and analytical reasoning. </w:t>
      </w:r>
    </w:p>
    <w:p w14:paraId="758EC98B" w14:textId="77777777" w:rsidR="0036010B" w:rsidRDefault="0036010B">
      <w:pPr>
        <w:jc w:val="both"/>
        <w:rPr>
          <w:rFonts w:ascii="Arial" w:hAnsi="Arial" w:cs="Arial"/>
          <w:bCs/>
          <w:lang w:val="en-PH" w:eastAsia="en-PH"/>
        </w:rPr>
      </w:pPr>
    </w:p>
    <w:p w14:paraId="01D6C240" w14:textId="77777777" w:rsidR="0036010B" w:rsidRDefault="00877B91">
      <w:pPr>
        <w:jc w:val="both"/>
        <w:rPr>
          <w:rFonts w:ascii="Arial" w:hAnsi="Arial" w:cs="Arial"/>
          <w:bCs/>
          <w:lang w:val="en-PH" w:eastAsia="en-PH"/>
        </w:rPr>
      </w:pPr>
      <w:r>
        <w:rPr>
          <w:rFonts w:ascii="Arial" w:hAnsi="Arial" w:cs="Arial"/>
          <w:bCs/>
          <w:lang w:val="en-PH" w:eastAsia="en-PH"/>
        </w:rPr>
        <w:t>Ultimately, the study affirms that peer-based learning approaches contribute to</w:t>
      </w:r>
      <w:r>
        <w:rPr>
          <w:rFonts w:ascii="Arial" w:hAnsi="Arial" w:cs="Arial"/>
          <w:bCs/>
          <w:lang w:val="en-PH" w:eastAsia="en-PH"/>
        </w:rPr>
        <w:t xml:space="preserve"> long-term literacy development and should be integrated into instructional methods to help students become more proficient readers. By continuing to use Think-Pair-Share and similar collaborative strategies, educators can empower students with effective c</w:t>
      </w:r>
      <w:r>
        <w:rPr>
          <w:rFonts w:ascii="Arial" w:hAnsi="Arial" w:cs="Arial"/>
          <w:bCs/>
          <w:lang w:val="en-PH" w:eastAsia="en-PH"/>
        </w:rPr>
        <w:t>omprehension techniques, allowing them to overcome reading challenges and succeed academically. Moving forward, further research can explore the long-term effects of Think-Pair-Share, particularly its applicability across different grade levels and learnin</w:t>
      </w:r>
      <w:r>
        <w:rPr>
          <w:rFonts w:ascii="Arial" w:hAnsi="Arial" w:cs="Arial"/>
          <w:bCs/>
          <w:lang w:val="en-PH" w:eastAsia="en-PH"/>
        </w:rPr>
        <w:t>g contexts, to ensure that literacy development remains a key focus in elementary education.</w:t>
      </w:r>
      <w:bookmarkStart w:id="1" w:name="_Hlk211972311"/>
    </w:p>
    <w:bookmarkEnd w:id="1"/>
    <w:p w14:paraId="26E6C254" w14:textId="77777777" w:rsidR="0036010B" w:rsidRDefault="0036010B">
      <w:pPr>
        <w:pStyle w:val="Body"/>
        <w:spacing w:after="0"/>
        <w:rPr>
          <w:rFonts w:ascii="Arial" w:hAnsi="Arial" w:cs="Arial"/>
        </w:rPr>
      </w:pPr>
    </w:p>
    <w:p w14:paraId="7DB9E961" w14:textId="77777777" w:rsidR="0036010B" w:rsidRDefault="00877B91">
      <w:pPr>
        <w:pStyle w:val="ConcHead"/>
        <w:spacing w:after="0"/>
        <w:jc w:val="both"/>
        <w:rPr>
          <w:rFonts w:ascii="Arial" w:hAnsi="Arial" w:cs="Arial"/>
          <w:sz w:val="20"/>
        </w:rPr>
      </w:pPr>
      <w:r>
        <w:rPr>
          <w:rFonts w:ascii="Arial" w:hAnsi="Arial" w:cs="Arial"/>
          <w:sz w:val="20"/>
        </w:rPr>
        <w:t>4. Conclusion</w:t>
      </w:r>
    </w:p>
    <w:p w14:paraId="603B2F6A" w14:textId="77777777" w:rsidR="0036010B" w:rsidRDefault="0036010B">
      <w:pPr>
        <w:pStyle w:val="AcknHead"/>
        <w:spacing w:after="0"/>
        <w:jc w:val="both"/>
        <w:rPr>
          <w:rFonts w:ascii="Arial" w:hAnsi="Arial" w:cs="Arial"/>
          <w:sz w:val="20"/>
        </w:rPr>
      </w:pPr>
    </w:p>
    <w:p w14:paraId="5996D50A" w14:textId="77777777" w:rsidR="0036010B" w:rsidRDefault="00877B91">
      <w:pPr>
        <w:suppressAutoHyphens w:val="0"/>
        <w:jc w:val="both"/>
        <w:rPr>
          <w:rFonts w:ascii="Arial" w:hAnsi="Arial" w:cs="Arial"/>
          <w:color w:val="000000"/>
          <w:lang w:val="en-PH" w:eastAsia="en-PH"/>
        </w:rPr>
      </w:pPr>
      <w:r>
        <w:rPr>
          <w:rFonts w:ascii="Arial" w:hAnsi="Arial" w:cs="Arial"/>
          <w:color w:val="000000"/>
          <w:lang w:val="en-PH" w:eastAsia="en-PH"/>
        </w:rPr>
        <w:t>The study provides compelling evidence of the effectiveness of Think-Pair-Share (TPS) in enhancing reading comprehension. A statistically significa</w:t>
      </w:r>
      <w:r>
        <w:rPr>
          <w:rFonts w:ascii="Arial" w:hAnsi="Arial" w:cs="Arial"/>
          <w:color w:val="000000"/>
          <w:lang w:val="en-PH" w:eastAsia="en-PH"/>
        </w:rPr>
        <w:t>nt increase in mean scores from 12.50 (pre-test) to 16.56 (post-test), coupled with a p-value of 0.007, confirms that structured peer interaction leads to meaningful literacy improvement. TPS fosters engagement, collaborative learning, and active participa</w:t>
      </w:r>
      <w:r>
        <w:rPr>
          <w:rFonts w:ascii="Arial" w:hAnsi="Arial" w:cs="Arial"/>
          <w:color w:val="000000"/>
          <w:lang w:val="en-PH" w:eastAsia="en-PH"/>
        </w:rPr>
        <w:t>tion, ensuring students internalize and retain comprehension skills more effectively. The findings support the idea that discussion-based learning enhances cognitive processing, making learning more dynamic and impactful.</w:t>
      </w:r>
    </w:p>
    <w:p w14:paraId="0A77D12E" w14:textId="77777777" w:rsidR="0036010B" w:rsidRDefault="0036010B">
      <w:pPr>
        <w:suppressAutoHyphens w:val="0"/>
        <w:jc w:val="both"/>
        <w:rPr>
          <w:rFonts w:ascii="Arial" w:hAnsi="Arial" w:cs="Arial"/>
          <w:color w:val="000000"/>
          <w:lang w:val="en-PH" w:eastAsia="en-PH"/>
        </w:rPr>
      </w:pPr>
    </w:p>
    <w:p w14:paraId="31A07E72" w14:textId="77777777" w:rsidR="0036010B" w:rsidRDefault="00877B91">
      <w:pPr>
        <w:suppressAutoHyphens w:val="0"/>
        <w:jc w:val="both"/>
        <w:rPr>
          <w:rFonts w:ascii="Arial" w:hAnsi="Arial" w:cs="Arial"/>
          <w:color w:val="000000"/>
          <w:lang w:val="en-PH" w:eastAsia="en-PH"/>
        </w:rPr>
      </w:pPr>
      <w:r>
        <w:rPr>
          <w:rFonts w:ascii="Arial" w:hAnsi="Arial" w:cs="Arial"/>
          <w:color w:val="000000"/>
          <w:lang w:val="en-PH" w:eastAsia="en-PH"/>
        </w:rPr>
        <w:t>The results underscore the positive impact of TPS on comprehension development, demonstrating that structured peer discussions lead to better understanding and retention of text materials. The significant difference between pre-test and post-test scores su</w:t>
      </w:r>
      <w:r>
        <w:rPr>
          <w:rFonts w:ascii="Arial" w:hAnsi="Arial" w:cs="Arial"/>
          <w:color w:val="000000"/>
          <w:lang w:val="en-PH" w:eastAsia="en-PH"/>
        </w:rPr>
        <w:t>ggests that TPS is an effective instructional method in improving literacy skills. By verbalizing their thoughts and exchanging ideas, students solidify their comprehension in ways traditional silent reading cannot achieve. The rejection of the null hypoth</w:t>
      </w:r>
      <w:r>
        <w:rPr>
          <w:rFonts w:ascii="Arial" w:hAnsi="Arial" w:cs="Arial"/>
          <w:color w:val="000000"/>
          <w:lang w:val="en-PH" w:eastAsia="en-PH"/>
        </w:rPr>
        <w:t xml:space="preserve">esis further 25 validates the claim that collaborative learning fosters deeper engagement and active knowledge construction. </w:t>
      </w:r>
    </w:p>
    <w:p w14:paraId="751F9FBF" w14:textId="77777777" w:rsidR="0036010B" w:rsidRDefault="0036010B">
      <w:pPr>
        <w:suppressAutoHyphens w:val="0"/>
        <w:jc w:val="both"/>
        <w:rPr>
          <w:rFonts w:ascii="Times New Roman" w:hAnsi="Times New Roman"/>
          <w:lang w:val="en-PH" w:eastAsia="en-PH"/>
        </w:rPr>
      </w:pPr>
    </w:p>
    <w:p w14:paraId="59405567" w14:textId="77777777" w:rsidR="0036010B" w:rsidRDefault="00877B91">
      <w:pPr>
        <w:suppressAutoHyphens w:val="0"/>
        <w:jc w:val="both"/>
        <w:rPr>
          <w:rFonts w:ascii="Times New Roman" w:hAnsi="Times New Roman"/>
          <w:lang w:val="en-PH" w:eastAsia="en-PH"/>
        </w:rPr>
      </w:pPr>
      <w:r>
        <w:rPr>
          <w:rFonts w:ascii="Arial" w:hAnsi="Arial" w:cs="Arial"/>
          <w:color w:val="000000"/>
          <w:lang w:val="en-PH" w:eastAsia="en-PH"/>
        </w:rPr>
        <w:t>Think-Pair-Share presents a powerful opportunity for elementary educators to enhance literacy instruction. By shifting from passi</w:t>
      </w:r>
      <w:r>
        <w:rPr>
          <w:rFonts w:ascii="Arial" w:hAnsi="Arial" w:cs="Arial"/>
          <w:color w:val="000000"/>
          <w:lang w:val="en-PH" w:eastAsia="en-PH"/>
        </w:rPr>
        <w:t>ve learning to interactive dialogue, TPS improves comprehension retention, increases student accountability, and builds essential communication and critical thinking skills. Additionally, TPS helps diverse learners by providing structured yet flexible disc</w:t>
      </w:r>
      <w:r>
        <w:rPr>
          <w:rFonts w:ascii="Arial" w:hAnsi="Arial" w:cs="Arial"/>
          <w:color w:val="000000"/>
          <w:lang w:val="en-PH" w:eastAsia="en-PH"/>
        </w:rPr>
        <w:t xml:space="preserve">ussions that accommodate different comprehension levels, fostering inclusivity in the classroom. Schools can adopt TPS to reduce off-task </w:t>
      </w:r>
      <w:r>
        <w:rPr>
          <w:rFonts w:ascii="Arial" w:hAnsi="Arial" w:cs="Arial"/>
          <w:color w:val="000000"/>
          <w:lang w:val="en-PH" w:eastAsia="en-PH"/>
        </w:rPr>
        <w:lastRenderedPageBreak/>
        <w:t xml:space="preserve">behaviors, strengthen literacy programs, and cultivate student confidence in analyzing texts. Its application extends </w:t>
      </w:r>
      <w:r>
        <w:rPr>
          <w:rFonts w:ascii="Arial" w:hAnsi="Arial" w:cs="Arial"/>
          <w:color w:val="000000"/>
          <w:lang w:val="en-PH" w:eastAsia="en-PH"/>
        </w:rPr>
        <w:t>beyond reading comprehension, as the strategy can be adapted to other subject areas requiring deep engagement and collaborative problem-solving</w:t>
      </w:r>
    </w:p>
    <w:p w14:paraId="1419235E" w14:textId="77777777" w:rsidR="0036010B" w:rsidRDefault="0036010B">
      <w:pPr>
        <w:pStyle w:val="AcknHead"/>
        <w:spacing w:after="0"/>
        <w:jc w:val="both"/>
        <w:rPr>
          <w:rFonts w:ascii="Arial" w:hAnsi="Arial" w:cs="Arial"/>
          <w:sz w:val="20"/>
        </w:rPr>
      </w:pPr>
    </w:p>
    <w:p w14:paraId="6F26E597" w14:textId="77777777" w:rsidR="0036010B" w:rsidRDefault="00877B91">
      <w:pPr>
        <w:pStyle w:val="ReferHead"/>
        <w:spacing w:after="0"/>
        <w:jc w:val="both"/>
        <w:rPr>
          <w:rFonts w:ascii="Arial" w:hAnsi="Arial" w:cs="Arial"/>
          <w:bCs/>
        </w:rPr>
      </w:pPr>
      <w:r>
        <w:rPr>
          <w:rFonts w:ascii="Arial" w:hAnsi="Arial" w:cs="Arial"/>
          <w:bCs/>
        </w:rPr>
        <w:t>Competing interests</w:t>
      </w:r>
    </w:p>
    <w:p w14:paraId="4242BE0D" w14:textId="77777777" w:rsidR="0036010B" w:rsidRDefault="0036010B">
      <w:pPr>
        <w:pStyle w:val="ReferHead"/>
        <w:spacing w:after="0"/>
        <w:jc w:val="both"/>
        <w:rPr>
          <w:rFonts w:ascii="Arial" w:hAnsi="Arial" w:cs="Arial"/>
          <w:b w:val="0"/>
          <w:caps w:val="0"/>
          <w:sz w:val="20"/>
        </w:rPr>
      </w:pPr>
    </w:p>
    <w:p w14:paraId="1581DDA7" w14:textId="77777777" w:rsidR="0036010B" w:rsidRDefault="00877B91">
      <w:pPr>
        <w:pStyle w:val="ReferHead"/>
        <w:spacing w:after="0"/>
        <w:jc w:val="both"/>
        <w:rPr>
          <w:rFonts w:ascii="Arial" w:hAnsi="Arial" w:cs="Arial"/>
          <w:bCs/>
        </w:rPr>
      </w:pPr>
      <w:r>
        <w:rPr>
          <w:rFonts w:ascii="Arial" w:hAnsi="Arial" w:cs="Arial"/>
          <w:b w:val="0"/>
          <w:caps w:val="0"/>
          <w:sz w:val="20"/>
        </w:rPr>
        <w:t xml:space="preserve">The authors </w:t>
      </w:r>
      <w:proofErr w:type="gramStart"/>
      <w:r>
        <w:rPr>
          <w:rFonts w:ascii="Arial" w:hAnsi="Arial" w:cs="Arial"/>
          <w:b w:val="0"/>
          <w:caps w:val="0"/>
          <w:sz w:val="20"/>
        </w:rPr>
        <w:t>has</w:t>
      </w:r>
      <w:proofErr w:type="gramEnd"/>
      <w:r>
        <w:rPr>
          <w:rFonts w:ascii="Arial" w:hAnsi="Arial" w:cs="Arial"/>
          <w:b w:val="0"/>
          <w:caps w:val="0"/>
          <w:sz w:val="20"/>
        </w:rPr>
        <w:t xml:space="preserve"> </w:t>
      </w:r>
      <w:r>
        <w:rPr>
          <w:rFonts w:ascii="Arial" w:hAnsi="Arial" w:cs="Arial"/>
          <w:b w:val="0"/>
          <w:caps w:val="0"/>
          <w:sz w:val="20"/>
        </w:rPr>
        <w:t>declared that no competing interests exist.</w:t>
      </w:r>
    </w:p>
    <w:p w14:paraId="32211CD8" w14:textId="77777777" w:rsidR="0036010B" w:rsidRDefault="0036010B">
      <w:pPr>
        <w:pStyle w:val="ReferHead"/>
        <w:spacing w:after="0"/>
        <w:jc w:val="both"/>
        <w:rPr>
          <w:rFonts w:ascii="Arial" w:hAnsi="Arial" w:cs="Arial"/>
          <w:bCs/>
        </w:rPr>
      </w:pPr>
    </w:p>
    <w:p w14:paraId="3B5C67C1" w14:textId="77777777" w:rsidR="0036010B" w:rsidRDefault="0036010B">
      <w:pPr>
        <w:pStyle w:val="ReferHead"/>
        <w:spacing w:after="0"/>
        <w:jc w:val="both"/>
        <w:rPr>
          <w:rFonts w:ascii="Arial" w:hAnsi="Arial" w:cs="Arial"/>
          <w:b w:val="0"/>
          <w:caps w:val="0"/>
          <w:sz w:val="20"/>
        </w:rPr>
      </w:pPr>
    </w:p>
    <w:p w14:paraId="0D64AF2C" w14:textId="77777777" w:rsidR="0036010B" w:rsidRDefault="0036010B">
      <w:pPr>
        <w:pStyle w:val="ReferHead"/>
        <w:spacing w:after="0"/>
        <w:jc w:val="both"/>
        <w:rPr>
          <w:rFonts w:ascii="Arial" w:hAnsi="Arial" w:cs="Arial"/>
        </w:rPr>
      </w:pPr>
      <w:bookmarkStart w:id="2" w:name="_GoBack"/>
      <w:bookmarkEnd w:id="2"/>
    </w:p>
    <w:p w14:paraId="6AA0DBD6" w14:textId="77777777" w:rsidR="0036010B" w:rsidRDefault="0036010B">
      <w:pPr>
        <w:pStyle w:val="ReferHead"/>
        <w:spacing w:after="0"/>
        <w:jc w:val="both"/>
        <w:rPr>
          <w:rFonts w:ascii="Arial" w:hAnsi="Arial" w:cs="Arial"/>
        </w:rPr>
      </w:pPr>
    </w:p>
    <w:p w14:paraId="381E8B11" w14:textId="77777777" w:rsidR="0036010B" w:rsidRDefault="00877B91">
      <w:pPr>
        <w:pStyle w:val="ReferHead"/>
        <w:spacing w:after="0"/>
        <w:jc w:val="both"/>
        <w:rPr>
          <w:rFonts w:ascii="Arial" w:hAnsi="Arial" w:cs="Arial"/>
        </w:rPr>
      </w:pPr>
      <w:r>
        <w:rPr>
          <w:rFonts w:ascii="Arial" w:hAnsi="Arial" w:cs="Arial"/>
        </w:rPr>
        <w:t>References</w:t>
      </w:r>
    </w:p>
    <w:p w14:paraId="06C9DB5A" w14:textId="77777777" w:rsidR="0036010B" w:rsidRDefault="0036010B">
      <w:pPr>
        <w:pStyle w:val="Appendix"/>
        <w:spacing w:after="0"/>
        <w:jc w:val="both"/>
        <w:rPr>
          <w:rFonts w:ascii="Arial" w:hAnsi="Arial" w:cs="Arial"/>
          <w:b w:val="0"/>
        </w:rPr>
      </w:pPr>
    </w:p>
    <w:p w14:paraId="08F0CCD0" w14:textId="77777777" w:rsidR="0036010B" w:rsidRDefault="00877B91">
      <w:pPr>
        <w:pStyle w:val="Appendix"/>
        <w:ind w:left="720" w:hanging="720"/>
        <w:jc w:val="both"/>
        <w:rPr>
          <w:rFonts w:ascii="Arial" w:hAnsi="Arial" w:cs="Arial"/>
          <w:b w:val="0"/>
          <w:bCs/>
          <w:lang w:val="en-PH"/>
        </w:rPr>
      </w:pPr>
      <w:r>
        <w:rPr>
          <w:rFonts w:ascii="Arial" w:hAnsi="Arial" w:cs="Arial"/>
          <w:b w:val="0"/>
          <w:bCs/>
          <w:caps w:val="0"/>
          <w:lang w:val="en-PH"/>
        </w:rPr>
        <w:t xml:space="preserve">Aprianti, D. &amp; Ayu, M. (2020). Think-Pair-Share: Engaging Students Activities </w:t>
      </w:r>
      <w:proofErr w:type="gramStart"/>
      <w:r>
        <w:rPr>
          <w:rFonts w:ascii="Arial" w:hAnsi="Arial" w:cs="Arial"/>
          <w:b w:val="0"/>
          <w:bCs/>
          <w:caps w:val="0"/>
          <w:lang w:val="en-PH"/>
        </w:rPr>
        <w:t>In</w:t>
      </w:r>
      <w:proofErr w:type="gramEnd"/>
      <w:r>
        <w:rPr>
          <w:rFonts w:ascii="Arial" w:hAnsi="Arial" w:cs="Arial"/>
          <w:b w:val="0"/>
          <w:bCs/>
          <w:caps w:val="0"/>
          <w:lang w:val="en-PH"/>
        </w:rPr>
        <w:t xml:space="preserve"> The       Classroom. Journal </w:t>
      </w:r>
      <w:proofErr w:type="gramStart"/>
      <w:r>
        <w:rPr>
          <w:rFonts w:ascii="Arial" w:hAnsi="Arial" w:cs="Arial"/>
          <w:b w:val="0"/>
          <w:bCs/>
          <w:caps w:val="0"/>
          <w:lang w:val="en-PH"/>
        </w:rPr>
        <w:t>Of</w:t>
      </w:r>
      <w:proofErr w:type="gramEnd"/>
      <w:r>
        <w:rPr>
          <w:rFonts w:ascii="Arial" w:hAnsi="Arial" w:cs="Arial"/>
          <w:b w:val="0"/>
          <w:bCs/>
          <w:caps w:val="0"/>
          <w:lang w:val="en-PH"/>
        </w:rPr>
        <w:t xml:space="preserve"> English Language Teaching And Learning, 1(1), 13-19. </w:t>
      </w:r>
    </w:p>
    <w:p w14:paraId="18EDF51F" w14:textId="77777777" w:rsidR="0036010B" w:rsidRDefault="00877B91">
      <w:pPr>
        <w:pStyle w:val="Appendix"/>
        <w:ind w:left="720" w:hanging="720"/>
        <w:jc w:val="both"/>
        <w:rPr>
          <w:rFonts w:ascii="Arial" w:hAnsi="Arial" w:cs="Arial"/>
          <w:b w:val="0"/>
          <w:bCs/>
          <w:lang w:val="en-PH"/>
        </w:rPr>
      </w:pPr>
      <w:r>
        <w:rPr>
          <w:rFonts w:ascii="Arial" w:hAnsi="Arial" w:cs="Arial"/>
          <w:b w:val="0"/>
          <w:bCs/>
          <w:caps w:val="0"/>
          <w:lang w:val="en-PH"/>
        </w:rPr>
        <w:t xml:space="preserve">Ayu, M. (2018). Interactive Activities </w:t>
      </w:r>
      <w:proofErr w:type="gramStart"/>
      <w:r>
        <w:rPr>
          <w:rFonts w:ascii="Arial" w:hAnsi="Arial" w:cs="Arial"/>
          <w:b w:val="0"/>
          <w:bCs/>
          <w:caps w:val="0"/>
          <w:lang w:val="en-PH"/>
        </w:rPr>
        <w:t>For</w:t>
      </w:r>
      <w:proofErr w:type="gramEnd"/>
      <w:r>
        <w:rPr>
          <w:rFonts w:ascii="Arial" w:hAnsi="Arial" w:cs="Arial"/>
          <w:b w:val="0"/>
          <w:bCs/>
          <w:caps w:val="0"/>
          <w:lang w:val="en-PH"/>
        </w:rPr>
        <w:t xml:space="preserve"> Effective Learning In The Overcrowded Classroo</w:t>
      </w:r>
      <w:r>
        <w:rPr>
          <w:rFonts w:ascii="Arial" w:hAnsi="Arial" w:cs="Arial"/>
          <w:b w:val="0"/>
          <w:bCs/>
          <w:caps w:val="0"/>
          <w:lang w:val="en-PH"/>
        </w:rPr>
        <w:t xml:space="preserve">m. Linguists, 4(2), 1-6 </w:t>
      </w:r>
    </w:p>
    <w:p w14:paraId="7BE16A85" w14:textId="77777777" w:rsidR="0036010B" w:rsidRDefault="00877B91">
      <w:pPr>
        <w:pStyle w:val="Appendix"/>
        <w:ind w:left="720" w:hanging="720"/>
        <w:jc w:val="both"/>
        <w:rPr>
          <w:rFonts w:ascii="Arial" w:hAnsi="Arial" w:cs="Arial"/>
          <w:b w:val="0"/>
          <w:bCs/>
          <w:lang w:val="en-PH"/>
        </w:rPr>
      </w:pPr>
      <w:r>
        <w:rPr>
          <w:rFonts w:ascii="Arial" w:hAnsi="Arial" w:cs="Arial"/>
          <w:b w:val="0"/>
          <w:bCs/>
          <w:caps w:val="0"/>
          <w:lang w:val="en-PH"/>
        </w:rPr>
        <w:t xml:space="preserve">Ayu, M., Diem, C. D., &amp; Vianty, M. (2017). Secondary School Students’ English Literacy: Use </w:t>
      </w:r>
      <w:proofErr w:type="gramStart"/>
      <w:r>
        <w:rPr>
          <w:rFonts w:ascii="Arial" w:hAnsi="Arial" w:cs="Arial"/>
          <w:b w:val="0"/>
          <w:bCs/>
          <w:caps w:val="0"/>
          <w:lang w:val="en-PH"/>
        </w:rPr>
        <w:t>Of</w:t>
      </w:r>
      <w:proofErr w:type="gramEnd"/>
      <w:r>
        <w:rPr>
          <w:rFonts w:ascii="Arial" w:hAnsi="Arial" w:cs="Arial"/>
          <w:b w:val="0"/>
          <w:bCs/>
          <w:caps w:val="0"/>
          <w:lang w:val="en-PH"/>
        </w:rPr>
        <w:t xml:space="preserve"> Interactive Read-Aloud Instructional Strategy. International Journal </w:t>
      </w:r>
      <w:proofErr w:type="gramStart"/>
      <w:r>
        <w:rPr>
          <w:rFonts w:ascii="Arial" w:hAnsi="Arial" w:cs="Arial"/>
          <w:b w:val="0"/>
          <w:bCs/>
          <w:caps w:val="0"/>
          <w:lang w:val="en-PH"/>
        </w:rPr>
        <w:t>Of</w:t>
      </w:r>
      <w:proofErr w:type="gramEnd"/>
      <w:r>
        <w:rPr>
          <w:rFonts w:ascii="Arial" w:hAnsi="Arial" w:cs="Arial"/>
          <w:b w:val="0"/>
          <w:bCs/>
          <w:caps w:val="0"/>
          <w:lang w:val="en-PH"/>
        </w:rPr>
        <w:t xml:space="preserve"> Applied Linguistics &amp; English Literature, 6(7), 292-299 </w:t>
      </w:r>
    </w:p>
    <w:p w14:paraId="11C05C5E" w14:textId="77777777" w:rsidR="0036010B" w:rsidRDefault="00877B91">
      <w:pPr>
        <w:pStyle w:val="Appendix"/>
        <w:ind w:left="720" w:hanging="720"/>
        <w:jc w:val="both"/>
        <w:rPr>
          <w:rFonts w:ascii="Arial" w:hAnsi="Arial" w:cs="Arial"/>
          <w:b w:val="0"/>
          <w:bCs/>
          <w:lang w:val="en-PH"/>
        </w:rPr>
      </w:pPr>
      <w:r>
        <w:rPr>
          <w:rFonts w:ascii="Arial" w:hAnsi="Arial" w:cs="Arial"/>
          <w:b w:val="0"/>
          <w:bCs/>
          <w:caps w:val="0"/>
          <w:lang w:val="en-PH"/>
        </w:rPr>
        <w:t>Bastian</w:t>
      </w:r>
      <w:r>
        <w:rPr>
          <w:rFonts w:ascii="Arial" w:hAnsi="Arial" w:cs="Arial"/>
          <w:b w:val="0"/>
          <w:bCs/>
          <w:caps w:val="0"/>
          <w:lang w:val="en-PH"/>
        </w:rPr>
        <w:t xml:space="preserve">, Arif Alexander (2021). "The Effect </w:t>
      </w:r>
      <w:proofErr w:type="gramStart"/>
      <w:r>
        <w:rPr>
          <w:rFonts w:ascii="Arial" w:hAnsi="Arial" w:cs="Arial"/>
          <w:b w:val="0"/>
          <w:bCs/>
          <w:caps w:val="0"/>
          <w:lang w:val="en-PH"/>
        </w:rPr>
        <w:t>Of</w:t>
      </w:r>
      <w:proofErr w:type="gramEnd"/>
      <w:r>
        <w:rPr>
          <w:rFonts w:ascii="Arial" w:hAnsi="Arial" w:cs="Arial"/>
          <w:b w:val="0"/>
          <w:bCs/>
          <w:caps w:val="0"/>
          <w:lang w:val="en-PH"/>
        </w:rPr>
        <w:t xml:space="preserve"> Think Pair Share Technique On Students’ Reading Comprehension Achievement." Iosr Journal </w:t>
      </w:r>
      <w:proofErr w:type="gramStart"/>
      <w:r>
        <w:rPr>
          <w:rFonts w:ascii="Arial" w:hAnsi="Arial" w:cs="Arial"/>
          <w:b w:val="0"/>
          <w:bCs/>
          <w:caps w:val="0"/>
          <w:lang w:val="en-PH"/>
        </w:rPr>
        <w:t>Of</w:t>
      </w:r>
      <w:proofErr w:type="gramEnd"/>
      <w:r>
        <w:rPr>
          <w:rFonts w:ascii="Arial" w:hAnsi="Arial" w:cs="Arial"/>
          <w:b w:val="0"/>
          <w:bCs/>
          <w:caps w:val="0"/>
          <w:lang w:val="en-PH"/>
        </w:rPr>
        <w:t xml:space="preserve"> Research &amp; Method In Education (Iosr-Jrme), 11(1), (2021): Pp. 57- 61. Https://Www.Iosrjournals.Org/Iosr-Jrme/Papers/Vol-11%</w:t>
      </w:r>
      <w:r>
        <w:rPr>
          <w:rFonts w:ascii="Arial" w:hAnsi="Arial" w:cs="Arial"/>
          <w:b w:val="0"/>
          <w:bCs/>
          <w:caps w:val="0"/>
          <w:lang w:val="en-PH"/>
        </w:rPr>
        <w:t xml:space="preserve">20issue-1/Ser-4/G1101045761.Pdf </w:t>
      </w:r>
    </w:p>
    <w:p w14:paraId="1BA432EE" w14:textId="77777777" w:rsidR="0036010B" w:rsidRDefault="00877B91">
      <w:pPr>
        <w:pStyle w:val="Appendix"/>
        <w:ind w:left="720" w:hanging="720"/>
        <w:jc w:val="both"/>
        <w:rPr>
          <w:rFonts w:ascii="Arial" w:hAnsi="Arial" w:cs="Arial"/>
          <w:b w:val="0"/>
          <w:bCs/>
          <w:lang w:val="en-PH"/>
        </w:rPr>
      </w:pPr>
      <w:r>
        <w:rPr>
          <w:rFonts w:ascii="Arial" w:hAnsi="Arial" w:cs="Arial"/>
          <w:b w:val="0"/>
          <w:bCs/>
          <w:caps w:val="0"/>
          <w:lang w:val="en-PH"/>
        </w:rPr>
        <w:t xml:space="preserve">Devi, A. P., Musthafa, B., &amp; Gustine, G. G. (2015). Using Cooperative Learning </w:t>
      </w:r>
      <w:proofErr w:type="gramStart"/>
      <w:r>
        <w:rPr>
          <w:rFonts w:ascii="Arial" w:hAnsi="Arial" w:cs="Arial"/>
          <w:b w:val="0"/>
          <w:bCs/>
          <w:caps w:val="0"/>
          <w:lang w:val="en-PH"/>
        </w:rPr>
        <w:t>In</w:t>
      </w:r>
      <w:proofErr w:type="gramEnd"/>
      <w:r>
        <w:rPr>
          <w:rFonts w:ascii="Arial" w:hAnsi="Arial" w:cs="Arial"/>
          <w:b w:val="0"/>
          <w:bCs/>
          <w:caps w:val="0"/>
          <w:lang w:val="en-PH"/>
        </w:rPr>
        <w:t xml:space="preserve"> Teaching Critical Thinking In Reading. English Review: Journal </w:t>
      </w:r>
      <w:proofErr w:type="gramStart"/>
      <w:r>
        <w:rPr>
          <w:rFonts w:ascii="Arial" w:hAnsi="Arial" w:cs="Arial"/>
          <w:b w:val="0"/>
          <w:bCs/>
          <w:caps w:val="0"/>
          <w:lang w:val="en-PH"/>
        </w:rPr>
        <w:t>Of</w:t>
      </w:r>
      <w:proofErr w:type="gramEnd"/>
      <w:r>
        <w:rPr>
          <w:rFonts w:ascii="Arial" w:hAnsi="Arial" w:cs="Arial"/>
          <w:b w:val="0"/>
          <w:bCs/>
          <w:caps w:val="0"/>
          <w:lang w:val="en-PH"/>
        </w:rPr>
        <w:t xml:space="preserve"> English Education, 4(1), 1-14. </w:t>
      </w:r>
    </w:p>
    <w:p w14:paraId="05429175" w14:textId="77777777" w:rsidR="0036010B" w:rsidRDefault="00877B91">
      <w:pPr>
        <w:pStyle w:val="Appendix"/>
        <w:ind w:left="720" w:hanging="720"/>
        <w:jc w:val="both"/>
        <w:rPr>
          <w:rFonts w:ascii="Arial" w:hAnsi="Arial" w:cs="Arial"/>
          <w:b w:val="0"/>
          <w:bCs/>
          <w:lang w:val="en-PH"/>
        </w:rPr>
      </w:pPr>
      <w:r>
        <w:rPr>
          <w:rFonts w:ascii="Arial" w:hAnsi="Arial" w:cs="Arial"/>
          <w:b w:val="0"/>
          <w:bCs/>
          <w:caps w:val="0"/>
          <w:lang w:val="en-PH"/>
        </w:rPr>
        <w:t xml:space="preserve">Lestari, 2022. The Effect </w:t>
      </w:r>
      <w:proofErr w:type="gramStart"/>
      <w:r>
        <w:rPr>
          <w:rFonts w:ascii="Arial" w:hAnsi="Arial" w:cs="Arial"/>
          <w:b w:val="0"/>
          <w:bCs/>
          <w:caps w:val="0"/>
          <w:lang w:val="en-PH"/>
        </w:rPr>
        <w:t>Of</w:t>
      </w:r>
      <w:proofErr w:type="gramEnd"/>
      <w:r>
        <w:rPr>
          <w:rFonts w:ascii="Arial" w:hAnsi="Arial" w:cs="Arial"/>
          <w:b w:val="0"/>
          <w:bCs/>
          <w:caps w:val="0"/>
          <w:lang w:val="en-PH"/>
        </w:rPr>
        <w:t xml:space="preserve"> Using Think Pa</w:t>
      </w:r>
      <w:r>
        <w:rPr>
          <w:rFonts w:ascii="Arial" w:hAnsi="Arial" w:cs="Arial"/>
          <w:b w:val="0"/>
          <w:bCs/>
          <w:caps w:val="0"/>
          <w:lang w:val="en-PH"/>
        </w:rPr>
        <w:t xml:space="preserve">ir Share To Improve Students’ Reading SkillsHttps://Www.Academia.Edu/106896641/The_Effect_Of_Using_Think_P </w:t>
      </w:r>
      <w:r>
        <w:rPr>
          <w:rFonts w:ascii="Arial" w:hAnsi="Arial" w:cs="Arial"/>
          <w:b w:val="0"/>
          <w:bCs/>
          <w:caps w:val="0"/>
          <w:lang w:val="en-PH"/>
        </w:rPr>
        <w:lastRenderedPageBreak/>
        <w:t xml:space="preserve">Air_Share_To_Improve_Students_Reading_Skills?Form=Mg0av3&amp;For M=Mg0av3 </w:t>
      </w:r>
    </w:p>
    <w:p w14:paraId="65D2E36F" w14:textId="77777777" w:rsidR="0036010B" w:rsidRDefault="00877B91">
      <w:pPr>
        <w:pStyle w:val="Appendix"/>
        <w:ind w:left="720" w:hanging="720"/>
        <w:jc w:val="both"/>
        <w:rPr>
          <w:rFonts w:ascii="Arial" w:hAnsi="Arial" w:cs="Arial"/>
          <w:b w:val="0"/>
          <w:bCs/>
          <w:lang w:val="en-PH"/>
        </w:rPr>
      </w:pPr>
      <w:r>
        <w:rPr>
          <w:rFonts w:ascii="Arial" w:hAnsi="Arial" w:cs="Arial"/>
          <w:b w:val="0"/>
          <w:bCs/>
          <w:caps w:val="0"/>
          <w:lang w:val="en-PH"/>
        </w:rPr>
        <w:t xml:space="preserve">Rido, A., &amp; Sari, F. M. (2018). Characteristics </w:t>
      </w:r>
      <w:proofErr w:type="gramStart"/>
      <w:r>
        <w:rPr>
          <w:rFonts w:ascii="Arial" w:hAnsi="Arial" w:cs="Arial"/>
          <w:b w:val="0"/>
          <w:bCs/>
          <w:caps w:val="0"/>
          <w:lang w:val="en-PH"/>
        </w:rPr>
        <w:t>Of</w:t>
      </w:r>
      <w:proofErr w:type="gramEnd"/>
      <w:r>
        <w:rPr>
          <w:rFonts w:ascii="Arial" w:hAnsi="Arial" w:cs="Arial"/>
          <w:b w:val="0"/>
          <w:bCs/>
          <w:caps w:val="0"/>
          <w:lang w:val="en-PH"/>
        </w:rPr>
        <w:t xml:space="preserve"> Classroom Interaction Of En</w:t>
      </w:r>
      <w:r>
        <w:rPr>
          <w:rFonts w:ascii="Arial" w:hAnsi="Arial" w:cs="Arial"/>
          <w:b w:val="0"/>
          <w:bCs/>
          <w:caps w:val="0"/>
          <w:lang w:val="en-PH"/>
        </w:rPr>
        <w:t xml:space="preserve">glish Language Teachers In Indonesia And Malaysia. International Journal </w:t>
      </w:r>
      <w:proofErr w:type="gramStart"/>
      <w:r>
        <w:rPr>
          <w:rFonts w:ascii="Arial" w:hAnsi="Arial" w:cs="Arial"/>
          <w:b w:val="0"/>
          <w:bCs/>
          <w:caps w:val="0"/>
          <w:lang w:val="en-PH"/>
        </w:rPr>
        <w:t>Of</w:t>
      </w:r>
      <w:proofErr w:type="gramEnd"/>
      <w:r>
        <w:rPr>
          <w:rFonts w:ascii="Arial" w:hAnsi="Arial" w:cs="Arial"/>
          <w:b w:val="0"/>
          <w:bCs/>
          <w:caps w:val="0"/>
          <w:lang w:val="en-PH"/>
        </w:rPr>
        <w:t xml:space="preserve"> Language Education, 2(1), 40-50 </w:t>
      </w:r>
    </w:p>
    <w:p w14:paraId="666C006C" w14:textId="77777777" w:rsidR="0036010B" w:rsidRDefault="00877B91">
      <w:pPr>
        <w:pStyle w:val="Appendix"/>
        <w:ind w:left="720" w:hanging="720"/>
        <w:jc w:val="both"/>
        <w:rPr>
          <w:rFonts w:ascii="Arial" w:hAnsi="Arial" w:cs="Arial"/>
          <w:b w:val="0"/>
          <w:bCs/>
          <w:lang w:val="en-PH"/>
        </w:rPr>
      </w:pPr>
      <w:r>
        <w:rPr>
          <w:rFonts w:ascii="Arial" w:hAnsi="Arial" w:cs="Arial"/>
          <w:b w:val="0"/>
          <w:bCs/>
          <w:caps w:val="0"/>
          <w:lang w:val="en-PH"/>
        </w:rPr>
        <w:t xml:space="preserve">Sari, F. M. (2018). Patterns </w:t>
      </w:r>
      <w:proofErr w:type="gramStart"/>
      <w:r>
        <w:rPr>
          <w:rFonts w:ascii="Arial" w:hAnsi="Arial" w:cs="Arial"/>
          <w:b w:val="0"/>
          <w:bCs/>
          <w:caps w:val="0"/>
          <w:lang w:val="en-PH"/>
        </w:rPr>
        <w:t>Of</w:t>
      </w:r>
      <w:proofErr w:type="gramEnd"/>
      <w:r>
        <w:rPr>
          <w:rFonts w:ascii="Arial" w:hAnsi="Arial" w:cs="Arial"/>
          <w:b w:val="0"/>
          <w:bCs/>
          <w:caps w:val="0"/>
          <w:lang w:val="en-PH"/>
        </w:rPr>
        <w:t xml:space="preserve"> Teaching-Learning Interaction In The Efl Classroom. Teknosastik: Jurnal Bahasa Dan Sastra, 16(2), 41-48. </w:t>
      </w:r>
    </w:p>
    <w:p w14:paraId="58592D0A" w14:textId="77777777" w:rsidR="0036010B" w:rsidRDefault="00877B91">
      <w:pPr>
        <w:pStyle w:val="Appendix"/>
        <w:ind w:left="720" w:hanging="720"/>
        <w:jc w:val="both"/>
        <w:rPr>
          <w:rFonts w:ascii="Arial" w:hAnsi="Arial" w:cs="Arial"/>
          <w:b w:val="0"/>
          <w:bCs/>
          <w:lang w:val="en-PH"/>
        </w:rPr>
      </w:pPr>
      <w:r>
        <w:rPr>
          <w:rFonts w:ascii="Arial" w:hAnsi="Arial" w:cs="Arial"/>
          <w:b w:val="0"/>
          <w:bCs/>
          <w:caps w:val="0"/>
          <w:lang w:val="en-PH"/>
        </w:rPr>
        <w:t xml:space="preserve">Shih, Y. </w:t>
      </w:r>
      <w:r>
        <w:rPr>
          <w:rFonts w:ascii="Arial" w:hAnsi="Arial" w:cs="Arial"/>
          <w:b w:val="0"/>
          <w:bCs/>
          <w:caps w:val="0"/>
          <w:lang w:val="en-PH"/>
        </w:rPr>
        <w:t xml:space="preserve">C., &amp; Reynolds, B. L. (2015). Teaching Adolescents Efl By Integrating Think-Pair-Share </w:t>
      </w:r>
      <w:proofErr w:type="gramStart"/>
      <w:r>
        <w:rPr>
          <w:rFonts w:ascii="Arial" w:hAnsi="Arial" w:cs="Arial"/>
          <w:b w:val="0"/>
          <w:bCs/>
          <w:caps w:val="0"/>
          <w:lang w:val="en-PH"/>
        </w:rPr>
        <w:t>And</w:t>
      </w:r>
      <w:proofErr w:type="gramEnd"/>
      <w:r>
        <w:rPr>
          <w:rFonts w:ascii="Arial" w:hAnsi="Arial" w:cs="Arial"/>
          <w:b w:val="0"/>
          <w:bCs/>
          <w:caps w:val="0"/>
          <w:lang w:val="en-PH"/>
        </w:rPr>
        <w:t xml:space="preserve"> Reading Strategy Instruction: A Quasi-Experimental Study. Relc Journal, 46(3), 221– 235. Doi:10.1177/0033688215589886 </w:t>
      </w:r>
    </w:p>
    <w:p w14:paraId="7021B17F" w14:textId="77777777" w:rsidR="0036010B" w:rsidRDefault="00877B91">
      <w:pPr>
        <w:pStyle w:val="Appendix"/>
        <w:ind w:left="720" w:hanging="720"/>
        <w:jc w:val="both"/>
        <w:rPr>
          <w:rFonts w:ascii="Arial" w:hAnsi="Arial" w:cs="Arial"/>
          <w:b w:val="0"/>
          <w:bCs/>
          <w:lang w:val="en-PH"/>
        </w:rPr>
      </w:pPr>
      <w:r>
        <w:rPr>
          <w:rFonts w:ascii="Arial" w:hAnsi="Arial" w:cs="Arial"/>
          <w:b w:val="0"/>
          <w:bCs/>
          <w:caps w:val="0"/>
          <w:lang w:val="en-PH"/>
        </w:rPr>
        <w:t xml:space="preserve">Utami &amp; Rusdarti (2021) The Effect </w:t>
      </w:r>
      <w:proofErr w:type="gramStart"/>
      <w:r>
        <w:rPr>
          <w:rFonts w:ascii="Arial" w:hAnsi="Arial" w:cs="Arial"/>
          <w:b w:val="0"/>
          <w:bCs/>
          <w:caps w:val="0"/>
          <w:lang w:val="en-PH"/>
        </w:rPr>
        <w:t>Of</w:t>
      </w:r>
      <w:proofErr w:type="gramEnd"/>
      <w:r>
        <w:rPr>
          <w:rFonts w:ascii="Arial" w:hAnsi="Arial" w:cs="Arial"/>
          <w:b w:val="0"/>
          <w:bCs/>
          <w:caps w:val="0"/>
          <w:lang w:val="en-PH"/>
        </w:rPr>
        <w:t xml:space="preserve"> Using Th</w:t>
      </w:r>
      <w:r>
        <w:rPr>
          <w:rFonts w:ascii="Arial" w:hAnsi="Arial" w:cs="Arial"/>
          <w:b w:val="0"/>
          <w:bCs/>
          <w:caps w:val="0"/>
          <w:lang w:val="en-PH"/>
        </w:rPr>
        <w:t xml:space="preserve">ink Pair Share To Improve Students’ ReadingSkillsHttps://Www.Academia.Edu/106896641/The_Effect_Of_Using_Think_Pair_Share_To_Improve_Students_Reading_Skills?Form=Mg0av3&amp;For M=Mg0av3 </w:t>
      </w:r>
    </w:p>
    <w:p w14:paraId="57A33F4F" w14:textId="77777777" w:rsidR="0036010B" w:rsidRDefault="00877B91">
      <w:pPr>
        <w:pStyle w:val="Appendix"/>
        <w:ind w:left="720" w:hanging="720"/>
        <w:jc w:val="both"/>
        <w:rPr>
          <w:rFonts w:ascii="Arial" w:hAnsi="Arial" w:cs="Arial"/>
          <w:b w:val="0"/>
          <w:bCs/>
          <w:lang w:val="en-PH"/>
        </w:rPr>
      </w:pPr>
      <w:r>
        <w:rPr>
          <w:rFonts w:ascii="Arial" w:hAnsi="Arial" w:cs="Arial"/>
          <w:b w:val="0"/>
          <w:bCs/>
          <w:caps w:val="0"/>
          <w:lang w:val="en-PH"/>
        </w:rPr>
        <w:t xml:space="preserve">Wahyudin, A. Y. (2017). The Effect </w:t>
      </w:r>
      <w:proofErr w:type="gramStart"/>
      <w:r>
        <w:rPr>
          <w:rFonts w:ascii="Arial" w:hAnsi="Arial" w:cs="Arial"/>
          <w:b w:val="0"/>
          <w:bCs/>
          <w:caps w:val="0"/>
          <w:lang w:val="en-PH"/>
        </w:rPr>
        <w:t>Of</w:t>
      </w:r>
      <w:proofErr w:type="gramEnd"/>
      <w:r>
        <w:rPr>
          <w:rFonts w:ascii="Arial" w:hAnsi="Arial" w:cs="Arial"/>
          <w:b w:val="0"/>
          <w:bCs/>
          <w:caps w:val="0"/>
          <w:lang w:val="en-PH"/>
        </w:rPr>
        <w:t xml:space="preserve"> Project-Based Learning On L2 Spoken </w:t>
      </w:r>
      <w:r>
        <w:rPr>
          <w:rFonts w:ascii="Arial" w:hAnsi="Arial" w:cs="Arial"/>
          <w:b w:val="0"/>
          <w:bCs/>
          <w:caps w:val="0"/>
          <w:lang w:val="en-PH"/>
        </w:rPr>
        <w:t xml:space="preserve">Performance Of Undergraduate Students In The English For Business Class. Advances </w:t>
      </w:r>
      <w:proofErr w:type="gramStart"/>
      <w:r>
        <w:rPr>
          <w:rFonts w:ascii="Arial" w:hAnsi="Arial" w:cs="Arial"/>
          <w:b w:val="0"/>
          <w:bCs/>
          <w:caps w:val="0"/>
          <w:lang w:val="en-PH"/>
        </w:rPr>
        <w:t>In</w:t>
      </w:r>
      <w:proofErr w:type="gramEnd"/>
      <w:r>
        <w:rPr>
          <w:rFonts w:ascii="Arial" w:hAnsi="Arial" w:cs="Arial"/>
          <w:b w:val="0"/>
          <w:bCs/>
          <w:caps w:val="0"/>
          <w:lang w:val="en-PH"/>
        </w:rPr>
        <w:t xml:space="preserve"> Social Science, Education, And Humanities Research (Assehr), 82, 42-46. Presented </w:t>
      </w:r>
      <w:proofErr w:type="gramStart"/>
      <w:r>
        <w:rPr>
          <w:rFonts w:ascii="Arial" w:hAnsi="Arial" w:cs="Arial"/>
          <w:b w:val="0"/>
          <w:bCs/>
          <w:caps w:val="0"/>
          <w:lang w:val="en-PH"/>
        </w:rPr>
        <w:t>At</w:t>
      </w:r>
      <w:proofErr w:type="gramEnd"/>
      <w:r>
        <w:rPr>
          <w:rFonts w:ascii="Arial" w:hAnsi="Arial" w:cs="Arial"/>
          <w:b w:val="0"/>
          <w:bCs/>
          <w:caps w:val="0"/>
          <w:lang w:val="en-PH"/>
        </w:rPr>
        <w:t xml:space="preserve"> The Ninth International Conference On Applied Linguistics (Conaplin 9). </w:t>
      </w:r>
    </w:p>
    <w:p w14:paraId="2CC0A260" w14:textId="77777777" w:rsidR="0036010B" w:rsidRDefault="00877B91">
      <w:pPr>
        <w:pStyle w:val="Appendix"/>
        <w:ind w:left="720" w:hanging="720"/>
        <w:jc w:val="both"/>
        <w:rPr>
          <w:rFonts w:ascii="Arial" w:hAnsi="Arial" w:cs="Arial"/>
          <w:b w:val="0"/>
          <w:bCs/>
          <w:lang w:val="en-PH"/>
        </w:rPr>
      </w:pPr>
      <w:r>
        <w:rPr>
          <w:rFonts w:ascii="Arial" w:hAnsi="Arial" w:cs="Arial"/>
          <w:b w:val="0"/>
          <w:bCs/>
          <w:caps w:val="0"/>
          <w:lang w:val="en-PH"/>
        </w:rPr>
        <w:t>ReadingRocket</w:t>
      </w:r>
      <w:r>
        <w:rPr>
          <w:rFonts w:ascii="Arial" w:hAnsi="Arial" w:cs="Arial"/>
          <w:b w:val="0"/>
          <w:bCs/>
          <w:caps w:val="0"/>
          <w:lang w:val="en-PH"/>
        </w:rPr>
        <w:t xml:space="preserve">s.Https://Www.Readingrockets.Org/Classroom/ClassroomStrategies/Think-Pair-Share </w:t>
      </w:r>
    </w:p>
    <w:p w14:paraId="75220D32" w14:textId="77777777" w:rsidR="0036010B" w:rsidRDefault="00877B91">
      <w:pPr>
        <w:pStyle w:val="Appendix"/>
        <w:spacing w:after="0"/>
        <w:ind w:left="720" w:hanging="720"/>
        <w:jc w:val="both"/>
        <w:rPr>
          <w:rFonts w:ascii="Arial" w:hAnsi="Arial" w:cs="Arial"/>
          <w:b w:val="0"/>
          <w:bCs/>
        </w:rPr>
      </w:pPr>
      <w:r>
        <w:rPr>
          <w:rFonts w:ascii="Arial" w:hAnsi="Arial" w:cs="Arial"/>
          <w:b w:val="0"/>
          <w:bCs/>
          <w:caps w:val="0"/>
          <w:lang w:val="en-PH"/>
        </w:rPr>
        <w:t>Readingquest. Https://Www.Readingquest.Org/Tps.Html</w:t>
      </w:r>
    </w:p>
    <w:sectPr w:rsidR="0036010B" w:rsidSect="00144188">
      <w:type w:val="continuous"/>
      <w:pgSz w:w="12240" w:h="15840"/>
      <w:pgMar w:top="1440" w:right="2016" w:bottom="2016" w:left="2016" w:header="720" w:footer="1296" w:gutter="0"/>
      <w:cols w:space="720"/>
      <w:docGrid w:linePitch="272"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19372" w14:textId="77777777" w:rsidR="00877B91" w:rsidRDefault="00877B91">
      <w:r>
        <w:separator/>
      </w:r>
    </w:p>
  </w:endnote>
  <w:endnote w:type="continuationSeparator" w:id="0">
    <w:p w14:paraId="7B86C81C" w14:textId="77777777" w:rsidR="00877B91" w:rsidRDefault="00877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Bold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749F1" w14:textId="77777777" w:rsidR="008C0BE4" w:rsidRDefault="008C0B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C77D7" w14:textId="77777777" w:rsidR="0036010B" w:rsidRDefault="0036010B">
    <w:pPr>
      <w:pStyle w:val="Footer"/>
    </w:pPr>
  </w:p>
  <w:p w14:paraId="5ED00140" w14:textId="77777777" w:rsidR="0036010B" w:rsidRDefault="003601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B756B" w14:textId="77777777" w:rsidR="008C0BE4" w:rsidRDefault="008C0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98CBD" w14:textId="77777777" w:rsidR="00877B91" w:rsidRDefault="00877B91">
      <w:r>
        <w:separator/>
      </w:r>
    </w:p>
  </w:footnote>
  <w:footnote w:type="continuationSeparator" w:id="0">
    <w:p w14:paraId="34DF7412" w14:textId="77777777" w:rsidR="00877B91" w:rsidRDefault="00877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1D679" w14:textId="4D2D36B1" w:rsidR="008C0BE4" w:rsidRDefault="008C0BE4">
    <w:pPr>
      <w:pStyle w:val="Header"/>
    </w:pPr>
    <w:r>
      <w:rPr>
        <w:noProof/>
      </w:rPr>
      <w:pict w14:anchorId="77568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3113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FF656" w14:textId="0291A25E" w:rsidR="0036010B" w:rsidRDefault="008C0BE4">
    <w:pPr>
      <w:pStyle w:val="Header"/>
    </w:pPr>
    <w:r>
      <w:rPr>
        <w:noProof/>
      </w:rPr>
      <w:pict w14:anchorId="3CB839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3113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7DA04D3" w14:textId="77777777" w:rsidR="0036010B" w:rsidRDefault="003601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6CF6D" w14:textId="4C887690" w:rsidR="0036010B" w:rsidRDefault="008C0BE4">
    <w:pPr>
      <w:pStyle w:val="Header"/>
    </w:pPr>
    <w:r>
      <w:rPr>
        <w:noProof/>
      </w:rPr>
      <w:pict w14:anchorId="412892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311312"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F8042F7" w14:textId="77777777" w:rsidR="0036010B" w:rsidRDefault="00360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CEC8624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0000002"/>
    <w:multiLevelType w:val="multilevel"/>
    <w:tmpl w:val="F9249E54"/>
    <w:lvl w:ilvl="0">
      <w:start w:val="1"/>
      <w:numFmt w:val="decimal"/>
      <w:pStyle w:val="Reference"/>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0AEE766D"/>
    <w:multiLevelType w:val="multilevel"/>
    <w:tmpl w:val="B512E3AA"/>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oNotHyphenateCap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10B"/>
    <w:rsid w:val="0003297E"/>
    <w:rsid w:val="00144188"/>
    <w:rsid w:val="001A1513"/>
    <w:rsid w:val="0036010B"/>
    <w:rsid w:val="00877B91"/>
    <w:rsid w:val="008C0BE4"/>
    <w:rsid w:val="00AB7FA2"/>
    <w:rsid w:val="00F7553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6E18E2"/>
  <w15:docId w15:val="{A9ECEA76-E4E7-4FDB-BA19-0C949C49C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hAnsi="Helvetica"/>
    </w:rPr>
  </w:style>
  <w:style w:type="paragraph" w:styleId="Heading1">
    <w:name w:val="heading 1"/>
    <w:basedOn w:val="Normal"/>
    <w:next w:val="Normal"/>
    <w:uiPriority w:val="9"/>
    <w:qFormat/>
    <w:pPr>
      <w:keepNext/>
      <w:spacing w:before="240" w:after="60"/>
      <w:outlineLvl w:val="0"/>
    </w:pPr>
    <w:rPr>
      <w:rFonts w:ascii="Arial" w:hAnsi="Arial"/>
      <w:b/>
      <w:kern w:val="2"/>
      <w:sz w:val="28"/>
    </w:rPr>
  </w:style>
  <w:style w:type="paragraph" w:styleId="Heading3">
    <w:name w:val="heading 3"/>
    <w:basedOn w:val="Normal"/>
    <w:next w:val="Normal"/>
    <w:link w:val="Heading3Char"/>
    <w:uiPriority w:val="9"/>
    <w:semiHidden/>
    <w:unhideWhenUsed/>
    <w:qFormat/>
    <w:pPr>
      <w:keepNext/>
      <w:keepLines/>
      <w:spacing w:before="40"/>
      <w:outlineLvl w:val="2"/>
    </w:pPr>
    <w:rPr>
      <w:rFonts w:ascii="Cambria" w:eastAsia="SimSun" w:hAnsi="Cambria" w:cs="SimSu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character" w:customStyle="1" w:styleId="BodyText2Char">
    <w:name w:val="Body Text 2 Char"/>
    <w:basedOn w:val="DefaultParagraphFont"/>
    <w:link w:val="BodyText2"/>
    <w:qFormat/>
    <w:rPr>
      <w:rFonts w:ascii="Helvetica" w:hAnsi="Helvetica"/>
    </w:rPr>
  </w:style>
  <w:style w:type="character" w:styleId="CommentReference">
    <w:name w:val="annotation reference"/>
    <w:basedOn w:val="DefaultParagraphFont"/>
    <w:uiPriority w:val="99"/>
    <w:qFormat/>
    <w:rPr>
      <w:sz w:val="16"/>
      <w:szCs w:val="16"/>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uiPriority w:val="99"/>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linenumber1">
    <w:name w:val="line number1"/>
    <w:basedOn w:val="DefaultParagraphFont"/>
    <w:qFormat/>
  </w:style>
  <w:style w:type="character" w:styleId="Emphasis">
    <w:name w:val="Emphasis"/>
    <w:basedOn w:val="DefaultParagraphFont"/>
    <w:uiPriority w:val="20"/>
    <w:qFormat/>
    <w:rPr>
      <w:i/>
      <w:iCs/>
    </w:rPr>
  </w:style>
  <w:style w:type="character" w:customStyle="1" w:styleId="UnresolvedMention1">
    <w:name w:val="Unresolved Mention1"/>
    <w:basedOn w:val="DefaultParagraphFont"/>
    <w:uiPriority w:val="99"/>
    <w:qFormat/>
    <w:rPr>
      <w:color w:val="605E5C"/>
      <w:shd w:val="clear" w:color="auto" w:fill="E1DFDD"/>
    </w:rPr>
  </w:style>
  <w:style w:type="character" w:styleId="Strong">
    <w:name w:val="Strong"/>
    <w:basedOn w:val="DefaultParagraphFont"/>
    <w:uiPriority w:val="22"/>
    <w:qFormat/>
    <w:rPr>
      <w:b/>
      <w:bCs/>
    </w:rPr>
  </w:style>
  <w:style w:type="character" w:customStyle="1" w:styleId="linenumber2">
    <w:name w:val="line number2"/>
    <w:qFormat/>
  </w:style>
  <w:style w:type="character" w:customStyle="1" w:styleId="linenumber3">
    <w:name w:val="line number3"/>
    <w:qFormat/>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caption1">
    <w:name w:val="caption1"/>
    <w:basedOn w:val="Normal"/>
    <w:qFormat/>
    <w:pPr>
      <w:suppressLineNumbers/>
      <w:spacing w:before="120" w:after="120"/>
    </w:pPr>
    <w:rPr>
      <w:rFonts w:cs="Lucida Sans"/>
      <w:i/>
      <w:iCs/>
      <w:sz w:val="24"/>
      <w:szCs w:val="24"/>
    </w:rPr>
  </w:style>
  <w:style w:type="paragraph" w:customStyle="1" w:styleId="caption11">
    <w:name w:val="caption11"/>
    <w:basedOn w:val="Normal"/>
    <w:qFormat/>
    <w:pPr>
      <w:suppressLineNumbers/>
      <w:spacing w:before="120" w:after="120"/>
    </w:pPr>
    <w:rPr>
      <w:rFonts w:cs="Lucida Sans"/>
      <w:i/>
      <w:iCs/>
      <w:sz w:val="24"/>
      <w:szCs w:val="24"/>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styleId="Title">
    <w:name w:val="Title"/>
    <w:basedOn w:val="Normal"/>
    <w:uiPriority w:val="10"/>
    <w:qFormat/>
    <w:pPr>
      <w:spacing w:after="360"/>
      <w:jc w:val="right"/>
    </w:pPr>
    <w:rPr>
      <w:b/>
      <w:kern w:val="2"/>
      <w:sz w:val="3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paragraph" w:customStyle="1" w:styleId="Head2">
    <w:name w:val="Head2"/>
    <w:basedOn w:val="Normal"/>
    <w:next w:val="Body"/>
    <w:qFormat/>
    <w:pPr>
      <w:keepNext/>
      <w:spacing w:after="240"/>
    </w:pPr>
    <w:rPr>
      <w:caps/>
    </w:rPr>
  </w:style>
  <w:style w:type="paragraph" w:customStyle="1" w:styleId="MainHead">
    <w:name w:val="Main Head"/>
    <w:basedOn w:val="Normal"/>
    <w:qFormat/>
    <w:pPr>
      <w:keepNext/>
      <w:spacing w:after="240"/>
    </w:pPr>
    <w:rPr>
      <w:b/>
      <w:caps/>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erandFooter">
    <w:name w:val="Header and Footer"/>
    <w:basedOn w:val="Normal"/>
    <w:qFormat/>
  </w:style>
  <w:style w:type="paragraph" w:styleId="Footer">
    <w:name w:val="footer"/>
    <w:basedOn w:val="Normal"/>
    <w:pPr>
      <w:suppressLineNumbers/>
      <w:tabs>
        <w:tab w:val="center" w:pos="4320"/>
        <w:tab w:val="right" w:pos="8640"/>
      </w:tabs>
    </w:pPr>
  </w:style>
  <w:style w:type="paragraph" w:customStyle="1" w:styleId="Head40">
    <w:name w:val="Head 4"/>
    <w:basedOn w:val="Head3"/>
    <w:qFormat/>
    <w:rPr>
      <w:u w:val="none"/>
    </w:rPr>
  </w:style>
  <w:style w:type="paragraph" w:styleId="Header">
    <w:name w:val="header"/>
    <w:basedOn w:val="Normal"/>
    <w:pPr>
      <w:suppressLineNumbers/>
      <w:tabs>
        <w:tab w:val="center" w:pos="4320"/>
        <w:tab w:val="right" w:pos="8640"/>
      </w:tabs>
    </w:pPr>
  </w:style>
  <w:style w:type="paragraph" w:customStyle="1" w:styleId="Paper">
    <w:name w:val="Paper"/>
    <w:basedOn w:val="Normal"/>
    <w:qFormat/>
    <w:pPr>
      <w:spacing w:after="360" w:line="440" w:lineRule="exact"/>
      <w:jc w:val="right"/>
    </w:pPr>
    <w:rPr>
      <w:b/>
      <w:sz w:val="36"/>
    </w:rPr>
  </w:style>
  <w:style w:type="paragraph" w:styleId="Signature">
    <w:name w:val="Signature"/>
    <w:basedOn w:val="Normal"/>
    <w:pPr>
      <w:ind w:left="4320"/>
    </w:pPr>
  </w:style>
  <w:style w:type="paragraph" w:customStyle="1" w:styleId="SymbolP">
    <w:name w:val="Symbol P"/>
    <w:basedOn w:val="Body"/>
    <w:qFormat/>
    <w:pPr>
      <w:tabs>
        <w:tab w:val="left" w:pos="720"/>
        <w:tab w:val="left" w:pos="3780"/>
      </w:tabs>
      <w:spacing w:after="0"/>
    </w:pPr>
    <w:rPr>
      <w:sz w:val="24"/>
    </w:rPr>
  </w:style>
  <w:style w:type="paragraph" w:styleId="BodyText2">
    <w:name w:val="Body Text 2"/>
    <w:basedOn w:val="Normal"/>
    <w:link w:val="BodyText2Char"/>
    <w:qFormat/>
    <w:pPr>
      <w:spacing w:after="120" w:line="480" w:lineRule="auto"/>
    </w:pPr>
  </w:style>
  <w:style w:type="paragraph" w:styleId="CommentText">
    <w:name w:val="annotation text"/>
    <w:basedOn w:val="Normal"/>
    <w:link w:val="CommentTextChar"/>
    <w:uiPriority w:val="99"/>
    <w:qFormat/>
    <w:rPr>
      <w:rFonts w:ascii="Times New Roman" w:hAnsi="Times New Roman"/>
      <w:lang w:val="nb-NO" w:eastAsia="nb-NO"/>
    </w:rPr>
  </w:style>
  <w:style w:type="paragraph" w:styleId="BalloonText">
    <w:name w:val="Balloon Text"/>
    <w:basedOn w:val="Normal"/>
    <w:link w:val="BalloonTextChar"/>
    <w:uiPriority w:val="99"/>
    <w:qFormat/>
    <w:rPr>
      <w:rFonts w:ascii="Tahoma" w:hAnsi="Tahoma" w:cs="Tahoma"/>
      <w:sz w:val="16"/>
      <w:szCs w:val="16"/>
    </w:rPr>
  </w:style>
  <w:style w:type="paragraph" w:styleId="BodyText3">
    <w:name w:val="Body Text 3"/>
    <w:basedOn w:val="Normal"/>
    <w:link w:val="BodyText3Char"/>
    <w:qFormat/>
    <w:pPr>
      <w:spacing w:after="120"/>
    </w:pPr>
    <w:rPr>
      <w:sz w:val="16"/>
      <w:szCs w:val="16"/>
    </w:rPr>
  </w:style>
  <w:style w:type="paragraph" w:styleId="NormalWeb">
    <w:name w:val="Normal (Web)"/>
    <w:basedOn w:val="Normal"/>
    <w:uiPriority w:val="99"/>
    <w:qFormat/>
    <w:pPr>
      <w:spacing w:beforeAutospacing="1" w:afterAutospacing="1"/>
    </w:pPr>
    <w:rPr>
      <w:rFonts w:ascii="Times New Roman" w:hAnsi="Times New Roman"/>
      <w:sz w:val="24"/>
      <w:szCs w:val="24"/>
      <w:lang w:val="en-GB" w:eastAsia="en-GB"/>
    </w:rPr>
  </w:style>
  <w:style w:type="paragraph" w:styleId="ListParagraph">
    <w:name w:val="List Paragraph"/>
    <w:basedOn w:val="Normal"/>
    <w:uiPriority w:val="34"/>
    <w:qFormat/>
    <w:pPr>
      <w:spacing w:after="200" w:line="276" w:lineRule="auto"/>
      <w:ind w:left="720"/>
      <w:contextualSpacing/>
    </w:pPr>
    <w:rPr>
      <w:rFonts w:ascii="Calibri" w:eastAsia="Calibri" w:hAnsi="Calibri" w:cs="SimSun"/>
      <w:sz w:val="22"/>
      <w:szCs w:val="22"/>
      <w:lang w:val="en-PH"/>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qFormat/>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uppressAutoHyphens w:val="0"/>
      <w:autoSpaceDE w:val="0"/>
      <w:autoSpaceDN w:val="0"/>
      <w:adjustRightInd w:val="0"/>
    </w:pPr>
    <w:rPr>
      <w:color w:val="000000"/>
      <w:sz w:val="24"/>
      <w:szCs w:val="24"/>
    </w:rPr>
  </w:style>
  <w:style w:type="character" w:customStyle="1" w:styleId="Heading3Char">
    <w:name w:val="Heading 3 Char"/>
    <w:basedOn w:val="DefaultParagraphFont"/>
    <w:link w:val="Heading3"/>
    <w:rPr>
      <w:rFonts w:ascii="Cambria" w:eastAsia="SimSun" w:hAnsi="Cambria" w:cs="SimSun"/>
      <w:color w:val="243F6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69154-50A3-44E1-89FB-ABB36641E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5034</Words>
  <Characters>28698</Characters>
  <Application>Microsoft Office Word</Application>
  <DocSecurity>0</DocSecurity>
  <Lines>239</Lines>
  <Paragraphs>67</Paragraphs>
  <ScaleCrop>false</ScaleCrop>
  <Company>aaaa</Company>
  <LinksUpToDate>false</LinksUpToDate>
  <CharactersWithSpaces>33665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12</cp:revision>
  <cp:lastPrinted>1999-07-06T11:00:00Z</cp:lastPrinted>
  <dcterms:created xsi:type="dcterms:W3CDTF">2026-04-17T09:25:00Z</dcterms:created>
  <dcterms:modified xsi:type="dcterms:W3CDTF">2026-04-18T13:20:00Z</dcterms:modified>
  <dc:language>en-PH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650c4f7829ed4514aced44b04c14d69d</vt:lpwstr>
  </property>
</Properties>
</file>