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02775" w14:textId="63F4F4EF" w:rsidR="00576E6A" w:rsidRPr="00F61E4A" w:rsidRDefault="008A6D72" w:rsidP="008A6D72">
      <w:pPr>
        <w:pStyle w:val="Heading1"/>
        <w:ind w:left="709" w:right="777"/>
        <w:contextualSpacing/>
        <w:jc w:val="both"/>
      </w:pPr>
      <w:bookmarkStart w:id="0" w:name="_GoBack"/>
      <w:bookmarkEnd w:id="0"/>
      <w:r w:rsidRPr="008A6D72">
        <w:rPr>
          <w:rFonts w:cs="Times New Roman"/>
          <w:i/>
          <w:iCs/>
          <w:sz w:val="34"/>
          <w:szCs w:val="34"/>
        </w:rPr>
        <w:t xml:space="preserve">Enhancing Literacy and Reading Interest to Accelerate SDG 4: A Case Study of </w:t>
      </w:r>
      <w:proofErr w:type="spellStart"/>
      <w:r w:rsidRPr="008A6D72">
        <w:rPr>
          <w:rFonts w:cs="Times New Roman"/>
          <w:i/>
          <w:iCs/>
          <w:sz w:val="34"/>
          <w:szCs w:val="34"/>
        </w:rPr>
        <w:t>Setren</w:t>
      </w:r>
      <w:proofErr w:type="spellEnd"/>
      <w:r w:rsidRPr="008A6D72">
        <w:rPr>
          <w:rFonts w:cs="Times New Roman"/>
          <w:i/>
          <w:iCs/>
          <w:sz w:val="34"/>
          <w:szCs w:val="34"/>
        </w:rPr>
        <w:t xml:space="preserve"> Village, Indonesia</w:t>
      </w:r>
    </w:p>
    <w:p w14:paraId="5BF6B73A" w14:textId="77777777" w:rsidR="00FF5DDB" w:rsidRDefault="00FF5DDB">
      <w:pPr>
        <w:pStyle w:val="BodyText"/>
        <w:spacing w:before="11"/>
        <w:ind w:left="0"/>
        <w:jc w:val="left"/>
        <w:rPr>
          <w:rFonts w:ascii="Palatino Linotype"/>
          <w:b/>
          <w:sz w:val="19"/>
        </w:rPr>
      </w:pPr>
    </w:p>
    <w:p w14:paraId="5B927211" w14:textId="77777777" w:rsidR="00212CB2" w:rsidRDefault="00212CB2" w:rsidP="00212CB2">
      <w:pPr>
        <w:pStyle w:val="BodyText"/>
        <w:spacing w:before="11"/>
        <w:ind w:left="709"/>
        <w:jc w:val="left"/>
        <w:rPr>
          <w:rFonts w:ascii="Palatino Linotype"/>
          <w:sz w:val="16"/>
          <w:szCs w:val="16"/>
        </w:rPr>
      </w:pPr>
    </w:p>
    <w:p w14:paraId="4E33757E" w14:textId="77777777" w:rsidR="00576E6A" w:rsidRPr="00576E6A" w:rsidRDefault="00576E6A" w:rsidP="00576E6A">
      <w:pPr>
        <w:pStyle w:val="BodyText"/>
        <w:spacing w:before="11"/>
        <w:ind w:left="709"/>
        <w:jc w:val="left"/>
        <w:rPr>
          <w:sz w:val="16"/>
          <w:szCs w:val="16"/>
        </w:rPr>
      </w:pPr>
    </w:p>
    <w:tbl>
      <w:tblPr>
        <w:tblW w:w="0" w:type="auto"/>
        <w:tblInd w:w="469" w:type="dxa"/>
        <w:tblLayout w:type="fixed"/>
        <w:tblCellMar>
          <w:left w:w="0" w:type="dxa"/>
          <w:right w:w="0" w:type="dxa"/>
        </w:tblCellMar>
        <w:tblLook w:val="01E0" w:firstRow="1" w:lastRow="1" w:firstColumn="1" w:lastColumn="1" w:noHBand="0" w:noVBand="0"/>
      </w:tblPr>
      <w:tblGrid>
        <w:gridCol w:w="2792"/>
        <w:gridCol w:w="5824"/>
      </w:tblGrid>
      <w:tr w:rsidR="00FF5DDB" w14:paraId="63928E57" w14:textId="77777777">
        <w:trPr>
          <w:trHeight w:val="293"/>
        </w:trPr>
        <w:tc>
          <w:tcPr>
            <w:tcW w:w="2792" w:type="dxa"/>
            <w:tcBorders>
              <w:top w:val="single" w:sz="4" w:space="0" w:color="000000"/>
              <w:bottom w:val="single" w:sz="4" w:space="0" w:color="000000"/>
            </w:tcBorders>
          </w:tcPr>
          <w:p w14:paraId="272F3233" w14:textId="77777777" w:rsidR="00FF5DDB" w:rsidRDefault="00AA2F57">
            <w:pPr>
              <w:pStyle w:val="TableParagraph"/>
              <w:spacing w:line="268" w:lineRule="exact"/>
              <w:rPr>
                <w:b/>
                <w:i/>
                <w:sz w:val="24"/>
              </w:rPr>
            </w:pPr>
            <w:r>
              <w:rPr>
                <w:b/>
                <w:i/>
                <w:sz w:val="24"/>
              </w:rPr>
              <w:t>Article</w:t>
            </w:r>
            <w:r>
              <w:rPr>
                <w:b/>
                <w:i/>
                <w:spacing w:val="-5"/>
                <w:sz w:val="24"/>
              </w:rPr>
              <w:t xml:space="preserve"> </w:t>
            </w:r>
            <w:r>
              <w:rPr>
                <w:b/>
                <w:i/>
                <w:sz w:val="24"/>
              </w:rPr>
              <w:t>Info</w:t>
            </w:r>
          </w:p>
        </w:tc>
        <w:tc>
          <w:tcPr>
            <w:tcW w:w="5824" w:type="dxa"/>
            <w:tcBorders>
              <w:top w:val="single" w:sz="4" w:space="0" w:color="000000"/>
            </w:tcBorders>
          </w:tcPr>
          <w:p w14:paraId="58A596AF" w14:textId="77777777" w:rsidR="00FF5DDB" w:rsidRDefault="00AA2F57">
            <w:pPr>
              <w:pStyle w:val="TableParagraph"/>
              <w:tabs>
                <w:tab w:val="left" w:pos="5823"/>
              </w:tabs>
              <w:spacing w:line="273" w:lineRule="exact"/>
              <w:ind w:left="335"/>
              <w:rPr>
                <w:b/>
                <w:i/>
                <w:sz w:val="24"/>
              </w:rPr>
            </w:pPr>
            <w:r>
              <w:rPr>
                <w:b/>
                <w:i/>
                <w:sz w:val="24"/>
                <w:u w:val="single"/>
              </w:rPr>
              <w:t xml:space="preserve"> </w:t>
            </w:r>
            <w:r>
              <w:rPr>
                <w:b/>
                <w:i/>
                <w:spacing w:val="-12"/>
                <w:sz w:val="24"/>
                <w:u w:val="single"/>
              </w:rPr>
              <w:t xml:space="preserve"> </w:t>
            </w:r>
            <w:r>
              <w:rPr>
                <w:b/>
                <w:i/>
                <w:sz w:val="24"/>
                <w:u w:val="single"/>
              </w:rPr>
              <w:t>Abstract</w:t>
            </w:r>
            <w:r>
              <w:rPr>
                <w:b/>
                <w:i/>
                <w:sz w:val="24"/>
                <w:u w:val="single"/>
              </w:rPr>
              <w:tab/>
            </w:r>
          </w:p>
        </w:tc>
      </w:tr>
      <w:tr w:rsidR="00FF5DDB" w14:paraId="550A3372" w14:textId="77777777" w:rsidTr="002067E1">
        <w:trPr>
          <w:trHeight w:val="3390"/>
        </w:trPr>
        <w:tc>
          <w:tcPr>
            <w:tcW w:w="2792" w:type="dxa"/>
            <w:tcBorders>
              <w:top w:val="single" w:sz="4" w:space="0" w:color="000000"/>
              <w:bottom w:val="single" w:sz="4" w:space="0" w:color="000000"/>
            </w:tcBorders>
            <w:shd w:val="clear" w:color="auto" w:fill="D9D9D9"/>
          </w:tcPr>
          <w:p w14:paraId="25FC2E1C" w14:textId="77777777" w:rsidR="00FF5DDB" w:rsidRDefault="00FF5DDB">
            <w:pPr>
              <w:pStyle w:val="TableParagraph"/>
              <w:spacing w:before="8"/>
              <w:ind w:left="0"/>
              <w:rPr>
                <w:rFonts w:ascii="Cambria"/>
                <w:sz w:val="21"/>
              </w:rPr>
            </w:pPr>
          </w:p>
          <w:p w14:paraId="5681B4F9" w14:textId="77777777" w:rsidR="00FF5DDB" w:rsidRDefault="00AA2F57">
            <w:pPr>
              <w:pStyle w:val="TableParagraph"/>
              <w:spacing w:line="307" w:lineRule="exact"/>
              <w:rPr>
                <w:b/>
                <w:i/>
                <w:sz w:val="24"/>
              </w:rPr>
            </w:pPr>
            <w:r>
              <w:rPr>
                <w:b/>
                <w:i/>
                <w:sz w:val="24"/>
              </w:rPr>
              <w:t>Keywords:</w:t>
            </w:r>
          </w:p>
          <w:p w14:paraId="49089544" w14:textId="7FA32491" w:rsidR="00576E6A" w:rsidRPr="00576E6A" w:rsidRDefault="00ED57D8" w:rsidP="00576E6A">
            <w:pPr>
              <w:pStyle w:val="TableParagraph"/>
              <w:spacing w:before="11" w:line="213" w:lineRule="auto"/>
              <w:ind w:right="198"/>
              <w:rPr>
                <w:i/>
                <w:sz w:val="16"/>
                <w:szCs w:val="16"/>
              </w:rPr>
            </w:pPr>
            <w:r>
              <w:rPr>
                <w:i/>
                <w:sz w:val="16"/>
                <w:szCs w:val="16"/>
              </w:rPr>
              <w:t>SDGs</w:t>
            </w:r>
          </w:p>
          <w:p w14:paraId="69531F40" w14:textId="53DFA3B6" w:rsidR="00576E6A" w:rsidRPr="00576E6A" w:rsidRDefault="00ED57D8" w:rsidP="00576E6A">
            <w:pPr>
              <w:pStyle w:val="TableParagraph"/>
              <w:spacing w:before="11" w:line="213" w:lineRule="auto"/>
              <w:ind w:right="198"/>
              <w:rPr>
                <w:i/>
                <w:sz w:val="16"/>
                <w:szCs w:val="16"/>
              </w:rPr>
            </w:pPr>
            <w:r>
              <w:rPr>
                <w:i/>
                <w:sz w:val="16"/>
                <w:szCs w:val="16"/>
              </w:rPr>
              <w:t>Literacy</w:t>
            </w:r>
          </w:p>
          <w:p w14:paraId="34E2DA61" w14:textId="276558BA" w:rsidR="00576E6A" w:rsidRPr="00576E6A" w:rsidRDefault="00ED57D8" w:rsidP="00576E6A">
            <w:pPr>
              <w:pStyle w:val="TableParagraph"/>
              <w:spacing w:before="11" w:line="213" w:lineRule="auto"/>
              <w:ind w:right="198"/>
              <w:rPr>
                <w:i/>
                <w:sz w:val="16"/>
                <w:szCs w:val="16"/>
              </w:rPr>
            </w:pPr>
            <w:r>
              <w:rPr>
                <w:i/>
                <w:sz w:val="16"/>
                <w:szCs w:val="16"/>
              </w:rPr>
              <w:t>Reading Interest</w:t>
            </w:r>
          </w:p>
          <w:p w14:paraId="297F4C10" w14:textId="343F1834" w:rsidR="00FF5DDB" w:rsidRPr="00ED57D8" w:rsidRDefault="00ED57D8" w:rsidP="00ED57D8">
            <w:pPr>
              <w:pStyle w:val="TableParagraph"/>
              <w:spacing w:before="11" w:line="213" w:lineRule="auto"/>
              <w:ind w:right="198"/>
              <w:rPr>
                <w:i/>
                <w:sz w:val="16"/>
                <w:szCs w:val="16"/>
              </w:rPr>
            </w:pPr>
            <w:r>
              <w:rPr>
                <w:i/>
                <w:sz w:val="16"/>
                <w:szCs w:val="16"/>
              </w:rPr>
              <w:t xml:space="preserve">Village </w:t>
            </w:r>
            <w:r w:rsidR="00B9164A">
              <w:rPr>
                <w:i/>
                <w:sz w:val="16"/>
                <w:szCs w:val="16"/>
              </w:rPr>
              <w:t xml:space="preserve"> </w:t>
            </w:r>
          </w:p>
        </w:tc>
        <w:tc>
          <w:tcPr>
            <w:tcW w:w="5824" w:type="dxa"/>
            <w:tcBorders>
              <w:bottom w:val="single" w:sz="4" w:space="0" w:color="000000"/>
            </w:tcBorders>
          </w:tcPr>
          <w:p w14:paraId="7B3CCF70" w14:textId="320690B5" w:rsidR="00B9164A" w:rsidRPr="00B9164A" w:rsidRDefault="00287FB9" w:rsidP="00494440">
            <w:pPr>
              <w:pStyle w:val="TableParagraph"/>
              <w:spacing w:line="213" w:lineRule="auto"/>
              <w:ind w:left="443" w:right="107"/>
              <w:jc w:val="both"/>
              <w:rPr>
                <w:rFonts w:asciiTheme="majorHAnsi" w:hAnsiTheme="majorHAnsi"/>
                <w:bCs/>
                <w:i/>
                <w:iCs/>
                <w:sz w:val="20"/>
                <w:szCs w:val="20"/>
                <w:lang w:val="en-ID"/>
              </w:rPr>
            </w:pPr>
            <w:r w:rsidRPr="00287FB9">
              <w:rPr>
                <w:rFonts w:asciiTheme="majorHAnsi" w:hAnsiTheme="majorHAnsi"/>
                <w:bCs/>
                <w:i/>
                <w:iCs/>
                <w:sz w:val="20"/>
                <w:szCs w:val="20"/>
              </w:rPr>
              <w:t xml:space="preserve">This study employed a qualitative case study approach supported by quantitative data to examine the impact of literacy and reading interest enhancement on elementary school students in </w:t>
            </w:r>
            <w:proofErr w:type="spellStart"/>
            <w:r w:rsidRPr="00287FB9">
              <w:rPr>
                <w:rFonts w:asciiTheme="majorHAnsi" w:hAnsiTheme="majorHAnsi"/>
                <w:bCs/>
                <w:i/>
                <w:iCs/>
                <w:sz w:val="20"/>
                <w:szCs w:val="20"/>
              </w:rPr>
              <w:t>Setren</w:t>
            </w:r>
            <w:proofErr w:type="spellEnd"/>
            <w:r w:rsidRPr="00287FB9">
              <w:rPr>
                <w:rFonts w:asciiTheme="majorHAnsi" w:hAnsiTheme="majorHAnsi"/>
                <w:bCs/>
                <w:i/>
                <w:iCs/>
                <w:sz w:val="20"/>
                <w:szCs w:val="20"/>
              </w:rPr>
              <w:t xml:space="preserve"> Village,</w:t>
            </w:r>
            <w:r>
              <w:rPr>
                <w:rFonts w:asciiTheme="majorHAnsi" w:hAnsiTheme="majorHAnsi"/>
                <w:bCs/>
                <w:i/>
                <w:iCs/>
                <w:sz w:val="20"/>
                <w:szCs w:val="20"/>
              </w:rPr>
              <w:t xml:space="preserve"> </w:t>
            </w:r>
            <w:proofErr w:type="spellStart"/>
            <w:r>
              <w:rPr>
                <w:rFonts w:asciiTheme="majorHAnsi" w:hAnsiTheme="majorHAnsi"/>
                <w:bCs/>
                <w:i/>
                <w:iCs/>
                <w:sz w:val="20"/>
                <w:szCs w:val="20"/>
              </w:rPr>
              <w:t>Bojonegoro</w:t>
            </w:r>
            <w:proofErr w:type="spellEnd"/>
            <w:r>
              <w:rPr>
                <w:rFonts w:asciiTheme="majorHAnsi" w:hAnsiTheme="majorHAnsi"/>
                <w:bCs/>
                <w:i/>
                <w:iCs/>
                <w:sz w:val="20"/>
                <w:szCs w:val="20"/>
              </w:rPr>
              <w:t>,</w:t>
            </w:r>
            <w:r w:rsidRPr="00287FB9">
              <w:rPr>
                <w:rFonts w:asciiTheme="majorHAnsi" w:hAnsiTheme="majorHAnsi"/>
                <w:bCs/>
                <w:i/>
                <w:iCs/>
                <w:sz w:val="20"/>
                <w:szCs w:val="20"/>
              </w:rPr>
              <w:t xml:space="preserve"> Indonesia, in accelerating SDG 4</w:t>
            </w:r>
            <w:r w:rsidR="00696C32">
              <w:rPr>
                <w:rFonts w:asciiTheme="majorHAnsi" w:hAnsiTheme="majorHAnsi"/>
                <w:bCs/>
                <w:i/>
                <w:iCs/>
                <w:sz w:val="20"/>
                <w:szCs w:val="20"/>
              </w:rPr>
              <w:t>,</w:t>
            </w:r>
            <w:r>
              <w:rPr>
                <w:rFonts w:asciiTheme="majorHAnsi" w:hAnsiTheme="majorHAnsi"/>
                <w:bCs/>
                <w:i/>
                <w:iCs/>
                <w:sz w:val="20"/>
                <w:szCs w:val="20"/>
              </w:rPr>
              <w:t xml:space="preserve"> which is quality education</w:t>
            </w:r>
            <w:r w:rsidRPr="00287FB9">
              <w:rPr>
                <w:rFonts w:asciiTheme="majorHAnsi" w:hAnsiTheme="majorHAnsi"/>
                <w:bCs/>
                <w:i/>
                <w:iCs/>
                <w:sz w:val="20"/>
                <w:szCs w:val="20"/>
              </w:rPr>
              <w:t xml:space="preserve">. A total of 8 students were selected using purposive sampling, supported by interviews with 3 teachers and 5 parents. Data were collected through observation, interviews, and literacy assessment conducted from July to November 2024. The results showed significant improvement in students’ literacy capability and reading interest. Literacy scores improved from initial levels of D–C to B–A+, while reading interest increased from C–D levels to B–A+. Students also demonstrated increased engagement, comprehension, and critical thinking skills. The findings indicate that </w:t>
            </w:r>
            <w:r w:rsidR="00BC2135">
              <w:rPr>
                <w:rFonts w:asciiTheme="majorHAnsi" w:hAnsiTheme="majorHAnsi"/>
                <w:bCs/>
                <w:i/>
                <w:iCs/>
                <w:sz w:val="20"/>
                <w:szCs w:val="20"/>
              </w:rPr>
              <w:t xml:space="preserve">this </w:t>
            </w:r>
            <w:r w:rsidR="00494440">
              <w:rPr>
                <w:rFonts w:asciiTheme="majorHAnsi" w:hAnsiTheme="majorHAnsi"/>
                <w:bCs/>
                <w:i/>
                <w:iCs/>
                <w:sz w:val="20"/>
                <w:szCs w:val="20"/>
              </w:rPr>
              <w:t>study's</w:t>
            </w:r>
            <w:r w:rsidRPr="00287FB9">
              <w:rPr>
                <w:rFonts w:asciiTheme="majorHAnsi" w:hAnsiTheme="majorHAnsi"/>
                <w:bCs/>
                <w:i/>
                <w:iCs/>
                <w:sz w:val="20"/>
                <w:szCs w:val="20"/>
              </w:rPr>
              <w:t xml:space="preserve"> interventions contribute directly to improving education quality and support the achievement of SDG 4 at the village level.</w:t>
            </w:r>
            <w:r w:rsidR="00494440">
              <w:rPr>
                <w:rFonts w:asciiTheme="majorHAnsi" w:hAnsiTheme="majorHAnsi"/>
                <w:bCs/>
                <w:i/>
                <w:iCs/>
                <w:sz w:val="20"/>
                <w:szCs w:val="20"/>
                <w:lang w:val="en-ID"/>
              </w:rPr>
              <w:t xml:space="preserve"> </w:t>
            </w:r>
            <w:r w:rsidR="00494440" w:rsidRPr="00494440">
              <w:rPr>
                <w:rFonts w:asciiTheme="majorHAnsi" w:hAnsiTheme="majorHAnsi"/>
                <w:bCs/>
                <w:i/>
                <w:iCs/>
                <w:sz w:val="20"/>
                <w:szCs w:val="20"/>
              </w:rPr>
              <w:t>This study provides practical evidence for policymakers and educators on the importance of grassroots literacy programs in improving rural education outcomes</w:t>
            </w:r>
            <w:r w:rsidR="00494440">
              <w:rPr>
                <w:rFonts w:asciiTheme="majorHAnsi" w:hAnsiTheme="majorHAnsi"/>
                <w:bCs/>
                <w:i/>
                <w:iCs/>
                <w:sz w:val="20"/>
                <w:szCs w:val="20"/>
              </w:rPr>
              <w:t>.</w:t>
            </w:r>
          </w:p>
          <w:p w14:paraId="754C7C07" w14:textId="77777777" w:rsidR="00576E6A" w:rsidRPr="00494440" w:rsidRDefault="00576E6A" w:rsidP="00576E6A">
            <w:pPr>
              <w:pStyle w:val="TableParagraph"/>
              <w:spacing w:line="213" w:lineRule="auto"/>
              <w:ind w:left="443" w:right="107"/>
              <w:jc w:val="both"/>
              <w:rPr>
                <w:bCs/>
                <w:i/>
                <w:iCs/>
                <w:sz w:val="24"/>
                <w:lang w:val="en-ID"/>
              </w:rPr>
            </w:pPr>
          </w:p>
          <w:p w14:paraId="123F1F7E" w14:textId="77777777" w:rsidR="00576E6A" w:rsidRDefault="00576E6A" w:rsidP="00576E6A">
            <w:pPr>
              <w:pStyle w:val="TableParagraph"/>
              <w:spacing w:line="213" w:lineRule="auto"/>
              <w:ind w:left="443" w:right="107"/>
              <w:jc w:val="both"/>
              <w:rPr>
                <w:bCs/>
                <w:iCs/>
                <w:sz w:val="24"/>
                <w:lang w:val="id-ID"/>
              </w:rPr>
            </w:pPr>
          </w:p>
          <w:p w14:paraId="1AA7DD7F" w14:textId="77777777" w:rsidR="00576E6A" w:rsidRDefault="00576E6A" w:rsidP="00576E6A">
            <w:pPr>
              <w:pStyle w:val="TableParagraph"/>
              <w:spacing w:line="213" w:lineRule="auto"/>
              <w:ind w:left="443" w:right="107"/>
              <w:jc w:val="both"/>
              <w:rPr>
                <w:bCs/>
                <w:iCs/>
                <w:sz w:val="24"/>
                <w:lang w:val="id-ID"/>
              </w:rPr>
            </w:pPr>
          </w:p>
          <w:p w14:paraId="34E917DF" w14:textId="77777777" w:rsidR="00576E6A" w:rsidRDefault="00576E6A" w:rsidP="00576E6A">
            <w:pPr>
              <w:pStyle w:val="TableParagraph"/>
              <w:spacing w:line="213" w:lineRule="auto"/>
              <w:ind w:left="443" w:right="107"/>
              <w:jc w:val="both"/>
              <w:rPr>
                <w:bCs/>
                <w:iCs/>
                <w:sz w:val="24"/>
                <w:lang w:val="id-ID"/>
              </w:rPr>
            </w:pPr>
          </w:p>
          <w:p w14:paraId="6D458B78" w14:textId="60C394D0" w:rsidR="008E0FEB" w:rsidRDefault="008E0FEB" w:rsidP="00645EED">
            <w:pPr>
              <w:pStyle w:val="TableParagraph"/>
              <w:spacing w:line="213" w:lineRule="auto"/>
              <w:ind w:left="443" w:right="107"/>
              <w:jc w:val="right"/>
              <w:rPr>
                <w:sz w:val="16"/>
                <w:szCs w:val="16"/>
              </w:rPr>
            </w:pPr>
          </w:p>
          <w:p w14:paraId="2004630C" w14:textId="63CA3E44" w:rsidR="008E0FEB" w:rsidRDefault="008E0FEB" w:rsidP="008E0FEB">
            <w:pPr>
              <w:pStyle w:val="TableParagraph"/>
              <w:spacing w:line="213" w:lineRule="auto"/>
              <w:ind w:left="443" w:right="107"/>
              <w:jc w:val="right"/>
              <w:rPr>
                <w:sz w:val="16"/>
                <w:szCs w:val="16"/>
              </w:rPr>
            </w:pPr>
          </w:p>
          <w:p w14:paraId="63587EED" w14:textId="77777777" w:rsidR="00576E6A" w:rsidRPr="00576E6A" w:rsidRDefault="00576E6A" w:rsidP="00576E6A">
            <w:pPr>
              <w:pStyle w:val="TableParagraph"/>
              <w:spacing w:line="213" w:lineRule="auto"/>
              <w:ind w:left="443" w:right="107"/>
              <w:jc w:val="right"/>
              <w:rPr>
                <w:sz w:val="16"/>
                <w:szCs w:val="16"/>
              </w:rPr>
            </w:pPr>
          </w:p>
        </w:tc>
      </w:tr>
    </w:tbl>
    <w:p w14:paraId="5F11081E" w14:textId="77777777" w:rsidR="00074D70" w:rsidRDefault="00074D70">
      <w:pPr>
        <w:pStyle w:val="BodyText"/>
        <w:spacing w:before="10"/>
        <w:ind w:left="0"/>
        <w:jc w:val="left"/>
        <w:rPr>
          <w:sz w:val="23"/>
        </w:rPr>
      </w:pPr>
    </w:p>
    <w:p w14:paraId="425293AE" w14:textId="743BFA51" w:rsidR="00FF5DDB" w:rsidRDefault="00951442" w:rsidP="00C41194">
      <w:pPr>
        <w:pStyle w:val="Heading1"/>
        <w:numPr>
          <w:ilvl w:val="0"/>
          <w:numId w:val="10"/>
        </w:numPr>
        <w:tabs>
          <w:tab w:val="left" w:pos="745"/>
        </w:tabs>
        <w:spacing w:before="70" w:after="240"/>
      </w:pPr>
      <w:r>
        <w:t xml:space="preserve">Introduction </w:t>
      </w:r>
    </w:p>
    <w:p w14:paraId="7867CDBE" w14:textId="49A3654A" w:rsidR="00951442" w:rsidRPr="00696C32" w:rsidRDefault="00951442" w:rsidP="0000413E">
      <w:pPr>
        <w:pStyle w:val="ListParagraph"/>
        <w:spacing w:line="276" w:lineRule="auto"/>
        <w:ind w:left="284" w:firstLine="386"/>
        <w:rPr>
          <w:bCs/>
          <w:iCs/>
          <w:noProof/>
          <w:lang w:val="en-ID"/>
        </w:rPr>
      </w:pPr>
      <w:r w:rsidRPr="00951442">
        <w:rPr>
          <w:rFonts w:cs="Times New Roman"/>
          <w:bCs/>
          <w:iCs/>
          <w:noProof/>
        </w:rPr>
        <w:t>It is stated in the Sustainable Development Goals (SDGs) Mission that the fourth point is</w:t>
      </w:r>
      <w:r>
        <w:rPr>
          <w:rFonts w:cs="Times New Roman"/>
          <w:bCs/>
          <w:iCs/>
          <w:noProof/>
        </w:rPr>
        <w:t xml:space="preserve"> quality education because e</w:t>
      </w:r>
      <w:r w:rsidRPr="00951442">
        <w:rPr>
          <w:rFonts w:cs="Times New Roman"/>
          <w:bCs/>
          <w:iCs/>
          <w:noProof/>
        </w:rPr>
        <w:t xml:space="preserve">ducation is the key that will allow many other Sustainable Development Goals (SDGs) to be achieved. When people </w:t>
      </w:r>
      <w:r>
        <w:rPr>
          <w:rFonts w:cs="Times New Roman"/>
          <w:bCs/>
          <w:iCs/>
          <w:noProof/>
        </w:rPr>
        <w:t>can</w:t>
      </w:r>
      <w:r w:rsidRPr="00951442">
        <w:rPr>
          <w:rFonts w:cs="Times New Roman"/>
          <w:bCs/>
          <w:iCs/>
          <w:noProof/>
        </w:rPr>
        <w:t xml:space="preserve"> get quality education</w:t>
      </w:r>
      <w:r w:rsidR="00674536">
        <w:rPr>
          <w:rFonts w:cs="Times New Roman"/>
          <w:bCs/>
          <w:iCs/>
          <w:noProof/>
        </w:rPr>
        <w:t>,</w:t>
      </w:r>
      <w:r w:rsidRPr="00951442">
        <w:rPr>
          <w:rFonts w:cs="Times New Roman"/>
          <w:bCs/>
          <w:iCs/>
          <w:noProof/>
        </w:rPr>
        <w:t xml:space="preserve"> they can break the cycle of poverty</w:t>
      </w:r>
      <w:r>
        <w:rPr>
          <w:rFonts w:cs="Times New Roman"/>
          <w:bCs/>
          <w:iCs/>
          <w:noProof/>
        </w:rPr>
        <w:t xml:space="preserve">. </w:t>
      </w:r>
      <w:r w:rsidRPr="00951442">
        <w:rPr>
          <w:bCs/>
          <w:iCs/>
          <w:noProof/>
          <w:lang w:val="en-ID"/>
        </w:rPr>
        <w:t xml:space="preserve">If no further action is taken, it's projected that by 2030, 84 million children and young people will remain out of school, and around 300 million students will lack the essential numeracy and literacy skills for </w:t>
      </w:r>
      <w:r>
        <w:rPr>
          <w:bCs/>
          <w:iCs/>
          <w:noProof/>
          <w:lang w:val="en-ID"/>
        </w:rPr>
        <w:t>life's</w:t>
      </w:r>
      <w:r w:rsidRPr="00951442">
        <w:rPr>
          <w:bCs/>
          <w:iCs/>
          <w:noProof/>
          <w:lang w:val="en-ID"/>
        </w:rPr>
        <w:t xml:space="preserve"> success.</w:t>
      </w:r>
      <w:r>
        <w:rPr>
          <w:bCs/>
          <w:iCs/>
          <w:noProof/>
          <w:lang w:val="en-ID"/>
        </w:rPr>
        <w:t xml:space="preserve"> </w:t>
      </w:r>
      <w:r w:rsidRPr="00951442">
        <w:rPr>
          <w:rFonts w:cs="Times New Roman"/>
          <w:bCs/>
          <w:iCs/>
          <w:noProof/>
          <w:lang w:val="en-ID"/>
        </w:rPr>
        <w:t>The goals include ensuring free primary and secondary education for all boys and girls by 2030, providing equal access to affordable vocational training, addressing gender and wealth inequalities, and achieving universal access to quality higher education</w:t>
      </w:r>
      <w:r>
        <w:rPr>
          <w:rFonts w:cs="Times New Roman"/>
          <w:bCs/>
          <w:iCs/>
          <w:noProof/>
          <w:lang w:val="en-ID"/>
        </w:rPr>
        <w:t xml:space="preserve"> </w:t>
      </w:r>
      <w:r w:rsidR="00674536">
        <w:rPr>
          <w:rStyle w:val="FootnoteReference"/>
          <w:rFonts w:cs="Times New Roman"/>
          <w:bCs/>
          <w:iCs/>
          <w:noProof/>
          <w:lang w:val="en-ID"/>
        </w:rPr>
        <w:fldChar w:fldCharType="begin" w:fldLock="1"/>
      </w:r>
      <w:r w:rsidR="00980A23">
        <w:rPr>
          <w:rFonts w:cs="Times New Roman"/>
          <w:bCs/>
          <w:iCs/>
          <w:noProof/>
          <w:lang w:val="en-ID"/>
        </w:rPr>
        <w:instrText>ADDIN CSL_CITATION {"citationItems":[{"id":"ITEM-1","itemData":{"DOI":"10.1007/978-3-031-07461-5_1","ISSN":"25233092","abstract":"In this chapter, we provide an overview of the UN 2030 Agenda for Sustainable Development. In doing so, we offer an overview of the Sustainable Development Goals (SDGs) and other key elements of the 2030 Agenda. These include a vision, means of implementation, and follow-up and review processes. In addition, we discuss the role of partnerships in the Agenda, outlining their historical and future role in the architecture for implementing sustainable development at global and nation levels.","author":[{"dropping-particle":"","family":"Walsh","given":"Patrick Paul","non-dropping-particle":"","parse-names":false,"suffix":""},{"dropping-particle":"","family":"Banerjee","given":"Aparajita","non-dropping-particle":"","parse-names":false,"suffix":""},{"dropping-particle":"","family":"Murphy","given":"Enda","non-dropping-particle":"","parse-names":false,"suffix":""}],"container-title":"Sustainable Development Goals Series","id":"ITEM-1","issued":{"date-parts":[["2022"]]},"page":"1-12","title":"The UN 2030 Agenda for Sustainable Development","type":"article-journal","volume":"Part F2740"},"uris":["http://www.mendeley.com/documents/?uuid=b91e91c2-7b2f-4872-989f-035983acdb7d"]}],"mendeley":{"formattedCitation":"(Walsh et al., 2022)","plainTextFormattedCitation":"(Walsh et al., 2022)","previouslyFormattedCitation":"(Walsh et al., 2022)"},"properties":{"noteIndex":0},"schema":"https://github.com/citation-style-language/schema/raw/master/csl-citation.json"}</w:instrText>
      </w:r>
      <w:r w:rsidR="00674536">
        <w:rPr>
          <w:rStyle w:val="FootnoteReference"/>
          <w:rFonts w:cs="Times New Roman"/>
          <w:bCs/>
          <w:iCs/>
          <w:noProof/>
          <w:lang w:val="en-ID"/>
        </w:rPr>
        <w:fldChar w:fldCharType="separate"/>
      </w:r>
      <w:r w:rsidR="00674536" w:rsidRPr="00674536">
        <w:rPr>
          <w:rFonts w:cs="Times New Roman"/>
          <w:iCs/>
          <w:noProof/>
        </w:rPr>
        <w:t>(Walsh et al., 2022)</w:t>
      </w:r>
      <w:r w:rsidR="00674536">
        <w:rPr>
          <w:rStyle w:val="FootnoteReference"/>
          <w:rFonts w:cs="Times New Roman"/>
          <w:bCs/>
          <w:iCs/>
          <w:noProof/>
          <w:lang w:val="en-ID"/>
        </w:rPr>
        <w:fldChar w:fldCharType="end"/>
      </w:r>
      <w:r>
        <w:rPr>
          <w:rFonts w:cs="Times New Roman"/>
          <w:bCs/>
          <w:iCs/>
          <w:noProof/>
          <w:lang w:val="en-ID"/>
        </w:rPr>
        <w:t>.</w:t>
      </w:r>
      <w:r w:rsidR="00696C32">
        <w:rPr>
          <w:rFonts w:cs="Times New Roman"/>
          <w:bCs/>
          <w:iCs/>
          <w:noProof/>
          <w:lang w:val="en-ID"/>
        </w:rPr>
        <w:t xml:space="preserve"> </w:t>
      </w:r>
      <w:r w:rsidR="00EF5295" w:rsidRPr="00696C32">
        <w:rPr>
          <w:rFonts w:cs="Times New Roman"/>
          <w:bCs/>
          <w:iCs/>
          <w:noProof/>
        </w:rPr>
        <w:t xml:space="preserve">To address these challenges, substantial investments in education systems, innovative teaching methods, and targeted support for disadvantaged groups are essential. Governments and global organizations must work together to ensure that learning recovery plans are in place, focusing on digital inclusion, literacy enhancement, and curriculum. Furthermore, partnerships with </w:t>
      </w:r>
      <w:r w:rsidR="005A4707" w:rsidRPr="00696C32">
        <w:rPr>
          <w:rFonts w:cs="Times New Roman"/>
          <w:bCs/>
          <w:iCs/>
          <w:noProof/>
        </w:rPr>
        <w:t xml:space="preserve">the </w:t>
      </w:r>
      <w:r w:rsidR="00EF5295" w:rsidRPr="00696C32">
        <w:rPr>
          <w:rFonts w:cs="Times New Roman"/>
          <w:bCs/>
          <w:iCs/>
          <w:noProof/>
        </w:rPr>
        <w:t xml:space="preserve">private </w:t>
      </w:r>
      <w:r w:rsidR="005A4707" w:rsidRPr="00696C32">
        <w:rPr>
          <w:rFonts w:cs="Times New Roman"/>
          <w:bCs/>
          <w:iCs/>
          <w:noProof/>
        </w:rPr>
        <w:t>sector</w:t>
      </w:r>
      <w:r w:rsidR="00EF5295" w:rsidRPr="00696C32">
        <w:rPr>
          <w:rFonts w:cs="Times New Roman"/>
          <w:bCs/>
          <w:iCs/>
          <w:noProof/>
        </w:rPr>
        <w:t xml:space="preserve">, NGOs, and communities are crucial for mobilizing resources and creating </w:t>
      </w:r>
      <w:r w:rsidR="00EF5295" w:rsidRPr="00696C32">
        <w:rPr>
          <w:rFonts w:cs="Times New Roman"/>
          <w:bCs/>
          <w:iCs/>
          <w:noProof/>
        </w:rPr>
        <w:lastRenderedPageBreak/>
        <w:t>opportunities for lifelong learning. By implementing these strategies, the world can strive to meet the SDG 4 target of quality education for all by 2030, paving the way for more inclusive and equitable development across societies. Especially in Indonesia</w:t>
      </w:r>
      <w:r w:rsidR="005A4707" w:rsidRPr="00696C32">
        <w:rPr>
          <w:rFonts w:cs="Times New Roman"/>
          <w:bCs/>
          <w:iCs/>
          <w:noProof/>
        </w:rPr>
        <w:t>,</w:t>
      </w:r>
      <w:r w:rsidR="00EF5295" w:rsidRPr="00696C32">
        <w:rPr>
          <w:rFonts w:cs="Times New Roman"/>
          <w:bCs/>
          <w:iCs/>
          <w:noProof/>
        </w:rPr>
        <w:t xml:space="preserve"> where villages are at the end of the government coordination line and also the areas that are directly sided by the community.</w:t>
      </w:r>
    </w:p>
    <w:p w14:paraId="1065F5D5" w14:textId="71C7609B" w:rsidR="005A4707" w:rsidRDefault="005A4707" w:rsidP="0000413E">
      <w:pPr>
        <w:pStyle w:val="ListParagraph"/>
        <w:spacing w:line="276" w:lineRule="auto"/>
        <w:ind w:left="284" w:firstLine="386"/>
        <w:rPr>
          <w:rFonts w:cs="Times New Roman"/>
          <w:bCs/>
          <w:iCs/>
          <w:noProof/>
        </w:rPr>
      </w:pPr>
      <w:r w:rsidRPr="005A4707">
        <w:rPr>
          <w:rFonts w:cs="Times New Roman"/>
          <w:bCs/>
          <w:iCs/>
          <w:noProof/>
        </w:rPr>
        <w:t xml:space="preserve">The global education system continues to face a significant learning crisis, particularly in foundational literacy and numeracy competencies, which are essential components of SDG 4. International projections indicate that a substantial proportion of students may fail to achieve minimum literacy proficiency by 2030, threatening the achievement of inclusive and equitable quality education. This challenge is particularly severe in vulnerable and underserved communities, where limited literacy access exacerbates educational inequality. Therefore, </w:t>
      </w:r>
      <w:r w:rsidR="00BC2135">
        <w:rPr>
          <w:rFonts w:cs="Times New Roman"/>
          <w:bCs/>
          <w:iCs/>
          <w:noProof/>
        </w:rPr>
        <w:t>this study</w:t>
      </w:r>
      <w:r w:rsidRPr="005A4707">
        <w:rPr>
          <w:rFonts w:cs="Times New Roman"/>
          <w:bCs/>
          <w:iCs/>
          <w:noProof/>
        </w:rPr>
        <w:t xml:space="preserve"> interventions play a crucial role in strengthening foundational competencies, improving learning outcomes, and enhancing educational resilience. This study contributes to this global agenda by providing empirical evidence on the role of literacy programs in improving community literacy capacity and supporting sustainable education development.</w:t>
      </w:r>
    </w:p>
    <w:p w14:paraId="609C079F" w14:textId="61142A7B" w:rsidR="00CE7283" w:rsidRPr="00696C32" w:rsidRDefault="00CB1C0D" w:rsidP="0000413E">
      <w:pPr>
        <w:pStyle w:val="ListParagraph"/>
        <w:spacing w:line="276" w:lineRule="auto"/>
        <w:ind w:left="284" w:firstLine="386"/>
        <w:rPr>
          <w:rFonts w:cs="Times New Roman"/>
          <w:bCs/>
          <w:iCs/>
          <w:noProof/>
        </w:rPr>
      </w:pPr>
      <w:r w:rsidRPr="00CB1C0D">
        <w:rPr>
          <w:rFonts w:cs="Times New Roman"/>
          <w:bCs/>
          <w:iCs/>
          <w:noProof/>
        </w:rPr>
        <w:t xml:space="preserve">To meet the SDGs at the village level, targeted </w:t>
      </w:r>
      <w:r>
        <w:rPr>
          <w:rFonts w:cs="Times New Roman"/>
          <w:bCs/>
          <w:iCs/>
          <w:noProof/>
        </w:rPr>
        <w:t>measures such</w:t>
      </w:r>
      <w:r w:rsidRPr="00CB1C0D">
        <w:rPr>
          <w:rFonts w:cs="Times New Roman"/>
          <w:bCs/>
          <w:iCs/>
          <w:noProof/>
        </w:rPr>
        <w:t xml:space="preserve"> as community-led literacy programs, vocational training for youth, and addressing dropout </w:t>
      </w:r>
      <w:r>
        <w:rPr>
          <w:rFonts w:cs="Times New Roman"/>
          <w:bCs/>
          <w:iCs/>
          <w:noProof/>
        </w:rPr>
        <w:t>rates can</w:t>
      </w:r>
      <w:r w:rsidRPr="00CB1C0D">
        <w:rPr>
          <w:rFonts w:cs="Times New Roman"/>
          <w:bCs/>
          <w:iCs/>
          <w:noProof/>
        </w:rPr>
        <w:t xml:space="preserve"> contribute to the broader goal of ensuring that by 2030, every child, including those in rural areas, has access to quality education. By empowering local communities to invest in education, villages can become key drivers in accelerating progress towards achieving the SDGs, particularly in reducing educational inequality and improving lifelong learning opportunities.</w:t>
      </w:r>
      <w:r w:rsidR="00696C32">
        <w:rPr>
          <w:rFonts w:cs="Times New Roman"/>
          <w:bCs/>
          <w:iCs/>
          <w:noProof/>
        </w:rPr>
        <w:t xml:space="preserve"> </w:t>
      </w:r>
      <w:r w:rsidRPr="00696C32">
        <w:rPr>
          <w:rFonts w:cs="Times New Roman"/>
          <w:bCs/>
          <w:iCs/>
          <w:noProof/>
        </w:rPr>
        <w:t xml:space="preserve">That situation can be supported by the regulation of the Minister of Villages, Development of Disadvantaged Regions and Transmigration number 13 of 2020 concerning Priority Use of Village Funds in 2021, it is clearly stated that education is one of the priority parts for the use of village funds which mentioned that </w:t>
      </w:r>
      <w:r w:rsidR="00CE7283" w:rsidRPr="00696C32">
        <w:rPr>
          <w:rFonts w:cs="Times New Roman"/>
          <w:bCs/>
          <w:iCs/>
          <w:noProof/>
        </w:rPr>
        <w:t>the priority use of village funds in 2021 clearly states that education is one of the priority parts of the use of village funds. In more detail, it is stated in Chapter II that one of these priorities is the Village Sustainable Development Goals (SDGs)</w:t>
      </w:r>
      <w:r w:rsidR="005A4707" w:rsidRPr="00696C32">
        <w:rPr>
          <w:rFonts w:cs="Times New Roman"/>
          <w:bCs/>
          <w:iCs/>
          <w:noProof/>
        </w:rPr>
        <w:t>,</w:t>
      </w:r>
      <w:r w:rsidR="00CE7283" w:rsidRPr="00696C32">
        <w:rPr>
          <w:rFonts w:cs="Times New Roman"/>
          <w:bCs/>
          <w:iCs/>
          <w:noProof/>
        </w:rPr>
        <w:t xml:space="preserve"> which in point four is in the form of Villages that care about education</w:t>
      </w:r>
      <w:r w:rsidR="005A4707" w:rsidRPr="00696C32">
        <w:rPr>
          <w:rFonts w:cs="Times New Roman"/>
          <w:bCs/>
          <w:iCs/>
          <w:noProof/>
        </w:rPr>
        <w:t>,</w:t>
      </w:r>
      <w:r w:rsidR="00CE7283" w:rsidRPr="00696C32">
        <w:rPr>
          <w:rFonts w:cs="Times New Roman"/>
          <w:bCs/>
          <w:iCs/>
          <w:noProof/>
        </w:rPr>
        <w:t xml:space="preserve"> and the ultimate target is quality village education</w:t>
      </w:r>
      <w:r w:rsidR="00674536" w:rsidRPr="00696C32">
        <w:rPr>
          <w:rStyle w:val="FootnoteReference"/>
          <w:rFonts w:cs="Times New Roman"/>
          <w:bCs/>
          <w:iCs/>
          <w:noProof/>
          <w:lang w:val="en-ID"/>
        </w:rPr>
        <w:fldChar w:fldCharType="begin" w:fldLock="1"/>
      </w:r>
      <w:r w:rsidR="00980A23" w:rsidRPr="00696C32">
        <w:rPr>
          <w:rFonts w:cs="Times New Roman"/>
          <w:bCs/>
          <w:iCs/>
          <w:noProof/>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approach.","author":[{"dropping-particle":"","family":"Permendesa","given":"","non-dropping-particle":"","parse-names":false,"suffix":""}],"container-title":"PDTT, Pemendes","id":"ITEM-1","issue":"16","issued":{"date-parts":[["2020"]]},"page":"32","title":"Peraturan Menteri Desa, Pembangunan Daerah Tertinggal, Dan Transmigrasi Republik Indonesia No. 13 Tahun 2020","type":"article-journal"},"uris":["http://www.mendeley.com/documents/?uuid=3f6b441d-a9ba-4649-ad5e-7a7904c3b5fe"]}],"mendeley":{"formattedCitation":"(Permendesa, 2020)","plainTextFormattedCitation":"(Permendesa, 2020)","previouslyFormattedCitation":"(Permendesa, 2020)"},"properties":{"noteIndex":0},"schema":"https://github.com/citation-style-language/schema/raw/master/csl-citation.json"}</w:instrText>
      </w:r>
      <w:r w:rsidR="00674536" w:rsidRPr="00696C32">
        <w:rPr>
          <w:rStyle w:val="FootnoteReference"/>
          <w:rFonts w:cs="Times New Roman"/>
          <w:bCs/>
          <w:iCs/>
          <w:noProof/>
          <w:lang w:val="en-ID"/>
        </w:rPr>
        <w:fldChar w:fldCharType="separate"/>
      </w:r>
      <w:r w:rsidR="00674536" w:rsidRPr="00696C32">
        <w:rPr>
          <w:rFonts w:cs="Times New Roman"/>
          <w:iCs/>
          <w:noProof/>
        </w:rPr>
        <w:t>(Permendesa, 2020)</w:t>
      </w:r>
      <w:r w:rsidR="00674536" w:rsidRPr="00696C32">
        <w:rPr>
          <w:rStyle w:val="FootnoteReference"/>
          <w:rFonts w:cs="Times New Roman"/>
          <w:bCs/>
          <w:iCs/>
          <w:noProof/>
          <w:lang w:val="en-ID"/>
        </w:rPr>
        <w:fldChar w:fldCharType="end"/>
      </w:r>
      <w:r w:rsidR="00B10949" w:rsidRPr="00696C32">
        <w:rPr>
          <w:rFonts w:cs="Times New Roman"/>
          <w:bCs/>
          <w:iCs/>
          <w:noProof/>
          <w:lang w:val="en-ID"/>
        </w:rPr>
        <w:t xml:space="preserve">. </w:t>
      </w:r>
    </w:p>
    <w:p w14:paraId="261F5A9B" w14:textId="77777777" w:rsidR="00CE7283" w:rsidRDefault="00CE7283" w:rsidP="0000413E">
      <w:pPr>
        <w:pStyle w:val="ListParagraph"/>
        <w:spacing w:line="276" w:lineRule="auto"/>
        <w:ind w:left="284" w:firstLine="386"/>
        <w:rPr>
          <w:rFonts w:cs="Times New Roman"/>
          <w:bCs/>
          <w:iCs/>
          <w:noProof/>
        </w:rPr>
      </w:pPr>
      <w:r w:rsidRPr="00CB1C0D">
        <w:rPr>
          <w:rFonts w:cs="Times New Roman"/>
          <w:bCs/>
          <w:iCs/>
          <w:noProof/>
        </w:rPr>
        <w:t>The challenges of achieving quality education on a global scale are mirrored in local contexts, such as villages where access to education can be hindered by various factors like poverty, infrastructure, and social norms. In alignment with the global Sustainable Development Goals (SDGs), particularly SDG 4, villages play a crucial role in advancing education efforts.</w:t>
      </w:r>
      <w:r>
        <w:rPr>
          <w:rFonts w:cs="Times New Roman"/>
          <w:bCs/>
          <w:iCs/>
          <w:noProof/>
        </w:rPr>
        <w:t xml:space="preserve"> </w:t>
      </w:r>
      <w:r w:rsidRPr="00CB1C0D">
        <w:rPr>
          <w:rFonts w:cs="Times New Roman"/>
          <w:bCs/>
          <w:iCs/>
          <w:noProof/>
        </w:rPr>
        <w:t xml:space="preserve">In the village context, initiatives like improving literacy and reading interest among elementary students are vital steps toward bridging education gaps. These efforts align with the broader aim of providing equal access to quality education by addressing local barriers, such as limited educational resources, gender disparities, and </w:t>
      </w:r>
      <w:r>
        <w:rPr>
          <w:rFonts w:cs="Times New Roman"/>
          <w:bCs/>
          <w:iCs/>
          <w:noProof/>
        </w:rPr>
        <w:t>socio-economic</w:t>
      </w:r>
      <w:r w:rsidRPr="00CB1C0D">
        <w:rPr>
          <w:rFonts w:cs="Times New Roman"/>
          <w:bCs/>
          <w:iCs/>
          <w:noProof/>
        </w:rPr>
        <w:t xml:space="preserve"> challenges.</w:t>
      </w:r>
    </w:p>
    <w:p w14:paraId="619FADE5" w14:textId="685AA037" w:rsidR="00B10949" w:rsidRPr="00917E3D" w:rsidRDefault="00917E3D" w:rsidP="0000413E">
      <w:pPr>
        <w:pStyle w:val="ListParagraph"/>
        <w:spacing w:line="276" w:lineRule="auto"/>
        <w:ind w:left="284" w:firstLine="386"/>
        <w:rPr>
          <w:rFonts w:cs="Times New Roman"/>
          <w:bCs/>
          <w:iCs/>
          <w:noProof/>
          <w:lang w:val="en-ID"/>
        </w:rPr>
      </w:pPr>
      <w:r>
        <w:rPr>
          <w:rFonts w:cs="Times New Roman"/>
          <w:bCs/>
          <w:iCs/>
          <w:noProof/>
        </w:rPr>
        <w:t xml:space="preserve">Enhancing literacy and reading interest in the village can </w:t>
      </w:r>
      <w:r w:rsidR="00D25C4D">
        <w:rPr>
          <w:rFonts w:cs="Times New Roman"/>
          <w:bCs/>
          <w:iCs/>
          <w:noProof/>
        </w:rPr>
        <w:t>start</w:t>
      </w:r>
      <w:r>
        <w:rPr>
          <w:rFonts w:cs="Times New Roman"/>
          <w:bCs/>
          <w:iCs/>
          <w:noProof/>
        </w:rPr>
        <w:t xml:space="preserve"> from elementary school</w:t>
      </w:r>
      <w:r w:rsidR="00D25C4D">
        <w:rPr>
          <w:rFonts w:cs="Times New Roman"/>
          <w:bCs/>
          <w:iCs/>
          <w:noProof/>
        </w:rPr>
        <w:t>,</w:t>
      </w:r>
      <w:r>
        <w:rPr>
          <w:rFonts w:cs="Times New Roman"/>
          <w:bCs/>
          <w:iCs/>
          <w:noProof/>
        </w:rPr>
        <w:t xml:space="preserve"> including the </w:t>
      </w:r>
      <w:r w:rsidR="00D25C4D">
        <w:rPr>
          <w:rFonts w:cs="Times New Roman"/>
          <w:bCs/>
          <w:iCs/>
          <w:noProof/>
        </w:rPr>
        <w:t>students</w:t>
      </w:r>
      <w:r>
        <w:rPr>
          <w:rFonts w:cs="Times New Roman"/>
          <w:bCs/>
          <w:iCs/>
          <w:noProof/>
        </w:rPr>
        <w:t xml:space="preserve">.  </w:t>
      </w:r>
      <w:r w:rsidRPr="00130F59">
        <w:rPr>
          <w:bCs/>
        </w:rPr>
        <w:t xml:space="preserve">Because it is at this level that fundamental academic basics are intensively taught to students. Therefore, developing literacy and interest in reading in elementary school students is a crucial aspect in accelerating the achievement of Sustainable Development Goals (SDGs) at various levels, including the Village level. Literacy and interest in reading are not only fundamental skills in education but also </w:t>
      </w:r>
      <w:r>
        <w:rPr>
          <w:bCs/>
        </w:rPr>
        <w:t>the</w:t>
      </w:r>
      <w:r w:rsidRPr="00130F59">
        <w:rPr>
          <w:bCs/>
        </w:rPr>
        <w:t xml:space="preserve"> foundation for the intellectual, social, and economic growth of a society</w:t>
      </w:r>
      <w:r w:rsidR="00066592">
        <w:rPr>
          <w:rFonts w:cs="Times New Roman"/>
          <w:bCs/>
          <w:iCs/>
          <w:noProof/>
          <w:vertAlign w:val="superscript"/>
          <w:lang w:val="en-ID"/>
        </w:rPr>
        <w:t xml:space="preserve"> </w:t>
      </w:r>
      <w:r w:rsidR="00674536">
        <w:rPr>
          <w:rStyle w:val="FootnoteReference"/>
          <w:rFonts w:cs="Times New Roman"/>
          <w:bCs/>
          <w:iCs/>
          <w:noProof/>
          <w:lang w:val="en-ID"/>
        </w:rPr>
        <w:fldChar w:fldCharType="begin" w:fldLock="1"/>
      </w:r>
      <w:r w:rsidR="00980A23">
        <w:rPr>
          <w:rFonts w:cs="Times New Roman"/>
          <w:bCs/>
          <w:iCs/>
          <w:noProof/>
          <w:lang w:val="en-ID"/>
        </w:rPr>
        <w:instrText>ADDIN CSL_CITATION {"citationItems":[{"id":"ITEM-1","itemData":{"DOI":"10.1016/j.geosus.2020.05.001","ISSN":"26666839","abstract":"Quality education is one of the pillars in the United Nations 2030 Agenda for Sustainable Development, which aims to ensure inclusive and equitable quality education and promote lifelong learning opportunities for all. This overall goal can be connected to some general trends affecting education in the information age. We argue that education is key to the future quality of human life and the sustainability of the world. Generally, education is being transformed in both formal and informal learning contexts by new digital technologies. Overall, some of these major innovations and how they are changing education can be summarized into the following aspects: 1) our educational aims and objectives; 2) educational ecologies and contexts of learning; 3) the processes of learning; 4) the processes of teaching; and 5) educational governance and policy. Meanwhile, we note some of the potential risks and downsides of these technology trends. From the sustainable perspective, our review points to a great potential for educational reform, but it can only be achieved if we are willing to rethink and even abandon some of our traditional ways of doing things in education.","author":[{"dropping-particle":"","family":"Burbules","given":"Nicholas C.","non-dropping-particle":"","parse-names":false,"suffix":""},{"dropping-particle":"","family":"Fan","given":"Guorui","non-dropping-particle":"","parse-names":false,"suffix":""},{"dropping-particle":"","family":"Repp","given":"Philip","non-dropping-particle":"","parse-names":false,"suffix":""}],"container-title":"Geography and Sustainability","id":"ITEM-1","issue":"2","issued":{"date-parts":[["2020"]]},"page":"93-97","publisher":"Elsevier B.V.","title":"Five trends of education and technology in a sustainable future","type":"article-journal","volume":"1"},"uris":["http://www.mendeley.com/documents/?uuid=875c092c-0bef-4184-823c-e282b3f41a82"]}],"mendeley":{"formattedCitation":"(Burbules et al., 2020)","plainTextFormattedCitation":"(Burbules et al., 2020)","previouslyFormattedCitation":"(Burbules et al., 2020)"},"properties":{"noteIndex":0},"schema":"https://github.com/citation-style-language/schema/raw/master/csl-citation.json"}</w:instrText>
      </w:r>
      <w:r w:rsidR="00674536">
        <w:rPr>
          <w:rStyle w:val="FootnoteReference"/>
          <w:rFonts w:cs="Times New Roman"/>
          <w:bCs/>
          <w:iCs/>
          <w:noProof/>
          <w:lang w:val="en-ID"/>
        </w:rPr>
        <w:fldChar w:fldCharType="separate"/>
      </w:r>
      <w:r w:rsidR="00674536" w:rsidRPr="00674536">
        <w:rPr>
          <w:rFonts w:cs="Times New Roman"/>
          <w:iCs/>
          <w:noProof/>
        </w:rPr>
        <w:t>(Burbules et al., 2020)</w:t>
      </w:r>
      <w:r w:rsidR="00674536">
        <w:rPr>
          <w:rStyle w:val="FootnoteReference"/>
          <w:rFonts w:cs="Times New Roman"/>
          <w:bCs/>
          <w:iCs/>
          <w:noProof/>
          <w:lang w:val="en-ID"/>
        </w:rPr>
        <w:fldChar w:fldCharType="end"/>
      </w:r>
      <w:r w:rsidR="00B10949" w:rsidRPr="00917E3D">
        <w:rPr>
          <w:rFonts w:cs="Times New Roman"/>
          <w:bCs/>
          <w:iCs/>
          <w:noProof/>
          <w:lang w:val="en-ID"/>
        </w:rPr>
        <w:t xml:space="preserve">. </w:t>
      </w:r>
      <w:r w:rsidRPr="00130F59">
        <w:t xml:space="preserve">In this context, basic education is the main foundation for shaping children's thought patterns, attitudes, and knowledge. Developing literacy and interest </w:t>
      </w:r>
      <w:r w:rsidRPr="00130F59">
        <w:lastRenderedPageBreak/>
        <w:t>in reading at this level is not only about the ability to read and write, but also about forming a deep understanding of various content, sparking the imagination, and developing critical and analytical skills that are so necessary in facing the complexity of the modern worl</w:t>
      </w:r>
      <w:r w:rsidR="00066592">
        <w:t>d</w:t>
      </w:r>
      <w:r w:rsidR="00674536">
        <w:rPr>
          <w:rStyle w:val="FootnoteReference"/>
          <w:rFonts w:cs="Times New Roman"/>
          <w:bCs/>
          <w:iCs/>
          <w:noProof/>
          <w:lang w:val="en-ID"/>
        </w:rPr>
        <w:fldChar w:fldCharType="begin" w:fldLock="1"/>
      </w:r>
      <w:r w:rsidR="00980A23">
        <w:rPr>
          <w:rFonts w:cs="Times New Roman"/>
          <w:bCs/>
          <w:iCs/>
          <w:noProof/>
          <w:lang w:val="en-ID"/>
        </w:rPr>
        <w:instrText>ADDIN CSL_CITATION {"citationItems":[{"id":"ITEM-1","itemData":{"DOI":"10.3390/educsci10030056","ISSN":"22277102","abstract":"This paper looks at the effects of an intervention, based on fluency oriented reading instruction (FORI), on the motivation for reading among struggling readers in First Class in Irish primary schools. The intervention took place in learning support settings in three primary schools located in urban educationally disadvantaged communities in North Dublin. The study was conducted through a pragmatic lens with research questions framed to shed light on the motivation for reading of students in First Class from disadvantaged backgrounds. A mixed methods design with a concurrent triangulation strategy was employed, facilitating the exploration of multiple research questions using questionnaires and semi‐structured interviews with teachers and parents and conversational interviews and surveys with students. The perspective of reading motivation guiding the study recognised the overlapping influences of teachers, parents and the student himself or herself. Findings, as reported by these research informants, indicate that the FORI intervention had a positive impact on the motivation for reading of struggling readers in First Class. In particular, the intervention was found to decrease students’ perceived difficulty with reading and increase their reading self‐efficacy and orientation towards reading.","author":[{"dropping-particle":"","family":"Mehigan","given":"Gene","non-dropping-particle":"","parse-names":false,"suffix":""}],"container-title":"Education Sciences","id":"ITEM-1","issue":"3","issued":{"date-parts":[["2020"]]},"title":"Effects of fluency oriented instruction on motivation for reading of struggling readers","type":"article-journal","volume":"10"},"uris":["http://www.mendeley.com/documents/?uuid=d0567f2e-a9d8-40ad-9357-284926ce486f"]}],"mendeley":{"formattedCitation":"(Mehigan, 2020)","plainTextFormattedCitation":"(Mehigan, 2020)","previouslyFormattedCitation":"(Mehigan, 2020)"},"properties":{"noteIndex":0},"schema":"https://github.com/citation-style-language/schema/raw/master/csl-citation.json"}</w:instrText>
      </w:r>
      <w:r w:rsidR="00674536">
        <w:rPr>
          <w:rStyle w:val="FootnoteReference"/>
          <w:rFonts w:cs="Times New Roman"/>
          <w:bCs/>
          <w:iCs/>
          <w:noProof/>
          <w:lang w:val="en-ID"/>
        </w:rPr>
        <w:fldChar w:fldCharType="separate"/>
      </w:r>
      <w:r w:rsidR="00674536" w:rsidRPr="00674536">
        <w:rPr>
          <w:rFonts w:cs="Times New Roman"/>
          <w:iCs/>
          <w:noProof/>
        </w:rPr>
        <w:t>(Mehigan, 2020)</w:t>
      </w:r>
      <w:r w:rsidR="00674536">
        <w:rPr>
          <w:rStyle w:val="FootnoteReference"/>
          <w:rFonts w:cs="Times New Roman"/>
          <w:bCs/>
          <w:iCs/>
          <w:noProof/>
          <w:lang w:val="en-ID"/>
        </w:rPr>
        <w:fldChar w:fldCharType="end"/>
      </w:r>
      <w:r w:rsidR="00B10949" w:rsidRPr="00917E3D">
        <w:rPr>
          <w:rFonts w:cs="Times New Roman"/>
          <w:bCs/>
          <w:iCs/>
          <w:noProof/>
          <w:lang w:val="en-ID"/>
        </w:rPr>
        <w:t>.</w:t>
      </w:r>
    </w:p>
    <w:p w14:paraId="397F4447" w14:textId="01AA5656" w:rsidR="00917E3D" w:rsidRPr="0000413E" w:rsidRDefault="00917E3D" w:rsidP="0000413E">
      <w:pPr>
        <w:spacing w:line="276" w:lineRule="auto"/>
        <w:ind w:left="284" w:firstLine="425"/>
        <w:jc w:val="both"/>
        <w:rPr>
          <w:bCs/>
        </w:rPr>
      </w:pPr>
      <w:proofErr w:type="spellStart"/>
      <w:r w:rsidRPr="00130F59">
        <w:rPr>
          <w:bCs/>
        </w:rPr>
        <w:t>Setren</w:t>
      </w:r>
      <w:proofErr w:type="spellEnd"/>
      <w:r w:rsidRPr="00130F59">
        <w:rPr>
          <w:bCs/>
        </w:rPr>
        <w:t xml:space="preserve"> Village</w:t>
      </w:r>
      <w:r w:rsidR="00D25C4D">
        <w:rPr>
          <w:bCs/>
        </w:rPr>
        <w:t>,</w:t>
      </w:r>
      <w:r w:rsidRPr="00130F59">
        <w:rPr>
          <w:bCs/>
        </w:rPr>
        <w:t xml:space="preserve"> as a research location</w:t>
      </w:r>
      <w:r w:rsidR="00D25C4D">
        <w:rPr>
          <w:bCs/>
        </w:rPr>
        <w:t>,</w:t>
      </w:r>
      <w:r w:rsidRPr="00130F59">
        <w:rPr>
          <w:bCs/>
        </w:rPr>
        <w:t xml:space="preserve"> has its challenges regarding school dropout rates, especially in the last 2 years. This school dropout rate arises from various causes. For example, the influence of friends, and access from home to school</w:t>
      </w:r>
      <w:r w:rsidR="00D25C4D">
        <w:rPr>
          <w:bCs/>
        </w:rPr>
        <w:t>,</w:t>
      </w:r>
      <w:r w:rsidRPr="00130F59">
        <w:rPr>
          <w:bCs/>
        </w:rPr>
        <w:t xml:space="preserve"> </w:t>
      </w:r>
      <w:r w:rsidR="00D25C4D">
        <w:rPr>
          <w:bCs/>
        </w:rPr>
        <w:t>math is hard, low interest in reading, and also low quality of literacy</w:t>
      </w:r>
      <w:r w:rsidRPr="00130F59">
        <w:rPr>
          <w:bCs/>
        </w:rPr>
        <w:t>.</w:t>
      </w:r>
      <w:r>
        <w:rPr>
          <w:bCs/>
        </w:rPr>
        <w:t xml:space="preserve"> </w:t>
      </w:r>
      <w:r w:rsidR="00696C32" w:rsidRPr="00696C32">
        <w:rPr>
          <w:bCs/>
          <w:lang w:val="en-ID"/>
        </w:rPr>
        <w:t>Literacy competence has been empirically shown to influence academic persistence, learning outcomes, and school retention rates.</w:t>
      </w:r>
      <w:r w:rsidR="00696C32">
        <w:rPr>
          <w:bCs/>
          <w:lang w:val="en-ID"/>
        </w:rPr>
        <w:t xml:space="preserve"> </w:t>
      </w:r>
      <w:r w:rsidRPr="00917E3D">
        <w:rPr>
          <w:bCs/>
        </w:rPr>
        <w:t>Reading culture is directly proportional to the intellectual level</w:t>
      </w:r>
      <w:r w:rsidR="008B0B61">
        <w:rPr>
          <w:bCs/>
        </w:rPr>
        <w:t xml:space="preserve">. </w:t>
      </w:r>
      <w:r w:rsidR="008B0B61" w:rsidRPr="00130F59">
        <w:rPr>
          <w:bCs/>
        </w:rPr>
        <w:t>To overcome this problem, developing literacy and interest in reading is the main focus. Literacy includes the ability to read and write and the understanding and application of knowledge in everyday life. Interest in reading, on the other hand, is closely related to students' liking and enthusiasm for reading activities</w:t>
      </w:r>
      <w:r w:rsidR="00066592">
        <w:rPr>
          <w:rFonts w:cs="Times New Roman"/>
          <w:bCs/>
          <w:iCs/>
          <w:noProof/>
          <w:vertAlign w:val="superscript"/>
          <w:lang w:val="en-ID"/>
        </w:rPr>
        <w:t xml:space="preserve"> </w:t>
      </w:r>
      <w:r w:rsidR="00674536">
        <w:rPr>
          <w:rStyle w:val="FootnoteReference"/>
          <w:rFonts w:cs="Times New Roman"/>
          <w:bCs/>
          <w:iCs/>
          <w:noProof/>
          <w:lang w:val="en-ID"/>
        </w:rPr>
        <w:fldChar w:fldCharType="begin" w:fldLock="1"/>
      </w:r>
      <w:r w:rsidR="00980A23">
        <w:rPr>
          <w:rFonts w:cs="Times New Roman"/>
          <w:bCs/>
          <w:iCs/>
          <w:noProof/>
          <w:lang w:val="en-ID"/>
        </w:rPr>
        <w:instrText>ADDIN CSL_CITATION {"citationItems":[{"id":"ITEM-1","itemData":{"DOI":"10.30863/didaktika.v11i2.163","ISSN":"1978-0214","abstract":"In the era of highly advanced communication as it is today, the role of sophisticated mobile phones and tablets replaced many of the roles of the book. As the result, students are more interseted in spending time with gadgets than reading and writing books. Moving from the phenomenom, the culture of literacy is sustained in the Indonesian language course. The Indonesian course as an MPK emphasizes the skills of using Indonesian as the national language and national in a good and correct way to master, apply, and develop science, technology, and art as the embodiment of love and nationality to the Indonesian language. The title raised in this paper is “ to build a culture of literacy through the Indonesian language as a medium of productive generation of mental revolution”. Importan issues that will be the author of lift, namely: How to build a culture of literacy through the Indonesian language as a medium of productive generation of mental revolution. The theory used, taht is mentally related to the mind. Mentality is related to the way of thinking. Indonesian language courses serve as a medium of mental revolution of productive generation. By presenting the substance of the term revolution of the study should be incorporated into the activities of using the Indonesian language through listening, speaking, reading and writing skills with focused academic writing skills so as to train or familiarize the mental revolution with the productive generation.","author":[{"dropping-particle":"","family":"SALAM","given":"EVELINA SATRIYA","non-dropping-particle":"","parse-names":false,"suffix":""}],"container-title":"Didaktika","id":"ITEM-1","issue":"2","issued":{"date-parts":[["2019"]]},"page":"158","title":"Membangun Budaya Literasi Melalui Mata Kuliah Bahasa Indonesia Sebagai Media Revolusi Mental Generasi Produktif","type":"article-journal","volume":"11"},"uris":["http://www.mendeley.com/documents/?uuid=02c41b6c-4109-4eec-b827-047209c6af7d"]}],"mendeley":{"formattedCitation":"(SALAM, 2019)","plainTextFormattedCitation":"(SALAM, 2019)","previouslyFormattedCitation":"(SALAM, 2019)"},"properties":{"noteIndex":0},"schema":"https://github.com/citation-style-language/schema/raw/master/csl-citation.json"}</w:instrText>
      </w:r>
      <w:r w:rsidR="00674536">
        <w:rPr>
          <w:rStyle w:val="FootnoteReference"/>
          <w:rFonts w:cs="Times New Roman"/>
          <w:bCs/>
          <w:iCs/>
          <w:noProof/>
          <w:lang w:val="en-ID"/>
        </w:rPr>
        <w:fldChar w:fldCharType="separate"/>
      </w:r>
      <w:r w:rsidR="00674536" w:rsidRPr="00674536">
        <w:rPr>
          <w:rFonts w:cs="Times New Roman"/>
          <w:iCs/>
          <w:noProof/>
        </w:rPr>
        <w:t>(SALAM, 2019)</w:t>
      </w:r>
      <w:r w:rsidR="00674536">
        <w:rPr>
          <w:rStyle w:val="FootnoteReference"/>
          <w:rFonts w:cs="Times New Roman"/>
          <w:bCs/>
          <w:iCs/>
          <w:noProof/>
          <w:lang w:val="en-ID"/>
        </w:rPr>
        <w:fldChar w:fldCharType="end"/>
      </w:r>
      <w:r w:rsidR="00674536">
        <w:rPr>
          <w:rStyle w:val="FootnoteReference"/>
          <w:rFonts w:cs="Times New Roman"/>
          <w:bCs/>
          <w:iCs/>
          <w:noProof/>
          <w:lang w:val="en-ID"/>
        </w:rPr>
        <w:fldChar w:fldCharType="begin" w:fldLock="1"/>
      </w:r>
      <w:r w:rsidR="00980A23">
        <w:rPr>
          <w:rFonts w:cs="Times New Roman"/>
          <w:bCs/>
          <w:iCs/>
          <w:noProof/>
          <w:lang w:val="en-ID"/>
        </w:rPr>
        <w:instrText>ADDIN CSL_CITATION {"citationItems":[{"id":"ITEM-1","itemData":{"DOI":"10.1177/1362168820933190","ISSN":"14770954","abstract":"This study examined the role of growth mindset, self-efficacy, and intrinsic value in self-regulated learning (SRL) and English language learning achievements in Hong Kong primary school students. A sample of 690 4th graders participated in the study. The findings suggest that the level of SRL strategy use (i.e. monitoring, effort regulation, and goal setting and planning) was driven by the students’ motivational beliefs (i.e. growth mindset, self-efficacy, and intrinsic value) in different ways. Monitoring and effort regulation, in turn, were significant contributors to the participants’ English language learning achievements, but goal setting and planning did not predict their English language learning achievements. The finding suggests that growth mindset was a stronger predictor of SRL than self-efficacy and intrinsic value. Implications for fostering adaptive motivational beliefs and SRL are discussed. Future research should consider the influence of the socio-cultural context on the relationships between motivational factors, SRL strategy use, and English language learning achievements.","author":[{"dropping-particle":"","family":"Bai","given":"Barry","non-dropping-particle":"","parse-names":false,"suffix":""},{"dropping-particle":"","family":"Wang","given":"Jing","non-dropping-particle":"","parse-names":false,"suffix":""}],"container-title":"Language Teaching Research","id":"ITEM-1","issue":"1","issued":{"date-parts":[["2023"]]},"page":"207-228","title":"The role of growth mindset, self-efficacy and intrinsic value in self-regulated learning and English language learning achievements","type":"article-journal","volume":"27"},"uris":["http://www.mendeley.com/documents/?uuid=7154cc92-4f44-4ae5-8dd6-eb637a492920"]}],"mendeley":{"formattedCitation":"(Bai &amp; Wang, 2023)","plainTextFormattedCitation":"(Bai &amp; Wang, 2023)","previouslyFormattedCitation":"(Bai &amp; Wang, 2023)"},"properties":{"noteIndex":0},"schema":"https://github.com/citation-style-language/schema/raw/master/csl-citation.json"}</w:instrText>
      </w:r>
      <w:r w:rsidR="00674536">
        <w:rPr>
          <w:rStyle w:val="FootnoteReference"/>
          <w:rFonts w:cs="Times New Roman"/>
          <w:bCs/>
          <w:iCs/>
          <w:noProof/>
          <w:lang w:val="en-ID"/>
        </w:rPr>
        <w:fldChar w:fldCharType="separate"/>
      </w:r>
      <w:r w:rsidR="00674536" w:rsidRPr="00674536">
        <w:rPr>
          <w:rFonts w:cs="Times New Roman"/>
          <w:iCs/>
          <w:noProof/>
        </w:rPr>
        <w:t>(Bai &amp; Wang, 2023)</w:t>
      </w:r>
      <w:r w:rsidR="00674536">
        <w:rPr>
          <w:rStyle w:val="FootnoteReference"/>
          <w:rFonts w:cs="Times New Roman"/>
          <w:bCs/>
          <w:iCs/>
          <w:noProof/>
          <w:lang w:val="en-ID"/>
        </w:rPr>
        <w:fldChar w:fldCharType="end"/>
      </w:r>
      <w:r w:rsidR="00674536">
        <w:rPr>
          <w:rStyle w:val="FootnoteReference"/>
          <w:rFonts w:cs="Times New Roman"/>
          <w:bCs/>
          <w:iCs/>
          <w:noProof/>
          <w:lang w:val="en-ID"/>
        </w:rPr>
        <w:fldChar w:fldCharType="begin" w:fldLock="1"/>
      </w:r>
      <w:r w:rsidR="00980A23">
        <w:rPr>
          <w:rFonts w:cs="Times New Roman"/>
          <w:bCs/>
          <w:iCs/>
          <w:noProof/>
          <w:lang w:val="en-ID"/>
        </w:rPr>
        <w:instrText>ADDIN CSL_CITATION {"citationItems":[{"id":"ITEM-1","itemData":{"ISBN":"8003696283","author":[{"dropping-particle":"","family":"Braunger","given":"Jane","non-dropping-particle":"","parse-names":false,"suffix":""},{"dropping-particle":"","family":"Ed","given":"D","non-dropping-particle":"","parse-names":false,"suffix":""},{"dropping-particle":"","family":"Lewis","given":"Jan Patricia","non-dropping-particle":"","parse-names":false,"suffix":""},{"dropping-particle":"","family":"Ph","given":"D","non-dropping-particle":"","parse-names":false,"suffix":""}],"id":"ITEM-1","issued":{"date-parts":[["1997"]]},"title":"Educational Laboratory ' s","type":"book"},"uris":["http://www.mendeley.com/documents/?uuid=9fdc0e4c-0e8a-4690-b9e2-973c09e71246"]}],"mendeley":{"formattedCitation":"(Braunger et al., 1997)","plainTextFormattedCitation":"(Braunger et al., 1997)","previouslyFormattedCitation":"(Braunger et al., 1997)"},"properties":{"noteIndex":0},"schema":"https://github.com/citation-style-language/schema/raw/master/csl-citation.json"}</w:instrText>
      </w:r>
      <w:r w:rsidR="00674536">
        <w:rPr>
          <w:rStyle w:val="FootnoteReference"/>
          <w:rFonts w:cs="Times New Roman"/>
          <w:bCs/>
          <w:iCs/>
          <w:noProof/>
          <w:lang w:val="en-ID"/>
        </w:rPr>
        <w:fldChar w:fldCharType="separate"/>
      </w:r>
      <w:r w:rsidR="00674536" w:rsidRPr="00674536">
        <w:rPr>
          <w:rFonts w:cs="Times New Roman"/>
          <w:bCs/>
          <w:iCs/>
          <w:noProof/>
          <w:lang w:val="en-ID"/>
        </w:rPr>
        <w:t>(Braunger et al., 1997)</w:t>
      </w:r>
      <w:r w:rsidR="00674536">
        <w:rPr>
          <w:rStyle w:val="FootnoteReference"/>
          <w:rFonts w:cs="Times New Roman"/>
          <w:bCs/>
          <w:iCs/>
          <w:noProof/>
          <w:lang w:val="en-ID"/>
        </w:rPr>
        <w:fldChar w:fldCharType="end"/>
      </w:r>
      <w:r w:rsidR="00674536">
        <w:rPr>
          <w:rStyle w:val="FootnoteReference"/>
          <w:rFonts w:cs="Times New Roman"/>
          <w:bCs/>
          <w:iCs/>
          <w:noProof/>
          <w:lang w:val="en-ID"/>
        </w:rPr>
        <w:fldChar w:fldCharType="begin" w:fldLock="1"/>
      </w:r>
      <w:r w:rsidR="00980A23">
        <w:rPr>
          <w:rFonts w:cs="Times New Roman"/>
          <w:bCs/>
          <w:iCs/>
          <w:noProof/>
          <w:lang w:val="en-ID"/>
        </w:rPr>
        <w:instrText>ADDIN CSL_CITATION {"citationItems":[{"id":"ITEM-1","itemData":{"DOI":"10.1017/CBO9781107415324.004","abstract":"Sociocultural perspectives on literacy include various theories focused on the myriad ways in which people use literacy in context, which include a strong emphasis on power relations. Yet, these theories also have important differences, and many in the field of literacy do not clearly differentiate among them. I provide a critical overview of influential sociocultural perspectives on literacy, focusing on three major perspectives: (1) literacy as social practice, (2) multiliteracies, and (3) critical literacy. In an effort to support researchers in framing their scholarly work and to support practitioners and other consumers of research make sense of research, I discuss the ways in which each theory would answer the question, “What is literacy?” as well as the affordances and limitations of these theories in terms of literacy development, literacy use, and literacy instruction.","author":[{"dropping-particle":"","family":"Perry","given":"Kristen H.","non-dropping-particle":"","parse-names":false,"suffix":""}],"container-title":"Journal of Language and Literacy Education","id":"ITEM-1","issue":"1","issued":{"date-parts":[["2012"]]},"page":"50-71","title":"What is literacy? -- A critical overview of sociocultural perspectives.","type":"article-journal","volume":"8"},"uris":["http://www.mendeley.com/documents/?uuid=a25a1fdc-ac7f-4486-a3b1-240f22e44f46"]}],"mendeley":{"formattedCitation":"(Perry, 2012)","plainTextFormattedCitation":"(Perry, 2012)","previouslyFormattedCitation":"(Perry, 2012)"},"properties":{"noteIndex":0},"schema":"https://github.com/citation-style-language/schema/raw/master/csl-citation.json"}</w:instrText>
      </w:r>
      <w:r w:rsidR="00674536">
        <w:rPr>
          <w:rStyle w:val="FootnoteReference"/>
          <w:rFonts w:cs="Times New Roman"/>
          <w:bCs/>
          <w:iCs/>
          <w:noProof/>
          <w:lang w:val="en-ID"/>
        </w:rPr>
        <w:fldChar w:fldCharType="separate"/>
      </w:r>
      <w:r w:rsidR="00674536" w:rsidRPr="00674536">
        <w:rPr>
          <w:rFonts w:cs="Times New Roman"/>
          <w:iCs/>
          <w:noProof/>
        </w:rPr>
        <w:t>(Perry, 2012)</w:t>
      </w:r>
      <w:r w:rsidR="00674536">
        <w:rPr>
          <w:rStyle w:val="FootnoteReference"/>
          <w:rFonts w:cs="Times New Roman"/>
          <w:bCs/>
          <w:iCs/>
          <w:noProof/>
          <w:lang w:val="en-ID"/>
        </w:rPr>
        <w:fldChar w:fldCharType="end"/>
      </w:r>
      <w:r w:rsidR="008B0B61">
        <w:rPr>
          <w:rFonts w:cs="Times New Roman"/>
          <w:bCs/>
          <w:iCs/>
          <w:noProof/>
          <w:lang w:val="en-ID"/>
        </w:rPr>
        <w:t>.</w:t>
      </w:r>
    </w:p>
    <w:p w14:paraId="3E16FABB" w14:textId="41751BE2" w:rsidR="008B0B61" w:rsidRDefault="008B0B61" w:rsidP="0000413E">
      <w:pPr>
        <w:spacing w:line="276" w:lineRule="auto"/>
        <w:ind w:left="284" w:firstLine="425"/>
        <w:jc w:val="both"/>
        <w:rPr>
          <w:bCs/>
        </w:rPr>
      </w:pPr>
      <w:r w:rsidRPr="008B0B61">
        <w:rPr>
          <w:rFonts w:cs="Times New Roman"/>
          <w:bCs/>
          <w:iCs/>
          <w:noProof/>
        </w:rPr>
        <w:t>Setren Village has unique characteristics that require a special approach to improving the quality of education. The still high school dropout rate is a call to explore strategies that can stimulate students' enthusiasm for learning, especially at the elementary school level. In this context, developing literacy and increasing interest in reading is the main focus as a preventive effort to overcome the school dropout rate as well as an effort to accelerate the SDGs, especially in forming Setren Village to become a Village that cares about education. Literacy includes the basic ability to read and write</w:t>
      </w:r>
      <w:r w:rsidR="00D25C4D">
        <w:rPr>
          <w:rFonts w:cs="Times New Roman"/>
          <w:bCs/>
          <w:iCs/>
          <w:noProof/>
        </w:rPr>
        <w:t>,</w:t>
      </w:r>
      <w:r w:rsidRPr="008B0B61">
        <w:rPr>
          <w:rFonts w:cs="Times New Roman"/>
          <w:bCs/>
          <w:iCs/>
          <w:noProof/>
        </w:rPr>
        <w:t xml:space="preserve"> </w:t>
      </w:r>
      <w:r w:rsidR="00D25C4D">
        <w:rPr>
          <w:rFonts w:cs="Times New Roman"/>
          <w:bCs/>
          <w:iCs/>
          <w:noProof/>
        </w:rPr>
        <w:t xml:space="preserve">an </w:t>
      </w:r>
      <w:r w:rsidRPr="008B0B61">
        <w:rPr>
          <w:rFonts w:cs="Times New Roman"/>
          <w:bCs/>
          <w:iCs/>
          <w:noProof/>
        </w:rPr>
        <w:t>understanding of concepts</w:t>
      </w:r>
      <w:r w:rsidR="00D25C4D">
        <w:rPr>
          <w:rFonts w:cs="Times New Roman"/>
          <w:bCs/>
          <w:iCs/>
          <w:noProof/>
        </w:rPr>
        <w:t>,</w:t>
      </w:r>
      <w:r w:rsidRPr="008B0B61">
        <w:rPr>
          <w:rFonts w:cs="Times New Roman"/>
          <w:bCs/>
          <w:iCs/>
          <w:noProof/>
        </w:rPr>
        <w:t xml:space="preserve"> and </w:t>
      </w:r>
      <w:r w:rsidR="00D25C4D">
        <w:rPr>
          <w:rFonts w:cs="Times New Roman"/>
          <w:bCs/>
          <w:iCs/>
          <w:noProof/>
        </w:rPr>
        <w:t xml:space="preserve">the </w:t>
      </w:r>
      <w:r w:rsidRPr="008B0B61">
        <w:rPr>
          <w:rFonts w:cs="Times New Roman"/>
          <w:bCs/>
          <w:iCs/>
          <w:noProof/>
        </w:rPr>
        <w:t>application of knowledge in everyday life.</w:t>
      </w:r>
      <w:r w:rsidR="00EE48CF">
        <w:rPr>
          <w:rFonts w:cs="Times New Roman"/>
          <w:bCs/>
          <w:iCs/>
          <w:noProof/>
        </w:rPr>
        <w:t xml:space="preserve"> </w:t>
      </w:r>
      <w:r w:rsidRPr="008B0B61">
        <w:rPr>
          <w:rFonts w:cs="Times New Roman"/>
          <w:bCs/>
          <w:iCs/>
          <w:noProof/>
        </w:rPr>
        <w:t>Through literacy, students can develop intellectual skills that form the basis of their academic success. On the other hand, interest in reading creates the foundation for a passion for the world of literacy, builds positive connections with learning, and provides additional motivation to explore science</w:t>
      </w:r>
      <w:r w:rsidR="00066592">
        <w:rPr>
          <w:rFonts w:cs="Times New Roman"/>
          <w:bCs/>
          <w:iCs/>
          <w:noProof/>
          <w:vertAlign w:val="superscript"/>
        </w:rPr>
        <w:t xml:space="preserve"> </w:t>
      </w:r>
      <w:r w:rsidR="00674536">
        <w:rPr>
          <w:rStyle w:val="FootnoteReference"/>
          <w:rFonts w:cs="Times New Roman"/>
          <w:bCs/>
          <w:iCs/>
          <w:noProof/>
          <w:lang w:val="en-ID"/>
        </w:rPr>
        <w:fldChar w:fldCharType="begin" w:fldLock="1"/>
      </w:r>
      <w:r w:rsidR="00980A23">
        <w:rPr>
          <w:rFonts w:cs="Times New Roman"/>
          <w:bCs/>
          <w:iCs/>
          <w:noProof/>
          <w:lang w:val="en-ID"/>
        </w:rPr>
        <w:instrText>ADDIN CSL_CITATION {"citationItems":[{"id":"ITEM-1","itemData":{"ISSN":"15220222","abstract":"For the past couple of years, reading culture has been on the decline, especially in Nigeria, and Africa in general. Research has shown that this is partly due to the emergence of Technology and the rise of social media. It is despairing that young adults spend hours watching televisions, and chatting on social sites at the detriment of reading. This study examined the roles school libraries can play in promoting reading culture among secondary school students, using F.G.C Jos as a case study. On the basis of this, five (5) research questions were developed to guide the researchers. The descriptive survey method was used, and simple random sampling adopted. Questionnaire was the major instrument of data collection. Results of the findings were interpreted using simple percentages and organized in tables, and charts for clarity and better comprehension. The results of the findings revealed that students do not have good reading habit. This was represented by 51.4% who read for only 1-2 hours on a daily basis, which is unsatisfactory. Also students depend largely on textbooks and lecture notes as sources of reading materials, hence they read only to pass examinations; this is an indication of poor reading habit. The findings also revealed that students do not have opportunities of borrowing books from the library, and the library is not integrated in the school curriculum. Also, it was revealed that major factors hindering students from reading include watching television, phone addiction/chatting on social sites, and lack of interesting books. Major recommendations put forward by the researchers include: that teacher librarians should host reading-related events at school as a way to promote reading, create attractive displays of books in the library to arouse the interest of learners; librarians should take advantage of the social media. They should create social media platforms, such as social media discussion forum where students can discuss books they have read. Recommendations were also made for school management, and the government.","author":[{"dropping-particle":"","family":"Danladi","given":"Diyoshak Rhoda","non-dropping-particle":"","parse-names":false,"suffix":""},{"dropping-particle":"","family":"Soko","given":"Yohanna Rejoice","non-dropping-particle":"","parse-names":false,"suffix":""}],"container-title":"Library Philosophy and Practice","id":"ITEM-1","issue":"June","issued":{"date-parts":[["2019"]]},"title":"The role of school libraries in promoting reading culture among secondary school students: A case study of federal government college, Jos","type":"article-journal","volume":"2019"},"uris":["http://www.mendeley.com/documents/?uuid=7a7d6934-e985-448c-ac4b-cbcedd5b3dc3"]}],"mendeley":{"formattedCitation":"(Danladi &amp; Soko, 2019)","plainTextFormattedCitation":"(Danladi &amp; Soko, 2019)","previouslyFormattedCitation":"(Danladi &amp; Soko, 2019)"},"properties":{"noteIndex":0},"schema":"https://github.com/citation-style-language/schema/raw/master/csl-citation.json"}</w:instrText>
      </w:r>
      <w:r w:rsidR="00674536">
        <w:rPr>
          <w:rStyle w:val="FootnoteReference"/>
          <w:rFonts w:cs="Times New Roman"/>
          <w:bCs/>
          <w:iCs/>
          <w:noProof/>
          <w:lang w:val="en-ID"/>
        </w:rPr>
        <w:fldChar w:fldCharType="separate"/>
      </w:r>
      <w:r w:rsidR="00674536" w:rsidRPr="00674536">
        <w:rPr>
          <w:rFonts w:cs="Times New Roman"/>
          <w:bCs/>
          <w:iCs/>
          <w:noProof/>
          <w:lang w:val="en-ID"/>
        </w:rPr>
        <w:t>(Danladi &amp; Soko, 2019)</w:t>
      </w:r>
      <w:r w:rsidR="00674536">
        <w:rPr>
          <w:rStyle w:val="FootnoteReference"/>
          <w:rFonts w:cs="Times New Roman"/>
          <w:bCs/>
          <w:iCs/>
          <w:noProof/>
          <w:lang w:val="en-ID"/>
        </w:rPr>
        <w:fldChar w:fldCharType="end"/>
      </w:r>
      <w:r w:rsidR="00B10949" w:rsidRPr="008B0B61">
        <w:rPr>
          <w:rFonts w:cs="Times New Roman"/>
          <w:bCs/>
          <w:iCs/>
          <w:noProof/>
          <w:lang w:val="en-ID"/>
        </w:rPr>
        <w:t>.</w:t>
      </w:r>
      <w:r>
        <w:rPr>
          <w:rFonts w:cs="Times New Roman"/>
          <w:bCs/>
          <w:iCs/>
          <w:noProof/>
          <w:lang w:val="en-ID"/>
        </w:rPr>
        <w:t xml:space="preserve"> To enhance the literacy and reading interest among elementary </w:t>
      </w:r>
      <w:r w:rsidR="00E35EC8">
        <w:rPr>
          <w:rFonts w:cs="Times New Roman"/>
          <w:bCs/>
          <w:iCs/>
          <w:noProof/>
          <w:lang w:val="en-ID"/>
        </w:rPr>
        <w:t>school</w:t>
      </w:r>
      <w:r>
        <w:rPr>
          <w:rFonts w:cs="Times New Roman"/>
          <w:bCs/>
          <w:iCs/>
          <w:noProof/>
          <w:lang w:val="en-ID"/>
        </w:rPr>
        <w:t xml:space="preserve"> students, </w:t>
      </w:r>
      <w:r w:rsidR="005A4707">
        <w:rPr>
          <w:rFonts w:cs="Times New Roman"/>
          <w:bCs/>
          <w:iCs/>
          <w:noProof/>
          <w:lang w:val="en-ID"/>
        </w:rPr>
        <w:t>some activities can</w:t>
      </w:r>
      <w:r>
        <w:rPr>
          <w:rFonts w:cs="Times New Roman"/>
          <w:bCs/>
          <w:iCs/>
          <w:noProof/>
          <w:lang w:val="en-ID"/>
        </w:rPr>
        <w:t xml:space="preserve"> </w:t>
      </w:r>
      <w:r w:rsidR="00E35EC8">
        <w:rPr>
          <w:rFonts w:cs="Times New Roman"/>
          <w:bCs/>
          <w:iCs/>
          <w:noProof/>
          <w:lang w:val="en-ID"/>
        </w:rPr>
        <w:t>be</w:t>
      </w:r>
      <w:r>
        <w:rPr>
          <w:rFonts w:cs="Times New Roman"/>
          <w:bCs/>
          <w:iCs/>
          <w:noProof/>
          <w:lang w:val="en-ID"/>
        </w:rPr>
        <w:t xml:space="preserve"> done. Such as </w:t>
      </w:r>
      <w:r w:rsidR="00E35EC8" w:rsidRPr="00130F59">
        <w:rPr>
          <w:bCs/>
        </w:rPr>
        <w:t>reading books</w:t>
      </w:r>
      <w:r w:rsidR="00E35EC8">
        <w:rPr>
          <w:bCs/>
        </w:rPr>
        <w:t xml:space="preserve"> habit</w:t>
      </w:r>
      <w:r w:rsidR="00E35EC8" w:rsidRPr="00130F59">
        <w:rPr>
          <w:bCs/>
        </w:rPr>
        <w:t>, discussing, and learning with creative tools such as Lego, DIY-educated toys, etc. Besides that</w:t>
      </w:r>
      <w:r w:rsidR="00D25C4D">
        <w:rPr>
          <w:bCs/>
        </w:rPr>
        <w:t>,</w:t>
      </w:r>
      <w:r w:rsidR="00E35EC8" w:rsidRPr="00130F59">
        <w:rPr>
          <w:bCs/>
        </w:rPr>
        <w:t xml:space="preserve"> digital literacy will be applied to elementary school student, to increase their ability to learn school subjects</w:t>
      </w:r>
      <w:r w:rsidR="00E35EC8">
        <w:rPr>
          <w:rFonts w:cs="Times New Roman"/>
          <w:bCs/>
          <w:iCs/>
          <w:noProof/>
        </w:rPr>
        <w:t xml:space="preserve">. </w:t>
      </w:r>
      <w:r w:rsidRPr="00130F59">
        <w:rPr>
          <w:bCs/>
        </w:rPr>
        <w:t xml:space="preserve">Run campaigns highlighting the long-term benefits of education. Focus on how education can break the cycle of poverty and lead to better opportunities. Establish support groups for parents to share challenges and solutions. Involving them in the decision-making process can lead to more sustainable changes. </w:t>
      </w:r>
      <w:r w:rsidR="00E35EC8" w:rsidRPr="00130F59">
        <w:rPr>
          <w:bCs/>
        </w:rPr>
        <w:t>This could reveal deeper socio-cultural beliefs or economic pressures</w:t>
      </w:r>
      <w:r w:rsidR="00674536">
        <w:rPr>
          <w:rStyle w:val="FootnoteReference"/>
          <w:bCs/>
        </w:rPr>
        <w:fldChar w:fldCharType="begin" w:fldLock="1"/>
      </w:r>
      <w:r w:rsidR="00980A23">
        <w:rPr>
          <w:bCs/>
        </w:rPr>
        <w:instrText>ADDIN CSL_CITATION {"citationItems":[{"id":"ITEM-1","itemData":{"abstract":"… Kegiatan observasi meliputi pencatatan secara sistematik kejadian-kejadian, prilaku, obyek-obyek yang … Dorongan atau hasrat untuk melakukan hubungan seksual selalu muncul pada remaja … diluar rumah tentu akan meningkatkan resiko anak untuk mengalami seks pra nikah …","author":[{"dropping-particle":"","family":"Ranti","given":"Kadek","non-dropping-particle":"","parse-names":false,"suffix":""},{"dropping-particle":"","family":"Atmadja","given":"Nengah Bawa","non-dropping-particle":"","parse-names":false,"suffix":""},{"dropping-particle":"","family":"Sendratari","given":"Luh Putu","non-dropping-particle":"","parse-names":false,"suffix":""}],"container-title":"e-Journal Pendidikan Sosiologi Universitas Pendidikan Ganesha","id":"ITEM-1","issue":"1","issued":{"date-parts":[["2019"]]},"page":"12-22","title":"Upaya Pencegahan Anak Putus Sekolah di SMP Negeri 1 Gerokgak, Kecamatan Gerokgak, Buleleng, Bali","type":"article-journal","volume":"1"},"uris":["http://www.mendeley.com/documents/?uuid=0076788d-eccf-4bfb-88be-653fa6ad6414"]}],"mendeley":{"formattedCitation":"(Ranti et al., 2019)","plainTextFormattedCitation":"(Ranti et al., 2019)","previouslyFormattedCitation":"(Ranti et al., 2019)"},"properties":{"noteIndex":0},"schema":"https://github.com/citation-style-language/schema/raw/master/csl-citation.json"}</w:instrText>
      </w:r>
      <w:r w:rsidR="00674536">
        <w:rPr>
          <w:rStyle w:val="FootnoteReference"/>
          <w:bCs/>
        </w:rPr>
        <w:fldChar w:fldCharType="separate"/>
      </w:r>
      <w:r w:rsidR="00674536" w:rsidRPr="00674536">
        <w:rPr>
          <w:noProof/>
        </w:rPr>
        <w:t>(Ranti et al., 2019)</w:t>
      </w:r>
      <w:r w:rsidR="00674536">
        <w:rPr>
          <w:rStyle w:val="FootnoteReference"/>
          <w:bCs/>
        </w:rPr>
        <w:fldChar w:fldCharType="end"/>
      </w:r>
      <w:r w:rsidR="00674536">
        <w:rPr>
          <w:rStyle w:val="FootnoteReference"/>
          <w:bCs/>
        </w:rPr>
        <w:fldChar w:fldCharType="begin" w:fldLock="1"/>
      </w:r>
      <w:r w:rsidR="00980A23">
        <w:rPr>
          <w:bCs/>
        </w:rPr>
        <w:instrText>ADDIN CSL_CITATION {"citationItems":[{"id":"ITEM-1","itemData":{"DOI":"10.47178/elementary.v6i1.2056","ISSN":"2622-0431","abstract":"Mata pelajaran Ilmu Pengetahuan Alam (IPA) adalah salah satu mata pelajaran di sekolah tingkat dasar (SD). Materi yang diajarkan di SD pun terkait dengan kehidupan sehari-hari siswa tersebut. Penelitian ini bertujuan untuk mengetahui pengaruh model pembelajaran PAKEM terhadap hasil belajar IPA siswa kelas V SDN Inp. No. 49 Pasanggrahan Majene. Jenis Penelitian ini adalah Penelitian Tindakan Kelas (PTK). Subjek penelitian ini adalah siswa kelas V SDN Inp. No. 49 Pasanggrahan Majene yang berjumlah 20 siswa yang terdiri dari 8 laki-laki dan 12 perempuan. Penelitian Tindakan Kelas ini dilaksanakan secara bersiklus dengan empat tahapan yaitu perencanaan, pelaksanaan, pengamatan dan refleksi. Teknik pengumpulan data, menggunakan observasi, untuk mengumpulkan data tentang aktivitas belajar siswa pada saat proses kegiatan belajar mengajar berlangsung dan tes hasil belajar IPA siswa. Hasil penelitian ini menunjukkan telah terjadi peningktan hasil belajar IPA siswa setelah model pembelajaran tersebut diterapkan. Hal tersebut terbukti dari meningkatnya persentase ketuntasan hasil belajar IPA siswa yang sebelumnya siklus I hanya mencapai 58,20, naik mencapai rata-rata persentase 83,80 siklus II, sehingga dikatakan bahwa kemampuan siswa sudah mencapai target minimal yang dicantumkan dalam kurikulum. Seluruh siswa juga sudah mencapai ketuntasan belajar, karena semua siswa atau 100% sudah mencapai KKM ?70. Kesimpulan penelitian ini adalah hasil belajar IPA siswa kelas V SDN Inp. No. 49 Pasanggrahan Majene meningkat dan pengaruh model pembelajaran PAKEM dikatakan berhasil.","author":[{"dropping-particle":"","family":"Inayah A.M","given":"Muh","non-dropping-particle":"","parse-names":false,"suffix":""},{"dropping-particle":"","family":"Lolotandung","given":"Reni","non-dropping-particle":"","parse-names":false,"suffix":""},{"dropping-particle":"","family":"Irmawati M","given":"","non-dropping-particle":"","parse-names":false,"suffix":""}],"container-title":"Elementary Journal : Jurnal Pendidikan Guru Sekolah Dasar","id":"ITEM-1","issue":"1","issued":{"date-parts":[["2023"]]},"page":"29-38","title":"Pengaruh Model Pembelajaran PAKEM Terhadap Hasil Belajar IPA Siswa Di Sekolah Dasar","type":"article-journal","volume":"6"},"uris":["http://www.mendeley.com/documents/?uuid=f3e64520-d257-4173-92e6-febca634ca02"]}],"mendeley":{"formattedCitation":"(Inayah A.M et al., 2023)","plainTextFormattedCitation":"(Inayah A.M et al., 2023)","previouslyFormattedCitation":"(Inayah A.M et al., 2023)"},"properties":{"noteIndex":0},"schema":"https://github.com/citation-style-language/schema/raw/master/csl-citation.json"}</w:instrText>
      </w:r>
      <w:r w:rsidR="00674536">
        <w:rPr>
          <w:rStyle w:val="FootnoteReference"/>
          <w:bCs/>
        </w:rPr>
        <w:fldChar w:fldCharType="separate"/>
      </w:r>
      <w:r w:rsidR="00674536" w:rsidRPr="00674536">
        <w:rPr>
          <w:noProof/>
        </w:rPr>
        <w:t>(Inayah A.M et al., 2023)</w:t>
      </w:r>
      <w:r w:rsidR="00674536">
        <w:rPr>
          <w:rStyle w:val="FootnoteReference"/>
          <w:bCs/>
        </w:rPr>
        <w:fldChar w:fldCharType="end"/>
      </w:r>
      <w:r w:rsidR="00674536">
        <w:rPr>
          <w:rStyle w:val="FootnoteReference"/>
          <w:bCs/>
        </w:rPr>
        <w:fldChar w:fldCharType="begin" w:fldLock="1"/>
      </w:r>
      <w:r w:rsidR="00980A23">
        <w:rPr>
          <w:bCs/>
        </w:rPr>
        <w:instrText>ADDIN CSL_CITATION {"citationItems":[{"id":"ITEM-1","itemData":{"author":[{"dropping-particle":"","family":"Garate","given":"Jhonny","non-dropping-particle":"","parse-names":false,"suffix":""}],"container-title":"Occupational Medicine","id":"ITEM-1","issue":"4","issued":{"date-parts":[["2017"]]},"page":"130","title":"No Title</w:instrText>
      </w:r>
      <w:r w:rsidR="00980A23">
        <w:rPr>
          <w:rFonts w:cs="Times New Roman"/>
          <w:bCs/>
          <w:rtl/>
        </w:rPr>
        <w:instrText>سلطنه عمان</w:instrText>
      </w:r>
      <w:r w:rsidR="00980A23">
        <w:rPr>
          <w:bCs/>
        </w:rPr>
        <w:instrText>","type":"article-journal","volume":"53"},"uris":["http://www.mendeley.com/documents/?uuid=35456f2a-5211-4f4c-a781-34bfa264440b"]}],"mendeley":{"formattedCitation":"(Garate, 2017)","plainTextFormattedCitation":"(Garate, 2017)","previouslyFormattedCitation":"(Garate, 2017)"},"properties":{"noteIndex":0},"schema":"https://github.com/citation-style-language/schema/raw/master/csl-citation.json"}</w:instrText>
      </w:r>
      <w:r w:rsidR="00674536">
        <w:rPr>
          <w:rStyle w:val="FootnoteReference"/>
          <w:bCs/>
        </w:rPr>
        <w:fldChar w:fldCharType="separate"/>
      </w:r>
      <w:r w:rsidR="00674536" w:rsidRPr="00674536">
        <w:rPr>
          <w:noProof/>
        </w:rPr>
        <w:t>(Garate, 2017)</w:t>
      </w:r>
      <w:r w:rsidR="00674536">
        <w:rPr>
          <w:rStyle w:val="FootnoteReference"/>
          <w:bCs/>
        </w:rPr>
        <w:fldChar w:fldCharType="end"/>
      </w:r>
      <w:r w:rsidR="00674536">
        <w:rPr>
          <w:rStyle w:val="FootnoteReference"/>
          <w:bCs/>
        </w:rPr>
        <w:fldChar w:fldCharType="begin" w:fldLock="1"/>
      </w:r>
      <w:r w:rsidR="00980A23">
        <w:rPr>
          <w:bCs/>
        </w:rPr>
        <w:instrText>ADDIN CSL_CITATION {"citationItems":[{"id":"ITEM-1","itemData":{"DOI":"10.1016/j.geosus.2020.05.001","ISSN":"26666839","abstract":"Quality education is one of the pillars in the United Nations 2030 Agenda for Sustainable Development, which aims to ensure inclusive and equitable quality education and promote lifelong learning opportunities for all. This overall goal can be connected to some general trends affecting education in the information age. We argue that education is key to the future quality of human life and the sustainability of the world. Generally, education is being transformed in both formal and informal learning contexts by new digital technologies. Overall, some of these major innovations and how they are changing education can be summarized into the following aspects: 1) our educational aims and objectives; 2) educational ecologies and contexts of learning; 3) the processes of learning; 4) the processes of teaching; and 5) educational governance and policy. Meanwhile, we note some of the potential risks and downsides of these technology trends. From the sustainable perspective, our review points to a great potential for educational reform, but it can only be achieved if we are willing to rethink and even abandon some of our traditional ways of doing things in education.","author":[{"dropping-particle":"","family":"Burbules","given":"Nicholas C.","non-dropping-particle":"","parse-names":false,"suffix":""},{"dropping-particle":"","family":"Fan","given":"Guorui","non-dropping-particle":"","parse-names":false,"suffix":""},{"dropping-particle":"","family":"Repp","given":"Philip","non-dropping-particle":"","parse-names":false,"suffix":""}],"container-title":"Geography and Sustainability","id":"ITEM-1","issue":"2","issued":{"date-parts":[["2020"]]},"page":"93-97","publisher":"Elsevier B.V.","title":"Five trends of education and technology in a sustainable future","type":"article-journal","volume":"1"},"uris":["http://www.mendeley.com/documents/?uuid=875c092c-0bef-4184-823c-e282b3f41a82"]}],"mendeley":{"formattedCitation":"(Burbules et al., 2020)","plainTextFormattedCitation":"(Burbules et al., 2020)","previouslyFormattedCitation":"(Burbules et al., 2020)"},"properties":{"noteIndex":0},"schema":"https://github.com/citation-style-language/schema/raw/master/csl-citation.json"}</w:instrText>
      </w:r>
      <w:r w:rsidR="00674536">
        <w:rPr>
          <w:rStyle w:val="FootnoteReference"/>
          <w:bCs/>
        </w:rPr>
        <w:fldChar w:fldCharType="separate"/>
      </w:r>
      <w:r w:rsidR="00674536" w:rsidRPr="00674536">
        <w:rPr>
          <w:bCs/>
          <w:noProof/>
        </w:rPr>
        <w:t>(Burbules et al., 2020)</w:t>
      </w:r>
      <w:r w:rsidR="00674536">
        <w:rPr>
          <w:rStyle w:val="FootnoteReference"/>
          <w:bCs/>
        </w:rPr>
        <w:fldChar w:fldCharType="end"/>
      </w:r>
      <w:r w:rsidR="00674536">
        <w:rPr>
          <w:rStyle w:val="FootnoteReference"/>
          <w:bCs/>
        </w:rPr>
        <w:fldChar w:fldCharType="begin" w:fldLock="1"/>
      </w:r>
      <w:r w:rsidR="00980A23">
        <w:rPr>
          <w:bCs/>
        </w:rPr>
        <w:instrText>ADDIN CSL_CITATION {"citationItems":[{"id":"ITEM-1","itemData":{"abstract":"ABTRACT The purpose of this study was to determine the role of literacy activities, obstacles and efforts made by the school in increasing reading interest in elementary school students. This research is a qualitative research. The research subjects were the principal, teachers and fourth grade students of Kutoharjo 02 Elementary School. The technique of collecting data was through interviews, observation and documentation. Based on the results of the research it can be seen that 1) literacy activities play a role in increasing students' reading interest, 2) obstacles in carrying out literacy activities in schools include the lack of infrastructure, the methods applied are less varied and the low discipline of students in the process of habituating literacy activities, and 3 ) efforts made by the school to overcome these obstacles are by providing socialization about literacy activities, adding facilities and holding competition activities as a forum for students to actively participate. Keywords: elementary school students, literacy, reading interest. ABSTRAK","author":[{"dropping-particle":"","family":"Rohim","given":"Cahya Dhina","non-dropping-particle":"","parse-names":false,"suffix":""},{"dropping-particle":"","family":"Rahmawati","given":"Septina","non-dropping-particle":"","parse-names":false,"suffix":""}],"container-title":"Kajian Pendidikan Dan Hasil Penelitian","id":"ITEM-1","issue":"3","issued":{"date-parts":[["2020"]]},"page":"2","title":"Di Sekolah Dasar Negeri","type":"article-journal","volume":"6"},"uris":["http://www.mendeley.com/documents/?uuid=f29c2b7f-4b68-487e-bc12-d189be8518fe"]}],"mendeley":{"formattedCitation":"(Rohim &amp; Rahmawati, 2020)","plainTextFormattedCitation":"(Rohim &amp; Rahmawati, 2020)","previouslyFormattedCitation":"(Rohim &amp; Rahmawati, 2020)"},"properties":{"noteIndex":0},"schema":"https://github.com/citation-style-language/schema/raw/master/csl-citation.json"}</w:instrText>
      </w:r>
      <w:r w:rsidR="00674536">
        <w:rPr>
          <w:rStyle w:val="FootnoteReference"/>
          <w:bCs/>
        </w:rPr>
        <w:fldChar w:fldCharType="separate"/>
      </w:r>
      <w:r w:rsidR="00674536" w:rsidRPr="00674536">
        <w:rPr>
          <w:noProof/>
        </w:rPr>
        <w:t>(Rohim &amp; Rahmawati, 2020)</w:t>
      </w:r>
      <w:r w:rsidR="00674536">
        <w:rPr>
          <w:rStyle w:val="FootnoteReference"/>
          <w:bCs/>
        </w:rPr>
        <w:fldChar w:fldCharType="end"/>
      </w:r>
      <w:r w:rsidR="00C20210">
        <w:rPr>
          <w:bCs/>
        </w:rPr>
        <w:t>.</w:t>
      </w:r>
    </w:p>
    <w:p w14:paraId="088C9082" w14:textId="0A84EDFF" w:rsidR="00BC2135" w:rsidRDefault="00BC2135" w:rsidP="00BC2135">
      <w:pPr>
        <w:spacing w:line="276" w:lineRule="auto"/>
        <w:ind w:left="284" w:firstLine="425"/>
        <w:jc w:val="both"/>
        <w:rPr>
          <w:bCs/>
        </w:rPr>
      </w:pPr>
      <w:r w:rsidRPr="00BC2135">
        <w:rPr>
          <w:bCs/>
        </w:rPr>
        <w:t xml:space="preserve">Although previous studies have examined literacy development and reading interest in educational settings, limited research has explored how </w:t>
      </w:r>
      <w:r>
        <w:rPr>
          <w:bCs/>
        </w:rPr>
        <w:t>this study's</w:t>
      </w:r>
      <w:r w:rsidRPr="00BC2135">
        <w:rPr>
          <w:bCs/>
        </w:rPr>
        <w:t xml:space="preserve"> interventions at the village level contribute directly to improving education quality and accelerating SDG 4 achievement. In particular, empirical evidence examining literacy enhancement programs in rural Indonesian village contexts remains scarce. Therefore, this study addresses this research gap by investigating the implementation and impact of literacy enhancement interventions in </w:t>
      </w:r>
      <w:proofErr w:type="spellStart"/>
      <w:r w:rsidRPr="00BC2135">
        <w:rPr>
          <w:bCs/>
        </w:rPr>
        <w:t>Setren</w:t>
      </w:r>
      <w:proofErr w:type="spellEnd"/>
      <w:r w:rsidRPr="00BC2135">
        <w:rPr>
          <w:bCs/>
        </w:rPr>
        <w:t xml:space="preserve"> Village and their contribution to improving literacy capability, reading interest, and education quality.</w:t>
      </w:r>
    </w:p>
    <w:p w14:paraId="7BD0930C" w14:textId="5CBC350E" w:rsidR="0000413E" w:rsidRDefault="005E3C0D" w:rsidP="005E3C0D">
      <w:pPr>
        <w:spacing w:line="276" w:lineRule="auto"/>
        <w:ind w:left="284" w:firstLine="425"/>
        <w:jc w:val="both"/>
        <w:rPr>
          <w:bCs/>
        </w:rPr>
      </w:pPr>
      <w:r>
        <w:rPr>
          <w:bCs/>
        </w:rPr>
        <w:t xml:space="preserve">Figure 1. </w:t>
      </w:r>
      <w:r w:rsidRPr="005E3C0D">
        <w:rPr>
          <w:bCs/>
        </w:rPr>
        <w:t xml:space="preserve">The framework illustrates that low literacy and reading interest contribute to increased dropout rates and lower education quality. Literacy enhancement interventions are expected to improve literacy competency and reading engagement, which in turn </w:t>
      </w:r>
      <w:r>
        <w:rPr>
          <w:bCs/>
        </w:rPr>
        <w:t>strengthen</w:t>
      </w:r>
      <w:r w:rsidRPr="005E3C0D">
        <w:rPr>
          <w:bCs/>
        </w:rPr>
        <w:t xml:space="preserve"> </w:t>
      </w:r>
      <w:r w:rsidRPr="005E3C0D">
        <w:rPr>
          <w:bCs/>
        </w:rPr>
        <w:lastRenderedPageBreak/>
        <w:t xml:space="preserve">education quality and </w:t>
      </w:r>
      <w:r>
        <w:rPr>
          <w:bCs/>
        </w:rPr>
        <w:t>support</w:t>
      </w:r>
      <w:r w:rsidRPr="005E3C0D">
        <w:rPr>
          <w:bCs/>
        </w:rPr>
        <w:t xml:space="preserve"> SDG 4 achievement. This framework guides the research design, data collection, and analysis in this study</w:t>
      </w:r>
      <w:r w:rsidR="00781262">
        <w:rPr>
          <w:bCs/>
        </w:rPr>
        <w:t>.</w:t>
      </w:r>
    </w:p>
    <w:p w14:paraId="6F5CA18D" w14:textId="77777777" w:rsidR="0000413E" w:rsidRPr="00EE48CF" w:rsidRDefault="0000413E" w:rsidP="00781262">
      <w:pPr>
        <w:spacing w:line="276" w:lineRule="auto"/>
        <w:jc w:val="both"/>
        <w:rPr>
          <w:rFonts w:cs="Times New Roman"/>
          <w:bCs/>
          <w:iCs/>
          <w:noProof/>
        </w:rPr>
      </w:pPr>
    </w:p>
    <w:p w14:paraId="221B3F1C" w14:textId="32365113" w:rsidR="00222C05" w:rsidRPr="00222C05" w:rsidRDefault="00222C05" w:rsidP="00E35EC8">
      <w:pPr>
        <w:ind w:left="284" w:firstLine="425"/>
        <w:jc w:val="both"/>
        <w:rPr>
          <w:rFonts w:cs="Times New Roman"/>
          <w:b/>
          <w:iCs/>
          <w:noProof/>
          <w:sz w:val="20"/>
          <w:szCs w:val="20"/>
          <w:lang w:val="en-ID"/>
        </w:rPr>
      </w:pPr>
      <w:r w:rsidRPr="00222C05">
        <w:rPr>
          <w:b/>
          <w:sz w:val="20"/>
          <w:szCs w:val="20"/>
        </w:rPr>
        <w:t>Figure 1.</w:t>
      </w:r>
      <w:r w:rsidRPr="00222C05">
        <w:rPr>
          <w:b/>
          <w:sz w:val="20"/>
          <w:szCs w:val="20"/>
        </w:rPr>
        <w:tab/>
        <w:t>Conceptual Framework</w:t>
      </w:r>
    </w:p>
    <w:p w14:paraId="32A0DB50" w14:textId="600A4DD9" w:rsidR="00222C05" w:rsidRDefault="00222C05" w:rsidP="00222C05">
      <w:pPr>
        <w:pStyle w:val="ListParagraph"/>
        <w:ind w:left="0" w:firstLine="386"/>
        <w:jc w:val="center"/>
        <w:rPr>
          <w:rFonts w:cs="Times New Roman"/>
          <w:bCs/>
          <w:iCs/>
          <w:noProof/>
        </w:rPr>
      </w:pPr>
      <w:r w:rsidRPr="00AD3A6F">
        <w:rPr>
          <w:noProof/>
        </w:rPr>
        <w:drawing>
          <wp:inline distT="0" distB="0" distL="0" distR="0" wp14:anchorId="06596A1B" wp14:editId="53969141">
            <wp:extent cx="4126051" cy="2559050"/>
            <wp:effectExtent l="0" t="0" r="8255" b="0"/>
            <wp:docPr id="775276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76065" name=""/>
                    <pic:cNvPicPr/>
                  </pic:nvPicPr>
                  <pic:blipFill>
                    <a:blip r:embed="rId8"/>
                    <a:stretch>
                      <a:fillRect/>
                    </a:stretch>
                  </pic:blipFill>
                  <pic:spPr>
                    <a:xfrm>
                      <a:off x="0" y="0"/>
                      <a:ext cx="4164039" cy="2582611"/>
                    </a:xfrm>
                    <a:prstGeom prst="rect">
                      <a:avLst/>
                    </a:prstGeom>
                  </pic:spPr>
                </pic:pic>
              </a:graphicData>
            </a:graphic>
          </wp:inline>
        </w:drawing>
      </w:r>
    </w:p>
    <w:p w14:paraId="3875D990" w14:textId="77777777" w:rsidR="00360056" w:rsidRDefault="00C20210" w:rsidP="00B73077">
      <w:pPr>
        <w:pStyle w:val="ListParagraph"/>
        <w:spacing w:line="276" w:lineRule="auto"/>
        <w:ind w:left="284" w:firstLine="386"/>
        <w:rPr>
          <w:rFonts w:cs="Times New Roman"/>
          <w:bCs/>
          <w:iCs/>
          <w:noProof/>
        </w:rPr>
      </w:pPr>
      <w:r w:rsidRPr="00696C32">
        <w:rPr>
          <w:rFonts w:cs="Times New Roman"/>
          <w:bCs/>
          <w:iCs/>
          <w:noProof/>
        </w:rPr>
        <w:t xml:space="preserve">Current literacy rates in the village may fall short of the targets set by SDG 4, which aims for universal literacy and numeracy. That’s why Improved literacy and reading interests are crucial to meet the benchmarks established by SDG 4. Successful literacy interventions in the village may not be easily scalable or adaptable to other communities, limiting their broader impact. However, literacy </w:t>
      </w:r>
      <w:r w:rsidR="006C75BB" w:rsidRPr="00696C32">
        <w:rPr>
          <w:rFonts w:cs="Times New Roman"/>
          <w:bCs/>
          <w:iCs/>
          <w:noProof/>
        </w:rPr>
        <w:t xml:space="preserve">and reading interest enhancement </w:t>
      </w:r>
      <w:r w:rsidRPr="00696C32">
        <w:rPr>
          <w:rFonts w:cs="Times New Roman"/>
          <w:bCs/>
          <w:iCs/>
          <w:noProof/>
        </w:rPr>
        <w:t>are designed with scalability, allowing successful strategies to be replicated in other rural areas. Furthermore, this research aimed to implement strategies to improve literacy rates and foster an interest in reading among elementary students in line with the Sustainable Development Goals (SDGs).</w:t>
      </w:r>
      <w:r w:rsidR="00B73077">
        <w:rPr>
          <w:rFonts w:cs="Times New Roman"/>
          <w:bCs/>
          <w:iCs/>
          <w:noProof/>
        </w:rPr>
        <w:t xml:space="preserve"> </w:t>
      </w:r>
    </w:p>
    <w:p w14:paraId="7E84EB4E" w14:textId="0F2924CF" w:rsidR="00C20210" w:rsidRPr="00696C32" w:rsidRDefault="00B73077" w:rsidP="00B73077">
      <w:pPr>
        <w:pStyle w:val="ListParagraph"/>
        <w:spacing w:line="276" w:lineRule="auto"/>
        <w:ind w:left="284" w:firstLine="386"/>
        <w:rPr>
          <w:rFonts w:cs="Times New Roman"/>
          <w:bCs/>
          <w:iCs/>
          <w:noProof/>
        </w:rPr>
      </w:pPr>
      <w:r w:rsidRPr="00B73077">
        <w:rPr>
          <w:rFonts w:cs="Times New Roman"/>
          <w:bCs/>
          <w:iCs/>
          <w:noProof/>
        </w:rPr>
        <w:t>This study is grounded in literacy development theory, which emphasizes literacy as a foundational skill influencing academic achievement and lifelong learning. Reading engagement theory also suggests that students’ interest in reading significantly influences literacy development, academic persistence, and learning outcomes. Furthermore, this study aligns with the Sustainable Development Goal (SDG) 4 framework, particularly indicator 4.6, which emphasizes achieving universal literacy and numeracy proficiency. Based on this framework, literacy enhancement interventions are expected to improve literacy skills, increase reading interest, strengthen learning engagement, and contribute to improving education quality.</w:t>
      </w:r>
    </w:p>
    <w:p w14:paraId="62B21F9F" w14:textId="77777777" w:rsidR="00331E4A" w:rsidRPr="00C20210" w:rsidRDefault="00331E4A" w:rsidP="00C20210">
      <w:pPr>
        <w:rPr>
          <w:rFonts w:cs="Times New Roman"/>
          <w:bCs/>
          <w:iCs/>
          <w:noProof/>
          <w:lang w:val="en-ID"/>
        </w:rPr>
      </w:pPr>
    </w:p>
    <w:p w14:paraId="741F5B04" w14:textId="207758CA" w:rsidR="00FF5DDB" w:rsidRDefault="00B9164A" w:rsidP="002067E1">
      <w:pPr>
        <w:pStyle w:val="Heading1"/>
        <w:numPr>
          <w:ilvl w:val="0"/>
          <w:numId w:val="8"/>
        </w:numPr>
        <w:tabs>
          <w:tab w:val="left" w:pos="561"/>
        </w:tabs>
        <w:spacing w:after="240"/>
        <w:ind w:hanging="241"/>
        <w:jc w:val="both"/>
      </w:pPr>
      <w:r>
        <w:t>Me</w:t>
      </w:r>
      <w:r w:rsidR="00DB3721">
        <w:t>thodology</w:t>
      </w:r>
    </w:p>
    <w:p w14:paraId="6D195FB9" w14:textId="450EF518" w:rsidR="00C73886" w:rsidRDefault="00C20210" w:rsidP="0000413E">
      <w:pPr>
        <w:pStyle w:val="BodyText"/>
        <w:spacing w:line="276" w:lineRule="auto"/>
        <w:ind w:left="284" w:right="-45" w:firstLine="425"/>
        <w:rPr>
          <w:sz w:val="22"/>
          <w:szCs w:val="22"/>
          <w:lang w:val="en-ID"/>
        </w:rPr>
      </w:pPr>
      <w:r w:rsidRPr="00EE48CF">
        <w:rPr>
          <w:sz w:val="22"/>
          <w:szCs w:val="22"/>
        </w:rPr>
        <w:t>T</w:t>
      </w:r>
      <w:r w:rsidR="002F5253" w:rsidRPr="00EE48CF">
        <w:rPr>
          <w:sz w:val="22"/>
          <w:szCs w:val="22"/>
        </w:rPr>
        <w:t xml:space="preserve">his research </w:t>
      </w:r>
      <w:r w:rsidR="002F5253" w:rsidRPr="00EE48CF">
        <w:rPr>
          <w:sz w:val="22"/>
          <w:szCs w:val="22"/>
          <w:lang w:val="en-ID"/>
        </w:rPr>
        <w:t xml:space="preserve">used a qualitative methodology </w:t>
      </w:r>
      <w:r w:rsidR="00ED3D3A" w:rsidRPr="00EE48CF">
        <w:rPr>
          <w:sz w:val="22"/>
          <w:szCs w:val="22"/>
          <w:lang w:val="en-ID"/>
        </w:rPr>
        <w:t>with</w:t>
      </w:r>
      <w:r w:rsidR="002F5253" w:rsidRPr="00EE48CF">
        <w:rPr>
          <w:sz w:val="22"/>
          <w:szCs w:val="22"/>
          <w:lang w:val="en-ID"/>
        </w:rPr>
        <w:t xml:space="preserve"> a case study approach</w:t>
      </w:r>
      <w:r w:rsidR="00980A23" w:rsidRPr="00EE48CF">
        <w:rPr>
          <w:sz w:val="22"/>
          <w:szCs w:val="22"/>
          <w:lang w:val="en-ID"/>
        </w:rPr>
        <w:t xml:space="preserve"> </w:t>
      </w:r>
      <w:r w:rsidR="00980A23" w:rsidRPr="00EE48CF">
        <w:rPr>
          <w:sz w:val="22"/>
          <w:szCs w:val="22"/>
          <w:lang w:val="en-ID"/>
        </w:rPr>
        <w:fldChar w:fldCharType="begin" w:fldLock="1"/>
      </w:r>
      <w:r w:rsidR="002E4536">
        <w:rPr>
          <w:sz w:val="22"/>
          <w:szCs w:val="22"/>
          <w:lang w:val="en-ID"/>
        </w:rPr>
        <w:instrText>ADDIN CSL_CITATION {"citationItems":[{"id":"ITEM-1","itemData":{"ISBN":"9781506386706","abstract":"In this chapter we describe the Decoding the Disciplines Faculty Learning Community at Mount Royal University and how Decoding has been used in new and multidisciplinary ways in the various teaching, curriculum, and research projects that are presented in detail in subsequent chapters.","author":[{"dropping-particle":"","family":"Creswell","given":"John W.","non-dropping-particle":"","parse-names":false,"suffix":""},{"dropping-particle":"","family":"Creswell","given":"J. David","non-dropping-particle":"","parse-names":false,"suffix":""}],"container-title":"Research Defign: Qualitative, Quantitative, and Mixed M ethods Approaches","id":"ITEM-1","issued":{"date-parts":[["2018"]]},"number-of-pages":"pg 418","title":"Mixed Methods Procedures","type":"book"},"uris":["http://www.mendeley.com/documents/?uuid=978da64d-22e7-4957-b4da-b9654e8cae89"]}],"mendeley":{"formattedCitation":"(Creswell &amp; Creswell, 2018)","plainTextFormattedCitation":"(Creswell &amp; Creswell, 2018)","previouslyFormattedCitation":"(Creswell &amp; Creswell, 2018)"},"properties":{"noteIndex":0},"schema":"https://github.com/citation-style-language/schema/raw/master/csl-citation.json"}</w:instrText>
      </w:r>
      <w:r w:rsidR="00980A23" w:rsidRPr="00EE48CF">
        <w:rPr>
          <w:sz w:val="22"/>
          <w:szCs w:val="22"/>
          <w:lang w:val="en-ID"/>
        </w:rPr>
        <w:fldChar w:fldCharType="separate"/>
      </w:r>
      <w:r w:rsidR="00980A23" w:rsidRPr="00EE48CF">
        <w:rPr>
          <w:noProof/>
          <w:sz w:val="22"/>
          <w:szCs w:val="22"/>
          <w:lang w:val="en-ID"/>
        </w:rPr>
        <w:t>(Creswell &amp; Creswell, 2018)</w:t>
      </w:r>
      <w:r w:rsidR="00980A23" w:rsidRPr="00EE48CF">
        <w:rPr>
          <w:sz w:val="22"/>
          <w:szCs w:val="22"/>
          <w:lang w:val="en-ID"/>
        </w:rPr>
        <w:fldChar w:fldCharType="end"/>
      </w:r>
      <w:r w:rsidR="00B0010A" w:rsidRPr="00EE48CF">
        <w:rPr>
          <w:sz w:val="22"/>
          <w:szCs w:val="22"/>
          <w:lang w:val="en-ID"/>
        </w:rPr>
        <w:t xml:space="preserve"> </w:t>
      </w:r>
      <w:r w:rsidR="00222C05" w:rsidRPr="00EE48CF">
        <w:rPr>
          <w:bCs/>
          <w:sz w:val="22"/>
          <w:szCs w:val="22"/>
        </w:rPr>
        <w:t xml:space="preserve">supported by quantitative data to examine the impact of literacy and reading interest enhancement on elementary school students in </w:t>
      </w:r>
      <w:proofErr w:type="spellStart"/>
      <w:r w:rsidR="00222C05" w:rsidRPr="00EE48CF">
        <w:rPr>
          <w:bCs/>
          <w:sz w:val="22"/>
          <w:szCs w:val="22"/>
        </w:rPr>
        <w:t>Setren</w:t>
      </w:r>
      <w:proofErr w:type="spellEnd"/>
      <w:r w:rsidR="00222C05" w:rsidRPr="00EE48CF">
        <w:rPr>
          <w:bCs/>
          <w:sz w:val="22"/>
          <w:szCs w:val="22"/>
        </w:rPr>
        <w:t xml:space="preserve"> Village, </w:t>
      </w:r>
      <w:proofErr w:type="spellStart"/>
      <w:r w:rsidR="00222C05" w:rsidRPr="00EE48CF">
        <w:rPr>
          <w:bCs/>
          <w:sz w:val="22"/>
          <w:szCs w:val="22"/>
        </w:rPr>
        <w:t>Bojonegoro</w:t>
      </w:r>
      <w:proofErr w:type="spellEnd"/>
      <w:r w:rsidR="00222C05" w:rsidRPr="00EE48CF">
        <w:rPr>
          <w:bCs/>
          <w:sz w:val="22"/>
          <w:szCs w:val="22"/>
        </w:rPr>
        <w:t xml:space="preserve">, Indonesia, in accelerating SDG 4. </w:t>
      </w:r>
      <w:r w:rsidR="002F5253" w:rsidRPr="00EE48CF">
        <w:rPr>
          <w:sz w:val="22"/>
          <w:szCs w:val="22"/>
          <w:lang w:val="en-ID"/>
        </w:rPr>
        <w:t xml:space="preserve">This research aimed to investigate how promoting literacy and reading interest can contribute to achieving SDG 4 at the village level. The study took place in </w:t>
      </w:r>
      <w:proofErr w:type="spellStart"/>
      <w:r w:rsidR="002F5253" w:rsidRPr="00EE48CF">
        <w:rPr>
          <w:sz w:val="22"/>
          <w:szCs w:val="22"/>
          <w:lang w:val="en-ID"/>
        </w:rPr>
        <w:t>Setren</w:t>
      </w:r>
      <w:proofErr w:type="spellEnd"/>
      <w:r w:rsidR="002F5253" w:rsidRPr="00EE48CF">
        <w:rPr>
          <w:sz w:val="22"/>
          <w:szCs w:val="22"/>
          <w:lang w:val="en-ID"/>
        </w:rPr>
        <w:t xml:space="preserve"> Village, located in </w:t>
      </w:r>
      <w:proofErr w:type="spellStart"/>
      <w:r w:rsidR="002F5253" w:rsidRPr="00EE48CF">
        <w:rPr>
          <w:sz w:val="22"/>
          <w:szCs w:val="22"/>
          <w:lang w:val="en-ID"/>
        </w:rPr>
        <w:t>Bojonegoro</w:t>
      </w:r>
      <w:proofErr w:type="spellEnd"/>
      <w:r w:rsidR="002F5253" w:rsidRPr="00EE48CF">
        <w:rPr>
          <w:sz w:val="22"/>
          <w:szCs w:val="22"/>
          <w:lang w:val="en-ID"/>
        </w:rPr>
        <w:t xml:space="preserve"> Regency, where there is a significant issue with elementary school student dropouts</w:t>
      </w:r>
      <w:r w:rsidRPr="00EE48CF">
        <w:rPr>
          <w:sz w:val="22"/>
          <w:szCs w:val="22"/>
        </w:rPr>
        <w:t>.</w:t>
      </w:r>
      <w:r w:rsidR="002F5253" w:rsidRPr="00EE48CF">
        <w:rPr>
          <w:sz w:val="22"/>
          <w:szCs w:val="22"/>
        </w:rPr>
        <w:t xml:space="preserve"> </w:t>
      </w:r>
      <w:r w:rsidR="002F5253" w:rsidRPr="00EE48CF">
        <w:rPr>
          <w:sz w:val="22"/>
          <w:szCs w:val="22"/>
          <w:lang w:val="en-ID"/>
        </w:rPr>
        <w:t xml:space="preserve">The primary objective of this research is to understand </w:t>
      </w:r>
      <w:r w:rsidR="00980A23" w:rsidRPr="00EE48CF">
        <w:rPr>
          <w:sz w:val="22"/>
          <w:szCs w:val="22"/>
          <w:lang w:val="en-ID"/>
        </w:rPr>
        <w:t xml:space="preserve">literacy and reading enhancement </w:t>
      </w:r>
      <w:r w:rsidR="002F5253" w:rsidRPr="00EE48CF">
        <w:rPr>
          <w:sz w:val="22"/>
          <w:szCs w:val="22"/>
          <w:lang w:val="en-ID"/>
        </w:rPr>
        <w:t xml:space="preserve">on </w:t>
      </w:r>
      <w:r w:rsidR="00980A23" w:rsidRPr="00EE48CF">
        <w:rPr>
          <w:sz w:val="22"/>
          <w:szCs w:val="22"/>
          <w:lang w:val="en-ID"/>
        </w:rPr>
        <w:lastRenderedPageBreak/>
        <w:t xml:space="preserve">elementary </w:t>
      </w:r>
      <w:r w:rsidR="002F5253" w:rsidRPr="00EE48CF">
        <w:rPr>
          <w:sz w:val="22"/>
          <w:szCs w:val="22"/>
          <w:lang w:val="en-ID"/>
        </w:rPr>
        <w:t xml:space="preserve">students’ literacy development and reading </w:t>
      </w:r>
      <w:r w:rsidR="00980A23" w:rsidRPr="00EE48CF">
        <w:rPr>
          <w:sz w:val="22"/>
          <w:szCs w:val="22"/>
          <w:lang w:val="en-ID"/>
        </w:rPr>
        <w:t>interest skill by the short term</w:t>
      </w:r>
      <w:r w:rsidR="002F5253" w:rsidRPr="00EE48CF">
        <w:rPr>
          <w:sz w:val="22"/>
          <w:szCs w:val="22"/>
          <w:lang w:val="en-ID"/>
        </w:rPr>
        <w:t>.</w:t>
      </w:r>
      <w:r w:rsidR="00980A23" w:rsidRPr="00EE48CF">
        <w:rPr>
          <w:sz w:val="22"/>
          <w:szCs w:val="22"/>
          <w:lang w:val="en-ID"/>
        </w:rPr>
        <w:t xml:space="preserve"> Also, in the long term</w:t>
      </w:r>
      <w:r w:rsidR="0065779D" w:rsidRPr="00EE48CF">
        <w:rPr>
          <w:sz w:val="22"/>
          <w:szCs w:val="22"/>
          <w:lang w:val="en-ID"/>
        </w:rPr>
        <w:t>,</w:t>
      </w:r>
      <w:r w:rsidR="002F5253" w:rsidRPr="00EE48CF">
        <w:rPr>
          <w:sz w:val="22"/>
          <w:szCs w:val="22"/>
          <w:lang w:val="en-ID"/>
        </w:rPr>
        <w:t xml:space="preserve"> </w:t>
      </w:r>
      <w:r w:rsidR="00980A23" w:rsidRPr="00EE48CF">
        <w:rPr>
          <w:sz w:val="22"/>
          <w:szCs w:val="22"/>
          <w:lang w:val="en-ID"/>
        </w:rPr>
        <w:t xml:space="preserve">to investigate the literacy and reading enhancement used for accelerating </w:t>
      </w:r>
      <w:r w:rsidR="00B73077">
        <w:rPr>
          <w:sz w:val="22"/>
          <w:szCs w:val="22"/>
          <w:lang w:val="en-ID"/>
        </w:rPr>
        <w:t>SDGs</w:t>
      </w:r>
      <w:r w:rsidR="00980A23" w:rsidRPr="00EE48CF">
        <w:rPr>
          <w:sz w:val="22"/>
          <w:szCs w:val="22"/>
          <w:lang w:val="en-ID"/>
        </w:rPr>
        <w:t xml:space="preserve"> 4 in the village. </w:t>
      </w:r>
    </w:p>
    <w:p w14:paraId="4991B823" w14:textId="25A091BC" w:rsidR="00C73886" w:rsidRDefault="00C73886" w:rsidP="006B2430">
      <w:pPr>
        <w:pStyle w:val="BodyText"/>
        <w:spacing w:line="276" w:lineRule="auto"/>
        <w:ind w:left="284" w:right="-45" w:firstLine="425"/>
        <w:rPr>
          <w:sz w:val="22"/>
          <w:szCs w:val="22"/>
          <w:lang w:val="en-ID"/>
        </w:rPr>
      </w:pPr>
      <w:r w:rsidRPr="00C73886">
        <w:rPr>
          <w:sz w:val="22"/>
          <w:szCs w:val="22"/>
        </w:rPr>
        <w:t xml:space="preserve">The literacy intervention was conducted from July to November 2024 and included structured reading sessions, storytelling activities, establishment of classroom reading corners, parental literacy engagement </w:t>
      </w:r>
      <w:r w:rsidR="00A7540E">
        <w:rPr>
          <w:sz w:val="22"/>
          <w:szCs w:val="22"/>
        </w:rPr>
        <w:t>sessions</w:t>
      </w:r>
      <w:r w:rsidRPr="00C73886">
        <w:rPr>
          <w:sz w:val="22"/>
          <w:szCs w:val="22"/>
        </w:rPr>
        <w:t xml:space="preserve">, and guided reading assistance. </w:t>
      </w:r>
      <w:r w:rsidR="0052480E" w:rsidRPr="0052480E">
        <w:rPr>
          <w:sz w:val="22"/>
          <w:szCs w:val="22"/>
        </w:rPr>
        <w:t>Literacy capability was assessed based on reading fluency, comprehension, vocabulary understanding, and reading engagement, following established literacy assessment frameworks</w:t>
      </w:r>
      <w:r w:rsidR="0052480E">
        <w:rPr>
          <w:sz w:val="22"/>
          <w:szCs w:val="22"/>
        </w:rPr>
        <w:t xml:space="preserve"> </w:t>
      </w:r>
      <w:r w:rsidR="0052480E">
        <w:rPr>
          <w:sz w:val="22"/>
          <w:szCs w:val="22"/>
        </w:rPr>
        <w:fldChar w:fldCharType="begin" w:fldLock="1"/>
      </w:r>
      <w:r w:rsidR="006B2430">
        <w:rPr>
          <w:sz w:val="22"/>
          <w:szCs w:val="22"/>
        </w:rPr>
        <w:instrText>ADDIN CSL_CITATION {"citationItems":[{"id":"ITEM-1","itemData":{"DOI":"10.3390/educsci10030056","ISSN":"22277102","abstract":"This paper looks at the effects of an intervention, based on fluency oriented reading instruction (FORI), on the motivation for reading among struggling readers in First Class in Irish primary schools. The intervention took place in learning support settings in three primary schools located in urban educationally disadvantaged communities in North Dublin. The study was conducted through a pragmatic lens with research questions framed to shed light on the motivation for reading of students in First Class from disadvantaged backgrounds. A mixed methods design with a concurrent triangulation strategy was employed, facilitating the exploration of multiple research questions using questionnaires and semi‐structured interviews with teachers and parents and conversational interviews and surveys with students. The perspective of reading motivation guiding the study recognised the overlapping influences of teachers, parents and the student himself or herself. Findings, as reported by these research informants, indicate that the FORI intervention had a positive impact on the motivation for reading of struggling readers in First Class. In particular, the intervention was found to decrease students’ perceived difficulty with reading and increase their reading self‐efficacy and orientation towards reading.","author":[{"dropping-particle":"","family":"Mehigan","given":"Gene","non-dropping-particle":"","parse-names":false,"suffix":""}],"container-title":"Education Sciences","id":"ITEM-1","issue":"3","issued":{"date-parts":[["2020"]]},"title":"Effects of fluency oriented instruction on motivation for reading of struggling readers","type":"article-journal","volume":"10"},"uris":["http://www.mendeley.com/documents/?uuid=d0567f2e-a9d8-40ad-9357-284926ce486f"]},{"id":"ITEM-2","itemData":{"DOI":"10.1017/CBO9781107415324.004","abstract":"Sociocultural perspectives on literacy include various theories focused on the myriad ways in which people use literacy in context, which include a strong emphasis on power relations. Yet, these theories also have important differences, and many in the field of literacy do not clearly differentiate among them. I provide a critical overview of influential sociocultural perspectives on literacy, focusing on three major perspectives: (1) literacy as social practice, (2) multiliteracies, and (3) critical literacy. In an effort to support researchers in framing their scholarly work and to support practitioners and other consumers of research make sense of research, I discuss the ways in which each theory would answer the question, “What is literacy?” as well as the affordances and limitations of these theories in terms of literacy development, literacy use, and literacy instruction.","author":[{"dropping-particle":"","family":"Perry","given":"Kristen H.","non-dropping-particle":"","parse-names":false,"suffix":""}],"container-title":"Journal of Language and Literacy Education","id":"ITEM-2","issue":"1","issued":{"date-parts":[["2012"]]},"page":"50-71","title":"What is literacy? -- A critical overview of sociocultural perspectives.","type":"article-journal","volume":"8"},"uris":["http://www.mendeley.com/documents/?uuid=a25a1fdc-ac7f-4486-a3b1-240f22e44f46"]}],"mendeley":{"formattedCitation":"(Mehigan, 2020; Perry, 2012)","plainTextFormattedCitation":"(Mehigan, 2020; Perry, 2012)","previouslyFormattedCitation":"(Mehigan, 2020; Perry, 2012)"},"properties":{"noteIndex":0},"schema":"https://github.com/citation-style-language/schema/raw/master/csl-citation.json"}</w:instrText>
      </w:r>
      <w:r w:rsidR="0052480E">
        <w:rPr>
          <w:sz w:val="22"/>
          <w:szCs w:val="22"/>
        </w:rPr>
        <w:fldChar w:fldCharType="separate"/>
      </w:r>
      <w:r w:rsidR="0052480E" w:rsidRPr="0052480E">
        <w:rPr>
          <w:noProof/>
          <w:sz w:val="22"/>
          <w:szCs w:val="22"/>
        </w:rPr>
        <w:t>(Mehigan, 2020; Perry, 2012)</w:t>
      </w:r>
      <w:r w:rsidR="0052480E">
        <w:rPr>
          <w:sz w:val="22"/>
          <w:szCs w:val="22"/>
        </w:rPr>
        <w:fldChar w:fldCharType="end"/>
      </w:r>
      <w:r w:rsidR="0052480E" w:rsidRPr="0052480E">
        <w:rPr>
          <w:sz w:val="22"/>
          <w:szCs w:val="22"/>
        </w:rPr>
        <w:t xml:space="preserve">. Reading interest </w:t>
      </w:r>
      <w:r w:rsidR="006B2430">
        <w:rPr>
          <w:sz w:val="22"/>
          <w:szCs w:val="22"/>
        </w:rPr>
        <w:t>will be</w:t>
      </w:r>
      <w:r w:rsidR="0052480E" w:rsidRPr="0052480E">
        <w:rPr>
          <w:sz w:val="22"/>
          <w:szCs w:val="22"/>
        </w:rPr>
        <w:t xml:space="preserve"> evaluated based on student participation in reading activities</w:t>
      </w:r>
      <w:r w:rsidR="006B2430">
        <w:rPr>
          <w:sz w:val="22"/>
          <w:szCs w:val="22"/>
        </w:rPr>
        <w:t xml:space="preserve">. Such as </w:t>
      </w:r>
      <w:r w:rsidR="0052480E" w:rsidRPr="0052480E">
        <w:rPr>
          <w:sz w:val="22"/>
          <w:szCs w:val="22"/>
        </w:rPr>
        <w:t xml:space="preserve">reading frequency, </w:t>
      </w:r>
      <w:r w:rsidR="006B2430" w:rsidRPr="006B2430">
        <w:rPr>
          <w:sz w:val="22"/>
          <w:szCs w:val="22"/>
        </w:rPr>
        <w:t>willingness to participate in reading activities, reflected in reading frequency, enthusiasm, and voluntary reading behavior</w:t>
      </w:r>
      <w:r w:rsidR="006B2430">
        <w:rPr>
          <w:sz w:val="22"/>
          <w:szCs w:val="22"/>
        </w:rPr>
        <w:t xml:space="preserve"> </w:t>
      </w:r>
      <w:r w:rsidR="006B2430">
        <w:rPr>
          <w:sz w:val="22"/>
          <w:szCs w:val="22"/>
        </w:rPr>
        <w:fldChar w:fldCharType="begin" w:fldLock="1"/>
      </w:r>
      <w:r w:rsidR="000912FE">
        <w:rPr>
          <w:sz w:val="22"/>
          <w:szCs w:val="22"/>
        </w:rPr>
        <w:instrText>ADDIN CSL_CITATION {"citationItems":[{"id":"ITEM-1","itemData":{"DOI":"10.1177/21582440211069392","author":[{"dropping-particle":"","family":"Singh","given":"Aditya","non-dropping-particle":"","parse-names":false,"suffix":""}],"id":"ITEM-1","issued":{"date-parts":[["2022"]]},"title":"Using Curiosity to Improve Learning Outcomes in Schools","type":"article-journal"},"uris":["http://www.mendeley.com/documents/?uuid=c3b602c0-808a-4a6e-8d2f-a8fe98905688"]}],"mendeley":{"formattedCitation":"(Singh, 2022)","plainTextFormattedCitation":"(Singh, 2022)","previouslyFormattedCitation":"(Singh, 2022)"},"properties":{"noteIndex":0},"schema":"https://github.com/citation-style-language/schema/raw/master/csl-citation.json"}</w:instrText>
      </w:r>
      <w:r w:rsidR="006B2430">
        <w:rPr>
          <w:sz w:val="22"/>
          <w:szCs w:val="22"/>
        </w:rPr>
        <w:fldChar w:fldCharType="separate"/>
      </w:r>
      <w:r w:rsidR="006B2430" w:rsidRPr="006B2430">
        <w:rPr>
          <w:noProof/>
          <w:sz w:val="22"/>
          <w:szCs w:val="22"/>
        </w:rPr>
        <w:t>(Singh, 2022)</w:t>
      </w:r>
      <w:r w:rsidR="006B2430">
        <w:rPr>
          <w:sz w:val="22"/>
          <w:szCs w:val="22"/>
        </w:rPr>
        <w:fldChar w:fldCharType="end"/>
      </w:r>
      <w:r w:rsidR="006B2430">
        <w:rPr>
          <w:sz w:val="22"/>
          <w:szCs w:val="22"/>
        </w:rPr>
        <w:t>.</w:t>
      </w:r>
      <w:r w:rsidR="0052480E" w:rsidRPr="0052480E">
        <w:rPr>
          <w:sz w:val="22"/>
          <w:szCs w:val="22"/>
        </w:rPr>
        <w:t xml:space="preserve"> </w:t>
      </w:r>
      <w:r w:rsidRPr="00C73886">
        <w:rPr>
          <w:sz w:val="22"/>
          <w:szCs w:val="22"/>
        </w:rPr>
        <w:t xml:space="preserve">Students participated in literacy activities three times per week, each lasting approximately 60 minutes. </w:t>
      </w:r>
      <w:r w:rsidR="00DC77E4" w:rsidRPr="00DC77E4">
        <w:rPr>
          <w:sz w:val="22"/>
          <w:szCs w:val="22"/>
        </w:rPr>
        <w:t>Student performance was recorded monthly using a standardized literacy grading scale ranging from D (very low) to A+ (excellent). These assessments enabled tracking of literacy improvement over the intervention period</w:t>
      </w:r>
      <w:r w:rsidR="00DC77E4">
        <w:rPr>
          <w:sz w:val="22"/>
          <w:szCs w:val="22"/>
        </w:rPr>
        <w:t>.</w:t>
      </w:r>
    </w:p>
    <w:p w14:paraId="5AF41D44" w14:textId="5D10EB22" w:rsidR="002F5253" w:rsidRPr="00EE48CF" w:rsidRDefault="00980A23" w:rsidP="0000413E">
      <w:pPr>
        <w:pStyle w:val="BodyText"/>
        <w:spacing w:line="276" w:lineRule="auto"/>
        <w:ind w:left="284" w:right="-45" w:firstLine="425"/>
        <w:rPr>
          <w:sz w:val="22"/>
          <w:szCs w:val="22"/>
        </w:rPr>
      </w:pPr>
      <w:r w:rsidRPr="00EE48CF">
        <w:rPr>
          <w:sz w:val="22"/>
          <w:szCs w:val="22"/>
          <w:lang w:val="en-ID"/>
        </w:rPr>
        <w:t>The following research questions guide the study</w:t>
      </w:r>
      <w:r w:rsidR="002F5253" w:rsidRPr="00EE48CF">
        <w:rPr>
          <w:sz w:val="22"/>
          <w:szCs w:val="22"/>
          <w:lang w:val="en-ID"/>
        </w:rPr>
        <w:t>:</w:t>
      </w:r>
    </w:p>
    <w:p w14:paraId="62139304" w14:textId="24375754" w:rsidR="002F5253" w:rsidRPr="00EE48CF" w:rsidRDefault="002F5253" w:rsidP="002F5253">
      <w:pPr>
        <w:pStyle w:val="BodyText"/>
        <w:numPr>
          <w:ilvl w:val="0"/>
          <w:numId w:val="25"/>
        </w:numPr>
        <w:spacing w:after="14" w:line="276" w:lineRule="auto"/>
        <w:ind w:right="-45"/>
        <w:rPr>
          <w:sz w:val="22"/>
          <w:szCs w:val="22"/>
          <w:lang w:val="en-ID"/>
        </w:rPr>
      </w:pPr>
      <w:r w:rsidRPr="00EE48CF">
        <w:rPr>
          <w:sz w:val="22"/>
          <w:szCs w:val="22"/>
          <w:lang w:val="en-ID"/>
        </w:rPr>
        <w:t xml:space="preserve">How </w:t>
      </w:r>
      <w:r w:rsidR="008200FA" w:rsidRPr="00EE48CF">
        <w:rPr>
          <w:sz w:val="22"/>
          <w:szCs w:val="22"/>
          <w:lang w:val="en-ID"/>
        </w:rPr>
        <w:t>are</w:t>
      </w:r>
      <w:r w:rsidRPr="00EE48CF">
        <w:rPr>
          <w:sz w:val="22"/>
          <w:szCs w:val="22"/>
          <w:lang w:val="en-ID"/>
        </w:rPr>
        <w:t xml:space="preserve"> literacy </w:t>
      </w:r>
      <w:r w:rsidR="008200FA" w:rsidRPr="00EE48CF">
        <w:rPr>
          <w:sz w:val="22"/>
          <w:szCs w:val="22"/>
          <w:lang w:val="en-ID"/>
        </w:rPr>
        <w:t xml:space="preserve">and reading </w:t>
      </w:r>
      <w:r w:rsidRPr="00EE48CF">
        <w:rPr>
          <w:sz w:val="22"/>
          <w:szCs w:val="22"/>
          <w:lang w:val="en-ID"/>
        </w:rPr>
        <w:t xml:space="preserve">enhancement activities </w:t>
      </w:r>
      <w:r w:rsidR="00BD41A9" w:rsidRPr="00EE48CF">
        <w:rPr>
          <w:sz w:val="22"/>
          <w:szCs w:val="22"/>
          <w:lang w:val="en-ID"/>
        </w:rPr>
        <w:t>applied in</w:t>
      </w:r>
      <w:r w:rsidRPr="00EE48CF">
        <w:rPr>
          <w:sz w:val="22"/>
          <w:szCs w:val="22"/>
          <w:lang w:val="en-ID"/>
        </w:rPr>
        <w:t xml:space="preserve"> </w:t>
      </w:r>
      <w:r w:rsidR="008200FA" w:rsidRPr="00EE48CF">
        <w:rPr>
          <w:sz w:val="22"/>
          <w:szCs w:val="22"/>
          <w:lang w:val="en-ID"/>
        </w:rPr>
        <w:t xml:space="preserve">the </w:t>
      </w:r>
      <w:r w:rsidRPr="00EE48CF">
        <w:rPr>
          <w:sz w:val="22"/>
          <w:szCs w:val="22"/>
          <w:lang w:val="en-ID"/>
        </w:rPr>
        <w:t xml:space="preserve">elementary school </w:t>
      </w:r>
      <w:r w:rsidR="008200FA" w:rsidRPr="00EE48CF">
        <w:rPr>
          <w:sz w:val="22"/>
          <w:szCs w:val="22"/>
          <w:lang w:val="en-ID"/>
        </w:rPr>
        <w:t xml:space="preserve">at </w:t>
      </w:r>
      <w:proofErr w:type="spellStart"/>
      <w:r w:rsidR="008200FA" w:rsidRPr="00EE48CF">
        <w:rPr>
          <w:sz w:val="22"/>
          <w:szCs w:val="22"/>
          <w:lang w:val="en-ID"/>
        </w:rPr>
        <w:t>Setren</w:t>
      </w:r>
      <w:proofErr w:type="spellEnd"/>
      <w:r w:rsidR="008200FA" w:rsidRPr="00EE48CF">
        <w:rPr>
          <w:sz w:val="22"/>
          <w:szCs w:val="22"/>
          <w:lang w:val="en-ID"/>
        </w:rPr>
        <w:t xml:space="preserve"> Village?</w:t>
      </w:r>
    </w:p>
    <w:p w14:paraId="23FBEE13" w14:textId="34DA1143" w:rsidR="002F5253" w:rsidRPr="00EE48CF" w:rsidRDefault="008200FA" w:rsidP="002F5253">
      <w:pPr>
        <w:pStyle w:val="BodyText"/>
        <w:numPr>
          <w:ilvl w:val="0"/>
          <w:numId w:val="25"/>
        </w:numPr>
        <w:spacing w:after="14" w:line="276" w:lineRule="auto"/>
        <w:ind w:right="-45"/>
        <w:rPr>
          <w:sz w:val="22"/>
          <w:szCs w:val="22"/>
          <w:lang w:val="en-ID"/>
        </w:rPr>
      </w:pPr>
      <w:r w:rsidRPr="00EE48CF">
        <w:rPr>
          <w:sz w:val="22"/>
          <w:szCs w:val="22"/>
          <w:lang w:val="en-ID"/>
        </w:rPr>
        <w:t>How are literacy and reading enhancement used for accelerating SDGs 4 in the Village?</w:t>
      </w:r>
    </w:p>
    <w:p w14:paraId="00732C9F" w14:textId="041519DB" w:rsidR="002F5253" w:rsidRPr="00EE48CF" w:rsidRDefault="00980A23" w:rsidP="002F5253">
      <w:pPr>
        <w:pStyle w:val="BodyText"/>
        <w:spacing w:after="14" w:line="276" w:lineRule="auto"/>
        <w:ind w:left="284" w:right="-45" w:firstLine="425"/>
        <w:rPr>
          <w:sz w:val="22"/>
          <w:szCs w:val="22"/>
          <w:lang w:val="en-ID"/>
        </w:rPr>
      </w:pPr>
      <w:r w:rsidRPr="00EE48CF">
        <w:rPr>
          <w:sz w:val="22"/>
          <w:szCs w:val="22"/>
          <w:lang w:val="en-ID"/>
        </w:rPr>
        <w:t>Participants were selected using purposive sampling, targeting those most relevant</w:t>
      </w:r>
      <w:r w:rsidR="002F5253" w:rsidRPr="00EE48CF">
        <w:rPr>
          <w:sz w:val="22"/>
          <w:szCs w:val="22"/>
          <w:lang w:val="en-ID"/>
        </w:rPr>
        <w:t xml:space="preserve"> to the research objectives. The primary informants were 8 students from grades 1 to 6 of </w:t>
      </w:r>
      <w:r w:rsidRPr="00EE48CF">
        <w:rPr>
          <w:sz w:val="22"/>
          <w:szCs w:val="22"/>
          <w:lang w:val="en-ID"/>
        </w:rPr>
        <w:t xml:space="preserve">the </w:t>
      </w:r>
      <w:r w:rsidR="002F5253" w:rsidRPr="00EE48CF">
        <w:rPr>
          <w:sz w:val="22"/>
          <w:szCs w:val="22"/>
          <w:lang w:val="en-ID"/>
        </w:rPr>
        <w:t xml:space="preserve">elementary school. The supporting informants comprised 3 teachers and 5 parents who participated directly in literacy support activities. The criteria for inclusion were: </w:t>
      </w:r>
    </w:p>
    <w:p w14:paraId="29E27F9A" w14:textId="08EA166C" w:rsidR="002F5253" w:rsidRPr="00EE48CF" w:rsidRDefault="002F5253" w:rsidP="002F5253">
      <w:pPr>
        <w:pStyle w:val="BodyText"/>
        <w:numPr>
          <w:ilvl w:val="0"/>
          <w:numId w:val="26"/>
        </w:numPr>
        <w:spacing w:after="14" w:line="276" w:lineRule="auto"/>
        <w:ind w:right="-45"/>
        <w:rPr>
          <w:sz w:val="22"/>
          <w:szCs w:val="22"/>
          <w:lang w:val="en-ID"/>
        </w:rPr>
      </w:pPr>
      <w:r w:rsidRPr="00EE48CF">
        <w:rPr>
          <w:sz w:val="22"/>
          <w:szCs w:val="22"/>
          <w:lang w:val="en-ID"/>
        </w:rPr>
        <w:t xml:space="preserve">Students who took part in literacy interventions </w:t>
      </w:r>
      <w:r w:rsidR="00980A23" w:rsidRPr="00EE48CF">
        <w:rPr>
          <w:sz w:val="22"/>
          <w:szCs w:val="22"/>
          <w:lang w:val="en-ID"/>
        </w:rPr>
        <w:t>regularly</w:t>
      </w:r>
      <w:r w:rsidRPr="00EE48CF">
        <w:rPr>
          <w:sz w:val="22"/>
          <w:szCs w:val="22"/>
          <w:lang w:val="en-ID"/>
        </w:rPr>
        <w:t xml:space="preserve"> from July to November.</w:t>
      </w:r>
    </w:p>
    <w:p w14:paraId="51A815F1" w14:textId="0E18B706" w:rsidR="002F5253" w:rsidRPr="00EE48CF" w:rsidRDefault="002F5253" w:rsidP="002F5253">
      <w:pPr>
        <w:pStyle w:val="BodyText"/>
        <w:numPr>
          <w:ilvl w:val="0"/>
          <w:numId w:val="26"/>
        </w:numPr>
        <w:spacing w:after="14" w:line="276" w:lineRule="auto"/>
        <w:ind w:right="-45"/>
        <w:rPr>
          <w:sz w:val="22"/>
          <w:szCs w:val="22"/>
          <w:lang w:val="en-ID"/>
        </w:rPr>
      </w:pPr>
      <w:r w:rsidRPr="00EE48CF">
        <w:rPr>
          <w:sz w:val="22"/>
          <w:szCs w:val="22"/>
          <w:lang w:val="en-ID"/>
        </w:rPr>
        <w:t xml:space="preserve">Parents and teachers who helped or witnessed the children's reading </w:t>
      </w:r>
      <w:proofErr w:type="spellStart"/>
      <w:r w:rsidRPr="00EE48CF">
        <w:rPr>
          <w:sz w:val="22"/>
          <w:szCs w:val="22"/>
          <w:lang w:val="en-ID"/>
        </w:rPr>
        <w:t>behaviors</w:t>
      </w:r>
      <w:proofErr w:type="spellEnd"/>
      <w:r w:rsidRPr="00EE48CF">
        <w:rPr>
          <w:sz w:val="22"/>
          <w:szCs w:val="22"/>
          <w:lang w:val="en-ID"/>
        </w:rPr>
        <w:t>.</w:t>
      </w:r>
    </w:p>
    <w:p w14:paraId="5661BB6D" w14:textId="7583BCB9" w:rsidR="002F5253" w:rsidRPr="00EE48CF" w:rsidRDefault="00DB3721" w:rsidP="00696C32">
      <w:pPr>
        <w:pStyle w:val="BodyText"/>
        <w:spacing w:after="14" w:line="276" w:lineRule="auto"/>
        <w:ind w:left="284" w:right="-45" w:firstLine="425"/>
        <w:rPr>
          <w:sz w:val="22"/>
          <w:szCs w:val="22"/>
          <w:lang w:val="en-GB"/>
        </w:rPr>
      </w:pPr>
      <w:r w:rsidRPr="00EE48CF">
        <w:rPr>
          <w:sz w:val="22"/>
          <w:szCs w:val="22"/>
        </w:rPr>
        <w:t>The analysis technique used is an interactive data analysis technique modeled by Miles and Huberman 1994 which uses several steps, namely consisting of data reduction, data display</w:t>
      </w:r>
      <w:r w:rsidR="004B6E3B" w:rsidRPr="00EE48CF">
        <w:rPr>
          <w:sz w:val="22"/>
          <w:szCs w:val="22"/>
        </w:rPr>
        <w:t>,</w:t>
      </w:r>
      <w:r w:rsidRPr="00EE48CF">
        <w:rPr>
          <w:sz w:val="22"/>
          <w:szCs w:val="22"/>
        </w:rPr>
        <w:t xml:space="preserve"> and conclusion </w:t>
      </w:r>
      <w:r w:rsidR="004B6E3B" w:rsidRPr="00EE48CF">
        <w:rPr>
          <w:sz w:val="22"/>
          <w:szCs w:val="22"/>
        </w:rPr>
        <w:t xml:space="preserve">verification </w:t>
      </w:r>
      <w:r w:rsidR="00674536" w:rsidRPr="00EE48CF">
        <w:rPr>
          <w:rStyle w:val="FootnoteReference"/>
          <w:sz w:val="22"/>
          <w:szCs w:val="22"/>
        </w:rPr>
        <w:fldChar w:fldCharType="begin" w:fldLock="1"/>
      </w:r>
      <w:r w:rsidR="00980A23" w:rsidRPr="00EE48CF">
        <w:rPr>
          <w:sz w:val="22"/>
          <w:szCs w:val="22"/>
        </w:rPr>
        <w:instrText>ADDIN CSL_CITATION {"citationItems":[{"id":"ITEM-1","itemData":{"ISBN":"9786237840329","abstract":"Penelitian kualitatif adalah penelitian yang bertujuan memahami realitas sosial, yaitu melihat dunia dari apa adanya, bukan dunia yang seharusnya, maka seorang peneliti kualitatif haruslah orang yang memiliki sifat open minded. Karenanya, melakukan penelitian …","author":[{"dropping-particle":"","family":"Murdiyanto","given":"Eko","non-dropping-particle":"","parse-names":false,"suffix":""}],"container-title":"Bandung: Rosda Karya","id":"ITEM-1","issued":{"date-parts":[["2020"]]},"number-of-pages":"12","title":"Metode Penelitian Kualitatif (Sistematika Penelitian Kualitatif)","type":"book"},"uris":["http://www.mendeley.com/documents/?uuid=f5dc7e00-31f3-4153-b828-509fc68cbbf3"]}],"mendeley":{"formattedCitation":"(Murdiyanto, 2020)","plainTextFormattedCitation":"(Murdiyanto, 2020)","previouslyFormattedCitation":"(Murdiyanto, 2020)"},"properties":{"noteIndex":0},"schema":"https://github.com/citation-style-language/schema/raw/master/csl-citation.json"}</w:instrText>
      </w:r>
      <w:r w:rsidR="00674536" w:rsidRPr="00EE48CF">
        <w:rPr>
          <w:rStyle w:val="FootnoteReference"/>
          <w:sz w:val="22"/>
          <w:szCs w:val="22"/>
        </w:rPr>
        <w:fldChar w:fldCharType="separate"/>
      </w:r>
      <w:r w:rsidR="00674536" w:rsidRPr="00EE48CF">
        <w:rPr>
          <w:noProof/>
          <w:sz w:val="22"/>
          <w:szCs w:val="22"/>
        </w:rPr>
        <w:t>(Murdiyanto, 2020)</w:t>
      </w:r>
      <w:r w:rsidR="00674536" w:rsidRPr="00EE48CF">
        <w:rPr>
          <w:rStyle w:val="FootnoteReference"/>
          <w:sz w:val="22"/>
          <w:szCs w:val="22"/>
        </w:rPr>
        <w:fldChar w:fldCharType="end"/>
      </w:r>
      <w:r w:rsidR="00B10949" w:rsidRPr="00EE48CF">
        <w:rPr>
          <w:sz w:val="22"/>
          <w:szCs w:val="22"/>
        </w:rPr>
        <w:t>.</w:t>
      </w:r>
      <w:r w:rsidRPr="00EE48CF">
        <w:rPr>
          <w:sz w:val="22"/>
          <w:szCs w:val="22"/>
        </w:rPr>
        <w:t xml:space="preserve"> As for the main informants, </w:t>
      </w:r>
      <w:r w:rsidR="004B6E3B" w:rsidRPr="00EE48CF">
        <w:rPr>
          <w:sz w:val="22"/>
          <w:szCs w:val="22"/>
        </w:rPr>
        <w:t xml:space="preserve">they are elementary school students in </w:t>
      </w:r>
      <w:proofErr w:type="spellStart"/>
      <w:r w:rsidR="004B6E3B" w:rsidRPr="00EE48CF">
        <w:rPr>
          <w:sz w:val="22"/>
          <w:szCs w:val="22"/>
        </w:rPr>
        <w:t>Setren</w:t>
      </w:r>
      <w:proofErr w:type="spellEnd"/>
      <w:r w:rsidR="004B6E3B" w:rsidRPr="00EE48CF">
        <w:rPr>
          <w:sz w:val="22"/>
          <w:szCs w:val="22"/>
        </w:rPr>
        <w:t xml:space="preserve"> Village, specifically in grades 1 to 6 of the </w:t>
      </w:r>
      <w:r w:rsidRPr="00EE48CF">
        <w:rPr>
          <w:sz w:val="22"/>
          <w:szCs w:val="22"/>
        </w:rPr>
        <w:t>elementary school. Meanwhile, the supporting informants are teachers and parents</w:t>
      </w:r>
      <w:r w:rsidRPr="00EE48CF">
        <w:rPr>
          <w:sz w:val="22"/>
          <w:szCs w:val="22"/>
          <w:lang w:val="en-GB"/>
        </w:rPr>
        <w:t>.</w:t>
      </w:r>
    </w:p>
    <w:p w14:paraId="094B09FB" w14:textId="61A6C85E" w:rsidR="002F5253" w:rsidRPr="00EE48CF" w:rsidRDefault="002F5253" w:rsidP="002F5253">
      <w:pPr>
        <w:pStyle w:val="BodyText"/>
        <w:spacing w:after="14" w:line="276" w:lineRule="auto"/>
        <w:ind w:left="284" w:right="-45" w:firstLine="425"/>
        <w:rPr>
          <w:sz w:val="22"/>
          <w:szCs w:val="22"/>
          <w:lang w:val="en-ID"/>
        </w:rPr>
      </w:pPr>
      <w:r w:rsidRPr="00EE48CF">
        <w:rPr>
          <w:sz w:val="22"/>
          <w:szCs w:val="22"/>
          <w:lang w:val="en-ID"/>
        </w:rPr>
        <w:t>Three primary methods were employed:</w:t>
      </w:r>
    </w:p>
    <w:p w14:paraId="693ED928" w14:textId="77777777" w:rsidR="002F5253" w:rsidRPr="00EE48CF" w:rsidRDefault="002F5253" w:rsidP="002F5253">
      <w:pPr>
        <w:pStyle w:val="BodyText"/>
        <w:numPr>
          <w:ilvl w:val="2"/>
          <w:numId w:val="25"/>
        </w:numPr>
        <w:spacing w:after="14" w:line="276" w:lineRule="auto"/>
        <w:ind w:left="709" w:right="-45"/>
        <w:rPr>
          <w:sz w:val="22"/>
          <w:szCs w:val="22"/>
          <w:lang w:val="en-ID"/>
        </w:rPr>
      </w:pPr>
      <w:r w:rsidRPr="00EE48CF">
        <w:rPr>
          <w:sz w:val="22"/>
          <w:szCs w:val="22"/>
          <w:lang w:val="en-ID"/>
        </w:rPr>
        <w:t>Semi-structured interviews: These were carried out with students, parents, and teachers to investigate their experiences and views on literacy activities. Interview guides were created around themes like reading frequency, parental support, and student motivation.</w:t>
      </w:r>
    </w:p>
    <w:p w14:paraId="1BF31C2C" w14:textId="77777777" w:rsidR="002F5253" w:rsidRPr="00EE48CF" w:rsidRDefault="002F5253" w:rsidP="002F5253">
      <w:pPr>
        <w:pStyle w:val="BodyText"/>
        <w:numPr>
          <w:ilvl w:val="2"/>
          <w:numId w:val="25"/>
        </w:numPr>
        <w:spacing w:after="14" w:line="276" w:lineRule="auto"/>
        <w:ind w:left="709" w:right="-45"/>
        <w:rPr>
          <w:sz w:val="22"/>
          <w:szCs w:val="22"/>
          <w:lang w:val="en-ID"/>
        </w:rPr>
      </w:pPr>
      <w:r w:rsidRPr="00EE48CF">
        <w:rPr>
          <w:sz w:val="22"/>
          <w:szCs w:val="22"/>
          <w:lang w:val="en-ID"/>
        </w:rPr>
        <w:t xml:space="preserve">Participant observation: The researchers observed literacy activities in the classroom (such as reading workshops and storytelling sessions) and documented student </w:t>
      </w:r>
      <w:proofErr w:type="spellStart"/>
      <w:r w:rsidRPr="00EE48CF">
        <w:rPr>
          <w:sz w:val="22"/>
          <w:szCs w:val="22"/>
          <w:lang w:val="en-ID"/>
        </w:rPr>
        <w:t>behavior</w:t>
      </w:r>
      <w:proofErr w:type="spellEnd"/>
      <w:r w:rsidRPr="00EE48CF">
        <w:rPr>
          <w:sz w:val="22"/>
          <w:szCs w:val="22"/>
          <w:lang w:val="en-ID"/>
        </w:rPr>
        <w:t>, levels of engagement, and interaction patterns.</w:t>
      </w:r>
    </w:p>
    <w:p w14:paraId="49F6F6DE" w14:textId="23AEDCB7" w:rsidR="002F5253" w:rsidRDefault="002F5253" w:rsidP="0000413E">
      <w:pPr>
        <w:pStyle w:val="BodyText"/>
        <w:numPr>
          <w:ilvl w:val="2"/>
          <w:numId w:val="25"/>
        </w:numPr>
        <w:spacing w:after="14" w:line="276" w:lineRule="auto"/>
        <w:ind w:left="709" w:right="-45"/>
        <w:rPr>
          <w:sz w:val="22"/>
          <w:szCs w:val="22"/>
          <w:lang w:val="en-ID"/>
        </w:rPr>
      </w:pPr>
      <w:r w:rsidRPr="00EE48CF">
        <w:rPr>
          <w:sz w:val="22"/>
          <w:szCs w:val="22"/>
          <w:lang w:val="en-ID"/>
        </w:rPr>
        <w:t>Analysis of documents: Literacy reports, student reading logs</w:t>
      </w:r>
      <w:r w:rsidR="0000413E">
        <w:rPr>
          <w:sz w:val="22"/>
          <w:szCs w:val="22"/>
          <w:lang w:val="en-ID"/>
        </w:rPr>
        <w:t xml:space="preserve"> </w:t>
      </w:r>
      <w:r w:rsidRPr="00EE48CF">
        <w:rPr>
          <w:sz w:val="22"/>
          <w:szCs w:val="22"/>
          <w:lang w:val="en-ID"/>
        </w:rPr>
        <w:t>from classroom interventions</w:t>
      </w:r>
      <w:r w:rsidR="0000413E">
        <w:rPr>
          <w:sz w:val="22"/>
          <w:szCs w:val="22"/>
          <w:lang w:val="en-ID"/>
        </w:rPr>
        <w:t>,</w:t>
      </w:r>
      <w:r w:rsidRPr="00EE48CF">
        <w:rPr>
          <w:sz w:val="22"/>
          <w:szCs w:val="22"/>
          <w:lang w:val="en-ID"/>
        </w:rPr>
        <w:t xml:space="preserve"> were examined to provide additional context to the interview and observational data.</w:t>
      </w:r>
    </w:p>
    <w:p w14:paraId="76688B24" w14:textId="77777777" w:rsidR="0000413E" w:rsidRPr="0000413E" w:rsidRDefault="0000413E" w:rsidP="0000413E">
      <w:pPr>
        <w:pStyle w:val="BodyText"/>
        <w:spacing w:after="14" w:line="276" w:lineRule="auto"/>
        <w:ind w:left="709" w:right="-45"/>
        <w:rPr>
          <w:sz w:val="22"/>
          <w:szCs w:val="22"/>
          <w:lang w:val="en-ID"/>
        </w:rPr>
      </w:pPr>
    </w:p>
    <w:p w14:paraId="68336984" w14:textId="282C6C51" w:rsidR="00142669" w:rsidRPr="00142669" w:rsidRDefault="004B6E3B" w:rsidP="00142669">
      <w:pPr>
        <w:pStyle w:val="Heading1"/>
        <w:numPr>
          <w:ilvl w:val="0"/>
          <w:numId w:val="8"/>
        </w:numPr>
        <w:spacing w:before="70" w:after="240"/>
        <w:ind w:left="284" w:hanging="284"/>
      </w:pPr>
      <w:r>
        <w:t>Results</w:t>
      </w:r>
      <w:r w:rsidR="00DB3721">
        <w:t xml:space="preserve"> and Discussion</w:t>
      </w:r>
    </w:p>
    <w:p w14:paraId="28D4F212" w14:textId="1C284447" w:rsidR="00142669" w:rsidRDefault="00142669" w:rsidP="00142669">
      <w:pPr>
        <w:pStyle w:val="Heading2"/>
        <w:widowControl/>
        <w:numPr>
          <w:ilvl w:val="1"/>
          <w:numId w:val="0"/>
        </w:numPr>
        <w:autoSpaceDE/>
        <w:autoSpaceDN/>
        <w:spacing w:before="120" w:after="60"/>
        <w:ind w:left="993" w:hanging="709"/>
        <w:jc w:val="both"/>
        <w:rPr>
          <w:color w:val="auto"/>
          <w:sz w:val="22"/>
          <w:szCs w:val="22"/>
        </w:rPr>
      </w:pPr>
      <w:r>
        <w:rPr>
          <w:b/>
          <w:bCs/>
          <w:color w:val="auto"/>
          <w:sz w:val="22"/>
          <w:szCs w:val="22"/>
        </w:rPr>
        <w:lastRenderedPageBreak/>
        <w:t>3.1</w:t>
      </w:r>
      <w:r>
        <w:rPr>
          <w:b/>
          <w:bCs/>
          <w:color w:val="auto"/>
          <w:sz w:val="22"/>
          <w:szCs w:val="22"/>
        </w:rPr>
        <w:tab/>
      </w:r>
      <w:r w:rsidRPr="005F001D">
        <w:rPr>
          <w:b/>
          <w:bCs/>
          <w:color w:val="auto"/>
          <w:sz w:val="22"/>
          <w:szCs w:val="22"/>
        </w:rPr>
        <w:t xml:space="preserve">Literacy and </w:t>
      </w:r>
      <w:r>
        <w:rPr>
          <w:b/>
          <w:bCs/>
          <w:color w:val="auto"/>
          <w:sz w:val="22"/>
          <w:szCs w:val="22"/>
        </w:rPr>
        <w:t xml:space="preserve">Reading Interest Enhancement in the Elementary School at the </w:t>
      </w:r>
      <w:proofErr w:type="spellStart"/>
      <w:r>
        <w:rPr>
          <w:b/>
          <w:bCs/>
          <w:color w:val="auto"/>
          <w:sz w:val="22"/>
          <w:szCs w:val="22"/>
        </w:rPr>
        <w:t>Setren</w:t>
      </w:r>
      <w:proofErr w:type="spellEnd"/>
      <w:r>
        <w:rPr>
          <w:b/>
          <w:bCs/>
          <w:color w:val="auto"/>
          <w:sz w:val="22"/>
          <w:szCs w:val="22"/>
        </w:rPr>
        <w:t xml:space="preserve"> Village</w:t>
      </w:r>
    </w:p>
    <w:p w14:paraId="367DB613" w14:textId="77777777" w:rsidR="00142669" w:rsidRDefault="00142669" w:rsidP="0000413E">
      <w:pPr>
        <w:spacing w:line="276" w:lineRule="auto"/>
        <w:ind w:left="284" w:firstLine="425"/>
        <w:jc w:val="both"/>
        <w:rPr>
          <w:rFonts w:asciiTheme="majorHAnsi" w:hAnsiTheme="majorHAnsi"/>
          <w:bCs/>
          <w:iCs/>
        </w:rPr>
      </w:pPr>
      <w:r w:rsidRPr="00DB3721">
        <w:rPr>
          <w:rFonts w:asciiTheme="majorHAnsi" w:hAnsiTheme="majorHAnsi"/>
          <w:bCs/>
          <w:iCs/>
        </w:rPr>
        <w:t xml:space="preserve">The results of research in the field show an increase in literacy skills and interest in reading among elementary school students in </w:t>
      </w:r>
      <w:proofErr w:type="spellStart"/>
      <w:r w:rsidRPr="00DB3721">
        <w:rPr>
          <w:rFonts w:asciiTheme="majorHAnsi" w:hAnsiTheme="majorHAnsi"/>
          <w:bCs/>
          <w:iCs/>
        </w:rPr>
        <w:t>Setren</w:t>
      </w:r>
      <w:proofErr w:type="spellEnd"/>
      <w:r w:rsidRPr="00DB3721">
        <w:rPr>
          <w:rFonts w:asciiTheme="majorHAnsi" w:hAnsiTheme="majorHAnsi"/>
          <w:bCs/>
          <w:iCs/>
        </w:rPr>
        <w:t xml:space="preserve"> Village. This will also increase students' understanding of managing various forms of literature</w:t>
      </w:r>
      <w:r>
        <w:rPr>
          <w:rFonts w:asciiTheme="majorHAnsi" w:hAnsiTheme="majorHAnsi"/>
          <w:bCs/>
          <w:iCs/>
        </w:rPr>
        <w:t xml:space="preserve">. </w:t>
      </w:r>
    </w:p>
    <w:p w14:paraId="6CCDA8E3" w14:textId="2179160F" w:rsidR="00142669" w:rsidRPr="00207BE1" w:rsidRDefault="00D525F9" w:rsidP="00207BE1">
      <w:pPr>
        <w:spacing w:after="14" w:line="288" w:lineRule="auto"/>
        <w:ind w:left="1276" w:hanging="851"/>
        <w:rPr>
          <w:rFonts w:asciiTheme="majorHAnsi" w:hAnsiTheme="majorHAnsi"/>
          <w:bCs/>
          <w:iCs/>
          <w:sz w:val="20"/>
          <w:szCs w:val="20"/>
          <w:lang w:val="en-ID"/>
        </w:rPr>
      </w:pPr>
      <w:r w:rsidRPr="006C75BB">
        <w:rPr>
          <w:rFonts w:asciiTheme="majorHAnsi" w:hAnsiTheme="majorHAnsi"/>
          <w:bCs/>
          <w:iCs/>
          <w:sz w:val="20"/>
          <w:szCs w:val="20"/>
          <w:lang w:val="en-ID"/>
        </w:rPr>
        <w:t>Table 1.</w:t>
      </w:r>
      <w:r>
        <w:rPr>
          <w:rFonts w:asciiTheme="majorHAnsi" w:hAnsiTheme="majorHAnsi"/>
          <w:bCs/>
          <w:iCs/>
          <w:sz w:val="20"/>
          <w:szCs w:val="20"/>
          <w:lang w:val="en-ID"/>
        </w:rPr>
        <w:tab/>
      </w:r>
      <w:r w:rsidRPr="00D525F9">
        <w:rPr>
          <w:rFonts w:asciiTheme="majorHAnsi" w:hAnsiTheme="majorHAnsi"/>
          <w:bCs/>
          <w:iCs/>
          <w:sz w:val="20"/>
          <w:szCs w:val="20"/>
        </w:rPr>
        <w:t xml:space="preserve">Changes in Students’ Literacy Capability and Reading Interest </w:t>
      </w:r>
      <w:proofErr w:type="gramStart"/>
      <w:r w:rsidRPr="00D525F9">
        <w:rPr>
          <w:rFonts w:asciiTheme="majorHAnsi" w:hAnsiTheme="majorHAnsi"/>
          <w:bCs/>
          <w:iCs/>
          <w:sz w:val="20"/>
          <w:szCs w:val="20"/>
        </w:rPr>
        <w:t>During</w:t>
      </w:r>
      <w:proofErr w:type="gramEnd"/>
      <w:r w:rsidRPr="00D525F9">
        <w:rPr>
          <w:rFonts w:asciiTheme="majorHAnsi" w:hAnsiTheme="majorHAnsi"/>
          <w:bCs/>
          <w:iCs/>
          <w:sz w:val="20"/>
          <w:szCs w:val="20"/>
        </w:rPr>
        <w:t xml:space="preserve"> the</w:t>
      </w:r>
      <w:r>
        <w:rPr>
          <w:rFonts w:asciiTheme="majorHAnsi" w:hAnsiTheme="majorHAnsi"/>
          <w:bCs/>
          <w:iCs/>
          <w:sz w:val="20"/>
          <w:szCs w:val="20"/>
        </w:rPr>
        <w:t xml:space="preserve"> </w:t>
      </w:r>
      <w:r w:rsidRPr="00D525F9">
        <w:rPr>
          <w:rFonts w:asciiTheme="majorHAnsi" w:hAnsiTheme="majorHAnsi"/>
          <w:bCs/>
          <w:iCs/>
          <w:sz w:val="20"/>
          <w:szCs w:val="20"/>
        </w:rPr>
        <w:t>Intervention Period</w:t>
      </w:r>
      <w:r w:rsidR="00207BE1">
        <w:rPr>
          <w:rFonts w:asciiTheme="majorHAnsi" w:hAnsiTheme="majorHAnsi"/>
          <w:bCs/>
          <w:iCs/>
          <w:sz w:val="20"/>
          <w:szCs w:val="20"/>
        </w:rPr>
        <w:t xml:space="preserve"> </w:t>
      </w:r>
      <w:r w:rsidRPr="00D525F9">
        <w:rPr>
          <w:rFonts w:asciiTheme="majorHAnsi" w:hAnsiTheme="majorHAnsi"/>
          <w:bCs/>
          <w:iCs/>
          <w:sz w:val="20"/>
          <w:szCs w:val="20"/>
        </w:rPr>
        <w:t>(July–November 2024)</w:t>
      </w:r>
    </w:p>
    <w:tbl>
      <w:tblPr>
        <w:tblStyle w:val="TableGrid"/>
        <w:tblpPr w:leftFromText="180" w:rightFromText="180" w:vertAnchor="text" w:horzAnchor="margin" w:tblpX="274" w:tblpY="362"/>
        <w:tblW w:w="9171" w:type="dxa"/>
        <w:tblLook w:val="04A0" w:firstRow="1" w:lastRow="0" w:firstColumn="1" w:lastColumn="0" w:noHBand="0" w:noVBand="1"/>
      </w:tblPr>
      <w:tblGrid>
        <w:gridCol w:w="849"/>
        <w:gridCol w:w="1252"/>
        <w:gridCol w:w="731"/>
        <w:gridCol w:w="518"/>
        <w:gridCol w:w="753"/>
        <w:gridCol w:w="637"/>
        <w:gridCol w:w="585"/>
        <w:gridCol w:w="620"/>
        <w:gridCol w:w="7"/>
        <w:gridCol w:w="680"/>
        <w:gridCol w:w="753"/>
        <w:gridCol w:w="611"/>
        <w:gridCol w:w="544"/>
        <w:gridCol w:w="625"/>
        <w:gridCol w:w="6"/>
      </w:tblGrid>
      <w:tr w:rsidR="00A61D1F" w:rsidRPr="00DB3721" w14:paraId="15A69D24" w14:textId="77777777" w:rsidTr="006C75BB">
        <w:tc>
          <w:tcPr>
            <w:tcW w:w="482" w:type="dxa"/>
            <w:vMerge w:val="restart"/>
            <w:tcBorders>
              <w:left w:val="nil"/>
            </w:tcBorders>
            <w:vAlign w:val="center"/>
          </w:tcPr>
          <w:p w14:paraId="52230881" w14:textId="25576AA1" w:rsidR="00DB3721" w:rsidRPr="00DB3721" w:rsidRDefault="00DB3721" w:rsidP="00DB3721">
            <w:pPr>
              <w:jc w:val="center"/>
              <w:rPr>
                <w:sz w:val="18"/>
                <w:szCs w:val="18"/>
              </w:rPr>
            </w:pPr>
            <w:r w:rsidRPr="00DB3721">
              <w:rPr>
                <w:sz w:val="18"/>
                <w:szCs w:val="18"/>
              </w:rPr>
              <w:t>N</w:t>
            </w:r>
            <w:r w:rsidR="00A61D1F">
              <w:rPr>
                <w:sz w:val="18"/>
                <w:szCs w:val="18"/>
              </w:rPr>
              <w:t>umber</w:t>
            </w:r>
          </w:p>
        </w:tc>
        <w:tc>
          <w:tcPr>
            <w:tcW w:w="1360" w:type="dxa"/>
            <w:vMerge w:val="restart"/>
            <w:vAlign w:val="center"/>
          </w:tcPr>
          <w:p w14:paraId="250A186D" w14:textId="37C696E8" w:rsidR="00DB3721" w:rsidRPr="00DB3721" w:rsidRDefault="00A61D1F" w:rsidP="00DB3721">
            <w:pPr>
              <w:jc w:val="center"/>
              <w:rPr>
                <w:sz w:val="18"/>
                <w:szCs w:val="18"/>
              </w:rPr>
            </w:pPr>
            <w:r>
              <w:rPr>
                <w:sz w:val="18"/>
                <w:szCs w:val="18"/>
              </w:rPr>
              <w:t>Student’s name</w:t>
            </w:r>
          </w:p>
        </w:tc>
        <w:tc>
          <w:tcPr>
            <w:tcW w:w="750" w:type="dxa"/>
            <w:vMerge w:val="restart"/>
            <w:vAlign w:val="center"/>
          </w:tcPr>
          <w:p w14:paraId="0F57E617" w14:textId="461C9852" w:rsidR="00DB3721" w:rsidRPr="00DB3721" w:rsidRDefault="00A61D1F" w:rsidP="00DB3721">
            <w:pPr>
              <w:jc w:val="center"/>
              <w:rPr>
                <w:sz w:val="18"/>
                <w:szCs w:val="18"/>
              </w:rPr>
            </w:pPr>
            <w:r>
              <w:rPr>
                <w:sz w:val="18"/>
                <w:szCs w:val="18"/>
              </w:rPr>
              <w:t>Grade</w:t>
            </w:r>
          </w:p>
        </w:tc>
        <w:tc>
          <w:tcPr>
            <w:tcW w:w="3223" w:type="dxa"/>
            <w:gridSpan w:val="6"/>
          </w:tcPr>
          <w:p w14:paraId="3A22C7B0" w14:textId="750C1CC7" w:rsidR="00DB3721" w:rsidRPr="00DB3721" w:rsidRDefault="00A61D1F" w:rsidP="00DB3721">
            <w:pPr>
              <w:jc w:val="center"/>
              <w:rPr>
                <w:sz w:val="18"/>
                <w:szCs w:val="18"/>
              </w:rPr>
            </w:pPr>
            <w:r>
              <w:rPr>
                <w:sz w:val="18"/>
                <w:szCs w:val="18"/>
              </w:rPr>
              <w:t>Literacy capability</w:t>
            </w:r>
          </w:p>
        </w:tc>
        <w:tc>
          <w:tcPr>
            <w:tcW w:w="3356" w:type="dxa"/>
            <w:gridSpan w:val="6"/>
            <w:tcBorders>
              <w:right w:val="nil"/>
            </w:tcBorders>
          </w:tcPr>
          <w:p w14:paraId="635381C7" w14:textId="44CB4B33" w:rsidR="00DB3721" w:rsidRPr="00DB3721" w:rsidRDefault="00A61D1F" w:rsidP="00DB3721">
            <w:pPr>
              <w:jc w:val="center"/>
              <w:rPr>
                <w:sz w:val="18"/>
                <w:szCs w:val="18"/>
              </w:rPr>
            </w:pPr>
            <w:r>
              <w:rPr>
                <w:sz w:val="18"/>
                <w:szCs w:val="18"/>
              </w:rPr>
              <w:t>Student’s reading interest</w:t>
            </w:r>
          </w:p>
        </w:tc>
      </w:tr>
      <w:tr w:rsidR="00A61D1F" w:rsidRPr="00DB3721" w14:paraId="3D9F6223" w14:textId="77777777" w:rsidTr="006C75BB">
        <w:trPr>
          <w:gridAfter w:val="1"/>
          <w:wAfter w:w="7" w:type="dxa"/>
        </w:trPr>
        <w:tc>
          <w:tcPr>
            <w:tcW w:w="482" w:type="dxa"/>
            <w:vMerge/>
            <w:tcBorders>
              <w:left w:val="nil"/>
              <w:bottom w:val="single" w:sz="4" w:space="0" w:color="auto"/>
            </w:tcBorders>
          </w:tcPr>
          <w:p w14:paraId="33E72C7F" w14:textId="77777777" w:rsidR="00DB3721" w:rsidRPr="00DB3721" w:rsidRDefault="00DB3721" w:rsidP="00DB3721">
            <w:pPr>
              <w:jc w:val="center"/>
              <w:rPr>
                <w:sz w:val="18"/>
                <w:szCs w:val="18"/>
              </w:rPr>
            </w:pPr>
          </w:p>
        </w:tc>
        <w:tc>
          <w:tcPr>
            <w:tcW w:w="1360" w:type="dxa"/>
            <w:vMerge/>
            <w:tcBorders>
              <w:bottom w:val="single" w:sz="4" w:space="0" w:color="auto"/>
            </w:tcBorders>
          </w:tcPr>
          <w:p w14:paraId="46A2C360" w14:textId="77777777" w:rsidR="00DB3721" w:rsidRPr="00DB3721" w:rsidRDefault="00DB3721" w:rsidP="00DB3721">
            <w:pPr>
              <w:jc w:val="center"/>
              <w:rPr>
                <w:sz w:val="18"/>
                <w:szCs w:val="18"/>
              </w:rPr>
            </w:pPr>
          </w:p>
        </w:tc>
        <w:tc>
          <w:tcPr>
            <w:tcW w:w="750" w:type="dxa"/>
            <w:vMerge/>
            <w:tcBorders>
              <w:bottom w:val="single" w:sz="4" w:space="0" w:color="auto"/>
            </w:tcBorders>
          </w:tcPr>
          <w:p w14:paraId="6D2E1F67" w14:textId="77777777" w:rsidR="00DB3721" w:rsidRPr="00DB3721" w:rsidRDefault="00DB3721" w:rsidP="00DB3721">
            <w:pPr>
              <w:jc w:val="center"/>
              <w:rPr>
                <w:sz w:val="18"/>
                <w:szCs w:val="18"/>
              </w:rPr>
            </w:pPr>
          </w:p>
        </w:tc>
        <w:tc>
          <w:tcPr>
            <w:tcW w:w="522" w:type="dxa"/>
            <w:tcBorders>
              <w:bottom w:val="single" w:sz="4" w:space="0" w:color="auto"/>
            </w:tcBorders>
          </w:tcPr>
          <w:p w14:paraId="1D7790FB" w14:textId="3CFC19FE" w:rsidR="00DB3721" w:rsidRPr="00DB3721" w:rsidRDefault="00DB3721" w:rsidP="00DB3721">
            <w:pPr>
              <w:jc w:val="center"/>
              <w:rPr>
                <w:sz w:val="18"/>
                <w:szCs w:val="18"/>
              </w:rPr>
            </w:pPr>
            <w:r w:rsidRPr="00DB3721">
              <w:rPr>
                <w:sz w:val="18"/>
                <w:szCs w:val="18"/>
              </w:rPr>
              <w:t>Jul</w:t>
            </w:r>
            <w:r w:rsidR="00A61D1F">
              <w:rPr>
                <w:sz w:val="18"/>
                <w:szCs w:val="18"/>
              </w:rPr>
              <w:t>y</w:t>
            </w:r>
          </w:p>
        </w:tc>
        <w:tc>
          <w:tcPr>
            <w:tcW w:w="753" w:type="dxa"/>
            <w:tcBorders>
              <w:bottom w:val="single" w:sz="4" w:space="0" w:color="auto"/>
            </w:tcBorders>
          </w:tcPr>
          <w:p w14:paraId="0F01A9A7" w14:textId="2E7DF047" w:rsidR="00DB3721" w:rsidRPr="00DB3721" w:rsidRDefault="00DB3721" w:rsidP="00DB3721">
            <w:pPr>
              <w:jc w:val="center"/>
              <w:rPr>
                <w:sz w:val="18"/>
                <w:szCs w:val="18"/>
              </w:rPr>
            </w:pPr>
            <w:r w:rsidRPr="00DB3721">
              <w:rPr>
                <w:sz w:val="18"/>
                <w:szCs w:val="18"/>
              </w:rPr>
              <w:t>A</w:t>
            </w:r>
            <w:r w:rsidR="00A61D1F">
              <w:rPr>
                <w:sz w:val="18"/>
                <w:szCs w:val="18"/>
              </w:rPr>
              <w:t>u</w:t>
            </w:r>
            <w:r w:rsidRPr="00DB3721">
              <w:rPr>
                <w:sz w:val="18"/>
                <w:szCs w:val="18"/>
              </w:rPr>
              <w:t>gust</w:t>
            </w:r>
          </w:p>
        </w:tc>
        <w:tc>
          <w:tcPr>
            <w:tcW w:w="665" w:type="dxa"/>
            <w:tcBorders>
              <w:bottom w:val="single" w:sz="4" w:space="0" w:color="auto"/>
            </w:tcBorders>
          </w:tcPr>
          <w:p w14:paraId="4DD6358C" w14:textId="77777777" w:rsidR="00DB3721" w:rsidRPr="00DB3721" w:rsidRDefault="00DB3721" w:rsidP="00DB3721">
            <w:pPr>
              <w:jc w:val="center"/>
              <w:rPr>
                <w:sz w:val="18"/>
                <w:szCs w:val="18"/>
              </w:rPr>
            </w:pPr>
            <w:r w:rsidRPr="00DB3721">
              <w:rPr>
                <w:sz w:val="18"/>
                <w:szCs w:val="18"/>
              </w:rPr>
              <w:t>Sept</w:t>
            </w:r>
          </w:p>
        </w:tc>
        <w:tc>
          <w:tcPr>
            <w:tcW w:w="623" w:type="dxa"/>
            <w:tcBorders>
              <w:bottom w:val="single" w:sz="4" w:space="0" w:color="auto"/>
            </w:tcBorders>
          </w:tcPr>
          <w:p w14:paraId="2DD11972" w14:textId="508FAD76" w:rsidR="00DB3721" w:rsidRPr="00DB3721" w:rsidRDefault="00DB3721" w:rsidP="00DB3721">
            <w:pPr>
              <w:jc w:val="center"/>
              <w:rPr>
                <w:sz w:val="18"/>
                <w:szCs w:val="18"/>
              </w:rPr>
            </w:pPr>
            <w:r w:rsidRPr="00DB3721">
              <w:rPr>
                <w:sz w:val="18"/>
                <w:szCs w:val="18"/>
              </w:rPr>
              <w:t>O</w:t>
            </w:r>
            <w:r w:rsidR="00A61D1F">
              <w:rPr>
                <w:sz w:val="18"/>
                <w:szCs w:val="18"/>
              </w:rPr>
              <w:t>ct</w:t>
            </w:r>
          </w:p>
        </w:tc>
        <w:tc>
          <w:tcPr>
            <w:tcW w:w="653" w:type="dxa"/>
            <w:tcBorders>
              <w:bottom w:val="single" w:sz="4" w:space="0" w:color="auto"/>
            </w:tcBorders>
          </w:tcPr>
          <w:p w14:paraId="49C9FF3C" w14:textId="77777777" w:rsidR="00DB3721" w:rsidRPr="00DB3721" w:rsidRDefault="00DB3721" w:rsidP="00DB3721">
            <w:pPr>
              <w:jc w:val="center"/>
              <w:rPr>
                <w:sz w:val="18"/>
                <w:szCs w:val="18"/>
              </w:rPr>
            </w:pPr>
            <w:r w:rsidRPr="00DB3721">
              <w:rPr>
                <w:sz w:val="18"/>
                <w:szCs w:val="18"/>
              </w:rPr>
              <w:t>Nov</w:t>
            </w:r>
          </w:p>
        </w:tc>
        <w:tc>
          <w:tcPr>
            <w:tcW w:w="747" w:type="dxa"/>
            <w:gridSpan w:val="2"/>
            <w:tcBorders>
              <w:bottom w:val="single" w:sz="4" w:space="0" w:color="auto"/>
            </w:tcBorders>
          </w:tcPr>
          <w:p w14:paraId="65516BF3" w14:textId="65F9B746" w:rsidR="00DB3721" w:rsidRPr="00DB3721" w:rsidRDefault="00DB3721" w:rsidP="00DB3721">
            <w:pPr>
              <w:jc w:val="center"/>
              <w:rPr>
                <w:sz w:val="18"/>
                <w:szCs w:val="18"/>
              </w:rPr>
            </w:pPr>
            <w:r w:rsidRPr="00DB3721">
              <w:rPr>
                <w:sz w:val="18"/>
                <w:szCs w:val="18"/>
              </w:rPr>
              <w:t>Jul</w:t>
            </w:r>
            <w:r w:rsidR="00A61D1F">
              <w:rPr>
                <w:sz w:val="18"/>
                <w:szCs w:val="18"/>
              </w:rPr>
              <w:t>y</w:t>
            </w:r>
          </w:p>
        </w:tc>
        <w:tc>
          <w:tcPr>
            <w:tcW w:w="753" w:type="dxa"/>
            <w:tcBorders>
              <w:bottom w:val="single" w:sz="4" w:space="0" w:color="auto"/>
            </w:tcBorders>
          </w:tcPr>
          <w:p w14:paraId="7FA72A3B" w14:textId="37F8EF6B" w:rsidR="00DB3721" w:rsidRPr="00DB3721" w:rsidRDefault="00DB3721" w:rsidP="00DB3721">
            <w:pPr>
              <w:jc w:val="center"/>
              <w:rPr>
                <w:sz w:val="18"/>
                <w:szCs w:val="18"/>
              </w:rPr>
            </w:pPr>
            <w:r w:rsidRPr="00DB3721">
              <w:rPr>
                <w:sz w:val="18"/>
                <w:szCs w:val="18"/>
              </w:rPr>
              <w:t>A</w:t>
            </w:r>
            <w:r w:rsidR="00A61D1F">
              <w:rPr>
                <w:sz w:val="18"/>
                <w:szCs w:val="18"/>
              </w:rPr>
              <w:t>u</w:t>
            </w:r>
            <w:r w:rsidRPr="00DB3721">
              <w:rPr>
                <w:sz w:val="18"/>
                <w:szCs w:val="18"/>
              </w:rPr>
              <w:t>gust</w:t>
            </w:r>
          </w:p>
        </w:tc>
        <w:tc>
          <w:tcPr>
            <w:tcW w:w="630" w:type="dxa"/>
            <w:tcBorders>
              <w:bottom w:val="single" w:sz="4" w:space="0" w:color="auto"/>
            </w:tcBorders>
          </w:tcPr>
          <w:p w14:paraId="4B0C1B49" w14:textId="77777777" w:rsidR="00DB3721" w:rsidRPr="00DB3721" w:rsidRDefault="00DB3721" w:rsidP="00DB3721">
            <w:pPr>
              <w:jc w:val="center"/>
              <w:rPr>
                <w:sz w:val="18"/>
                <w:szCs w:val="18"/>
              </w:rPr>
            </w:pPr>
            <w:r w:rsidRPr="00DB3721">
              <w:rPr>
                <w:sz w:val="18"/>
                <w:szCs w:val="18"/>
              </w:rPr>
              <w:t>Sept</w:t>
            </w:r>
          </w:p>
        </w:tc>
        <w:tc>
          <w:tcPr>
            <w:tcW w:w="567" w:type="dxa"/>
            <w:tcBorders>
              <w:bottom w:val="single" w:sz="4" w:space="0" w:color="auto"/>
            </w:tcBorders>
          </w:tcPr>
          <w:p w14:paraId="2A7F911E" w14:textId="6498FE91" w:rsidR="00DB3721" w:rsidRPr="00DB3721" w:rsidRDefault="00DB3721" w:rsidP="00DB3721">
            <w:pPr>
              <w:jc w:val="center"/>
              <w:rPr>
                <w:sz w:val="18"/>
                <w:szCs w:val="18"/>
              </w:rPr>
            </w:pPr>
            <w:r w:rsidRPr="00DB3721">
              <w:rPr>
                <w:sz w:val="18"/>
                <w:szCs w:val="18"/>
              </w:rPr>
              <w:t>O</w:t>
            </w:r>
            <w:r w:rsidR="00A61D1F">
              <w:rPr>
                <w:sz w:val="18"/>
                <w:szCs w:val="18"/>
              </w:rPr>
              <w:t>ct</w:t>
            </w:r>
          </w:p>
        </w:tc>
        <w:tc>
          <w:tcPr>
            <w:tcW w:w="659" w:type="dxa"/>
            <w:tcBorders>
              <w:bottom w:val="single" w:sz="4" w:space="0" w:color="auto"/>
              <w:right w:val="nil"/>
            </w:tcBorders>
          </w:tcPr>
          <w:p w14:paraId="7AEEFE51" w14:textId="77777777" w:rsidR="00DB3721" w:rsidRPr="00DB3721" w:rsidRDefault="00DB3721" w:rsidP="00DB3721">
            <w:pPr>
              <w:jc w:val="center"/>
              <w:rPr>
                <w:sz w:val="18"/>
                <w:szCs w:val="18"/>
              </w:rPr>
            </w:pPr>
            <w:r w:rsidRPr="00DB3721">
              <w:rPr>
                <w:sz w:val="18"/>
                <w:szCs w:val="18"/>
              </w:rPr>
              <w:t>Nov</w:t>
            </w:r>
          </w:p>
        </w:tc>
      </w:tr>
      <w:tr w:rsidR="00A61D1F" w:rsidRPr="00DB3721" w14:paraId="61B323C2" w14:textId="77777777" w:rsidTr="006C75BB">
        <w:trPr>
          <w:gridAfter w:val="1"/>
          <w:wAfter w:w="7" w:type="dxa"/>
        </w:trPr>
        <w:tc>
          <w:tcPr>
            <w:tcW w:w="482" w:type="dxa"/>
            <w:tcBorders>
              <w:top w:val="single" w:sz="4" w:space="0" w:color="auto"/>
              <w:left w:val="nil"/>
              <w:bottom w:val="nil"/>
              <w:right w:val="nil"/>
            </w:tcBorders>
            <w:vAlign w:val="center"/>
          </w:tcPr>
          <w:p w14:paraId="2684A42B" w14:textId="77777777" w:rsidR="00DB3721" w:rsidRPr="00DB3721" w:rsidRDefault="00DB3721" w:rsidP="00DB3721">
            <w:pPr>
              <w:jc w:val="center"/>
              <w:rPr>
                <w:sz w:val="18"/>
                <w:szCs w:val="18"/>
              </w:rPr>
            </w:pPr>
            <w:r w:rsidRPr="00DB3721">
              <w:rPr>
                <w:sz w:val="18"/>
                <w:szCs w:val="18"/>
              </w:rPr>
              <w:t>1</w:t>
            </w:r>
          </w:p>
        </w:tc>
        <w:tc>
          <w:tcPr>
            <w:tcW w:w="1360" w:type="dxa"/>
            <w:tcBorders>
              <w:top w:val="single" w:sz="4" w:space="0" w:color="auto"/>
              <w:left w:val="nil"/>
              <w:bottom w:val="nil"/>
              <w:right w:val="nil"/>
            </w:tcBorders>
          </w:tcPr>
          <w:p w14:paraId="499ADC17" w14:textId="77777777" w:rsidR="00DB3721" w:rsidRPr="00DB3721" w:rsidRDefault="00DB3721" w:rsidP="00DB3721">
            <w:pPr>
              <w:rPr>
                <w:sz w:val="18"/>
                <w:szCs w:val="18"/>
              </w:rPr>
            </w:pPr>
            <w:r w:rsidRPr="00DB3721">
              <w:rPr>
                <w:sz w:val="18"/>
                <w:szCs w:val="18"/>
              </w:rPr>
              <w:t xml:space="preserve">Adeeva. F </w:t>
            </w:r>
          </w:p>
        </w:tc>
        <w:tc>
          <w:tcPr>
            <w:tcW w:w="750" w:type="dxa"/>
            <w:tcBorders>
              <w:top w:val="single" w:sz="4" w:space="0" w:color="auto"/>
              <w:left w:val="nil"/>
              <w:bottom w:val="nil"/>
              <w:right w:val="nil"/>
            </w:tcBorders>
            <w:vAlign w:val="center"/>
          </w:tcPr>
          <w:p w14:paraId="54FA295C" w14:textId="77777777" w:rsidR="00DB3721" w:rsidRPr="00DB3721" w:rsidRDefault="00DB3721" w:rsidP="00DB3721">
            <w:pPr>
              <w:jc w:val="center"/>
              <w:rPr>
                <w:sz w:val="18"/>
                <w:szCs w:val="18"/>
              </w:rPr>
            </w:pPr>
            <w:r w:rsidRPr="00DB3721">
              <w:rPr>
                <w:sz w:val="18"/>
                <w:szCs w:val="18"/>
              </w:rPr>
              <w:t>1</w:t>
            </w:r>
          </w:p>
        </w:tc>
        <w:tc>
          <w:tcPr>
            <w:tcW w:w="522" w:type="dxa"/>
            <w:tcBorders>
              <w:top w:val="single" w:sz="4" w:space="0" w:color="auto"/>
              <w:left w:val="nil"/>
              <w:bottom w:val="nil"/>
              <w:right w:val="nil"/>
            </w:tcBorders>
            <w:vAlign w:val="center"/>
          </w:tcPr>
          <w:p w14:paraId="1C118172" w14:textId="77777777" w:rsidR="00DB3721" w:rsidRPr="00DB3721" w:rsidRDefault="00DB3721" w:rsidP="00DB3721">
            <w:pPr>
              <w:jc w:val="center"/>
              <w:rPr>
                <w:sz w:val="18"/>
                <w:szCs w:val="18"/>
              </w:rPr>
            </w:pPr>
            <w:r w:rsidRPr="00DB3721">
              <w:rPr>
                <w:sz w:val="18"/>
                <w:szCs w:val="18"/>
              </w:rPr>
              <w:t>C</w:t>
            </w:r>
          </w:p>
        </w:tc>
        <w:tc>
          <w:tcPr>
            <w:tcW w:w="753" w:type="dxa"/>
            <w:tcBorders>
              <w:top w:val="single" w:sz="4" w:space="0" w:color="auto"/>
              <w:left w:val="nil"/>
              <w:bottom w:val="nil"/>
              <w:right w:val="nil"/>
            </w:tcBorders>
            <w:vAlign w:val="center"/>
          </w:tcPr>
          <w:p w14:paraId="669FAFC7" w14:textId="77777777" w:rsidR="00DB3721" w:rsidRPr="00DB3721" w:rsidRDefault="00DB3721" w:rsidP="00DB3721">
            <w:pPr>
              <w:jc w:val="center"/>
              <w:rPr>
                <w:sz w:val="18"/>
                <w:szCs w:val="18"/>
              </w:rPr>
            </w:pPr>
            <w:r w:rsidRPr="00DB3721">
              <w:rPr>
                <w:sz w:val="18"/>
                <w:szCs w:val="18"/>
              </w:rPr>
              <w:t>C</w:t>
            </w:r>
          </w:p>
        </w:tc>
        <w:tc>
          <w:tcPr>
            <w:tcW w:w="665" w:type="dxa"/>
            <w:tcBorders>
              <w:top w:val="single" w:sz="4" w:space="0" w:color="auto"/>
              <w:left w:val="nil"/>
              <w:bottom w:val="nil"/>
              <w:right w:val="nil"/>
            </w:tcBorders>
            <w:vAlign w:val="center"/>
          </w:tcPr>
          <w:p w14:paraId="17275C6F" w14:textId="77777777" w:rsidR="00DB3721" w:rsidRPr="00DB3721" w:rsidRDefault="00DB3721" w:rsidP="00DB3721">
            <w:pPr>
              <w:jc w:val="center"/>
              <w:rPr>
                <w:sz w:val="18"/>
                <w:szCs w:val="18"/>
              </w:rPr>
            </w:pPr>
            <w:r w:rsidRPr="00DB3721">
              <w:rPr>
                <w:sz w:val="18"/>
                <w:szCs w:val="18"/>
              </w:rPr>
              <w:t>B</w:t>
            </w:r>
          </w:p>
        </w:tc>
        <w:tc>
          <w:tcPr>
            <w:tcW w:w="623" w:type="dxa"/>
            <w:tcBorders>
              <w:top w:val="single" w:sz="4" w:space="0" w:color="auto"/>
              <w:left w:val="nil"/>
              <w:bottom w:val="nil"/>
              <w:right w:val="nil"/>
            </w:tcBorders>
            <w:vAlign w:val="center"/>
          </w:tcPr>
          <w:p w14:paraId="5C11BA75" w14:textId="77777777" w:rsidR="00DB3721" w:rsidRPr="00DB3721" w:rsidRDefault="00DB3721" w:rsidP="00DB3721">
            <w:pPr>
              <w:jc w:val="center"/>
              <w:rPr>
                <w:sz w:val="18"/>
                <w:szCs w:val="18"/>
              </w:rPr>
            </w:pPr>
            <w:r w:rsidRPr="00DB3721">
              <w:rPr>
                <w:sz w:val="18"/>
                <w:szCs w:val="18"/>
              </w:rPr>
              <w:t>B</w:t>
            </w:r>
          </w:p>
        </w:tc>
        <w:tc>
          <w:tcPr>
            <w:tcW w:w="653" w:type="dxa"/>
            <w:tcBorders>
              <w:top w:val="single" w:sz="4" w:space="0" w:color="auto"/>
              <w:left w:val="nil"/>
              <w:bottom w:val="nil"/>
              <w:right w:val="nil"/>
            </w:tcBorders>
            <w:vAlign w:val="center"/>
          </w:tcPr>
          <w:p w14:paraId="2F2AF3D2" w14:textId="77777777" w:rsidR="00DB3721" w:rsidRPr="00DB3721" w:rsidRDefault="00DB3721" w:rsidP="00DB3721">
            <w:pPr>
              <w:jc w:val="center"/>
              <w:rPr>
                <w:sz w:val="18"/>
                <w:szCs w:val="18"/>
              </w:rPr>
            </w:pPr>
            <w:r w:rsidRPr="00DB3721">
              <w:rPr>
                <w:sz w:val="18"/>
                <w:szCs w:val="18"/>
              </w:rPr>
              <w:t>B</w:t>
            </w:r>
          </w:p>
        </w:tc>
        <w:tc>
          <w:tcPr>
            <w:tcW w:w="747" w:type="dxa"/>
            <w:gridSpan w:val="2"/>
            <w:tcBorders>
              <w:top w:val="single" w:sz="4" w:space="0" w:color="auto"/>
              <w:left w:val="nil"/>
              <w:bottom w:val="nil"/>
              <w:right w:val="nil"/>
            </w:tcBorders>
            <w:vAlign w:val="center"/>
          </w:tcPr>
          <w:p w14:paraId="1DD8868C" w14:textId="77777777" w:rsidR="00DB3721" w:rsidRPr="00DB3721" w:rsidRDefault="00DB3721" w:rsidP="00DB3721">
            <w:pPr>
              <w:jc w:val="center"/>
              <w:rPr>
                <w:sz w:val="18"/>
                <w:szCs w:val="18"/>
              </w:rPr>
            </w:pPr>
            <w:r w:rsidRPr="00DB3721">
              <w:rPr>
                <w:sz w:val="18"/>
                <w:szCs w:val="18"/>
              </w:rPr>
              <w:t>B</w:t>
            </w:r>
          </w:p>
        </w:tc>
        <w:tc>
          <w:tcPr>
            <w:tcW w:w="753" w:type="dxa"/>
            <w:tcBorders>
              <w:top w:val="single" w:sz="4" w:space="0" w:color="auto"/>
              <w:left w:val="nil"/>
              <w:bottom w:val="nil"/>
              <w:right w:val="nil"/>
            </w:tcBorders>
            <w:vAlign w:val="center"/>
          </w:tcPr>
          <w:p w14:paraId="16AE78BC" w14:textId="77777777" w:rsidR="00DB3721" w:rsidRPr="00DB3721" w:rsidRDefault="00DB3721" w:rsidP="00DB3721">
            <w:pPr>
              <w:jc w:val="center"/>
              <w:rPr>
                <w:sz w:val="18"/>
                <w:szCs w:val="18"/>
              </w:rPr>
            </w:pPr>
            <w:r w:rsidRPr="00DB3721">
              <w:rPr>
                <w:sz w:val="18"/>
                <w:szCs w:val="18"/>
              </w:rPr>
              <w:t>B</w:t>
            </w:r>
          </w:p>
        </w:tc>
        <w:tc>
          <w:tcPr>
            <w:tcW w:w="630" w:type="dxa"/>
            <w:tcBorders>
              <w:top w:val="single" w:sz="4" w:space="0" w:color="auto"/>
              <w:left w:val="nil"/>
              <w:bottom w:val="nil"/>
              <w:right w:val="nil"/>
            </w:tcBorders>
            <w:vAlign w:val="center"/>
          </w:tcPr>
          <w:p w14:paraId="3E5A8FE6" w14:textId="77777777" w:rsidR="00DB3721" w:rsidRPr="00DB3721" w:rsidRDefault="00DB3721" w:rsidP="00DB3721">
            <w:pPr>
              <w:jc w:val="center"/>
              <w:rPr>
                <w:sz w:val="18"/>
                <w:szCs w:val="18"/>
              </w:rPr>
            </w:pPr>
            <w:r w:rsidRPr="00DB3721">
              <w:rPr>
                <w:sz w:val="18"/>
                <w:szCs w:val="18"/>
              </w:rPr>
              <w:t>B</w:t>
            </w:r>
          </w:p>
        </w:tc>
        <w:tc>
          <w:tcPr>
            <w:tcW w:w="567" w:type="dxa"/>
            <w:tcBorders>
              <w:top w:val="single" w:sz="4" w:space="0" w:color="auto"/>
              <w:left w:val="nil"/>
              <w:bottom w:val="nil"/>
              <w:right w:val="nil"/>
            </w:tcBorders>
            <w:vAlign w:val="center"/>
          </w:tcPr>
          <w:p w14:paraId="334F4EF6" w14:textId="77777777" w:rsidR="00DB3721" w:rsidRPr="00DB3721" w:rsidRDefault="00DB3721" w:rsidP="00DB3721">
            <w:pPr>
              <w:jc w:val="center"/>
              <w:rPr>
                <w:sz w:val="18"/>
                <w:szCs w:val="18"/>
              </w:rPr>
            </w:pPr>
            <w:r w:rsidRPr="00DB3721">
              <w:rPr>
                <w:sz w:val="18"/>
                <w:szCs w:val="18"/>
              </w:rPr>
              <w:t>B</w:t>
            </w:r>
          </w:p>
        </w:tc>
        <w:tc>
          <w:tcPr>
            <w:tcW w:w="659" w:type="dxa"/>
            <w:tcBorders>
              <w:top w:val="single" w:sz="4" w:space="0" w:color="auto"/>
              <w:left w:val="nil"/>
              <w:bottom w:val="nil"/>
              <w:right w:val="nil"/>
            </w:tcBorders>
            <w:vAlign w:val="center"/>
          </w:tcPr>
          <w:p w14:paraId="0494F622" w14:textId="77777777" w:rsidR="00DB3721" w:rsidRPr="00DB3721" w:rsidRDefault="00DB3721" w:rsidP="00DB3721">
            <w:pPr>
              <w:jc w:val="center"/>
              <w:rPr>
                <w:sz w:val="18"/>
                <w:szCs w:val="18"/>
              </w:rPr>
            </w:pPr>
            <w:r w:rsidRPr="00DB3721">
              <w:rPr>
                <w:sz w:val="18"/>
                <w:szCs w:val="18"/>
              </w:rPr>
              <w:t>A</w:t>
            </w:r>
          </w:p>
        </w:tc>
      </w:tr>
      <w:tr w:rsidR="00A61D1F" w:rsidRPr="00DB3721" w14:paraId="11A2EF01" w14:textId="77777777" w:rsidTr="00DB3721">
        <w:trPr>
          <w:gridAfter w:val="1"/>
          <w:wAfter w:w="7" w:type="dxa"/>
        </w:trPr>
        <w:tc>
          <w:tcPr>
            <w:tcW w:w="482" w:type="dxa"/>
            <w:tcBorders>
              <w:top w:val="nil"/>
              <w:left w:val="nil"/>
              <w:bottom w:val="nil"/>
              <w:right w:val="nil"/>
            </w:tcBorders>
            <w:vAlign w:val="center"/>
          </w:tcPr>
          <w:p w14:paraId="306FA62A" w14:textId="77777777" w:rsidR="00DB3721" w:rsidRPr="00DB3721" w:rsidRDefault="00DB3721" w:rsidP="00DB3721">
            <w:pPr>
              <w:jc w:val="center"/>
              <w:rPr>
                <w:sz w:val="18"/>
                <w:szCs w:val="18"/>
              </w:rPr>
            </w:pPr>
            <w:r w:rsidRPr="00DB3721">
              <w:rPr>
                <w:sz w:val="18"/>
                <w:szCs w:val="18"/>
              </w:rPr>
              <w:t>2</w:t>
            </w:r>
          </w:p>
        </w:tc>
        <w:tc>
          <w:tcPr>
            <w:tcW w:w="1360" w:type="dxa"/>
            <w:tcBorders>
              <w:top w:val="nil"/>
              <w:left w:val="nil"/>
              <w:bottom w:val="nil"/>
              <w:right w:val="nil"/>
            </w:tcBorders>
          </w:tcPr>
          <w:p w14:paraId="4646672F" w14:textId="77777777" w:rsidR="00DB3721" w:rsidRPr="00DB3721" w:rsidRDefault="00DB3721" w:rsidP="00DB3721">
            <w:pPr>
              <w:rPr>
                <w:sz w:val="18"/>
                <w:szCs w:val="18"/>
              </w:rPr>
            </w:pPr>
            <w:r w:rsidRPr="00DB3721">
              <w:rPr>
                <w:sz w:val="18"/>
                <w:szCs w:val="18"/>
              </w:rPr>
              <w:t>David Edo</w:t>
            </w:r>
          </w:p>
        </w:tc>
        <w:tc>
          <w:tcPr>
            <w:tcW w:w="750" w:type="dxa"/>
            <w:tcBorders>
              <w:top w:val="nil"/>
              <w:left w:val="nil"/>
              <w:bottom w:val="nil"/>
              <w:right w:val="nil"/>
            </w:tcBorders>
            <w:vAlign w:val="center"/>
          </w:tcPr>
          <w:p w14:paraId="15F14C52" w14:textId="77777777" w:rsidR="00DB3721" w:rsidRPr="00DB3721" w:rsidRDefault="00DB3721" w:rsidP="00DB3721">
            <w:pPr>
              <w:jc w:val="center"/>
              <w:rPr>
                <w:sz w:val="18"/>
                <w:szCs w:val="18"/>
              </w:rPr>
            </w:pPr>
            <w:r w:rsidRPr="00DB3721">
              <w:rPr>
                <w:sz w:val="18"/>
                <w:szCs w:val="18"/>
              </w:rPr>
              <w:t>1</w:t>
            </w:r>
          </w:p>
        </w:tc>
        <w:tc>
          <w:tcPr>
            <w:tcW w:w="522" w:type="dxa"/>
            <w:tcBorders>
              <w:top w:val="nil"/>
              <w:left w:val="nil"/>
              <w:bottom w:val="nil"/>
              <w:right w:val="nil"/>
            </w:tcBorders>
            <w:vAlign w:val="center"/>
          </w:tcPr>
          <w:p w14:paraId="65099BE3" w14:textId="77777777" w:rsidR="00DB3721" w:rsidRPr="00DB3721" w:rsidRDefault="00DB3721" w:rsidP="00DB3721">
            <w:pPr>
              <w:jc w:val="center"/>
              <w:rPr>
                <w:sz w:val="18"/>
                <w:szCs w:val="18"/>
              </w:rPr>
            </w:pPr>
            <w:r w:rsidRPr="00DB3721">
              <w:rPr>
                <w:sz w:val="18"/>
                <w:szCs w:val="18"/>
              </w:rPr>
              <w:t>D</w:t>
            </w:r>
          </w:p>
        </w:tc>
        <w:tc>
          <w:tcPr>
            <w:tcW w:w="753" w:type="dxa"/>
            <w:tcBorders>
              <w:top w:val="nil"/>
              <w:left w:val="nil"/>
              <w:bottom w:val="nil"/>
              <w:right w:val="nil"/>
            </w:tcBorders>
            <w:vAlign w:val="center"/>
          </w:tcPr>
          <w:p w14:paraId="3CAE32D9" w14:textId="77777777" w:rsidR="00DB3721" w:rsidRPr="00DB3721" w:rsidRDefault="00DB3721" w:rsidP="00DB3721">
            <w:pPr>
              <w:jc w:val="center"/>
              <w:rPr>
                <w:sz w:val="18"/>
                <w:szCs w:val="18"/>
              </w:rPr>
            </w:pPr>
            <w:r w:rsidRPr="00DB3721">
              <w:rPr>
                <w:sz w:val="18"/>
                <w:szCs w:val="18"/>
              </w:rPr>
              <w:t>D</w:t>
            </w:r>
          </w:p>
        </w:tc>
        <w:tc>
          <w:tcPr>
            <w:tcW w:w="665" w:type="dxa"/>
            <w:tcBorders>
              <w:top w:val="nil"/>
              <w:left w:val="nil"/>
              <w:bottom w:val="nil"/>
              <w:right w:val="nil"/>
            </w:tcBorders>
            <w:vAlign w:val="center"/>
          </w:tcPr>
          <w:p w14:paraId="01E19171" w14:textId="77777777" w:rsidR="00DB3721" w:rsidRPr="00DB3721" w:rsidRDefault="00DB3721" w:rsidP="00DB3721">
            <w:pPr>
              <w:jc w:val="center"/>
              <w:rPr>
                <w:sz w:val="18"/>
                <w:szCs w:val="18"/>
              </w:rPr>
            </w:pPr>
            <w:r w:rsidRPr="00DB3721">
              <w:rPr>
                <w:sz w:val="18"/>
                <w:szCs w:val="18"/>
              </w:rPr>
              <w:t>C</w:t>
            </w:r>
          </w:p>
        </w:tc>
        <w:tc>
          <w:tcPr>
            <w:tcW w:w="623" w:type="dxa"/>
            <w:tcBorders>
              <w:top w:val="nil"/>
              <w:left w:val="nil"/>
              <w:bottom w:val="nil"/>
              <w:right w:val="nil"/>
            </w:tcBorders>
            <w:vAlign w:val="center"/>
          </w:tcPr>
          <w:p w14:paraId="45955106" w14:textId="77777777" w:rsidR="00DB3721" w:rsidRPr="00DB3721" w:rsidRDefault="00DB3721" w:rsidP="00DB3721">
            <w:pPr>
              <w:jc w:val="center"/>
              <w:rPr>
                <w:sz w:val="18"/>
                <w:szCs w:val="18"/>
              </w:rPr>
            </w:pPr>
            <w:r w:rsidRPr="00DB3721">
              <w:rPr>
                <w:sz w:val="18"/>
                <w:szCs w:val="18"/>
              </w:rPr>
              <w:t>C</w:t>
            </w:r>
          </w:p>
        </w:tc>
        <w:tc>
          <w:tcPr>
            <w:tcW w:w="653" w:type="dxa"/>
            <w:tcBorders>
              <w:top w:val="nil"/>
              <w:left w:val="nil"/>
              <w:bottom w:val="nil"/>
              <w:right w:val="nil"/>
            </w:tcBorders>
            <w:vAlign w:val="center"/>
          </w:tcPr>
          <w:p w14:paraId="0C523D22" w14:textId="77777777" w:rsidR="00DB3721" w:rsidRPr="00DB3721" w:rsidRDefault="00DB3721" w:rsidP="00DB3721">
            <w:pPr>
              <w:jc w:val="center"/>
              <w:rPr>
                <w:sz w:val="18"/>
                <w:szCs w:val="18"/>
              </w:rPr>
            </w:pPr>
            <w:r w:rsidRPr="00DB3721">
              <w:rPr>
                <w:sz w:val="18"/>
                <w:szCs w:val="18"/>
              </w:rPr>
              <w:t>B</w:t>
            </w:r>
          </w:p>
        </w:tc>
        <w:tc>
          <w:tcPr>
            <w:tcW w:w="747" w:type="dxa"/>
            <w:gridSpan w:val="2"/>
            <w:tcBorders>
              <w:top w:val="nil"/>
              <w:left w:val="nil"/>
              <w:bottom w:val="nil"/>
              <w:right w:val="nil"/>
            </w:tcBorders>
            <w:vAlign w:val="center"/>
          </w:tcPr>
          <w:p w14:paraId="4A0005B0"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7DE6FD96" w14:textId="77777777" w:rsidR="00DB3721" w:rsidRPr="00DB3721" w:rsidRDefault="00DB3721" w:rsidP="00DB3721">
            <w:pPr>
              <w:jc w:val="center"/>
              <w:rPr>
                <w:sz w:val="18"/>
                <w:szCs w:val="18"/>
              </w:rPr>
            </w:pPr>
            <w:r w:rsidRPr="00DB3721">
              <w:rPr>
                <w:sz w:val="18"/>
                <w:szCs w:val="18"/>
              </w:rPr>
              <w:t>C</w:t>
            </w:r>
          </w:p>
        </w:tc>
        <w:tc>
          <w:tcPr>
            <w:tcW w:w="630" w:type="dxa"/>
            <w:tcBorders>
              <w:top w:val="nil"/>
              <w:left w:val="nil"/>
              <w:bottom w:val="nil"/>
              <w:right w:val="nil"/>
            </w:tcBorders>
            <w:vAlign w:val="center"/>
          </w:tcPr>
          <w:p w14:paraId="219B5CBA" w14:textId="77777777" w:rsidR="00DB3721" w:rsidRPr="00DB3721" w:rsidRDefault="00DB3721" w:rsidP="00DB3721">
            <w:pPr>
              <w:jc w:val="center"/>
              <w:rPr>
                <w:sz w:val="18"/>
                <w:szCs w:val="18"/>
              </w:rPr>
            </w:pPr>
            <w:r w:rsidRPr="00DB3721">
              <w:rPr>
                <w:sz w:val="18"/>
                <w:szCs w:val="18"/>
              </w:rPr>
              <w:t>B</w:t>
            </w:r>
          </w:p>
        </w:tc>
        <w:tc>
          <w:tcPr>
            <w:tcW w:w="567" w:type="dxa"/>
            <w:tcBorders>
              <w:top w:val="nil"/>
              <w:left w:val="nil"/>
              <w:bottom w:val="nil"/>
              <w:right w:val="nil"/>
            </w:tcBorders>
            <w:vAlign w:val="center"/>
          </w:tcPr>
          <w:p w14:paraId="60412183"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bottom w:val="nil"/>
              <w:right w:val="nil"/>
            </w:tcBorders>
            <w:vAlign w:val="center"/>
          </w:tcPr>
          <w:p w14:paraId="3DAF858B" w14:textId="77777777" w:rsidR="00DB3721" w:rsidRPr="00DB3721" w:rsidRDefault="00DB3721" w:rsidP="00DB3721">
            <w:pPr>
              <w:jc w:val="center"/>
              <w:rPr>
                <w:sz w:val="18"/>
                <w:szCs w:val="18"/>
              </w:rPr>
            </w:pPr>
            <w:r w:rsidRPr="00DB3721">
              <w:rPr>
                <w:sz w:val="18"/>
                <w:szCs w:val="18"/>
              </w:rPr>
              <w:t>B</w:t>
            </w:r>
          </w:p>
        </w:tc>
      </w:tr>
      <w:tr w:rsidR="00A61D1F" w:rsidRPr="00DB3721" w14:paraId="5C67BCCB" w14:textId="77777777" w:rsidTr="00DB3721">
        <w:trPr>
          <w:gridAfter w:val="1"/>
          <w:wAfter w:w="7" w:type="dxa"/>
        </w:trPr>
        <w:tc>
          <w:tcPr>
            <w:tcW w:w="482" w:type="dxa"/>
            <w:tcBorders>
              <w:top w:val="nil"/>
              <w:left w:val="nil"/>
              <w:bottom w:val="nil"/>
              <w:right w:val="nil"/>
            </w:tcBorders>
            <w:vAlign w:val="center"/>
          </w:tcPr>
          <w:p w14:paraId="32B7B41C" w14:textId="77777777" w:rsidR="00DB3721" w:rsidRPr="00DB3721" w:rsidRDefault="00DB3721" w:rsidP="00DB3721">
            <w:pPr>
              <w:jc w:val="center"/>
              <w:rPr>
                <w:sz w:val="18"/>
                <w:szCs w:val="18"/>
              </w:rPr>
            </w:pPr>
            <w:r w:rsidRPr="00DB3721">
              <w:rPr>
                <w:sz w:val="18"/>
                <w:szCs w:val="18"/>
              </w:rPr>
              <w:t>3</w:t>
            </w:r>
          </w:p>
        </w:tc>
        <w:tc>
          <w:tcPr>
            <w:tcW w:w="1360" w:type="dxa"/>
            <w:tcBorders>
              <w:top w:val="nil"/>
              <w:left w:val="nil"/>
              <w:bottom w:val="nil"/>
              <w:right w:val="nil"/>
            </w:tcBorders>
          </w:tcPr>
          <w:p w14:paraId="4C85593B" w14:textId="77777777" w:rsidR="00DB3721" w:rsidRPr="00DB3721" w:rsidRDefault="00DB3721" w:rsidP="00DB3721">
            <w:pPr>
              <w:rPr>
                <w:sz w:val="18"/>
                <w:szCs w:val="18"/>
              </w:rPr>
            </w:pPr>
            <w:r w:rsidRPr="00DB3721">
              <w:rPr>
                <w:sz w:val="18"/>
                <w:szCs w:val="18"/>
              </w:rPr>
              <w:t>Nur Lita</w:t>
            </w:r>
          </w:p>
        </w:tc>
        <w:tc>
          <w:tcPr>
            <w:tcW w:w="750" w:type="dxa"/>
            <w:tcBorders>
              <w:top w:val="nil"/>
              <w:left w:val="nil"/>
              <w:bottom w:val="nil"/>
              <w:right w:val="nil"/>
            </w:tcBorders>
            <w:vAlign w:val="center"/>
          </w:tcPr>
          <w:p w14:paraId="32BD1C14" w14:textId="77777777" w:rsidR="00DB3721" w:rsidRPr="00DB3721" w:rsidRDefault="00DB3721" w:rsidP="00DB3721">
            <w:pPr>
              <w:jc w:val="center"/>
              <w:rPr>
                <w:sz w:val="18"/>
                <w:szCs w:val="18"/>
              </w:rPr>
            </w:pPr>
            <w:r w:rsidRPr="00DB3721">
              <w:rPr>
                <w:sz w:val="18"/>
                <w:szCs w:val="18"/>
              </w:rPr>
              <w:t>1</w:t>
            </w:r>
          </w:p>
        </w:tc>
        <w:tc>
          <w:tcPr>
            <w:tcW w:w="522" w:type="dxa"/>
            <w:tcBorders>
              <w:top w:val="nil"/>
              <w:left w:val="nil"/>
              <w:bottom w:val="nil"/>
              <w:right w:val="nil"/>
            </w:tcBorders>
            <w:vAlign w:val="center"/>
          </w:tcPr>
          <w:p w14:paraId="1BEAF778"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20248605" w14:textId="77777777" w:rsidR="00DB3721" w:rsidRPr="00DB3721" w:rsidRDefault="00DB3721" w:rsidP="00DB3721">
            <w:pPr>
              <w:jc w:val="center"/>
              <w:rPr>
                <w:sz w:val="18"/>
                <w:szCs w:val="18"/>
              </w:rPr>
            </w:pPr>
            <w:r w:rsidRPr="00DB3721">
              <w:rPr>
                <w:sz w:val="18"/>
                <w:szCs w:val="18"/>
              </w:rPr>
              <w:t>B</w:t>
            </w:r>
          </w:p>
        </w:tc>
        <w:tc>
          <w:tcPr>
            <w:tcW w:w="665" w:type="dxa"/>
            <w:tcBorders>
              <w:top w:val="nil"/>
              <w:left w:val="nil"/>
              <w:bottom w:val="nil"/>
              <w:right w:val="nil"/>
            </w:tcBorders>
            <w:vAlign w:val="center"/>
          </w:tcPr>
          <w:p w14:paraId="343635F9" w14:textId="77777777" w:rsidR="00DB3721" w:rsidRPr="00DB3721" w:rsidRDefault="00DB3721" w:rsidP="00DB3721">
            <w:pPr>
              <w:jc w:val="center"/>
              <w:rPr>
                <w:sz w:val="18"/>
                <w:szCs w:val="18"/>
              </w:rPr>
            </w:pPr>
            <w:r w:rsidRPr="00DB3721">
              <w:rPr>
                <w:sz w:val="18"/>
                <w:szCs w:val="18"/>
              </w:rPr>
              <w:t>B</w:t>
            </w:r>
          </w:p>
        </w:tc>
        <w:tc>
          <w:tcPr>
            <w:tcW w:w="623" w:type="dxa"/>
            <w:tcBorders>
              <w:top w:val="nil"/>
              <w:left w:val="nil"/>
              <w:bottom w:val="nil"/>
              <w:right w:val="nil"/>
            </w:tcBorders>
            <w:vAlign w:val="center"/>
          </w:tcPr>
          <w:p w14:paraId="1EC1683A" w14:textId="77777777" w:rsidR="00DB3721" w:rsidRPr="00DB3721" w:rsidRDefault="00DB3721" w:rsidP="00DB3721">
            <w:pPr>
              <w:jc w:val="center"/>
              <w:rPr>
                <w:sz w:val="18"/>
                <w:szCs w:val="18"/>
              </w:rPr>
            </w:pPr>
            <w:r w:rsidRPr="00DB3721">
              <w:rPr>
                <w:sz w:val="18"/>
                <w:szCs w:val="18"/>
              </w:rPr>
              <w:t>A</w:t>
            </w:r>
          </w:p>
        </w:tc>
        <w:tc>
          <w:tcPr>
            <w:tcW w:w="653" w:type="dxa"/>
            <w:tcBorders>
              <w:top w:val="nil"/>
              <w:left w:val="nil"/>
              <w:bottom w:val="nil"/>
              <w:right w:val="nil"/>
            </w:tcBorders>
            <w:vAlign w:val="center"/>
          </w:tcPr>
          <w:p w14:paraId="7CC83995" w14:textId="77777777" w:rsidR="00DB3721" w:rsidRPr="00DB3721" w:rsidRDefault="00DB3721" w:rsidP="00DB3721">
            <w:pPr>
              <w:jc w:val="center"/>
              <w:rPr>
                <w:sz w:val="18"/>
                <w:szCs w:val="18"/>
              </w:rPr>
            </w:pPr>
            <w:r w:rsidRPr="00DB3721">
              <w:rPr>
                <w:sz w:val="18"/>
                <w:szCs w:val="18"/>
              </w:rPr>
              <w:t>A</w:t>
            </w:r>
          </w:p>
        </w:tc>
        <w:tc>
          <w:tcPr>
            <w:tcW w:w="747" w:type="dxa"/>
            <w:gridSpan w:val="2"/>
            <w:tcBorders>
              <w:top w:val="nil"/>
              <w:left w:val="nil"/>
              <w:bottom w:val="nil"/>
              <w:right w:val="nil"/>
            </w:tcBorders>
            <w:vAlign w:val="center"/>
          </w:tcPr>
          <w:p w14:paraId="2855F208" w14:textId="77777777" w:rsidR="00DB3721" w:rsidRPr="00DB3721" w:rsidRDefault="00DB3721" w:rsidP="00DB3721">
            <w:pPr>
              <w:jc w:val="center"/>
              <w:rPr>
                <w:sz w:val="18"/>
                <w:szCs w:val="18"/>
              </w:rPr>
            </w:pPr>
            <w:r w:rsidRPr="00DB3721">
              <w:rPr>
                <w:sz w:val="18"/>
                <w:szCs w:val="18"/>
              </w:rPr>
              <w:t>B</w:t>
            </w:r>
          </w:p>
        </w:tc>
        <w:tc>
          <w:tcPr>
            <w:tcW w:w="753" w:type="dxa"/>
            <w:tcBorders>
              <w:top w:val="nil"/>
              <w:left w:val="nil"/>
              <w:bottom w:val="nil"/>
              <w:right w:val="nil"/>
            </w:tcBorders>
            <w:vAlign w:val="center"/>
          </w:tcPr>
          <w:p w14:paraId="0432DBC6" w14:textId="77777777" w:rsidR="00DB3721" w:rsidRPr="00DB3721" w:rsidRDefault="00DB3721" w:rsidP="00DB3721">
            <w:pPr>
              <w:jc w:val="center"/>
              <w:rPr>
                <w:sz w:val="18"/>
                <w:szCs w:val="18"/>
              </w:rPr>
            </w:pPr>
            <w:r w:rsidRPr="00DB3721">
              <w:rPr>
                <w:sz w:val="18"/>
                <w:szCs w:val="18"/>
              </w:rPr>
              <w:t>B</w:t>
            </w:r>
          </w:p>
        </w:tc>
        <w:tc>
          <w:tcPr>
            <w:tcW w:w="630" w:type="dxa"/>
            <w:tcBorders>
              <w:top w:val="nil"/>
              <w:left w:val="nil"/>
              <w:bottom w:val="nil"/>
              <w:right w:val="nil"/>
            </w:tcBorders>
            <w:vAlign w:val="center"/>
          </w:tcPr>
          <w:p w14:paraId="2E25FD9E" w14:textId="77777777" w:rsidR="00DB3721" w:rsidRPr="00DB3721" w:rsidRDefault="00DB3721" w:rsidP="00DB3721">
            <w:pPr>
              <w:jc w:val="center"/>
              <w:rPr>
                <w:sz w:val="18"/>
                <w:szCs w:val="18"/>
              </w:rPr>
            </w:pPr>
            <w:r w:rsidRPr="00DB3721">
              <w:rPr>
                <w:sz w:val="18"/>
                <w:szCs w:val="18"/>
              </w:rPr>
              <w:t>A</w:t>
            </w:r>
          </w:p>
        </w:tc>
        <w:tc>
          <w:tcPr>
            <w:tcW w:w="567" w:type="dxa"/>
            <w:tcBorders>
              <w:top w:val="nil"/>
              <w:left w:val="nil"/>
              <w:bottom w:val="nil"/>
              <w:right w:val="nil"/>
            </w:tcBorders>
            <w:vAlign w:val="center"/>
          </w:tcPr>
          <w:p w14:paraId="027F6334" w14:textId="77777777" w:rsidR="00DB3721" w:rsidRPr="00DB3721" w:rsidRDefault="00DB3721" w:rsidP="00DB3721">
            <w:pPr>
              <w:jc w:val="center"/>
              <w:rPr>
                <w:sz w:val="18"/>
                <w:szCs w:val="18"/>
              </w:rPr>
            </w:pPr>
            <w:r w:rsidRPr="00DB3721">
              <w:rPr>
                <w:sz w:val="18"/>
                <w:szCs w:val="18"/>
              </w:rPr>
              <w:t>A</w:t>
            </w:r>
          </w:p>
        </w:tc>
        <w:tc>
          <w:tcPr>
            <w:tcW w:w="659" w:type="dxa"/>
            <w:tcBorders>
              <w:top w:val="nil"/>
              <w:left w:val="nil"/>
              <w:bottom w:val="nil"/>
              <w:right w:val="nil"/>
            </w:tcBorders>
            <w:vAlign w:val="center"/>
          </w:tcPr>
          <w:p w14:paraId="6C0D7C55" w14:textId="77777777" w:rsidR="00DB3721" w:rsidRPr="00DB3721" w:rsidRDefault="00DB3721" w:rsidP="00DB3721">
            <w:pPr>
              <w:jc w:val="center"/>
              <w:rPr>
                <w:sz w:val="18"/>
                <w:szCs w:val="18"/>
              </w:rPr>
            </w:pPr>
            <w:r w:rsidRPr="00DB3721">
              <w:rPr>
                <w:sz w:val="18"/>
                <w:szCs w:val="18"/>
              </w:rPr>
              <w:t>A+</w:t>
            </w:r>
          </w:p>
        </w:tc>
      </w:tr>
      <w:tr w:rsidR="00A61D1F" w:rsidRPr="00DB3721" w14:paraId="10378C7C" w14:textId="77777777" w:rsidTr="00DB3721">
        <w:trPr>
          <w:gridAfter w:val="1"/>
          <w:wAfter w:w="7" w:type="dxa"/>
        </w:trPr>
        <w:tc>
          <w:tcPr>
            <w:tcW w:w="482" w:type="dxa"/>
            <w:tcBorders>
              <w:top w:val="nil"/>
              <w:left w:val="nil"/>
              <w:bottom w:val="nil"/>
              <w:right w:val="nil"/>
            </w:tcBorders>
            <w:vAlign w:val="center"/>
          </w:tcPr>
          <w:p w14:paraId="12C2A884" w14:textId="77777777" w:rsidR="00DB3721" w:rsidRPr="00DB3721" w:rsidRDefault="00DB3721" w:rsidP="00DB3721">
            <w:pPr>
              <w:jc w:val="center"/>
              <w:rPr>
                <w:sz w:val="18"/>
                <w:szCs w:val="18"/>
              </w:rPr>
            </w:pPr>
            <w:r w:rsidRPr="00DB3721">
              <w:rPr>
                <w:sz w:val="18"/>
                <w:szCs w:val="18"/>
              </w:rPr>
              <w:t>4</w:t>
            </w:r>
          </w:p>
        </w:tc>
        <w:tc>
          <w:tcPr>
            <w:tcW w:w="1360" w:type="dxa"/>
            <w:tcBorders>
              <w:top w:val="nil"/>
              <w:left w:val="nil"/>
              <w:bottom w:val="nil"/>
              <w:right w:val="nil"/>
            </w:tcBorders>
          </w:tcPr>
          <w:p w14:paraId="50C79197" w14:textId="77777777" w:rsidR="00DB3721" w:rsidRPr="00DB3721" w:rsidRDefault="00DB3721" w:rsidP="00DB3721">
            <w:pPr>
              <w:rPr>
                <w:sz w:val="18"/>
                <w:szCs w:val="18"/>
              </w:rPr>
            </w:pPr>
            <w:r w:rsidRPr="00DB3721">
              <w:rPr>
                <w:sz w:val="18"/>
                <w:szCs w:val="18"/>
              </w:rPr>
              <w:t xml:space="preserve">Alif </w:t>
            </w:r>
          </w:p>
        </w:tc>
        <w:tc>
          <w:tcPr>
            <w:tcW w:w="750" w:type="dxa"/>
            <w:tcBorders>
              <w:top w:val="nil"/>
              <w:left w:val="nil"/>
              <w:bottom w:val="nil"/>
              <w:right w:val="nil"/>
            </w:tcBorders>
            <w:vAlign w:val="center"/>
          </w:tcPr>
          <w:p w14:paraId="13292C31" w14:textId="77777777" w:rsidR="00DB3721" w:rsidRPr="00DB3721" w:rsidRDefault="00DB3721" w:rsidP="00DB3721">
            <w:pPr>
              <w:jc w:val="center"/>
              <w:rPr>
                <w:sz w:val="18"/>
                <w:szCs w:val="18"/>
              </w:rPr>
            </w:pPr>
            <w:r w:rsidRPr="00DB3721">
              <w:rPr>
                <w:sz w:val="18"/>
                <w:szCs w:val="18"/>
              </w:rPr>
              <w:t>2</w:t>
            </w:r>
          </w:p>
        </w:tc>
        <w:tc>
          <w:tcPr>
            <w:tcW w:w="522" w:type="dxa"/>
            <w:tcBorders>
              <w:top w:val="nil"/>
              <w:left w:val="nil"/>
              <w:bottom w:val="nil"/>
              <w:right w:val="nil"/>
            </w:tcBorders>
            <w:vAlign w:val="center"/>
          </w:tcPr>
          <w:p w14:paraId="2D912194" w14:textId="77777777" w:rsidR="00DB3721" w:rsidRPr="00DB3721" w:rsidRDefault="00DB3721" w:rsidP="00DB3721">
            <w:pPr>
              <w:jc w:val="center"/>
              <w:rPr>
                <w:sz w:val="18"/>
                <w:szCs w:val="18"/>
              </w:rPr>
            </w:pPr>
            <w:r w:rsidRPr="00DB3721">
              <w:rPr>
                <w:sz w:val="18"/>
                <w:szCs w:val="18"/>
              </w:rPr>
              <w:t>D</w:t>
            </w:r>
          </w:p>
        </w:tc>
        <w:tc>
          <w:tcPr>
            <w:tcW w:w="753" w:type="dxa"/>
            <w:tcBorders>
              <w:top w:val="nil"/>
              <w:left w:val="nil"/>
              <w:bottom w:val="nil"/>
              <w:right w:val="nil"/>
            </w:tcBorders>
            <w:vAlign w:val="center"/>
          </w:tcPr>
          <w:p w14:paraId="33C1F313" w14:textId="77777777" w:rsidR="00DB3721" w:rsidRPr="00DB3721" w:rsidRDefault="00DB3721" w:rsidP="00DB3721">
            <w:pPr>
              <w:jc w:val="center"/>
              <w:rPr>
                <w:sz w:val="18"/>
                <w:szCs w:val="18"/>
              </w:rPr>
            </w:pPr>
            <w:r w:rsidRPr="00DB3721">
              <w:rPr>
                <w:sz w:val="18"/>
                <w:szCs w:val="18"/>
              </w:rPr>
              <w:t>D</w:t>
            </w:r>
          </w:p>
        </w:tc>
        <w:tc>
          <w:tcPr>
            <w:tcW w:w="665" w:type="dxa"/>
            <w:tcBorders>
              <w:top w:val="nil"/>
              <w:left w:val="nil"/>
              <w:bottom w:val="nil"/>
              <w:right w:val="nil"/>
            </w:tcBorders>
            <w:vAlign w:val="center"/>
          </w:tcPr>
          <w:p w14:paraId="3296DE3E" w14:textId="77777777" w:rsidR="00DB3721" w:rsidRPr="00DB3721" w:rsidRDefault="00DB3721" w:rsidP="00DB3721">
            <w:pPr>
              <w:jc w:val="center"/>
              <w:rPr>
                <w:sz w:val="18"/>
                <w:szCs w:val="18"/>
              </w:rPr>
            </w:pPr>
            <w:r w:rsidRPr="00DB3721">
              <w:rPr>
                <w:sz w:val="18"/>
                <w:szCs w:val="18"/>
              </w:rPr>
              <w:t>C</w:t>
            </w:r>
          </w:p>
        </w:tc>
        <w:tc>
          <w:tcPr>
            <w:tcW w:w="623" w:type="dxa"/>
            <w:tcBorders>
              <w:top w:val="nil"/>
              <w:left w:val="nil"/>
              <w:bottom w:val="nil"/>
              <w:right w:val="nil"/>
            </w:tcBorders>
            <w:vAlign w:val="center"/>
          </w:tcPr>
          <w:p w14:paraId="60D8CF28" w14:textId="77777777" w:rsidR="00DB3721" w:rsidRPr="00DB3721" w:rsidRDefault="00DB3721" w:rsidP="00DB3721">
            <w:pPr>
              <w:jc w:val="center"/>
              <w:rPr>
                <w:sz w:val="18"/>
                <w:szCs w:val="18"/>
              </w:rPr>
            </w:pPr>
            <w:r w:rsidRPr="00DB3721">
              <w:rPr>
                <w:sz w:val="18"/>
                <w:szCs w:val="18"/>
              </w:rPr>
              <w:t>C</w:t>
            </w:r>
          </w:p>
        </w:tc>
        <w:tc>
          <w:tcPr>
            <w:tcW w:w="653" w:type="dxa"/>
            <w:tcBorders>
              <w:top w:val="nil"/>
              <w:left w:val="nil"/>
              <w:bottom w:val="nil"/>
              <w:right w:val="nil"/>
            </w:tcBorders>
            <w:vAlign w:val="center"/>
          </w:tcPr>
          <w:p w14:paraId="78901B2D" w14:textId="77777777" w:rsidR="00DB3721" w:rsidRPr="00DB3721" w:rsidRDefault="00DB3721" w:rsidP="00DB3721">
            <w:pPr>
              <w:jc w:val="center"/>
              <w:rPr>
                <w:sz w:val="18"/>
                <w:szCs w:val="18"/>
              </w:rPr>
            </w:pPr>
            <w:r w:rsidRPr="00DB3721">
              <w:rPr>
                <w:sz w:val="18"/>
                <w:szCs w:val="18"/>
              </w:rPr>
              <w:t>B</w:t>
            </w:r>
          </w:p>
        </w:tc>
        <w:tc>
          <w:tcPr>
            <w:tcW w:w="747" w:type="dxa"/>
            <w:gridSpan w:val="2"/>
            <w:tcBorders>
              <w:top w:val="nil"/>
              <w:left w:val="nil"/>
              <w:bottom w:val="nil"/>
              <w:right w:val="nil"/>
            </w:tcBorders>
            <w:vAlign w:val="center"/>
          </w:tcPr>
          <w:p w14:paraId="4B6F91E5"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123CE479" w14:textId="77777777" w:rsidR="00DB3721" w:rsidRPr="00DB3721" w:rsidRDefault="00DB3721" w:rsidP="00DB3721">
            <w:pPr>
              <w:jc w:val="center"/>
              <w:rPr>
                <w:sz w:val="18"/>
                <w:szCs w:val="18"/>
              </w:rPr>
            </w:pPr>
            <w:r w:rsidRPr="00DB3721">
              <w:rPr>
                <w:sz w:val="18"/>
                <w:szCs w:val="18"/>
              </w:rPr>
              <w:t>C</w:t>
            </w:r>
          </w:p>
        </w:tc>
        <w:tc>
          <w:tcPr>
            <w:tcW w:w="630" w:type="dxa"/>
            <w:tcBorders>
              <w:top w:val="nil"/>
              <w:left w:val="nil"/>
              <w:bottom w:val="nil"/>
              <w:right w:val="nil"/>
            </w:tcBorders>
            <w:vAlign w:val="center"/>
          </w:tcPr>
          <w:p w14:paraId="4515A71C" w14:textId="77777777" w:rsidR="00DB3721" w:rsidRPr="00DB3721" w:rsidRDefault="00DB3721" w:rsidP="00DB3721">
            <w:pPr>
              <w:jc w:val="center"/>
              <w:rPr>
                <w:sz w:val="18"/>
                <w:szCs w:val="18"/>
              </w:rPr>
            </w:pPr>
            <w:r w:rsidRPr="00DB3721">
              <w:rPr>
                <w:sz w:val="18"/>
                <w:szCs w:val="18"/>
              </w:rPr>
              <w:t>B</w:t>
            </w:r>
          </w:p>
        </w:tc>
        <w:tc>
          <w:tcPr>
            <w:tcW w:w="567" w:type="dxa"/>
            <w:tcBorders>
              <w:top w:val="nil"/>
              <w:left w:val="nil"/>
              <w:bottom w:val="nil"/>
              <w:right w:val="nil"/>
            </w:tcBorders>
            <w:vAlign w:val="center"/>
          </w:tcPr>
          <w:p w14:paraId="6AB8BD01"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bottom w:val="nil"/>
              <w:right w:val="nil"/>
            </w:tcBorders>
            <w:vAlign w:val="center"/>
          </w:tcPr>
          <w:p w14:paraId="4C37B56A" w14:textId="77777777" w:rsidR="00DB3721" w:rsidRPr="00DB3721" w:rsidRDefault="00DB3721" w:rsidP="00DB3721">
            <w:pPr>
              <w:jc w:val="center"/>
              <w:rPr>
                <w:sz w:val="18"/>
                <w:szCs w:val="18"/>
              </w:rPr>
            </w:pPr>
            <w:r w:rsidRPr="00DB3721">
              <w:rPr>
                <w:sz w:val="18"/>
                <w:szCs w:val="18"/>
              </w:rPr>
              <w:t>A</w:t>
            </w:r>
          </w:p>
        </w:tc>
      </w:tr>
      <w:tr w:rsidR="00A61D1F" w:rsidRPr="00DB3721" w14:paraId="12EE83CA" w14:textId="77777777" w:rsidTr="00DB3721">
        <w:trPr>
          <w:gridAfter w:val="1"/>
          <w:wAfter w:w="7" w:type="dxa"/>
        </w:trPr>
        <w:tc>
          <w:tcPr>
            <w:tcW w:w="482" w:type="dxa"/>
            <w:tcBorders>
              <w:top w:val="nil"/>
              <w:left w:val="nil"/>
              <w:bottom w:val="nil"/>
              <w:right w:val="nil"/>
            </w:tcBorders>
            <w:vAlign w:val="center"/>
          </w:tcPr>
          <w:p w14:paraId="3E1536E1" w14:textId="77777777" w:rsidR="00DB3721" w:rsidRPr="00DB3721" w:rsidRDefault="00DB3721" w:rsidP="00DB3721">
            <w:pPr>
              <w:jc w:val="center"/>
              <w:rPr>
                <w:sz w:val="18"/>
                <w:szCs w:val="18"/>
              </w:rPr>
            </w:pPr>
            <w:r w:rsidRPr="00DB3721">
              <w:rPr>
                <w:sz w:val="18"/>
                <w:szCs w:val="18"/>
              </w:rPr>
              <w:t>5</w:t>
            </w:r>
          </w:p>
        </w:tc>
        <w:tc>
          <w:tcPr>
            <w:tcW w:w="1360" w:type="dxa"/>
            <w:tcBorders>
              <w:top w:val="nil"/>
              <w:left w:val="nil"/>
              <w:bottom w:val="nil"/>
              <w:right w:val="nil"/>
            </w:tcBorders>
          </w:tcPr>
          <w:p w14:paraId="4EE73AAB" w14:textId="77777777" w:rsidR="00DB3721" w:rsidRPr="00DB3721" w:rsidRDefault="00DB3721" w:rsidP="00DB3721">
            <w:pPr>
              <w:rPr>
                <w:sz w:val="18"/>
                <w:szCs w:val="18"/>
              </w:rPr>
            </w:pPr>
            <w:r w:rsidRPr="00DB3721">
              <w:rPr>
                <w:sz w:val="18"/>
                <w:szCs w:val="18"/>
              </w:rPr>
              <w:t xml:space="preserve">Alfa </w:t>
            </w:r>
          </w:p>
        </w:tc>
        <w:tc>
          <w:tcPr>
            <w:tcW w:w="750" w:type="dxa"/>
            <w:tcBorders>
              <w:top w:val="nil"/>
              <w:left w:val="nil"/>
              <w:bottom w:val="nil"/>
              <w:right w:val="nil"/>
            </w:tcBorders>
            <w:vAlign w:val="center"/>
          </w:tcPr>
          <w:p w14:paraId="17C27F4D" w14:textId="77777777" w:rsidR="00DB3721" w:rsidRPr="00DB3721" w:rsidRDefault="00DB3721" w:rsidP="00DB3721">
            <w:pPr>
              <w:jc w:val="center"/>
              <w:rPr>
                <w:sz w:val="18"/>
                <w:szCs w:val="18"/>
              </w:rPr>
            </w:pPr>
            <w:r w:rsidRPr="00DB3721">
              <w:rPr>
                <w:sz w:val="18"/>
                <w:szCs w:val="18"/>
              </w:rPr>
              <w:t>2</w:t>
            </w:r>
          </w:p>
        </w:tc>
        <w:tc>
          <w:tcPr>
            <w:tcW w:w="522" w:type="dxa"/>
            <w:tcBorders>
              <w:top w:val="nil"/>
              <w:left w:val="nil"/>
              <w:bottom w:val="nil"/>
              <w:right w:val="nil"/>
            </w:tcBorders>
            <w:vAlign w:val="center"/>
          </w:tcPr>
          <w:p w14:paraId="1B9A63E6" w14:textId="77777777" w:rsidR="00DB3721" w:rsidRPr="00DB3721" w:rsidRDefault="00DB3721" w:rsidP="00DB3721">
            <w:pPr>
              <w:jc w:val="center"/>
              <w:rPr>
                <w:sz w:val="18"/>
                <w:szCs w:val="18"/>
              </w:rPr>
            </w:pPr>
            <w:r w:rsidRPr="00DB3721">
              <w:rPr>
                <w:sz w:val="18"/>
                <w:szCs w:val="18"/>
              </w:rPr>
              <w:t>D</w:t>
            </w:r>
          </w:p>
        </w:tc>
        <w:tc>
          <w:tcPr>
            <w:tcW w:w="753" w:type="dxa"/>
            <w:tcBorders>
              <w:top w:val="nil"/>
              <w:left w:val="nil"/>
              <w:bottom w:val="nil"/>
              <w:right w:val="nil"/>
            </w:tcBorders>
            <w:vAlign w:val="center"/>
          </w:tcPr>
          <w:p w14:paraId="0CF72781" w14:textId="77777777" w:rsidR="00DB3721" w:rsidRPr="00DB3721" w:rsidRDefault="00DB3721" w:rsidP="00DB3721">
            <w:pPr>
              <w:jc w:val="center"/>
              <w:rPr>
                <w:sz w:val="18"/>
                <w:szCs w:val="18"/>
              </w:rPr>
            </w:pPr>
            <w:r w:rsidRPr="00DB3721">
              <w:rPr>
                <w:sz w:val="18"/>
                <w:szCs w:val="18"/>
              </w:rPr>
              <w:t>C</w:t>
            </w:r>
          </w:p>
        </w:tc>
        <w:tc>
          <w:tcPr>
            <w:tcW w:w="665" w:type="dxa"/>
            <w:tcBorders>
              <w:top w:val="nil"/>
              <w:left w:val="nil"/>
              <w:bottom w:val="nil"/>
              <w:right w:val="nil"/>
            </w:tcBorders>
            <w:vAlign w:val="center"/>
          </w:tcPr>
          <w:p w14:paraId="00B33524" w14:textId="77777777" w:rsidR="00DB3721" w:rsidRPr="00DB3721" w:rsidRDefault="00DB3721" w:rsidP="00DB3721">
            <w:pPr>
              <w:jc w:val="center"/>
              <w:rPr>
                <w:sz w:val="18"/>
                <w:szCs w:val="18"/>
              </w:rPr>
            </w:pPr>
            <w:r w:rsidRPr="00DB3721">
              <w:rPr>
                <w:sz w:val="18"/>
                <w:szCs w:val="18"/>
              </w:rPr>
              <w:t>B</w:t>
            </w:r>
          </w:p>
        </w:tc>
        <w:tc>
          <w:tcPr>
            <w:tcW w:w="623" w:type="dxa"/>
            <w:tcBorders>
              <w:top w:val="nil"/>
              <w:left w:val="nil"/>
              <w:bottom w:val="nil"/>
              <w:right w:val="nil"/>
            </w:tcBorders>
            <w:vAlign w:val="center"/>
          </w:tcPr>
          <w:p w14:paraId="760A5F2C" w14:textId="77777777" w:rsidR="00DB3721" w:rsidRPr="00DB3721" w:rsidRDefault="00DB3721" w:rsidP="00DB3721">
            <w:pPr>
              <w:jc w:val="center"/>
              <w:rPr>
                <w:sz w:val="18"/>
                <w:szCs w:val="18"/>
              </w:rPr>
            </w:pPr>
            <w:r w:rsidRPr="00DB3721">
              <w:rPr>
                <w:sz w:val="18"/>
                <w:szCs w:val="18"/>
              </w:rPr>
              <w:t>B</w:t>
            </w:r>
          </w:p>
        </w:tc>
        <w:tc>
          <w:tcPr>
            <w:tcW w:w="653" w:type="dxa"/>
            <w:tcBorders>
              <w:top w:val="nil"/>
              <w:left w:val="nil"/>
              <w:bottom w:val="nil"/>
              <w:right w:val="nil"/>
            </w:tcBorders>
            <w:vAlign w:val="center"/>
          </w:tcPr>
          <w:p w14:paraId="06F20490" w14:textId="77777777" w:rsidR="00DB3721" w:rsidRPr="00DB3721" w:rsidRDefault="00DB3721" w:rsidP="00DB3721">
            <w:pPr>
              <w:jc w:val="center"/>
              <w:rPr>
                <w:sz w:val="18"/>
                <w:szCs w:val="18"/>
              </w:rPr>
            </w:pPr>
            <w:r w:rsidRPr="00DB3721">
              <w:rPr>
                <w:sz w:val="18"/>
                <w:szCs w:val="18"/>
              </w:rPr>
              <w:t>A</w:t>
            </w:r>
          </w:p>
        </w:tc>
        <w:tc>
          <w:tcPr>
            <w:tcW w:w="747" w:type="dxa"/>
            <w:gridSpan w:val="2"/>
            <w:tcBorders>
              <w:top w:val="nil"/>
              <w:left w:val="nil"/>
              <w:bottom w:val="nil"/>
              <w:right w:val="nil"/>
            </w:tcBorders>
            <w:vAlign w:val="center"/>
          </w:tcPr>
          <w:p w14:paraId="0DA5C4C8"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2B7AF68A" w14:textId="77777777" w:rsidR="00DB3721" w:rsidRPr="00DB3721" w:rsidRDefault="00DB3721" w:rsidP="00DB3721">
            <w:pPr>
              <w:jc w:val="center"/>
              <w:rPr>
                <w:sz w:val="18"/>
                <w:szCs w:val="18"/>
              </w:rPr>
            </w:pPr>
            <w:r w:rsidRPr="00DB3721">
              <w:rPr>
                <w:sz w:val="18"/>
                <w:szCs w:val="18"/>
              </w:rPr>
              <w:t>B</w:t>
            </w:r>
          </w:p>
        </w:tc>
        <w:tc>
          <w:tcPr>
            <w:tcW w:w="630" w:type="dxa"/>
            <w:tcBorders>
              <w:top w:val="nil"/>
              <w:left w:val="nil"/>
              <w:bottom w:val="nil"/>
              <w:right w:val="nil"/>
            </w:tcBorders>
            <w:vAlign w:val="center"/>
          </w:tcPr>
          <w:p w14:paraId="2750C35B" w14:textId="77777777" w:rsidR="00DB3721" w:rsidRPr="00DB3721" w:rsidRDefault="00DB3721" w:rsidP="00DB3721">
            <w:pPr>
              <w:jc w:val="center"/>
              <w:rPr>
                <w:sz w:val="18"/>
                <w:szCs w:val="18"/>
              </w:rPr>
            </w:pPr>
            <w:r w:rsidRPr="00DB3721">
              <w:rPr>
                <w:sz w:val="18"/>
                <w:szCs w:val="18"/>
              </w:rPr>
              <w:t>B</w:t>
            </w:r>
          </w:p>
        </w:tc>
        <w:tc>
          <w:tcPr>
            <w:tcW w:w="567" w:type="dxa"/>
            <w:tcBorders>
              <w:top w:val="nil"/>
              <w:left w:val="nil"/>
              <w:bottom w:val="nil"/>
              <w:right w:val="nil"/>
            </w:tcBorders>
            <w:vAlign w:val="center"/>
          </w:tcPr>
          <w:p w14:paraId="60634EE0"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bottom w:val="nil"/>
              <w:right w:val="nil"/>
            </w:tcBorders>
            <w:vAlign w:val="center"/>
          </w:tcPr>
          <w:p w14:paraId="5CD5D8E4" w14:textId="77777777" w:rsidR="00DB3721" w:rsidRPr="00DB3721" w:rsidRDefault="00DB3721" w:rsidP="00DB3721">
            <w:pPr>
              <w:jc w:val="center"/>
              <w:rPr>
                <w:sz w:val="18"/>
                <w:szCs w:val="18"/>
              </w:rPr>
            </w:pPr>
            <w:r w:rsidRPr="00DB3721">
              <w:rPr>
                <w:sz w:val="18"/>
                <w:szCs w:val="18"/>
              </w:rPr>
              <w:t>B</w:t>
            </w:r>
          </w:p>
        </w:tc>
      </w:tr>
      <w:tr w:rsidR="00A61D1F" w:rsidRPr="00DB3721" w14:paraId="0D1F7B10" w14:textId="77777777" w:rsidTr="00DB3721">
        <w:trPr>
          <w:gridAfter w:val="1"/>
          <w:wAfter w:w="7" w:type="dxa"/>
        </w:trPr>
        <w:tc>
          <w:tcPr>
            <w:tcW w:w="482" w:type="dxa"/>
            <w:tcBorders>
              <w:top w:val="nil"/>
              <w:left w:val="nil"/>
              <w:bottom w:val="nil"/>
              <w:right w:val="nil"/>
            </w:tcBorders>
            <w:vAlign w:val="center"/>
          </w:tcPr>
          <w:p w14:paraId="63429181" w14:textId="77777777" w:rsidR="00DB3721" w:rsidRPr="00DB3721" w:rsidRDefault="00DB3721" w:rsidP="00DB3721">
            <w:pPr>
              <w:jc w:val="center"/>
              <w:rPr>
                <w:sz w:val="18"/>
                <w:szCs w:val="18"/>
              </w:rPr>
            </w:pPr>
            <w:r w:rsidRPr="00DB3721">
              <w:rPr>
                <w:sz w:val="18"/>
                <w:szCs w:val="18"/>
              </w:rPr>
              <w:t>6</w:t>
            </w:r>
          </w:p>
        </w:tc>
        <w:tc>
          <w:tcPr>
            <w:tcW w:w="1360" w:type="dxa"/>
            <w:tcBorders>
              <w:top w:val="nil"/>
              <w:left w:val="nil"/>
              <w:bottom w:val="nil"/>
              <w:right w:val="nil"/>
            </w:tcBorders>
          </w:tcPr>
          <w:p w14:paraId="0BD4F9C1" w14:textId="77777777" w:rsidR="00DB3721" w:rsidRPr="00DB3721" w:rsidRDefault="00DB3721" w:rsidP="00DB3721">
            <w:pPr>
              <w:rPr>
                <w:sz w:val="18"/>
                <w:szCs w:val="18"/>
              </w:rPr>
            </w:pPr>
            <w:r w:rsidRPr="00DB3721">
              <w:rPr>
                <w:sz w:val="18"/>
                <w:szCs w:val="18"/>
              </w:rPr>
              <w:t xml:space="preserve">Aldo </w:t>
            </w:r>
          </w:p>
        </w:tc>
        <w:tc>
          <w:tcPr>
            <w:tcW w:w="750" w:type="dxa"/>
            <w:tcBorders>
              <w:top w:val="nil"/>
              <w:left w:val="nil"/>
              <w:bottom w:val="nil"/>
              <w:right w:val="nil"/>
            </w:tcBorders>
            <w:vAlign w:val="center"/>
          </w:tcPr>
          <w:p w14:paraId="047E0635" w14:textId="77777777" w:rsidR="00DB3721" w:rsidRPr="00DB3721" w:rsidRDefault="00DB3721" w:rsidP="00DB3721">
            <w:pPr>
              <w:jc w:val="center"/>
              <w:rPr>
                <w:sz w:val="18"/>
                <w:szCs w:val="18"/>
              </w:rPr>
            </w:pPr>
            <w:r w:rsidRPr="00DB3721">
              <w:rPr>
                <w:sz w:val="18"/>
                <w:szCs w:val="18"/>
              </w:rPr>
              <w:t>3</w:t>
            </w:r>
          </w:p>
        </w:tc>
        <w:tc>
          <w:tcPr>
            <w:tcW w:w="522" w:type="dxa"/>
            <w:tcBorders>
              <w:top w:val="nil"/>
              <w:left w:val="nil"/>
              <w:bottom w:val="nil"/>
              <w:right w:val="nil"/>
            </w:tcBorders>
            <w:vAlign w:val="center"/>
          </w:tcPr>
          <w:p w14:paraId="71C0CF5B"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0CDFC76E" w14:textId="77777777" w:rsidR="00DB3721" w:rsidRPr="00DB3721" w:rsidRDefault="00DB3721" w:rsidP="00DB3721">
            <w:pPr>
              <w:jc w:val="center"/>
              <w:rPr>
                <w:sz w:val="18"/>
                <w:szCs w:val="18"/>
              </w:rPr>
            </w:pPr>
            <w:r w:rsidRPr="00DB3721">
              <w:rPr>
                <w:sz w:val="18"/>
                <w:szCs w:val="18"/>
              </w:rPr>
              <w:t>C</w:t>
            </w:r>
          </w:p>
        </w:tc>
        <w:tc>
          <w:tcPr>
            <w:tcW w:w="665" w:type="dxa"/>
            <w:tcBorders>
              <w:top w:val="nil"/>
              <w:left w:val="nil"/>
              <w:bottom w:val="nil"/>
              <w:right w:val="nil"/>
            </w:tcBorders>
            <w:vAlign w:val="center"/>
          </w:tcPr>
          <w:p w14:paraId="7FF273B1" w14:textId="77777777" w:rsidR="00DB3721" w:rsidRPr="00DB3721" w:rsidRDefault="00DB3721" w:rsidP="00DB3721">
            <w:pPr>
              <w:jc w:val="center"/>
              <w:rPr>
                <w:sz w:val="18"/>
                <w:szCs w:val="18"/>
              </w:rPr>
            </w:pPr>
            <w:r w:rsidRPr="00DB3721">
              <w:rPr>
                <w:sz w:val="18"/>
                <w:szCs w:val="18"/>
              </w:rPr>
              <w:t>C</w:t>
            </w:r>
          </w:p>
        </w:tc>
        <w:tc>
          <w:tcPr>
            <w:tcW w:w="623" w:type="dxa"/>
            <w:tcBorders>
              <w:top w:val="nil"/>
              <w:left w:val="nil"/>
              <w:bottom w:val="nil"/>
              <w:right w:val="nil"/>
            </w:tcBorders>
            <w:vAlign w:val="center"/>
          </w:tcPr>
          <w:p w14:paraId="134D3800" w14:textId="77777777" w:rsidR="00DB3721" w:rsidRPr="00DB3721" w:rsidRDefault="00DB3721" w:rsidP="00DB3721">
            <w:pPr>
              <w:jc w:val="center"/>
              <w:rPr>
                <w:sz w:val="18"/>
                <w:szCs w:val="18"/>
              </w:rPr>
            </w:pPr>
            <w:r w:rsidRPr="00DB3721">
              <w:rPr>
                <w:sz w:val="18"/>
                <w:szCs w:val="18"/>
              </w:rPr>
              <w:t>B</w:t>
            </w:r>
          </w:p>
        </w:tc>
        <w:tc>
          <w:tcPr>
            <w:tcW w:w="653" w:type="dxa"/>
            <w:tcBorders>
              <w:top w:val="nil"/>
              <w:left w:val="nil"/>
              <w:bottom w:val="nil"/>
              <w:right w:val="nil"/>
            </w:tcBorders>
            <w:vAlign w:val="center"/>
          </w:tcPr>
          <w:p w14:paraId="146A24A8" w14:textId="77777777" w:rsidR="00DB3721" w:rsidRPr="00DB3721" w:rsidRDefault="00DB3721" w:rsidP="00DB3721">
            <w:pPr>
              <w:jc w:val="center"/>
              <w:rPr>
                <w:sz w:val="18"/>
                <w:szCs w:val="18"/>
              </w:rPr>
            </w:pPr>
            <w:r w:rsidRPr="00DB3721">
              <w:rPr>
                <w:sz w:val="18"/>
                <w:szCs w:val="18"/>
              </w:rPr>
              <w:t>A</w:t>
            </w:r>
          </w:p>
        </w:tc>
        <w:tc>
          <w:tcPr>
            <w:tcW w:w="747" w:type="dxa"/>
            <w:gridSpan w:val="2"/>
            <w:tcBorders>
              <w:top w:val="nil"/>
              <w:left w:val="nil"/>
              <w:bottom w:val="nil"/>
              <w:right w:val="nil"/>
            </w:tcBorders>
            <w:vAlign w:val="center"/>
          </w:tcPr>
          <w:p w14:paraId="470CED8A" w14:textId="77777777" w:rsidR="00DB3721" w:rsidRPr="00DB3721" w:rsidRDefault="00DB3721" w:rsidP="00DB3721">
            <w:pPr>
              <w:jc w:val="center"/>
              <w:rPr>
                <w:sz w:val="18"/>
                <w:szCs w:val="18"/>
              </w:rPr>
            </w:pPr>
            <w:r w:rsidRPr="00DB3721">
              <w:rPr>
                <w:sz w:val="18"/>
                <w:szCs w:val="18"/>
              </w:rPr>
              <w:t>D</w:t>
            </w:r>
          </w:p>
        </w:tc>
        <w:tc>
          <w:tcPr>
            <w:tcW w:w="753" w:type="dxa"/>
            <w:tcBorders>
              <w:top w:val="nil"/>
              <w:left w:val="nil"/>
              <w:bottom w:val="nil"/>
              <w:right w:val="nil"/>
            </w:tcBorders>
            <w:vAlign w:val="center"/>
          </w:tcPr>
          <w:p w14:paraId="56019CED" w14:textId="77777777" w:rsidR="00DB3721" w:rsidRPr="00DB3721" w:rsidRDefault="00DB3721" w:rsidP="00DB3721">
            <w:pPr>
              <w:jc w:val="center"/>
              <w:rPr>
                <w:sz w:val="18"/>
                <w:szCs w:val="18"/>
              </w:rPr>
            </w:pPr>
            <w:r w:rsidRPr="00DB3721">
              <w:rPr>
                <w:sz w:val="18"/>
                <w:szCs w:val="18"/>
              </w:rPr>
              <w:t>C</w:t>
            </w:r>
          </w:p>
        </w:tc>
        <w:tc>
          <w:tcPr>
            <w:tcW w:w="630" w:type="dxa"/>
            <w:tcBorders>
              <w:top w:val="nil"/>
              <w:left w:val="nil"/>
              <w:bottom w:val="nil"/>
              <w:right w:val="nil"/>
            </w:tcBorders>
            <w:vAlign w:val="center"/>
          </w:tcPr>
          <w:p w14:paraId="16EE091E" w14:textId="77777777" w:rsidR="00DB3721" w:rsidRPr="00DB3721" w:rsidRDefault="00DB3721" w:rsidP="00DB3721">
            <w:pPr>
              <w:jc w:val="center"/>
              <w:rPr>
                <w:sz w:val="18"/>
                <w:szCs w:val="18"/>
              </w:rPr>
            </w:pPr>
            <w:r w:rsidRPr="00DB3721">
              <w:rPr>
                <w:sz w:val="18"/>
                <w:szCs w:val="18"/>
              </w:rPr>
              <w:t>C</w:t>
            </w:r>
          </w:p>
        </w:tc>
        <w:tc>
          <w:tcPr>
            <w:tcW w:w="567" w:type="dxa"/>
            <w:tcBorders>
              <w:top w:val="nil"/>
              <w:left w:val="nil"/>
              <w:bottom w:val="nil"/>
              <w:right w:val="nil"/>
            </w:tcBorders>
            <w:vAlign w:val="center"/>
          </w:tcPr>
          <w:p w14:paraId="44E06F48"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bottom w:val="nil"/>
              <w:right w:val="nil"/>
            </w:tcBorders>
            <w:vAlign w:val="center"/>
          </w:tcPr>
          <w:p w14:paraId="7119FD83" w14:textId="77777777" w:rsidR="00DB3721" w:rsidRPr="00DB3721" w:rsidRDefault="00DB3721" w:rsidP="00DB3721">
            <w:pPr>
              <w:jc w:val="center"/>
              <w:rPr>
                <w:sz w:val="18"/>
                <w:szCs w:val="18"/>
              </w:rPr>
            </w:pPr>
            <w:r w:rsidRPr="00DB3721">
              <w:rPr>
                <w:sz w:val="18"/>
                <w:szCs w:val="18"/>
              </w:rPr>
              <w:t>B</w:t>
            </w:r>
          </w:p>
        </w:tc>
      </w:tr>
      <w:tr w:rsidR="00A61D1F" w:rsidRPr="00DB3721" w14:paraId="738C736C" w14:textId="77777777" w:rsidTr="006C75BB">
        <w:trPr>
          <w:gridAfter w:val="1"/>
          <w:wAfter w:w="7" w:type="dxa"/>
        </w:trPr>
        <w:tc>
          <w:tcPr>
            <w:tcW w:w="482" w:type="dxa"/>
            <w:tcBorders>
              <w:top w:val="nil"/>
              <w:left w:val="nil"/>
              <w:bottom w:val="nil"/>
              <w:right w:val="nil"/>
            </w:tcBorders>
            <w:vAlign w:val="center"/>
          </w:tcPr>
          <w:p w14:paraId="0BC0BAA8" w14:textId="77777777" w:rsidR="00DB3721" w:rsidRPr="00DB3721" w:rsidRDefault="00DB3721" w:rsidP="00DB3721">
            <w:pPr>
              <w:jc w:val="center"/>
              <w:rPr>
                <w:sz w:val="18"/>
                <w:szCs w:val="18"/>
              </w:rPr>
            </w:pPr>
            <w:r w:rsidRPr="00DB3721">
              <w:rPr>
                <w:sz w:val="18"/>
                <w:szCs w:val="18"/>
              </w:rPr>
              <w:t>7</w:t>
            </w:r>
          </w:p>
        </w:tc>
        <w:tc>
          <w:tcPr>
            <w:tcW w:w="1360" w:type="dxa"/>
            <w:tcBorders>
              <w:top w:val="nil"/>
              <w:left w:val="nil"/>
              <w:bottom w:val="nil"/>
              <w:right w:val="nil"/>
            </w:tcBorders>
          </w:tcPr>
          <w:p w14:paraId="7BC56817" w14:textId="77777777" w:rsidR="00DB3721" w:rsidRPr="00DB3721" w:rsidRDefault="00DB3721" w:rsidP="00DB3721">
            <w:pPr>
              <w:rPr>
                <w:sz w:val="18"/>
                <w:szCs w:val="18"/>
              </w:rPr>
            </w:pPr>
            <w:r w:rsidRPr="00DB3721">
              <w:rPr>
                <w:sz w:val="18"/>
                <w:szCs w:val="18"/>
              </w:rPr>
              <w:t xml:space="preserve">Fajar </w:t>
            </w:r>
          </w:p>
        </w:tc>
        <w:tc>
          <w:tcPr>
            <w:tcW w:w="750" w:type="dxa"/>
            <w:tcBorders>
              <w:top w:val="nil"/>
              <w:left w:val="nil"/>
              <w:bottom w:val="nil"/>
              <w:right w:val="nil"/>
            </w:tcBorders>
            <w:vAlign w:val="center"/>
          </w:tcPr>
          <w:p w14:paraId="5F3728E0" w14:textId="77777777" w:rsidR="00DB3721" w:rsidRPr="00DB3721" w:rsidRDefault="00DB3721" w:rsidP="00DB3721">
            <w:pPr>
              <w:jc w:val="center"/>
              <w:rPr>
                <w:sz w:val="18"/>
                <w:szCs w:val="18"/>
              </w:rPr>
            </w:pPr>
            <w:r w:rsidRPr="00DB3721">
              <w:rPr>
                <w:sz w:val="18"/>
                <w:szCs w:val="18"/>
              </w:rPr>
              <w:t>6</w:t>
            </w:r>
          </w:p>
        </w:tc>
        <w:tc>
          <w:tcPr>
            <w:tcW w:w="522" w:type="dxa"/>
            <w:tcBorders>
              <w:top w:val="nil"/>
              <w:left w:val="nil"/>
              <w:bottom w:val="nil"/>
              <w:right w:val="nil"/>
            </w:tcBorders>
            <w:vAlign w:val="center"/>
          </w:tcPr>
          <w:p w14:paraId="6227F037"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31375BD4" w14:textId="77777777" w:rsidR="00DB3721" w:rsidRPr="00DB3721" w:rsidRDefault="00DB3721" w:rsidP="00DB3721">
            <w:pPr>
              <w:jc w:val="center"/>
              <w:rPr>
                <w:sz w:val="18"/>
                <w:szCs w:val="18"/>
              </w:rPr>
            </w:pPr>
            <w:r w:rsidRPr="00DB3721">
              <w:rPr>
                <w:sz w:val="18"/>
                <w:szCs w:val="18"/>
              </w:rPr>
              <w:t>B</w:t>
            </w:r>
          </w:p>
        </w:tc>
        <w:tc>
          <w:tcPr>
            <w:tcW w:w="665" w:type="dxa"/>
            <w:tcBorders>
              <w:top w:val="nil"/>
              <w:left w:val="nil"/>
              <w:bottom w:val="nil"/>
              <w:right w:val="nil"/>
            </w:tcBorders>
            <w:vAlign w:val="center"/>
          </w:tcPr>
          <w:p w14:paraId="33CA926F" w14:textId="77777777" w:rsidR="00DB3721" w:rsidRPr="00DB3721" w:rsidRDefault="00DB3721" w:rsidP="00DB3721">
            <w:pPr>
              <w:jc w:val="center"/>
              <w:rPr>
                <w:sz w:val="18"/>
                <w:szCs w:val="18"/>
              </w:rPr>
            </w:pPr>
            <w:r w:rsidRPr="00DB3721">
              <w:rPr>
                <w:sz w:val="18"/>
                <w:szCs w:val="18"/>
              </w:rPr>
              <w:t>B</w:t>
            </w:r>
          </w:p>
        </w:tc>
        <w:tc>
          <w:tcPr>
            <w:tcW w:w="623" w:type="dxa"/>
            <w:tcBorders>
              <w:top w:val="nil"/>
              <w:left w:val="nil"/>
              <w:bottom w:val="nil"/>
              <w:right w:val="nil"/>
            </w:tcBorders>
            <w:vAlign w:val="center"/>
          </w:tcPr>
          <w:p w14:paraId="7D606B8F" w14:textId="77777777" w:rsidR="00DB3721" w:rsidRPr="00DB3721" w:rsidRDefault="00DB3721" w:rsidP="00DB3721">
            <w:pPr>
              <w:jc w:val="center"/>
              <w:rPr>
                <w:sz w:val="18"/>
                <w:szCs w:val="18"/>
              </w:rPr>
            </w:pPr>
            <w:r w:rsidRPr="00DB3721">
              <w:rPr>
                <w:sz w:val="18"/>
                <w:szCs w:val="18"/>
              </w:rPr>
              <w:t>A</w:t>
            </w:r>
          </w:p>
        </w:tc>
        <w:tc>
          <w:tcPr>
            <w:tcW w:w="653" w:type="dxa"/>
            <w:tcBorders>
              <w:top w:val="nil"/>
              <w:left w:val="nil"/>
              <w:bottom w:val="nil"/>
              <w:right w:val="nil"/>
            </w:tcBorders>
            <w:vAlign w:val="center"/>
          </w:tcPr>
          <w:p w14:paraId="770B58D6" w14:textId="77777777" w:rsidR="00DB3721" w:rsidRPr="00DB3721" w:rsidRDefault="00DB3721" w:rsidP="00DB3721">
            <w:pPr>
              <w:jc w:val="center"/>
              <w:rPr>
                <w:sz w:val="18"/>
                <w:szCs w:val="18"/>
              </w:rPr>
            </w:pPr>
            <w:r w:rsidRPr="00DB3721">
              <w:rPr>
                <w:sz w:val="18"/>
                <w:szCs w:val="18"/>
              </w:rPr>
              <w:t>A</w:t>
            </w:r>
          </w:p>
        </w:tc>
        <w:tc>
          <w:tcPr>
            <w:tcW w:w="747" w:type="dxa"/>
            <w:gridSpan w:val="2"/>
            <w:tcBorders>
              <w:top w:val="nil"/>
              <w:left w:val="nil"/>
              <w:bottom w:val="nil"/>
              <w:right w:val="nil"/>
            </w:tcBorders>
            <w:vAlign w:val="center"/>
          </w:tcPr>
          <w:p w14:paraId="095C0EBE"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2BAE5263" w14:textId="77777777" w:rsidR="00DB3721" w:rsidRPr="00DB3721" w:rsidRDefault="00DB3721" w:rsidP="00DB3721">
            <w:pPr>
              <w:jc w:val="center"/>
              <w:rPr>
                <w:sz w:val="18"/>
                <w:szCs w:val="18"/>
              </w:rPr>
            </w:pPr>
            <w:r w:rsidRPr="00DB3721">
              <w:rPr>
                <w:sz w:val="18"/>
                <w:szCs w:val="18"/>
              </w:rPr>
              <w:t>C</w:t>
            </w:r>
          </w:p>
        </w:tc>
        <w:tc>
          <w:tcPr>
            <w:tcW w:w="630" w:type="dxa"/>
            <w:tcBorders>
              <w:top w:val="nil"/>
              <w:left w:val="nil"/>
              <w:bottom w:val="nil"/>
              <w:right w:val="nil"/>
            </w:tcBorders>
            <w:vAlign w:val="center"/>
          </w:tcPr>
          <w:p w14:paraId="599B5EC1" w14:textId="77777777" w:rsidR="00DB3721" w:rsidRPr="00DB3721" w:rsidRDefault="00DB3721" w:rsidP="00DB3721">
            <w:pPr>
              <w:jc w:val="center"/>
              <w:rPr>
                <w:sz w:val="18"/>
                <w:szCs w:val="18"/>
              </w:rPr>
            </w:pPr>
            <w:r w:rsidRPr="00DB3721">
              <w:rPr>
                <w:sz w:val="18"/>
                <w:szCs w:val="18"/>
              </w:rPr>
              <w:t>B</w:t>
            </w:r>
          </w:p>
        </w:tc>
        <w:tc>
          <w:tcPr>
            <w:tcW w:w="567" w:type="dxa"/>
            <w:tcBorders>
              <w:top w:val="nil"/>
              <w:left w:val="nil"/>
              <w:bottom w:val="nil"/>
              <w:right w:val="nil"/>
            </w:tcBorders>
            <w:vAlign w:val="center"/>
          </w:tcPr>
          <w:p w14:paraId="388EF432"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bottom w:val="nil"/>
              <w:right w:val="nil"/>
            </w:tcBorders>
            <w:vAlign w:val="center"/>
          </w:tcPr>
          <w:p w14:paraId="5F3AF316" w14:textId="77777777" w:rsidR="00DB3721" w:rsidRPr="00DB3721" w:rsidRDefault="00DB3721" w:rsidP="00DB3721">
            <w:pPr>
              <w:jc w:val="center"/>
              <w:rPr>
                <w:sz w:val="18"/>
                <w:szCs w:val="18"/>
              </w:rPr>
            </w:pPr>
            <w:r w:rsidRPr="00DB3721">
              <w:rPr>
                <w:sz w:val="18"/>
                <w:szCs w:val="18"/>
              </w:rPr>
              <w:t>B</w:t>
            </w:r>
          </w:p>
        </w:tc>
      </w:tr>
      <w:tr w:rsidR="00A61D1F" w:rsidRPr="00DB3721" w14:paraId="78CF2000" w14:textId="77777777" w:rsidTr="006C75BB">
        <w:trPr>
          <w:gridAfter w:val="1"/>
          <w:wAfter w:w="7" w:type="dxa"/>
        </w:trPr>
        <w:tc>
          <w:tcPr>
            <w:tcW w:w="482" w:type="dxa"/>
            <w:tcBorders>
              <w:top w:val="nil"/>
              <w:left w:val="nil"/>
              <w:right w:val="nil"/>
            </w:tcBorders>
            <w:vAlign w:val="center"/>
          </w:tcPr>
          <w:p w14:paraId="6E34EDAB" w14:textId="77777777" w:rsidR="00DB3721" w:rsidRPr="00DB3721" w:rsidRDefault="00DB3721" w:rsidP="00DB3721">
            <w:pPr>
              <w:jc w:val="center"/>
              <w:rPr>
                <w:sz w:val="18"/>
                <w:szCs w:val="18"/>
              </w:rPr>
            </w:pPr>
            <w:r w:rsidRPr="00DB3721">
              <w:rPr>
                <w:sz w:val="18"/>
                <w:szCs w:val="18"/>
              </w:rPr>
              <w:t>8</w:t>
            </w:r>
          </w:p>
        </w:tc>
        <w:tc>
          <w:tcPr>
            <w:tcW w:w="1360" w:type="dxa"/>
            <w:tcBorders>
              <w:top w:val="nil"/>
              <w:left w:val="nil"/>
              <w:right w:val="nil"/>
            </w:tcBorders>
          </w:tcPr>
          <w:p w14:paraId="7F8EA7A3" w14:textId="77777777" w:rsidR="00DB3721" w:rsidRPr="00DB3721" w:rsidRDefault="00DB3721" w:rsidP="00DB3721">
            <w:pPr>
              <w:rPr>
                <w:sz w:val="18"/>
                <w:szCs w:val="18"/>
              </w:rPr>
            </w:pPr>
            <w:r w:rsidRPr="00DB3721">
              <w:rPr>
                <w:sz w:val="18"/>
                <w:szCs w:val="18"/>
              </w:rPr>
              <w:t>Indah. C</w:t>
            </w:r>
          </w:p>
        </w:tc>
        <w:tc>
          <w:tcPr>
            <w:tcW w:w="750" w:type="dxa"/>
            <w:tcBorders>
              <w:top w:val="nil"/>
              <w:left w:val="nil"/>
              <w:right w:val="nil"/>
            </w:tcBorders>
            <w:vAlign w:val="center"/>
          </w:tcPr>
          <w:p w14:paraId="1EC2156C" w14:textId="77777777" w:rsidR="00DB3721" w:rsidRPr="00DB3721" w:rsidRDefault="00DB3721" w:rsidP="00DB3721">
            <w:pPr>
              <w:jc w:val="center"/>
              <w:rPr>
                <w:sz w:val="18"/>
                <w:szCs w:val="18"/>
              </w:rPr>
            </w:pPr>
            <w:r w:rsidRPr="00DB3721">
              <w:rPr>
                <w:sz w:val="18"/>
                <w:szCs w:val="18"/>
              </w:rPr>
              <w:t>6</w:t>
            </w:r>
          </w:p>
        </w:tc>
        <w:tc>
          <w:tcPr>
            <w:tcW w:w="522" w:type="dxa"/>
            <w:tcBorders>
              <w:top w:val="nil"/>
              <w:left w:val="nil"/>
              <w:right w:val="nil"/>
            </w:tcBorders>
            <w:vAlign w:val="center"/>
          </w:tcPr>
          <w:p w14:paraId="16BC97CB" w14:textId="77777777" w:rsidR="00DB3721" w:rsidRPr="00DB3721" w:rsidRDefault="00DB3721" w:rsidP="00DB3721">
            <w:pPr>
              <w:jc w:val="center"/>
              <w:rPr>
                <w:sz w:val="18"/>
                <w:szCs w:val="18"/>
              </w:rPr>
            </w:pPr>
            <w:r w:rsidRPr="00DB3721">
              <w:rPr>
                <w:sz w:val="18"/>
                <w:szCs w:val="18"/>
              </w:rPr>
              <w:t>B</w:t>
            </w:r>
          </w:p>
        </w:tc>
        <w:tc>
          <w:tcPr>
            <w:tcW w:w="753" w:type="dxa"/>
            <w:tcBorders>
              <w:top w:val="nil"/>
              <w:left w:val="nil"/>
              <w:right w:val="nil"/>
            </w:tcBorders>
            <w:vAlign w:val="center"/>
          </w:tcPr>
          <w:p w14:paraId="5C180C21" w14:textId="77777777" w:rsidR="00DB3721" w:rsidRPr="00DB3721" w:rsidRDefault="00DB3721" w:rsidP="00DB3721">
            <w:pPr>
              <w:jc w:val="center"/>
              <w:rPr>
                <w:sz w:val="18"/>
                <w:szCs w:val="18"/>
              </w:rPr>
            </w:pPr>
            <w:r w:rsidRPr="00DB3721">
              <w:rPr>
                <w:sz w:val="18"/>
                <w:szCs w:val="18"/>
              </w:rPr>
              <w:t>B</w:t>
            </w:r>
          </w:p>
        </w:tc>
        <w:tc>
          <w:tcPr>
            <w:tcW w:w="665" w:type="dxa"/>
            <w:tcBorders>
              <w:top w:val="nil"/>
              <w:left w:val="nil"/>
              <w:right w:val="nil"/>
            </w:tcBorders>
            <w:vAlign w:val="center"/>
          </w:tcPr>
          <w:p w14:paraId="21962F79" w14:textId="77777777" w:rsidR="00DB3721" w:rsidRPr="00DB3721" w:rsidRDefault="00DB3721" w:rsidP="00DB3721">
            <w:pPr>
              <w:jc w:val="center"/>
              <w:rPr>
                <w:sz w:val="18"/>
                <w:szCs w:val="18"/>
              </w:rPr>
            </w:pPr>
            <w:r w:rsidRPr="00DB3721">
              <w:rPr>
                <w:sz w:val="18"/>
                <w:szCs w:val="18"/>
              </w:rPr>
              <w:t>A</w:t>
            </w:r>
          </w:p>
        </w:tc>
        <w:tc>
          <w:tcPr>
            <w:tcW w:w="623" w:type="dxa"/>
            <w:tcBorders>
              <w:top w:val="nil"/>
              <w:left w:val="nil"/>
              <w:right w:val="nil"/>
            </w:tcBorders>
            <w:vAlign w:val="center"/>
          </w:tcPr>
          <w:p w14:paraId="19A7F480" w14:textId="77777777" w:rsidR="00DB3721" w:rsidRPr="00DB3721" w:rsidRDefault="00DB3721" w:rsidP="00DB3721">
            <w:pPr>
              <w:jc w:val="center"/>
              <w:rPr>
                <w:sz w:val="18"/>
                <w:szCs w:val="18"/>
              </w:rPr>
            </w:pPr>
            <w:r w:rsidRPr="00DB3721">
              <w:rPr>
                <w:sz w:val="18"/>
                <w:szCs w:val="18"/>
              </w:rPr>
              <w:t>A</w:t>
            </w:r>
          </w:p>
        </w:tc>
        <w:tc>
          <w:tcPr>
            <w:tcW w:w="653" w:type="dxa"/>
            <w:tcBorders>
              <w:top w:val="nil"/>
              <w:left w:val="nil"/>
              <w:right w:val="nil"/>
            </w:tcBorders>
            <w:vAlign w:val="center"/>
          </w:tcPr>
          <w:p w14:paraId="5B5B872C" w14:textId="77777777" w:rsidR="00DB3721" w:rsidRPr="00DB3721" w:rsidRDefault="00DB3721" w:rsidP="00DB3721">
            <w:pPr>
              <w:jc w:val="center"/>
              <w:rPr>
                <w:sz w:val="18"/>
                <w:szCs w:val="18"/>
              </w:rPr>
            </w:pPr>
            <w:r w:rsidRPr="00DB3721">
              <w:rPr>
                <w:sz w:val="18"/>
                <w:szCs w:val="18"/>
              </w:rPr>
              <w:t>A+</w:t>
            </w:r>
          </w:p>
        </w:tc>
        <w:tc>
          <w:tcPr>
            <w:tcW w:w="747" w:type="dxa"/>
            <w:gridSpan w:val="2"/>
            <w:tcBorders>
              <w:top w:val="nil"/>
              <w:left w:val="nil"/>
              <w:right w:val="nil"/>
            </w:tcBorders>
            <w:vAlign w:val="center"/>
          </w:tcPr>
          <w:p w14:paraId="615D976C"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right w:val="nil"/>
            </w:tcBorders>
            <w:vAlign w:val="center"/>
          </w:tcPr>
          <w:p w14:paraId="5E86EE69" w14:textId="77777777" w:rsidR="00DB3721" w:rsidRPr="00DB3721" w:rsidRDefault="00DB3721" w:rsidP="00DB3721">
            <w:pPr>
              <w:jc w:val="center"/>
              <w:rPr>
                <w:sz w:val="18"/>
                <w:szCs w:val="18"/>
              </w:rPr>
            </w:pPr>
            <w:r w:rsidRPr="00DB3721">
              <w:rPr>
                <w:sz w:val="18"/>
                <w:szCs w:val="18"/>
              </w:rPr>
              <w:t>C</w:t>
            </w:r>
          </w:p>
        </w:tc>
        <w:tc>
          <w:tcPr>
            <w:tcW w:w="630" w:type="dxa"/>
            <w:tcBorders>
              <w:top w:val="nil"/>
              <w:left w:val="nil"/>
              <w:right w:val="nil"/>
            </w:tcBorders>
            <w:vAlign w:val="center"/>
          </w:tcPr>
          <w:p w14:paraId="79752CB9" w14:textId="77777777" w:rsidR="00DB3721" w:rsidRPr="00DB3721" w:rsidRDefault="00DB3721" w:rsidP="00DB3721">
            <w:pPr>
              <w:jc w:val="center"/>
              <w:rPr>
                <w:sz w:val="18"/>
                <w:szCs w:val="18"/>
              </w:rPr>
            </w:pPr>
            <w:r w:rsidRPr="00DB3721">
              <w:rPr>
                <w:sz w:val="18"/>
                <w:szCs w:val="18"/>
              </w:rPr>
              <w:t>B</w:t>
            </w:r>
          </w:p>
        </w:tc>
        <w:tc>
          <w:tcPr>
            <w:tcW w:w="567" w:type="dxa"/>
            <w:tcBorders>
              <w:top w:val="nil"/>
              <w:left w:val="nil"/>
              <w:right w:val="nil"/>
            </w:tcBorders>
            <w:vAlign w:val="center"/>
          </w:tcPr>
          <w:p w14:paraId="1F41BBB5"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right w:val="nil"/>
            </w:tcBorders>
            <w:vAlign w:val="center"/>
          </w:tcPr>
          <w:p w14:paraId="37CAC407" w14:textId="77777777" w:rsidR="00DB3721" w:rsidRPr="00DB3721" w:rsidRDefault="00DB3721" w:rsidP="00DB3721">
            <w:pPr>
              <w:jc w:val="center"/>
              <w:rPr>
                <w:sz w:val="18"/>
                <w:szCs w:val="18"/>
              </w:rPr>
            </w:pPr>
            <w:r w:rsidRPr="00DB3721">
              <w:rPr>
                <w:sz w:val="18"/>
                <w:szCs w:val="18"/>
              </w:rPr>
              <w:t>A</w:t>
            </w:r>
          </w:p>
        </w:tc>
      </w:tr>
    </w:tbl>
    <w:p w14:paraId="0AD302B6" w14:textId="77777777" w:rsidR="00DB3721" w:rsidRDefault="00DB3721" w:rsidP="00207BE1">
      <w:pPr>
        <w:spacing w:after="14" w:line="288" w:lineRule="auto"/>
        <w:jc w:val="both"/>
        <w:rPr>
          <w:rFonts w:asciiTheme="majorHAnsi" w:hAnsiTheme="majorHAnsi"/>
          <w:bCs/>
          <w:iCs/>
          <w:lang w:val="en-ID"/>
        </w:rPr>
      </w:pPr>
    </w:p>
    <w:p w14:paraId="41FF618F" w14:textId="77777777" w:rsidR="00207BE1" w:rsidRDefault="00207BE1" w:rsidP="0000413E">
      <w:pPr>
        <w:spacing w:line="276" w:lineRule="auto"/>
        <w:ind w:left="284" w:firstLine="425"/>
        <w:jc w:val="both"/>
        <w:rPr>
          <w:rFonts w:asciiTheme="majorHAnsi" w:hAnsiTheme="majorHAnsi"/>
          <w:bCs/>
          <w:iCs/>
          <w:lang w:val="en-ID"/>
        </w:rPr>
      </w:pPr>
    </w:p>
    <w:p w14:paraId="55FA60FC" w14:textId="2E1E56BA" w:rsidR="006C75BB" w:rsidRPr="006C75BB" w:rsidRDefault="006C75BB" w:rsidP="00207BE1">
      <w:pPr>
        <w:spacing w:line="276" w:lineRule="auto"/>
        <w:ind w:left="284" w:firstLine="425"/>
        <w:jc w:val="both"/>
        <w:rPr>
          <w:rFonts w:asciiTheme="majorHAnsi" w:hAnsiTheme="majorHAnsi"/>
          <w:bCs/>
          <w:iCs/>
          <w:lang w:val="en-ID"/>
        </w:rPr>
      </w:pPr>
      <w:r>
        <w:rPr>
          <w:rFonts w:asciiTheme="majorHAnsi" w:hAnsiTheme="majorHAnsi"/>
          <w:bCs/>
          <w:iCs/>
          <w:lang w:val="en-ID"/>
        </w:rPr>
        <w:t xml:space="preserve">Table 1 shows that </w:t>
      </w:r>
      <w:r w:rsidR="008462DE">
        <w:rPr>
          <w:rFonts w:asciiTheme="majorHAnsi" w:hAnsiTheme="majorHAnsi"/>
          <w:bCs/>
          <w:iCs/>
        </w:rPr>
        <w:t>t</w:t>
      </w:r>
      <w:r w:rsidR="008462DE" w:rsidRPr="008462DE">
        <w:rPr>
          <w:rFonts w:asciiTheme="majorHAnsi" w:hAnsiTheme="majorHAnsi"/>
          <w:bCs/>
          <w:iCs/>
        </w:rPr>
        <w:t>he average literacy capability score increased from 2.1 (July) to 4.</w:t>
      </w:r>
      <w:r w:rsidR="000F1A44">
        <w:rPr>
          <w:rFonts w:asciiTheme="majorHAnsi" w:hAnsiTheme="majorHAnsi"/>
          <w:bCs/>
          <w:iCs/>
        </w:rPr>
        <w:t>3</w:t>
      </w:r>
      <w:r w:rsidR="008462DE" w:rsidRPr="008462DE">
        <w:rPr>
          <w:rFonts w:asciiTheme="majorHAnsi" w:hAnsiTheme="majorHAnsi"/>
          <w:bCs/>
          <w:iCs/>
        </w:rPr>
        <w:t xml:space="preserve"> (November), representing a </w:t>
      </w:r>
      <w:r w:rsidR="00DA3FD8">
        <w:rPr>
          <w:rFonts w:asciiTheme="majorHAnsi" w:hAnsiTheme="majorHAnsi"/>
          <w:bCs/>
          <w:iCs/>
        </w:rPr>
        <w:t>dominant</w:t>
      </w:r>
      <w:r w:rsidR="008462DE" w:rsidRPr="008462DE">
        <w:rPr>
          <w:rFonts w:asciiTheme="majorHAnsi" w:hAnsiTheme="majorHAnsi"/>
          <w:bCs/>
          <w:iCs/>
        </w:rPr>
        <w:t xml:space="preserve"> improvement. Similarly, reading interest scores increased from an average of 2.3 to 4.</w:t>
      </w:r>
      <w:r w:rsidR="008462DE">
        <w:rPr>
          <w:rFonts w:asciiTheme="majorHAnsi" w:hAnsiTheme="majorHAnsi"/>
          <w:bCs/>
          <w:iCs/>
        </w:rPr>
        <w:t>6</w:t>
      </w:r>
      <w:r w:rsidR="008462DE" w:rsidRPr="008462DE">
        <w:rPr>
          <w:rFonts w:asciiTheme="majorHAnsi" w:hAnsiTheme="majorHAnsi"/>
          <w:bCs/>
          <w:iCs/>
        </w:rPr>
        <w:t>, indicating a substantial increase in students’ reading motivation.</w:t>
      </w:r>
      <w:r w:rsidR="008462DE">
        <w:rPr>
          <w:rFonts w:asciiTheme="majorHAnsi" w:hAnsiTheme="majorHAnsi"/>
          <w:bCs/>
          <w:iCs/>
        </w:rPr>
        <w:t xml:space="preserve"> For table 1, the standard of the grade had been used are D=1</w:t>
      </w:r>
      <w:r w:rsidR="00207BE1">
        <w:rPr>
          <w:rFonts w:asciiTheme="majorHAnsi" w:hAnsiTheme="majorHAnsi"/>
          <w:bCs/>
          <w:iCs/>
        </w:rPr>
        <w:t xml:space="preserve"> (the lowest grade)</w:t>
      </w:r>
      <w:r w:rsidR="008462DE">
        <w:rPr>
          <w:rFonts w:asciiTheme="majorHAnsi" w:hAnsiTheme="majorHAnsi"/>
          <w:bCs/>
          <w:iCs/>
        </w:rPr>
        <w:t>, C=2, B=3, A=4, A+=5</w:t>
      </w:r>
      <w:r w:rsidR="00207BE1">
        <w:rPr>
          <w:rFonts w:asciiTheme="majorHAnsi" w:hAnsiTheme="majorHAnsi"/>
          <w:bCs/>
          <w:iCs/>
        </w:rPr>
        <w:t xml:space="preserve"> (the highest grade)</w:t>
      </w:r>
      <w:r w:rsidR="008462DE">
        <w:rPr>
          <w:rFonts w:asciiTheme="majorHAnsi" w:hAnsiTheme="majorHAnsi"/>
          <w:bCs/>
          <w:iCs/>
        </w:rPr>
        <w:t>.</w:t>
      </w:r>
      <w:r w:rsidR="000F1A44">
        <w:rPr>
          <w:rFonts w:asciiTheme="majorHAnsi" w:hAnsiTheme="majorHAnsi"/>
          <w:bCs/>
          <w:iCs/>
        </w:rPr>
        <w:t xml:space="preserve"> </w:t>
      </w:r>
      <w:r w:rsidR="008462DE">
        <w:rPr>
          <w:rFonts w:asciiTheme="majorHAnsi" w:hAnsiTheme="majorHAnsi"/>
          <w:bCs/>
          <w:iCs/>
          <w:lang w:val="en-ID"/>
        </w:rPr>
        <w:t>T</w:t>
      </w:r>
      <w:r w:rsidRPr="006C75BB">
        <w:rPr>
          <w:rFonts w:asciiTheme="majorHAnsi" w:hAnsiTheme="majorHAnsi"/>
          <w:bCs/>
          <w:iCs/>
          <w:lang w:val="en-ID"/>
        </w:rPr>
        <w:t xml:space="preserve">here was a noticeable improvement in both literacy </w:t>
      </w:r>
      <w:r w:rsidR="00A61D1F">
        <w:rPr>
          <w:rFonts w:asciiTheme="majorHAnsi" w:hAnsiTheme="majorHAnsi"/>
          <w:bCs/>
          <w:iCs/>
          <w:lang w:val="en-ID"/>
        </w:rPr>
        <w:t>capability</w:t>
      </w:r>
      <w:r w:rsidRPr="006C75BB">
        <w:rPr>
          <w:rFonts w:asciiTheme="majorHAnsi" w:hAnsiTheme="majorHAnsi"/>
          <w:bCs/>
          <w:iCs/>
          <w:lang w:val="en-ID"/>
        </w:rPr>
        <w:t xml:space="preserve"> and reading interest. The intervention included a variety of activities such as reading workshops, interactive storytelling sessions, and the introduction of a library corner in classrooms. These activities were designed to make reading more engaging and accessible for students.</w:t>
      </w:r>
      <w:r>
        <w:rPr>
          <w:rFonts w:asciiTheme="majorHAnsi" w:hAnsiTheme="majorHAnsi"/>
          <w:bCs/>
          <w:iCs/>
          <w:lang w:val="en-ID"/>
        </w:rPr>
        <w:t xml:space="preserve"> </w:t>
      </w:r>
      <w:r w:rsidRPr="006C75BB">
        <w:rPr>
          <w:rFonts w:asciiTheme="majorHAnsi" w:hAnsiTheme="majorHAnsi"/>
          <w:bCs/>
          <w:iCs/>
          <w:lang w:val="en-ID"/>
        </w:rPr>
        <w:t xml:space="preserve">The post-intervention assessment showed a significant increase in reading comprehension levels across all grades. Students who participated in the </w:t>
      </w:r>
      <w:r>
        <w:rPr>
          <w:rFonts w:asciiTheme="majorHAnsi" w:hAnsiTheme="majorHAnsi"/>
          <w:bCs/>
          <w:iCs/>
          <w:lang w:val="en-ID"/>
        </w:rPr>
        <w:t>literacy activities</w:t>
      </w:r>
      <w:r w:rsidRPr="006C75BB">
        <w:rPr>
          <w:rFonts w:asciiTheme="majorHAnsi" w:hAnsiTheme="majorHAnsi"/>
          <w:bCs/>
          <w:iCs/>
          <w:lang w:val="en-ID"/>
        </w:rPr>
        <w:t xml:space="preserve"> demonstrated better reading fluency and a deeper understanding of the texts they encountered. Additionally, there was a marked increase in voluntary reading activities, with more students choosing to read during free time.</w:t>
      </w:r>
    </w:p>
    <w:p w14:paraId="7EA9A3B1" w14:textId="4C421AA0" w:rsidR="00DB3721" w:rsidRDefault="006C75BB" w:rsidP="0000413E">
      <w:pPr>
        <w:spacing w:line="276" w:lineRule="auto"/>
        <w:ind w:left="284" w:firstLine="425"/>
        <w:jc w:val="both"/>
        <w:rPr>
          <w:rFonts w:asciiTheme="majorHAnsi" w:hAnsiTheme="majorHAnsi"/>
          <w:bCs/>
          <w:iCs/>
          <w:lang w:val="en-ID"/>
        </w:rPr>
      </w:pPr>
      <w:r w:rsidRPr="006C75BB">
        <w:rPr>
          <w:rFonts w:asciiTheme="majorHAnsi" w:hAnsiTheme="majorHAnsi"/>
          <w:bCs/>
          <w:iCs/>
        </w:rPr>
        <w:t>Literacy enhancement is an important process in improving individual understanding and skills in reading, writing, and critical thinking. Literacy is not just about the ability to read words on paper but also involves a deep understanding of information the ability to evaluate, and creativity in conveying ideas</w:t>
      </w:r>
      <w:r w:rsidR="00066592">
        <w:rPr>
          <w:rFonts w:asciiTheme="majorHAnsi" w:hAnsiTheme="majorHAnsi"/>
          <w:bCs/>
          <w:iCs/>
          <w:vertAlign w:val="superscript"/>
        </w:rPr>
        <w:t xml:space="preserve"> </w:t>
      </w:r>
      <w:r w:rsidR="00674536">
        <w:rPr>
          <w:rStyle w:val="FootnoteReference"/>
          <w:rFonts w:asciiTheme="majorHAnsi" w:hAnsiTheme="majorHAnsi"/>
          <w:bCs/>
          <w:iCs/>
        </w:rPr>
        <w:fldChar w:fldCharType="begin" w:fldLock="1"/>
      </w:r>
      <w:r w:rsidR="00980A23">
        <w:rPr>
          <w:rFonts w:asciiTheme="majorHAnsi" w:hAnsiTheme="majorHAnsi"/>
          <w:bCs/>
          <w:iCs/>
        </w:rPr>
        <w:instrText>ADDIN CSL_CITATION {"citationItems":[{"id":"ITEM-1","itemData":{"DOI":"10.3390/educsci10030056","ISSN":"22277102","abstract":"This paper looks at the effects of an intervention, based on fluency oriented reading instruction (FORI), on the motivation for reading among struggling readers in First Class in Irish primary schools. The intervention took place in learning support settings in three primary schools located in urban educationally disadvantaged communities in North Dublin. The study was conducted through a pragmatic lens with research questions framed to shed light on the motivation for reading of students in First Class from disadvantaged backgrounds. A mixed methods design with a concurrent triangulation strategy was employed, facilitating the exploration of multiple research questions using questionnaires and semi‐structured interviews with teachers and parents and conversational interviews and surveys with students. The perspective of reading motivation guiding the study recognised the overlapping influences of teachers, parents and the student himself or herself. Findings, as reported by these research informants, indicate that the FORI intervention had a positive impact on the motivation for reading of struggling readers in First Class. In particular, the intervention was found to decrease students’ perceived difficulty with reading and increase their reading self‐efficacy and orientation towards reading.","author":[{"dropping-particle":"","family":"Mehigan","given":"Gene","non-dropping-particle":"","parse-names":false,"suffix":""}],"container-title":"Education Sciences","id":"ITEM-1","issue":"3","issued":{"date-parts":[["2020"]]},"title":"Effects of fluency oriented instruction on motivation for reading of struggling readers","type":"article-journal","volume":"10"},"uris":["http://www.mendeley.com/documents/?uuid=d0567f2e-a9d8-40ad-9357-284926ce486f"]}],"mendeley":{"formattedCitation":"(Mehigan, 2020)","plainTextFormattedCitation":"(Mehigan, 2020)","previouslyFormattedCitation":"(Mehigan, 2020)"},"properties":{"noteIndex":0},"schema":"https://github.com/citation-style-language/schema/raw/master/csl-citation.json"}</w:instrText>
      </w:r>
      <w:r w:rsidR="00674536">
        <w:rPr>
          <w:rStyle w:val="FootnoteReference"/>
          <w:rFonts w:asciiTheme="majorHAnsi" w:hAnsiTheme="majorHAnsi"/>
          <w:bCs/>
          <w:iCs/>
        </w:rPr>
        <w:fldChar w:fldCharType="separate"/>
      </w:r>
      <w:r w:rsidR="00674536" w:rsidRPr="00674536">
        <w:rPr>
          <w:rFonts w:asciiTheme="majorHAnsi" w:hAnsiTheme="majorHAnsi"/>
          <w:bCs/>
          <w:iCs/>
          <w:noProof/>
        </w:rPr>
        <w:t>(Mehigan, 2020)</w:t>
      </w:r>
      <w:r w:rsidR="00674536">
        <w:rPr>
          <w:rStyle w:val="FootnoteReference"/>
          <w:rFonts w:asciiTheme="majorHAnsi" w:hAnsiTheme="majorHAnsi"/>
          <w:bCs/>
          <w:iCs/>
        </w:rPr>
        <w:fldChar w:fldCharType="end"/>
      </w:r>
      <w:r>
        <w:rPr>
          <w:rFonts w:asciiTheme="majorHAnsi" w:hAnsiTheme="majorHAnsi"/>
          <w:bCs/>
          <w:iCs/>
        </w:rPr>
        <w:t xml:space="preserve">. </w:t>
      </w:r>
      <w:r w:rsidRPr="006C75BB">
        <w:rPr>
          <w:rFonts w:asciiTheme="majorHAnsi" w:hAnsiTheme="majorHAnsi"/>
          <w:bCs/>
          <w:iCs/>
        </w:rPr>
        <w:t xml:space="preserve">The literacy enhancement involves increasing the book collection in the school library and socializing parents to </w:t>
      </w:r>
      <w:r w:rsidR="00B207D1">
        <w:rPr>
          <w:rFonts w:asciiTheme="majorHAnsi" w:hAnsiTheme="majorHAnsi"/>
          <w:bCs/>
          <w:iCs/>
        </w:rPr>
        <w:t>develop</w:t>
      </w:r>
      <w:r w:rsidRPr="006C75BB">
        <w:rPr>
          <w:rFonts w:asciiTheme="majorHAnsi" w:hAnsiTheme="majorHAnsi"/>
          <w:bCs/>
          <w:iCs/>
        </w:rPr>
        <w:t xml:space="preserve"> literacy habits at home during leisure time by using different books or literacy resources from school. Teacher training in reading teaching strategies, and literacy extracurricular activities.</w:t>
      </w:r>
      <w:r w:rsidR="00B207D1">
        <w:rPr>
          <w:rFonts w:asciiTheme="majorHAnsi" w:hAnsiTheme="majorHAnsi"/>
          <w:bCs/>
          <w:iCs/>
        </w:rPr>
        <w:t xml:space="preserve"> Also using some technologies in reading practical in the school, mini library of the village. </w:t>
      </w:r>
    </w:p>
    <w:p w14:paraId="27ED7B8F" w14:textId="15722346" w:rsidR="00D525F9" w:rsidRDefault="006C75BB" w:rsidP="002E4536">
      <w:pPr>
        <w:spacing w:line="276" w:lineRule="auto"/>
        <w:ind w:left="284" w:firstLine="425"/>
        <w:jc w:val="both"/>
        <w:rPr>
          <w:rFonts w:asciiTheme="majorHAnsi" w:hAnsiTheme="majorHAnsi"/>
          <w:bCs/>
          <w:iCs/>
        </w:rPr>
      </w:pPr>
      <w:r w:rsidRPr="006C75BB">
        <w:rPr>
          <w:rFonts w:asciiTheme="majorHAnsi" w:hAnsiTheme="majorHAnsi"/>
          <w:bCs/>
          <w:iCs/>
          <w:lang w:val="en-ID"/>
        </w:rPr>
        <w:t>The study also highlighted increased student engagement during literacy activities. Teachers reported that students were more attentive and eager to participate in reading-related tasks. The interactive and student-</w:t>
      </w:r>
      <w:proofErr w:type="spellStart"/>
      <w:r w:rsidRPr="006C75BB">
        <w:rPr>
          <w:rFonts w:asciiTheme="majorHAnsi" w:hAnsiTheme="majorHAnsi"/>
          <w:bCs/>
          <w:iCs/>
          <w:lang w:val="en-ID"/>
        </w:rPr>
        <w:t>centered</w:t>
      </w:r>
      <w:proofErr w:type="spellEnd"/>
      <w:r w:rsidRPr="006C75BB">
        <w:rPr>
          <w:rFonts w:asciiTheme="majorHAnsi" w:hAnsiTheme="majorHAnsi"/>
          <w:bCs/>
          <w:iCs/>
          <w:lang w:val="en-ID"/>
        </w:rPr>
        <w:t xml:space="preserve"> approach of the intervention was particularly effective in capturing the students' interest.</w:t>
      </w:r>
      <w:r>
        <w:rPr>
          <w:rFonts w:asciiTheme="majorHAnsi" w:hAnsiTheme="majorHAnsi"/>
          <w:bCs/>
          <w:iCs/>
          <w:lang w:val="en-ID"/>
        </w:rPr>
        <w:t xml:space="preserve"> </w:t>
      </w:r>
      <w:r w:rsidRPr="006C75BB">
        <w:rPr>
          <w:rFonts w:asciiTheme="majorHAnsi" w:hAnsiTheme="majorHAnsi"/>
          <w:bCs/>
          <w:iCs/>
          <w:lang w:val="en-ID"/>
        </w:rPr>
        <w:t xml:space="preserve">The success of the </w:t>
      </w:r>
      <w:r>
        <w:rPr>
          <w:rFonts w:asciiTheme="majorHAnsi" w:hAnsiTheme="majorHAnsi"/>
          <w:bCs/>
          <w:iCs/>
          <w:lang w:val="en-ID"/>
        </w:rPr>
        <w:t xml:space="preserve">literacy and reading interest enhancement </w:t>
      </w:r>
      <w:r w:rsidR="00EA5D92">
        <w:rPr>
          <w:rFonts w:asciiTheme="majorHAnsi" w:hAnsiTheme="majorHAnsi"/>
          <w:bCs/>
          <w:iCs/>
          <w:lang w:val="en-ID"/>
        </w:rPr>
        <w:t>intervention</w:t>
      </w:r>
      <w:r w:rsidRPr="006C75BB">
        <w:rPr>
          <w:rFonts w:asciiTheme="majorHAnsi" w:hAnsiTheme="majorHAnsi"/>
          <w:bCs/>
          <w:iCs/>
          <w:lang w:val="en-ID"/>
        </w:rPr>
        <w:t xml:space="preserve"> was also attributed to the active involvement of teachers and support from the community, especially from the parents</w:t>
      </w:r>
      <w:r w:rsidR="00D525F9">
        <w:rPr>
          <w:rFonts w:asciiTheme="majorHAnsi" w:hAnsiTheme="majorHAnsi"/>
          <w:bCs/>
          <w:iCs/>
          <w:lang w:val="en-ID"/>
        </w:rPr>
        <w:t>,</w:t>
      </w:r>
      <w:r w:rsidRPr="006C75BB">
        <w:rPr>
          <w:rFonts w:asciiTheme="majorHAnsi" w:hAnsiTheme="majorHAnsi"/>
          <w:bCs/>
          <w:iCs/>
          <w:lang w:val="en-ID"/>
        </w:rPr>
        <w:t xml:space="preserve"> </w:t>
      </w:r>
      <w:r w:rsidR="00EA5D92">
        <w:rPr>
          <w:rFonts w:asciiTheme="majorHAnsi" w:hAnsiTheme="majorHAnsi"/>
          <w:bCs/>
          <w:iCs/>
          <w:lang w:val="en-ID"/>
        </w:rPr>
        <w:t>through</w:t>
      </w:r>
      <w:r w:rsidRPr="006C75BB">
        <w:rPr>
          <w:rFonts w:asciiTheme="majorHAnsi" w:hAnsiTheme="majorHAnsi"/>
          <w:bCs/>
          <w:iCs/>
          <w:lang w:val="en-ID"/>
        </w:rPr>
        <w:t xml:space="preserve"> literacy and reading activities at home. Teachers </w:t>
      </w:r>
      <w:r w:rsidRPr="006C75BB">
        <w:rPr>
          <w:rFonts w:asciiTheme="majorHAnsi" w:hAnsiTheme="majorHAnsi"/>
          <w:bCs/>
          <w:iCs/>
          <w:lang w:val="en-ID"/>
        </w:rPr>
        <w:lastRenderedPageBreak/>
        <w:t xml:space="preserve">received training on how to integrate literacy activities into their daily lessons, which helped sustain the momentum of </w:t>
      </w:r>
      <w:r w:rsidR="00BC2FC1">
        <w:rPr>
          <w:rFonts w:asciiTheme="majorHAnsi" w:hAnsiTheme="majorHAnsi"/>
          <w:bCs/>
          <w:iCs/>
          <w:lang w:val="en-ID"/>
        </w:rPr>
        <w:t>this study</w:t>
      </w:r>
      <w:r w:rsidRPr="006C75BB">
        <w:rPr>
          <w:rFonts w:asciiTheme="majorHAnsi" w:hAnsiTheme="majorHAnsi"/>
          <w:bCs/>
          <w:iCs/>
          <w:lang w:val="en-ID"/>
        </w:rPr>
        <w:t>. Furthermore, the involvement of parents and community members in literacy campaigns created a supportive environment that reinforced the importance of reading.</w:t>
      </w:r>
      <w:r w:rsidR="002E4536">
        <w:rPr>
          <w:rFonts w:asciiTheme="majorHAnsi" w:hAnsiTheme="majorHAnsi"/>
          <w:bCs/>
          <w:iCs/>
          <w:lang w:val="en-ID"/>
        </w:rPr>
        <w:t xml:space="preserve"> </w:t>
      </w:r>
      <w:r w:rsidR="002E4536" w:rsidRPr="002E4536">
        <w:rPr>
          <w:rFonts w:asciiTheme="majorHAnsi" w:hAnsiTheme="majorHAnsi"/>
          <w:bCs/>
          <w:iCs/>
        </w:rPr>
        <w:t xml:space="preserve">The findings of this study are consistent with previous research demonstrating that literacy interventions significantly improve reading ability, academic engagement, and learning outcomes </w:t>
      </w:r>
      <w:r w:rsidR="002E4536">
        <w:rPr>
          <w:rFonts w:asciiTheme="majorHAnsi" w:hAnsiTheme="majorHAnsi"/>
          <w:bCs/>
          <w:iCs/>
        </w:rPr>
        <w:fldChar w:fldCharType="begin" w:fldLock="1"/>
      </w:r>
      <w:r w:rsidR="0052480E">
        <w:rPr>
          <w:rFonts w:asciiTheme="majorHAnsi" w:hAnsiTheme="majorHAnsi"/>
          <w:bCs/>
          <w:iCs/>
        </w:rPr>
        <w:instrText>ADDIN CSL_CITATION {"citationItems":[{"id":"ITEM-1","itemData":{"DOI":"10.1177/21582440211069392","author":[{"dropping-particle":"","family":"Singh","given":"Aditya","non-dropping-particle":"","parse-names":false,"suffix":""}],"id":"ITEM-1","issued":{"date-parts":[["2022"]]},"title":"Using Curiosity to Improve Learning Outcomes in Schools","type":"article-journal"},"uris":["http://www.mendeley.com/documents/?uuid=c3b602c0-808a-4a6e-8d2f-a8fe98905688"]},{"id":"ITEM-2","itemData":{"DOI":"10.3390/educsci10030056","ISSN":"22277102","abstract":"This paper looks at the effects of an intervention, based on fluency oriented reading instruction (FORI), on the motivation for reading among struggling readers in First Class in Irish primary schools. The intervention took place in learning support settings in three primary schools located in urban educationally disadvantaged communities in North Dublin. The study was conducted through a pragmatic lens with research questions framed to shed light on the motivation for reading of students in First Class from disadvantaged backgrounds. A mixed methods design with a concurrent triangulation strategy was employed, facilitating the exploration of multiple research questions using questionnaires and semi‐structured interviews with teachers and parents and conversational interviews and surveys with students. The perspective of reading motivation guiding the study recognised the overlapping influences of teachers, parents and the student himself or herself. Findings, as reported by these research informants, indicate that the FORI intervention had a positive impact on the motivation for reading of struggling readers in First Class. In particular, the intervention was found to decrease students’ perceived difficulty with reading and increase their reading self‐efficacy and orientation towards reading.","author":[{"dropping-particle":"","family":"Mehigan","given":"Gene","non-dropping-particle":"","parse-names":false,"suffix":""}],"container-title":"Education Sciences","id":"ITEM-2","issue":"3","issued":{"date-parts":[["2020"]]},"title":"Effects of fluency oriented instruction on motivation for reading of struggling readers","type":"article-journal","volume":"10"},"uris":["http://www.mendeley.com/documents/?uuid=d0567f2e-a9d8-40ad-9357-284926ce486f"]}],"mendeley":{"formattedCitation":"(Mehigan, 2020; Singh, 2022)","plainTextFormattedCitation":"(Mehigan, 2020; Singh, 2022)","previouslyFormattedCitation":"(Mehigan, 2020; Singh, 2022)"},"properties":{"noteIndex":0},"schema":"https://github.com/citation-style-language/schema/raw/master/csl-citation.json"}</w:instrText>
      </w:r>
      <w:r w:rsidR="002E4536">
        <w:rPr>
          <w:rFonts w:asciiTheme="majorHAnsi" w:hAnsiTheme="majorHAnsi"/>
          <w:bCs/>
          <w:iCs/>
        </w:rPr>
        <w:fldChar w:fldCharType="separate"/>
      </w:r>
      <w:r w:rsidR="002E4536" w:rsidRPr="002E4536">
        <w:rPr>
          <w:rFonts w:asciiTheme="majorHAnsi" w:hAnsiTheme="majorHAnsi"/>
          <w:bCs/>
          <w:iCs/>
          <w:noProof/>
        </w:rPr>
        <w:t>(Mehigan, 2020; Singh, 2022)</w:t>
      </w:r>
      <w:r w:rsidR="002E4536">
        <w:rPr>
          <w:rFonts w:asciiTheme="majorHAnsi" w:hAnsiTheme="majorHAnsi"/>
          <w:bCs/>
          <w:iCs/>
        </w:rPr>
        <w:fldChar w:fldCharType="end"/>
      </w:r>
      <w:r w:rsidR="002E4536" w:rsidRPr="002E4536">
        <w:rPr>
          <w:rFonts w:asciiTheme="majorHAnsi" w:hAnsiTheme="majorHAnsi"/>
          <w:bCs/>
          <w:iCs/>
        </w:rPr>
        <w:t xml:space="preserve">. </w:t>
      </w:r>
    </w:p>
    <w:p w14:paraId="05691D01" w14:textId="77777777" w:rsidR="00DC24E3" w:rsidRPr="00C8212C" w:rsidRDefault="00DC24E3" w:rsidP="00DC24E3">
      <w:pPr>
        <w:spacing w:line="276" w:lineRule="auto"/>
        <w:ind w:left="284" w:firstLine="425"/>
        <w:jc w:val="both"/>
        <w:rPr>
          <w:lang w:val="en-ID"/>
        </w:rPr>
      </w:pPr>
      <w:r>
        <w:rPr>
          <w:lang w:val="en-ID"/>
        </w:rPr>
        <w:t>This study</w:t>
      </w:r>
      <w:r w:rsidRPr="00C8212C">
        <w:rPr>
          <w:lang w:val="en-ID"/>
        </w:rPr>
        <w:t>'s model, focused on enhancing literacy and reading interest, is both sustainable and scalable. With continued support, this approach can be replicated in other villages to address similar educational challenges. The involvement of local communities ensures that these gains can be maintained over time, promoting long-term educational success.</w:t>
      </w:r>
    </w:p>
    <w:p w14:paraId="74EEBA2C" w14:textId="6BD94B67" w:rsidR="00DC24E3" w:rsidRPr="00DC24E3" w:rsidRDefault="00DC24E3" w:rsidP="00DC24E3">
      <w:pPr>
        <w:pStyle w:val="Heading2"/>
        <w:widowControl/>
        <w:numPr>
          <w:ilvl w:val="1"/>
          <w:numId w:val="0"/>
        </w:numPr>
        <w:tabs>
          <w:tab w:val="left" w:pos="454"/>
        </w:tabs>
        <w:autoSpaceDE/>
        <w:autoSpaceDN/>
        <w:spacing w:before="0" w:line="276" w:lineRule="auto"/>
        <w:ind w:left="284" w:firstLine="425"/>
        <w:jc w:val="both"/>
        <w:rPr>
          <w:bCs/>
          <w:color w:val="auto"/>
          <w:sz w:val="18"/>
          <w:szCs w:val="18"/>
        </w:rPr>
      </w:pPr>
      <w:r w:rsidRPr="00B8572B">
        <w:rPr>
          <w:bCs/>
          <w:color w:val="auto"/>
          <w:sz w:val="22"/>
          <w:szCs w:val="22"/>
        </w:rPr>
        <w:t>One of the most noticeable results was a significant increase in students' interest in reading. Regular reading sessions, coupled with fun and interactive reading activities, stimulated curiosity and a positive attitude toward reading. The introduction of local stories, culturally relevant materials, and the involvement of the community made reading more relatable and enjoyable for students.</w:t>
      </w:r>
      <w:r>
        <w:rPr>
          <w:bCs/>
          <w:color w:val="auto"/>
          <w:sz w:val="22"/>
          <w:szCs w:val="22"/>
        </w:rPr>
        <w:t xml:space="preserve"> </w:t>
      </w:r>
      <w:r w:rsidRPr="00DC24E3">
        <w:rPr>
          <w:color w:val="auto"/>
          <w:sz w:val="22"/>
          <w:szCs w:val="22"/>
          <w:lang w:val="en-ID"/>
        </w:rPr>
        <w:t>When students, especially young learners, are introduced to reading in a way that is both enjoyable and relevant to their lives, it naturally stimulates curiosity and enhances their engagement with the material</w:t>
      </w:r>
      <w:r w:rsidRPr="00DC24E3">
        <w:rPr>
          <w:color w:val="auto"/>
          <w:sz w:val="22"/>
          <w:szCs w:val="22"/>
          <w:vertAlign w:val="superscript"/>
          <w:lang w:val="en-ID"/>
        </w:rPr>
        <w:t xml:space="preserve"> </w:t>
      </w:r>
      <w:r w:rsidRPr="00DC24E3">
        <w:rPr>
          <w:rStyle w:val="FootnoteReference"/>
          <w:color w:val="auto"/>
          <w:sz w:val="22"/>
          <w:szCs w:val="22"/>
          <w:lang w:val="en-ID"/>
        </w:rPr>
        <w:fldChar w:fldCharType="begin" w:fldLock="1"/>
      </w:r>
      <w:r w:rsidRPr="00DC24E3">
        <w:rPr>
          <w:color w:val="auto"/>
          <w:sz w:val="22"/>
          <w:szCs w:val="22"/>
          <w:lang w:val="en-ID"/>
        </w:rPr>
        <w:instrText>ADDIN CSL_CITATION {"citationItems":[{"id":"ITEM-1","itemData":{"DOI":"10.1177/21582440211069392","ISSN":"21582440","abstract":"Despite a high primary school enrollment in India, the overall learning levels have been low, and the dropout level in secondary school and beyond has been high. One reason for low learning levels and high drop-out rates is the student’s lack of motivation to learn in the classroom. We suggest that curiosity may be a useful tool to improve student motivation. We look at some important variables that have been found to affect curiosity in the classroom: self-determination needs, information relevance, coherence, concreteness, ease of comprehension, fantasy, belief about interest malleability, and information gap. Finally, we suggest ways to incorporate them in the classroom to improve student motivation.","author":[{"dropping-particle":"","family":"Singh","given":"Aditya","non-dropping-particle":"","parse-names":false,"suffix":""},{"dropping-particle":"","family":"Manjaly","given":"Jaison A.","non-dropping-particle":"","parse-names":false,"suffix":""}],"container-title":"SAGE Open","id":"ITEM-1","issue":"1","issued":{"date-parts":[["2022"]]},"title":"Using Curiosity to Improve Learning Outcomes in Schools","type":"article-journal","volume":"12"},"uris":["http://www.mendeley.com/documents/?uuid=759f821e-4fd8-4e45-9a37-f763427fd7e6"]}],"mendeley":{"formattedCitation":"(Singh &amp; Manjaly, 2022)","plainTextFormattedCitation":"(Singh &amp; Manjaly, 2022)","previouslyFormattedCitation":"(Singh &amp; Manjaly, 2022)"},"properties":{"noteIndex":0},"schema":"https://github.com/citation-style-language/schema/raw/master/csl-citation.json"}</w:instrText>
      </w:r>
      <w:r w:rsidRPr="00DC24E3">
        <w:rPr>
          <w:rStyle w:val="FootnoteReference"/>
          <w:color w:val="auto"/>
          <w:sz w:val="22"/>
          <w:szCs w:val="22"/>
          <w:lang w:val="en-ID"/>
        </w:rPr>
        <w:fldChar w:fldCharType="separate"/>
      </w:r>
      <w:r w:rsidRPr="00DC24E3">
        <w:rPr>
          <w:bCs/>
          <w:noProof/>
          <w:color w:val="auto"/>
          <w:sz w:val="22"/>
          <w:szCs w:val="22"/>
        </w:rPr>
        <w:t>(Singh &amp; Manjaly, 2022)</w:t>
      </w:r>
      <w:r w:rsidRPr="00DC24E3">
        <w:rPr>
          <w:rStyle w:val="FootnoteReference"/>
          <w:color w:val="auto"/>
          <w:sz w:val="22"/>
          <w:szCs w:val="22"/>
          <w:lang w:val="en-ID"/>
        </w:rPr>
        <w:fldChar w:fldCharType="end"/>
      </w:r>
      <w:r w:rsidRPr="00DC24E3">
        <w:rPr>
          <w:color w:val="auto"/>
          <w:sz w:val="22"/>
          <w:szCs w:val="22"/>
          <w:lang w:val="en-ID"/>
        </w:rPr>
        <w:t>. Regular reading sessions alone may improve reading skills, but when combined with interactive activities—such as storytelling, role-playing, or discussions—learning becomes an active process rather than a passive one. This shift from rote learning to experiential learning fosters a more positive relationship with reading, as students see it as something fun rather than a chore.</w:t>
      </w:r>
      <w:r>
        <w:rPr>
          <w:color w:val="auto"/>
          <w:sz w:val="22"/>
          <w:szCs w:val="22"/>
          <w:lang w:val="en-ID"/>
        </w:rPr>
        <w:t xml:space="preserve"> </w:t>
      </w:r>
      <w:r w:rsidRPr="00DC24E3">
        <w:rPr>
          <w:color w:val="auto"/>
          <w:sz w:val="22"/>
          <w:szCs w:val="22"/>
          <w:lang w:val="en-ID"/>
        </w:rPr>
        <w:t>Moreover, the use of local stories and culturally relevant materials makes reading more meaningful for students. When children see their own culture, traditions, and experiences reflected in the texts they read, they feel a stronger connection to the material. This relatability fosters a sense of belonging and validation, which further enhances their interest in reading. It breaks down the notion that reading is a distant or foreign activity and instead presents it as a valuable tool for exploring their world and heritage.</w:t>
      </w:r>
    </w:p>
    <w:p w14:paraId="39F7E61B" w14:textId="1A349B40" w:rsidR="005E3C0D" w:rsidRPr="00B207D1" w:rsidRDefault="002E4536" w:rsidP="00DC24E3">
      <w:pPr>
        <w:spacing w:line="276" w:lineRule="auto"/>
        <w:ind w:left="284" w:firstLine="425"/>
        <w:jc w:val="both"/>
        <w:rPr>
          <w:rFonts w:asciiTheme="majorHAnsi" w:hAnsiTheme="majorHAnsi"/>
          <w:bCs/>
          <w:iCs/>
          <w:lang w:val="en-ID"/>
        </w:rPr>
      </w:pPr>
      <w:r w:rsidRPr="002E4536">
        <w:rPr>
          <w:rFonts w:asciiTheme="majorHAnsi" w:hAnsiTheme="majorHAnsi"/>
          <w:bCs/>
          <w:iCs/>
        </w:rPr>
        <w:t xml:space="preserve">Similar studies conducted in rural education contexts have shown that structured literacy programs and parental involvement positively influence students’ reading motivation and literacy development. However, this study contributes novel insights by demonstrating the direct linkage between literacy enhancement and SDG 4 achievement at the village level. Unlike previous studies that focused primarily on classroom outcomes, this research highlights the broader role of </w:t>
      </w:r>
      <w:r w:rsidR="00BC2135">
        <w:rPr>
          <w:rFonts w:asciiTheme="majorHAnsi" w:hAnsiTheme="majorHAnsi"/>
          <w:bCs/>
          <w:iCs/>
        </w:rPr>
        <w:t>this study</w:t>
      </w:r>
      <w:r w:rsidRPr="002E4536">
        <w:rPr>
          <w:rFonts w:asciiTheme="majorHAnsi" w:hAnsiTheme="majorHAnsi"/>
          <w:bCs/>
          <w:iCs/>
        </w:rPr>
        <w:t xml:space="preserve"> interventions in improving education quality and supporting sustainable development goals.</w:t>
      </w:r>
    </w:p>
    <w:p w14:paraId="2B238186" w14:textId="0EBC8D6B" w:rsidR="005F001D" w:rsidRDefault="005F001D" w:rsidP="0000413E">
      <w:pPr>
        <w:pStyle w:val="Heading2"/>
        <w:widowControl/>
        <w:numPr>
          <w:ilvl w:val="1"/>
          <w:numId w:val="0"/>
        </w:numPr>
        <w:autoSpaceDE/>
        <w:autoSpaceDN/>
        <w:spacing w:before="0" w:line="276" w:lineRule="auto"/>
        <w:ind w:left="709" w:hanging="425"/>
        <w:jc w:val="both"/>
        <w:rPr>
          <w:color w:val="auto"/>
          <w:sz w:val="22"/>
          <w:szCs w:val="22"/>
        </w:rPr>
      </w:pPr>
      <w:r>
        <w:rPr>
          <w:b/>
          <w:bCs/>
          <w:color w:val="auto"/>
          <w:sz w:val="22"/>
          <w:szCs w:val="22"/>
        </w:rPr>
        <w:lastRenderedPageBreak/>
        <w:t>3.</w:t>
      </w:r>
      <w:r w:rsidR="00142669">
        <w:rPr>
          <w:b/>
          <w:bCs/>
          <w:color w:val="auto"/>
          <w:sz w:val="22"/>
          <w:szCs w:val="22"/>
        </w:rPr>
        <w:t>2</w:t>
      </w:r>
      <w:r>
        <w:rPr>
          <w:b/>
          <w:bCs/>
          <w:color w:val="auto"/>
          <w:sz w:val="22"/>
          <w:szCs w:val="22"/>
        </w:rPr>
        <w:tab/>
      </w:r>
      <w:r w:rsidRPr="005F001D">
        <w:rPr>
          <w:b/>
          <w:bCs/>
          <w:color w:val="auto"/>
          <w:sz w:val="22"/>
          <w:szCs w:val="22"/>
        </w:rPr>
        <w:t xml:space="preserve">Literacy and </w:t>
      </w:r>
      <w:r>
        <w:rPr>
          <w:b/>
          <w:bCs/>
          <w:color w:val="auto"/>
          <w:sz w:val="22"/>
          <w:szCs w:val="22"/>
        </w:rPr>
        <w:t>Reading Interest Enhancement</w:t>
      </w:r>
      <w:r w:rsidR="005A4707">
        <w:rPr>
          <w:b/>
          <w:bCs/>
          <w:color w:val="auto"/>
          <w:sz w:val="22"/>
          <w:szCs w:val="22"/>
        </w:rPr>
        <w:t xml:space="preserve"> </w:t>
      </w:r>
      <w:r w:rsidR="00DC24E3">
        <w:rPr>
          <w:b/>
          <w:bCs/>
          <w:color w:val="auto"/>
          <w:sz w:val="22"/>
          <w:szCs w:val="22"/>
        </w:rPr>
        <w:t>for accelerating SDGs 4</w:t>
      </w:r>
      <w:r w:rsidR="005A4707">
        <w:rPr>
          <w:b/>
          <w:bCs/>
          <w:color w:val="auto"/>
          <w:sz w:val="22"/>
          <w:szCs w:val="22"/>
        </w:rPr>
        <w:t xml:space="preserve"> at the </w:t>
      </w:r>
      <w:proofErr w:type="spellStart"/>
      <w:r w:rsidR="005A4707">
        <w:rPr>
          <w:b/>
          <w:bCs/>
          <w:color w:val="auto"/>
          <w:sz w:val="22"/>
          <w:szCs w:val="22"/>
        </w:rPr>
        <w:t>Setren</w:t>
      </w:r>
      <w:proofErr w:type="spellEnd"/>
      <w:r w:rsidR="005A4707">
        <w:rPr>
          <w:b/>
          <w:bCs/>
          <w:color w:val="auto"/>
          <w:sz w:val="22"/>
          <w:szCs w:val="22"/>
        </w:rPr>
        <w:t xml:space="preserve"> Village</w:t>
      </w:r>
    </w:p>
    <w:p w14:paraId="4FA3BC0C" w14:textId="06492FEE" w:rsidR="00012177" w:rsidRPr="000912FE" w:rsidRDefault="00142669" w:rsidP="00C77B61">
      <w:pPr>
        <w:pStyle w:val="Heading2"/>
        <w:widowControl/>
        <w:numPr>
          <w:ilvl w:val="1"/>
          <w:numId w:val="0"/>
        </w:numPr>
        <w:tabs>
          <w:tab w:val="left" w:pos="454"/>
        </w:tabs>
        <w:autoSpaceDE/>
        <w:autoSpaceDN/>
        <w:spacing w:before="0" w:line="276" w:lineRule="auto"/>
        <w:ind w:left="284" w:firstLine="425"/>
        <w:jc w:val="both"/>
        <w:rPr>
          <w:bCs/>
          <w:color w:val="auto"/>
          <w:sz w:val="22"/>
          <w:szCs w:val="22"/>
        </w:rPr>
      </w:pPr>
      <w:r w:rsidRPr="00142669">
        <w:rPr>
          <w:bCs/>
          <w:color w:val="auto"/>
          <w:sz w:val="22"/>
          <w:szCs w:val="22"/>
        </w:rPr>
        <w:t xml:space="preserve">These findings directly support SDG indicator 4.6, which emphasizes achieving universal literacy and numeracy proficiency. The observed improvement in literacy capability and reading interest demonstrates measurable progress in foundational learning competencies. This indicates that </w:t>
      </w:r>
      <w:r w:rsidR="00BC2135">
        <w:rPr>
          <w:bCs/>
          <w:color w:val="auto"/>
          <w:sz w:val="22"/>
          <w:szCs w:val="22"/>
        </w:rPr>
        <w:t>this study</w:t>
      </w:r>
      <w:r w:rsidRPr="00142669">
        <w:rPr>
          <w:bCs/>
          <w:color w:val="auto"/>
          <w:sz w:val="22"/>
          <w:szCs w:val="22"/>
        </w:rPr>
        <w:t xml:space="preserve"> interventions can serve as effective mechanisms for improving education quality and accelerating SDG 4 achievement at the village level.</w:t>
      </w:r>
      <w:r w:rsidR="000912FE">
        <w:rPr>
          <w:bCs/>
          <w:color w:val="auto"/>
          <w:sz w:val="22"/>
          <w:szCs w:val="22"/>
        </w:rPr>
        <w:t xml:space="preserve"> </w:t>
      </w:r>
      <w:r w:rsidR="005F001D" w:rsidRPr="005F001D">
        <w:rPr>
          <w:bCs/>
          <w:color w:val="auto"/>
          <w:sz w:val="22"/>
          <w:szCs w:val="22"/>
        </w:rPr>
        <w:t>Enhancing literacy and increasing interest in reading in villages can be a very effective strategy to accelerate the achievement of the Sustainable Development Goals (SDGs). The SDGs themselves are a series of global development goals designed by the United Nations (UN) to overcome various social, economic, and environmental challenges throughout the world</w:t>
      </w:r>
      <w:r w:rsidR="000912FE">
        <w:rPr>
          <w:bCs/>
          <w:color w:val="auto"/>
          <w:sz w:val="22"/>
          <w:szCs w:val="22"/>
        </w:rPr>
        <w:t xml:space="preserve">. </w:t>
      </w:r>
      <w:r w:rsidR="000912FE" w:rsidRPr="000912FE">
        <w:rPr>
          <w:bCs/>
          <w:color w:val="auto"/>
          <w:sz w:val="22"/>
          <w:szCs w:val="22"/>
        </w:rPr>
        <w:t>Recent global reports highlight the urgency of improving foundational literacy to achieve SDG 4</w:t>
      </w:r>
      <w:r w:rsidR="00C77B61">
        <w:rPr>
          <w:bCs/>
          <w:color w:val="auto"/>
          <w:sz w:val="22"/>
          <w:szCs w:val="22"/>
        </w:rPr>
        <w:t>, while a</w:t>
      </w:r>
      <w:r w:rsidR="000912FE" w:rsidRPr="000912FE">
        <w:rPr>
          <w:bCs/>
          <w:color w:val="auto"/>
          <w:sz w:val="22"/>
          <w:szCs w:val="22"/>
        </w:rPr>
        <w:t xml:space="preserve">ccording to UNESCO </w:t>
      </w:r>
      <w:r w:rsidR="000912FE">
        <w:rPr>
          <w:bCs/>
          <w:color w:val="auto"/>
          <w:sz w:val="22"/>
          <w:szCs w:val="22"/>
        </w:rPr>
        <w:fldChar w:fldCharType="begin" w:fldLock="1"/>
      </w:r>
      <w:r w:rsidR="00C77B61">
        <w:rPr>
          <w:bCs/>
          <w:color w:val="auto"/>
          <w:sz w:val="22"/>
          <w:szCs w:val="22"/>
        </w:rPr>
        <w:instrText>ADDIN CSL_CITATION {"citationItems":[{"id":"ITEM-1","itemData":{"ISBN":"9789231007163","author":[{"dropping-particle":"","family":"Learning","given":"Lead F O R","non-dropping-particle":"","parse-names":false,"suffix":""}],"id":"ITEM-1","issued":{"date-parts":[["2024"]]},"title":"Leadership in education","type":"book"},"uris":["http://www.mendeley.com/documents/?uuid=a2655595-ba10-4778-a351-752a314ef92b"]}],"mendeley":{"formattedCitation":"(Learning, 2024)","manualFormatting":"(UNESCO, 2024)","plainTextFormattedCitation":"(Learning, 2024)","previouslyFormattedCitation":"(Learning, 2024)"},"properties":{"noteIndex":0},"schema":"https://github.com/citation-style-language/schema/raw/master/csl-citation.json"}</w:instrText>
      </w:r>
      <w:r w:rsidR="000912FE">
        <w:rPr>
          <w:bCs/>
          <w:color w:val="auto"/>
          <w:sz w:val="22"/>
          <w:szCs w:val="22"/>
        </w:rPr>
        <w:fldChar w:fldCharType="separate"/>
      </w:r>
      <w:r w:rsidR="000912FE" w:rsidRPr="000912FE">
        <w:rPr>
          <w:bCs/>
          <w:noProof/>
          <w:color w:val="auto"/>
          <w:sz w:val="22"/>
          <w:szCs w:val="22"/>
        </w:rPr>
        <w:t>(</w:t>
      </w:r>
      <w:r w:rsidR="000912FE">
        <w:rPr>
          <w:bCs/>
          <w:noProof/>
          <w:color w:val="auto"/>
          <w:sz w:val="22"/>
          <w:szCs w:val="22"/>
        </w:rPr>
        <w:t>UNESCO</w:t>
      </w:r>
      <w:r w:rsidR="000912FE" w:rsidRPr="000912FE">
        <w:rPr>
          <w:bCs/>
          <w:noProof/>
          <w:color w:val="auto"/>
          <w:sz w:val="22"/>
          <w:szCs w:val="22"/>
        </w:rPr>
        <w:t>, 2024)</w:t>
      </w:r>
      <w:r w:rsidR="000912FE">
        <w:rPr>
          <w:bCs/>
          <w:color w:val="auto"/>
          <w:sz w:val="22"/>
          <w:szCs w:val="22"/>
        </w:rPr>
        <w:fldChar w:fldCharType="end"/>
      </w:r>
      <w:r w:rsidR="000912FE">
        <w:rPr>
          <w:bCs/>
          <w:color w:val="auto"/>
          <w:sz w:val="22"/>
          <w:szCs w:val="22"/>
        </w:rPr>
        <w:t xml:space="preserve">, </w:t>
      </w:r>
      <w:r w:rsidR="00C77B61">
        <w:rPr>
          <w:bCs/>
          <w:color w:val="auto"/>
          <w:sz w:val="22"/>
          <w:szCs w:val="22"/>
        </w:rPr>
        <w:t>millions</w:t>
      </w:r>
      <w:r w:rsidR="000912FE" w:rsidRPr="000912FE">
        <w:rPr>
          <w:bCs/>
          <w:color w:val="auto"/>
          <w:sz w:val="22"/>
          <w:szCs w:val="22"/>
        </w:rPr>
        <w:t xml:space="preserve"> of children worldwide still lack minimum reading proficiency, particularly in developing and rural areas</w:t>
      </w:r>
      <w:r w:rsidR="000912FE">
        <w:rPr>
          <w:bCs/>
          <w:color w:val="auto"/>
          <w:sz w:val="22"/>
          <w:szCs w:val="22"/>
        </w:rPr>
        <w:t xml:space="preserve">. </w:t>
      </w:r>
      <w:r w:rsidR="00012177" w:rsidRPr="000912FE">
        <w:rPr>
          <w:color w:val="auto"/>
          <w:sz w:val="22"/>
          <w:szCs w:val="22"/>
        </w:rPr>
        <w:t>The results demonstrate the effectiveness of targeted literacy programs in rural areas as a means to accelerate progress toward the SDGs, particularly SDG 4, which focuses on quality education.</w:t>
      </w:r>
      <w:r w:rsidR="00C77B61">
        <w:rPr>
          <w:color w:val="auto"/>
          <w:sz w:val="22"/>
          <w:szCs w:val="22"/>
        </w:rPr>
        <w:t xml:space="preserve"> The </w:t>
      </w:r>
      <w:r w:rsidR="00C77B61" w:rsidRPr="00C77B61">
        <w:rPr>
          <w:color w:val="auto"/>
          <w:sz w:val="22"/>
          <w:szCs w:val="22"/>
        </w:rPr>
        <w:t>OECD</w:t>
      </w:r>
      <w:r w:rsidR="00C77B61">
        <w:rPr>
          <w:color w:val="auto"/>
          <w:sz w:val="22"/>
          <w:szCs w:val="22"/>
        </w:rPr>
        <w:t xml:space="preserve"> </w:t>
      </w:r>
      <w:r w:rsidR="00C77B61">
        <w:rPr>
          <w:color w:val="auto"/>
          <w:sz w:val="22"/>
          <w:szCs w:val="22"/>
        </w:rPr>
        <w:fldChar w:fldCharType="begin" w:fldLock="1"/>
      </w:r>
      <w:r w:rsidR="00845C50">
        <w:rPr>
          <w:color w:val="auto"/>
          <w:sz w:val="22"/>
          <w:szCs w:val="22"/>
        </w:rPr>
        <w:instrText>ADDIN CSL_CITATION {"citationItems":[{"id":"ITEM-1","itemData":{"ISBN":"9789264582583","author":[{"dropping-particle":"","family":"Indicators","given":"Oecd","non-dropping-particle":"","parse-names":false,"suffix":""}],"id":"ITEM-1","issued":{"date-parts":[["2022"]]},"title":"Education at a Glance 2022","type":"book"},"uris":["http://www.mendeley.com/documents/?uuid=229016ad-9121-4d98-b7da-85d1d5091b2b"]}],"mendeley":{"formattedCitation":"(Indicators, 2022)","manualFormatting":"(OECD, 2022)","plainTextFormattedCitation":"(Indicators, 2022)","previouslyFormattedCitation":"(Indicators, 2022)"},"properties":{"noteIndex":0},"schema":"https://github.com/citation-style-language/schema/raw/master/csl-citation.json"}</w:instrText>
      </w:r>
      <w:r w:rsidR="00C77B61">
        <w:rPr>
          <w:color w:val="auto"/>
          <w:sz w:val="22"/>
          <w:szCs w:val="22"/>
        </w:rPr>
        <w:fldChar w:fldCharType="separate"/>
      </w:r>
      <w:r w:rsidR="00C77B61" w:rsidRPr="00C77B61">
        <w:rPr>
          <w:noProof/>
          <w:color w:val="auto"/>
          <w:sz w:val="22"/>
          <w:szCs w:val="22"/>
        </w:rPr>
        <w:t>(</w:t>
      </w:r>
      <w:r w:rsidR="00C77B61">
        <w:rPr>
          <w:noProof/>
          <w:color w:val="auto"/>
          <w:sz w:val="22"/>
          <w:szCs w:val="22"/>
        </w:rPr>
        <w:t>OECD</w:t>
      </w:r>
      <w:r w:rsidR="00C77B61" w:rsidRPr="00C77B61">
        <w:rPr>
          <w:noProof/>
          <w:color w:val="auto"/>
          <w:sz w:val="22"/>
          <w:szCs w:val="22"/>
        </w:rPr>
        <w:t>, 2022)</w:t>
      </w:r>
      <w:r w:rsidR="00C77B61">
        <w:rPr>
          <w:color w:val="auto"/>
          <w:sz w:val="22"/>
          <w:szCs w:val="22"/>
        </w:rPr>
        <w:fldChar w:fldCharType="end"/>
      </w:r>
      <w:r w:rsidR="00C77B61">
        <w:rPr>
          <w:color w:val="auto"/>
          <w:sz w:val="22"/>
          <w:szCs w:val="22"/>
        </w:rPr>
        <w:t xml:space="preserve"> </w:t>
      </w:r>
      <w:r w:rsidR="00C77B61" w:rsidRPr="00C77B61">
        <w:rPr>
          <w:color w:val="auto"/>
          <w:sz w:val="22"/>
          <w:szCs w:val="22"/>
        </w:rPr>
        <w:t xml:space="preserve">also highlights literacy competency as a key indicator of education system effectiveness. These findings underscore the importance of </w:t>
      </w:r>
      <w:r w:rsidR="00EA5D92">
        <w:rPr>
          <w:color w:val="auto"/>
          <w:sz w:val="22"/>
          <w:szCs w:val="22"/>
        </w:rPr>
        <w:t xml:space="preserve">this study’s </w:t>
      </w:r>
      <w:r w:rsidR="00C77B61" w:rsidRPr="00C77B61">
        <w:rPr>
          <w:color w:val="auto"/>
          <w:sz w:val="22"/>
          <w:szCs w:val="22"/>
        </w:rPr>
        <w:t>interventions in improving education quality and supporting SDG 4 achievement.</w:t>
      </w:r>
      <w:r w:rsidR="00012177" w:rsidRPr="000912FE">
        <w:rPr>
          <w:color w:val="auto"/>
          <w:sz w:val="22"/>
          <w:szCs w:val="22"/>
        </w:rPr>
        <w:t xml:space="preserve"> By enhancing literacy and reading interest among elementary students, </w:t>
      </w:r>
      <w:r w:rsidR="00BC2FC1" w:rsidRPr="000912FE">
        <w:rPr>
          <w:color w:val="auto"/>
          <w:sz w:val="22"/>
          <w:szCs w:val="22"/>
        </w:rPr>
        <w:t>this study</w:t>
      </w:r>
      <w:r w:rsidR="00012177" w:rsidRPr="000912FE">
        <w:rPr>
          <w:color w:val="auto"/>
          <w:sz w:val="22"/>
          <w:szCs w:val="22"/>
        </w:rPr>
        <w:t xml:space="preserve"> directly addresses the educational gaps often found in village settings, where resources are limited, and access to quality learning is uneven</w:t>
      </w:r>
      <w:r w:rsidR="00066592" w:rsidRPr="000912FE">
        <w:rPr>
          <w:color w:val="auto"/>
          <w:sz w:val="22"/>
          <w:szCs w:val="22"/>
          <w:vertAlign w:val="superscript"/>
        </w:rPr>
        <w:t xml:space="preserve"> </w:t>
      </w:r>
      <w:r w:rsidR="00674536" w:rsidRPr="000912FE">
        <w:rPr>
          <w:rStyle w:val="FootnoteReference"/>
          <w:color w:val="auto"/>
          <w:sz w:val="22"/>
          <w:szCs w:val="22"/>
        </w:rPr>
        <w:fldChar w:fldCharType="begin" w:fldLock="1"/>
      </w:r>
      <w:r w:rsidR="00980A23" w:rsidRPr="000912FE">
        <w:rPr>
          <w:color w:val="auto"/>
          <w:sz w:val="22"/>
          <w:szCs w:val="22"/>
        </w:rPr>
        <w:instrText>ADDIN CSL_CITATION {"citationItems":[{"id":"ITEM-1","itemData":{"DOI":"10.1080/1359866052000341142","ISSN":"1359-866X","abstract":" Reading literacy and reading interest was examined in four primary schools in Papua New Guinea: in an international, suburban, settlement and village school. In this paper we present a summary of findings located within a local context and examine the implications as viewed through two lenses. From an 'educational for equality' perspective, the findings suggest a critical need to re-evaluate the use of national testing to select children for further education and address the serious shortage of reading books in school libraries. From an 'education for life' perspective, the findings indicate a continuing need for community-based actions together with innovative teacher education programs aimed at developing ways of strengthening the connections between home and school.","author":[{"dropping-particle":"","family":"Hopkins","given":"Sarah","non-dropping-particle":"","parse-names":false,"suffix":""},{"dropping-particle":"","family":"Ogle","given":"Graham","non-dropping-particle":"","parse-names":false,"suffix":""},{"dropping-particle":"","family":"Kaleveld","given":"Lisette","non-dropping-particle":"","parse-names":false,"suffix":""},{"dropping-particle":"","family":"Maurice","given":"John","non-dropping-particle":"","parse-names":false,"suffix":""},{"dropping-particle":"","family":"Keria","given":"Betty","non-dropping-particle":"","parse-names":false,"suffix":""},{"dropping-particle":"","family":"Louden","given":"William","non-dropping-particle":"","parse-names":false,"suffix":""},{"dropping-particle":"","family":"Rohl","given":"Mary","non-dropping-particle":"","parse-names":false,"suffix":""}],"container-title":"Asia-Pacific Journal of Teacher Education","id":"ITEM-1","issue":"1","issued":{"date-parts":[["2005"]]},"page":"77-96","title":"‘Education for equality’ and ‘education for life’: examining reading literacy and reading interest in Papua New Guinea primary schools1","type":"article-journal","volume":"33"},"uris":["http://www.mendeley.com/documents/?uuid=900989f0-25ba-44f9-b617-c6ac9b43ab92"]}],"mendeley":{"formattedCitation":"(Hopkins et al., 2005)","plainTextFormattedCitation":"(Hopkins et al., 2005)","previouslyFormattedCitation":"(Hopkins et al., 2005)"},"properties":{"noteIndex":0},"schema":"https://github.com/citation-style-language/schema/raw/master/csl-citation.json"}</w:instrText>
      </w:r>
      <w:r w:rsidR="00674536" w:rsidRPr="000912FE">
        <w:rPr>
          <w:rStyle w:val="FootnoteReference"/>
          <w:color w:val="auto"/>
          <w:sz w:val="22"/>
          <w:szCs w:val="22"/>
        </w:rPr>
        <w:fldChar w:fldCharType="separate"/>
      </w:r>
      <w:r w:rsidR="00674536" w:rsidRPr="000912FE">
        <w:rPr>
          <w:bCs/>
          <w:noProof/>
          <w:color w:val="auto"/>
          <w:sz w:val="22"/>
          <w:szCs w:val="22"/>
        </w:rPr>
        <w:t>(Hopkins et al., 2005)</w:t>
      </w:r>
      <w:r w:rsidR="00674536" w:rsidRPr="000912FE">
        <w:rPr>
          <w:rStyle w:val="FootnoteReference"/>
          <w:color w:val="auto"/>
          <w:sz w:val="22"/>
          <w:szCs w:val="22"/>
        </w:rPr>
        <w:fldChar w:fldCharType="end"/>
      </w:r>
      <w:r w:rsidR="00012177" w:rsidRPr="000912FE">
        <w:rPr>
          <w:color w:val="auto"/>
          <w:sz w:val="22"/>
          <w:szCs w:val="22"/>
        </w:rPr>
        <w:t>.</w:t>
      </w:r>
      <w:r w:rsidR="0076274B" w:rsidRPr="000912FE">
        <w:rPr>
          <w:color w:val="auto"/>
          <w:sz w:val="22"/>
          <w:szCs w:val="22"/>
        </w:rPr>
        <w:t xml:space="preserve"> </w:t>
      </w:r>
    </w:p>
    <w:p w14:paraId="1775385C" w14:textId="09F31907" w:rsidR="0076274B" w:rsidRPr="0076274B" w:rsidRDefault="0076274B" w:rsidP="0000413E">
      <w:pPr>
        <w:spacing w:line="276" w:lineRule="auto"/>
        <w:ind w:left="284" w:firstLine="425"/>
        <w:jc w:val="both"/>
        <w:rPr>
          <w:lang w:val="en-ID"/>
        </w:rPr>
      </w:pPr>
      <w:r w:rsidRPr="0076274B">
        <w:rPr>
          <w:lang w:val="en-ID"/>
        </w:rPr>
        <w:t xml:space="preserve">In village settings, access to quality education is frequently hampered by various factors such as a lack of infrastructure, insufficient educational resources, and socio-economic challenges. Enhancing literacy and fostering a strong interest in reading addresses these gaps by focusing on the foundational skills that are essential for lifelong learning. Literacy is not just a basic educational outcome, but a gateway to all forms of knowledge acquisition. By equipping students with better reading skills, </w:t>
      </w:r>
      <w:r w:rsidR="00BC2FC1">
        <w:rPr>
          <w:lang w:val="en-ID"/>
        </w:rPr>
        <w:t>this study</w:t>
      </w:r>
      <w:r w:rsidRPr="0076274B">
        <w:rPr>
          <w:lang w:val="en-ID"/>
        </w:rPr>
        <w:t xml:space="preserve"> empowers them to access a broader range of learning materials, engage more deeply with their studies, and develop critical thinking skills—ultimately improving their overall educational outcomes.</w:t>
      </w:r>
      <w:r w:rsidR="00C8212C">
        <w:rPr>
          <w:lang w:val="en-ID"/>
        </w:rPr>
        <w:t xml:space="preserve"> </w:t>
      </w:r>
      <w:r w:rsidRPr="0076274B">
        <w:rPr>
          <w:lang w:val="en-ID"/>
        </w:rPr>
        <w:t xml:space="preserve">Additionally, by increasing reading interest, </w:t>
      </w:r>
      <w:r w:rsidR="00BC2FC1">
        <w:rPr>
          <w:lang w:val="en-ID"/>
        </w:rPr>
        <w:t>this study</w:t>
      </w:r>
      <w:r w:rsidRPr="0076274B">
        <w:rPr>
          <w:lang w:val="en-ID"/>
        </w:rPr>
        <w:t xml:space="preserve"> creates intrinsic motivation in students, which is crucial in environments where external incentives (like advanced technology or well-funded schools) are scarce. This interest drives students to continue learning independently, thus compensating for the limitations in formal schooling and available resources in the village. When students become motivated readers, they expand their knowledge even in the absence of extensive external support, helping to bridge the education gap between rural and urban areas.</w:t>
      </w:r>
    </w:p>
    <w:p w14:paraId="29F7E605" w14:textId="5172D54D" w:rsidR="00B8572B" w:rsidRPr="00DC24E3" w:rsidRDefault="00C8212C" w:rsidP="00DC24E3">
      <w:pPr>
        <w:spacing w:line="276" w:lineRule="auto"/>
        <w:ind w:left="284" w:firstLine="425"/>
        <w:jc w:val="both"/>
      </w:pPr>
      <w:r>
        <w:t>Besides</w:t>
      </w:r>
      <w:r w:rsidR="0076274B">
        <w:t xml:space="preserve"> the literacy and reading activities, t</w:t>
      </w:r>
      <w:r w:rsidR="0076274B" w:rsidRPr="0076274B">
        <w:t xml:space="preserve">he success of </w:t>
      </w:r>
      <w:r w:rsidR="00BC2FC1">
        <w:t>this study</w:t>
      </w:r>
      <w:r w:rsidR="0076274B" w:rsidRPr="0076274B">
        <w:t xml:space="preserve"> highlights the importance of a holistic approach, where the involvement of parents, teachers, and the community is crucial. The initiative extended learning beyond the classroom, embedding literacy into the fabric of daily life in the village. This comprehensive strategy addresses not just the intellectual needs of children but also their emotional and social development.</w:t>
      </w:r>
      <w:r>
        <w:t xml:space="preserve"> </w:t>
      </w:r>
      <w:r w:rsidRPr="00C8212C">
        <w:t xml:space="preserve">The results underscore </w:t>
      </w:r>
      <w:r w:rsidR="00BC2FC1">
        <w:t>this study</w:t>
      </w:r>
      <w:r w:rsidRPr="00C8212C">
        <w:t xml:space="preserve">’s effectiveness in overcoming common barriers in rural education, such as a lack of reading materials, limited parental involvement, and poor infrastructure. By providing accessible, culturally relevant books and promoting communal engagement, these challenges were mitigated. Additionally, addressing dropout rates supports the SDG target of ensuring that all children complete primary and </w:t>
      </w:r>
      <w:r w:rsidRPr="00C8212C">
        <w:lastRenderedPageBreak/>
        <w:t>secondary education.</w:t>
      </w:r>
      <w:r w:rsidR="00DC24E3">
        <w:t xml:space="preserve"> </w:t>
      </w:r>
      <w:r w:rsidR="00B8572B" w:rsidRPr="00B8572B">
        <w:rPr>
          <w:lang w:val="en-ID"/>
        </w:rPr>
        <w:t>In addition, involving the community in literacy programs creates a supportive and inclusive environment that further encourages reading. When reading is valued not only in the classroom but also in the home and community, students are more likely to see it as an integral part of their lives. Parents, siblings, and community members participating in reading activities create positive social reinforcement, making reading a shared, enjoyable experience rather than an isolated academic task. This communal approach ensures that students have both external and internal motivation to continue engaging with reading, further solidifying their interest in it</w:t>
      </w:r>
      <w:r w:rsidR="00674536">
        <w:rPr>
          <w:rStyle w:val="FootnoteReference"/>
          <w:lang w:val="en-ID"/>
        </w:rPr>
        <w:fldChar w:fldCharType="begin" w:fldLock="1"/>
      </w:r>
      <w:r w:rsidR="00980A23">
        <w:rPr>
          <w:lang w:val="en-ID"/>
        </w:rPr>
        <w:instrText>ADDIN CSL_CITATION {"citationItems":[{"id":"ITEM-1","itemData":{"author":[{"dropping-particle":"","family":"Ragelienė Supervisor","given":"Tija","non-dropping-particle":"","parse-names":false,"suffix":""},{"dropping-particle":"","family":"Grønhøj Co-Supervisor","given":"Alice","non-dropping-particle":"","parse-names":false,"suffix":""},{"dropping-particle":"","family":"Aschemann-Witzel Programme","given":"Jessica","non-dropping-particle":"","parse-names":false,"suffix":""}],"id":"ITEM-1","issued":{"date-parts":[["2021"]]},"title":"Peer, Sibling and Social Media Influence on Preadolescent Children's Healthy Eating Behaviour","type":"article-journal"},"uris":["http://www.mendeley.com/documents/?uuid=6aa265f1-f7bc-4b71-ab9c-8ef7a15cd3d0"]}],"mendeley":{"formattedCitation":"(Ragelienė Supervisor et al., 2021)","plainTextFormattedCitation":"(Ragelienė Supervisor et al., 2021)","previouslyFormattedCitation":"(Ragelienė Supervisor et al., 2021)"},"properties":{"noteIndex":0},"schema":"https://github.com/citation-style-language/schema/raw/master/csl-citation.json"}</w:instrText>
      </w:r>
      <w:r w:rsidR="00674536">
        <w:rPr>
          <w:rStyle w:val="FootnoteReference"/>
          <w:lang w:val="en-ID"/>
        </w:rPr>
        <w:fldChar w:fldCharType="separate"/>
      </w:r>
      <w:r w:rsidR="00674536" w:rsidRPr="00674536">
        <w:rPr>
          <w:noProof/>
          <w:lang w:val="en-ID"/>
        </w:rPr>
        <w:t>(Ragelienė Supervisor et al., 2021)</w:t>
      </w:r>
      <w:r w:rsidR="00674536">
        <w:rPr>
          <w:rStyle w:val="FootnoteReference"/>
          <w:lang w:val="en-ID"/>
        </w:rPr>
        <w:fldChar w:fldCharType="end"/>
      </w:r>
      <w:r w:rsidR="00674536">
        <w:rPr>
          <w:rStyle w:val="FootnoteReference"/>
          <w:lang w:val="en-ID"/>
        </w:rPr>
        <w:fldChar w:fldCharType="begin" w:fldLock="1"/>
      </w:r>
      <w:r w:rsidR="00980A23">
        <w:rPr>
          <w:lang w:val="en-ID"/>
        </w:rPr>
        <w:instrText>ADDIN CSL_CITATION {"citationItems":[{"id":"ITEM-1","itemData":{"DOI":"10.1007/s40617-020-00431-0","ISSN":"1998-1929","abstract":"Parents managing their home environments during government-ordered stay-at-home periods are likely to need new skills for occupying their children’s time with activities that promote health and emotional well-being. Moreover, parents and children know they need help managing these circumstances. Perhaps for the first time, behavior analysts hold the reinforcers for increasing parental involvement in effective child-rearing practices. In fact, behavior analysts can help parents enlist their children in managing the household by framing their behavior in terms of hidden superpowers. In the current article, we argue that behavior analysts have a range of tools to offer that are grounded in evidence-based principles, strategies, and kernels—or essential units of behavioral influence. When combined into scheduled daily practices and invoked by children taught to see their use of the tools as nothing short of heroic, these practices function as “vaccinations” that inoculate families against toxic and unsafe behaviors.","author":[{"dropping-particle":"","family":"Szabo","given":"Thomas G.","non-dropping-particle":"","parse-names":false,"suffix":""},{"dropping-particle":"","family":"Richling","given":"Sarah","non-dropping-particle":"","parse-names":false,"suffix":""},{"dropping-particle":"","family":"Embry","given":"Dennis D.","non-dropping-particle":"","parse-names":false,"suffix":""},{"dropping-particle":"","family":"Biglan","given":"Anthony","non-dropping-particle":"","parse-names":false,"suffix":""},{"dropping-particle":"","family":"Wilson","given":"Kelly G.","non-dropping-particle":"","parse-names":false,"suffix":""}],"container-title":"Behavior Analysis in Practice","id":"ITEM-1","issue":"3","issued":{"date-parts":[["2020"]]},"page":"568-576","publisher":"Behavior Analysis in Practice","title":"From Helpless to Hero: Promoting Values-Based Behavior and Positive Family Interaction in the Midst of COVID-19","type":"article-journal","volume":"13"},"uris":["http://www.mendeley.com/documents/?uuid=481e0df3-b208-47f0-b3fd-919ab4e43ffc"]}],"mendeley":{"formattedCitation":"(Szabo et al., 2020)","plainTextFormattedCitation":"(Szabo et al., 2020)","previouslyFormattedCitation":"(Szabo et al., 2020)"},"properties":{"noteIndex":0},"schema":"https://github.com/citation-style-language/schema/raw/master/csl-citation.json"}</w:instrText>
      </w:r>
      <w:r w:rsidR="00674536">
        <w:rPr>
          <w:rStyle w:val="FootnoteReference"/>
          <w:lang w:val="en-ID"/>
        </w:rPr>
        <w:fldChar w:fldCharType="separate"/>
      </w:r>
      <w:r w:rsidR="00674536" w:rsidRPr="00674536">
        <w:rPr>
          <w:bCs/>
          <w:noProof/>
        </w:rPr>
        <w:t>(Szabo et al., 2020)</w:t>
      </w:r>
      <w:r w:rsidR="00674536">
        <w:rPr>
          <w:rStyle w:val="FootnoteReference"/>
          <w:lang w:val="en-ID"/>
        </w:rPr>
        <w:fldChar w:fldCharType="end"/>
      </w:r>
      <w:r w:rsidR="002F70A1">
        <w:rPr>
          <w:lang w:val="en-ID"/>
        </w:rPr>
        <w:t>.</w:t>
      </w:r>
    </w:p>
    <w:p w14:paraId="16ED67D4" w14:textId="77777777" w:rsidR="00845C50" w:rsidRDefault="002F70A1" w:rsidP="00845C50">
      <w:pPr>
        <w:spacing w:line="276" w:lineRule="auto"/>
        <w:ind w:left="284" w:firstLine="283"/>
        <w:jc w:val="both"/>
      </w:pPr>
      <w:r w:rsidRPr="002F70A1">
        <w:t xml:space="preserve">The combination of </w:t>
      </w:r>
      <w:r w:rsidR="00845C50">
        <w:t>students, teachers, and parents’</w:t>
      </w:r>
      <w:r w:rsidRPr="002F70A1">
        <w:t xml:space="preserve"> efforts is a key factor in the success of these initiatives. Schools provide the structured learning environment necessary to impart literacy skills, while community engagement ensures that learning continues outside the classroom. Parental involvement, local reading clubs, and the inclusion of culturally relevant materials help bridge the gap between formal education and the home environment, making literacy a shared priority. </w:t>
      </w:r>
      <w:r w:rsidR="00845C50" w:rsidRPr="002F70A1">
        <w:rPr>
          <w:lang w:val="en-ID"/>
        </w:rPr>
        <w:t xml:space="preserve">Teachers, with their expertise, </w:t>
      </w:r>
      <w:r w:rsidR="00845C50">
        <w:rPr>
          <w:lang w:val="en-ID"/>
        </w:rPr>
        <w:t>can</w:t>
      </w:r>
      <w:r w:rsidR="00845C50" w:rsidRPr="002F70A1">
        <w:rPr>
          <w:lang w:val="en-ID"/>
        </w:rPr>
        <w:t xml:space="preserve"> guide and assess students' progress, creating a framework for measurable outcomes. However, the role of the community is equally vital in ensuring that literacy is not confined to the classroom but becomes an integral part of daily life.</w:t>
      </w:r>
      <w:r w:rsidR="00845C50">
        <w:rPr>
          <w:lang w:val="en-ID"/>
        </w:rPr>
        <w:t xml:space="preserve"> </w:t>
      </w:r>
      <w:r w:rsidRPr="002F70A1">
        <w:t>This synergy helps sustain momentum, ensuring that the gains made through literacy programs are not short-lived but become embedded in the fabric of the community.</w:t>
      </w:r>
      <w:r w:rsidR="00845C50">
        <w:t xml:space="preserve"> </w:t>
      </w:r>
    </w:p>
    <w:p w14:paraId="0439D2A8" w14:textId="1B53B86B" w:rsidR="005F001D" w:rsidRPr="00845C50" w:rsidRDefault="002F70A1" w:rsidP="00845C50">
      <w:pPr>
        <w:spacing w:line="276" w:lineRule="auto"/>
        <w:ind w:left="284" w:firstLine="283"/>
        <w:jc w:val="both"/>
        <w:rPr>
          <w:lang w:val="en-ID"/>
        </w:rPr>
      </w:pPr>
      <w:r w:rsidRPr="002F70A1">
        <w:rPr>
          <w:lang w:val="en-ID"/>
        </w:rPr>
        <w:t>Community engagement amplifies the reach of literacy programs by fostering a culture of reading and learning beyond school walls. Parental involvement plays a crucial role in reinforcing what is learned at school, as parents who actively participate in their children's education help sustain their motivation and commitment to literacy. This involvement could take the form of reading at home, attending literacy workshops, or joining parent-teacher associations focused on educational outcomes.</w:t>
      </w:r>
      <w:r w:rsidR="00845C50">
        <w:rPr>
          <w:lang w:val="en-ID"/>
        </w:rPr>
        <w:t xml:space="preserve"> </w:t>
      </w:r>
      <w:r w:rsidR="005F001D" w:rsidRPr="005F001D">
        <w:rPr>
          <w:bCs/>
        </w:rPr>
        <w:t xml:space="preserve">Increasing </w:t>
      </w:r>
      <w:r w:rsidR="00012177">
        <w:rPr>
          <w:bCs/>
        </w:rPr>
        <w:t xml:space="preserve">literacy has been </w:t>
      </w:r>
      <w:r w:rsidR="00114987">
        <w:rPr>
          <w:bCs/>
        </w:rPr>
        <w:t>achieved</w:t>
      </w:r>
      <w:r w:rsidR="00012177">
        <w:rPr>
          <w:bCs/>
        </w:rPr>
        <w:t xml:space="preserve"> by strengthening</w:t>
      </w:r>
      <w:r w:rsidR="005F001D" w:rsidRPr="005F001D">
        <w:rPr>
          <w:bCs/>
        </w:rPr>
        <w:t xml:space="preserve"> literacy in villages</w:t>
      </w:r>
      <w:r w:rsidR="00114987">
        <w:rPr>
          <w:bCs/>
        </w:rPr>
        <w:t>,</w:t>
      </w:r>
      <w:r w:rsidR="005F001D" w:rsidRPr="005F001D">
        <w:rPr>
          <w:bCs/>
        </w:rPr>
        <w:t xml:space="preserve"> </w:t>
      </w:r>
      <w:r w:rsidR="00012177">
        <w:rPr>
          <w:bCs/>
        </w:rPr>
        <w:t>allowing</w:t>
      </w:r>
      <w:r w:rsidR="005F001D" w:rsidRPr="005F001D">
        <w:rPr>
          <w:bCs/>
        </w:rPr>
        <w:t xml:space="preserve"> communities to understand information about Sustainable Development Goals (SDGs). With a better understanding of sustainable development issues, communities can actively participate in identifying local problems and finding appropriate solutions.</w:t>
      </w:r>
      <w:r>
        <w:rPr>
          <w:bCs/>
        </w:rPr>
        <w:t xml:space="preserve"> Besides that, </w:t>
      </w:r>
      <w:r w:rsidR="00114987">
        <w:rPr>
          <w:bCs/>
        </w:rPr>
        <w:t>these</w:t>
      </w:r>
      <w:r>
        <w:rPr>
          <w:bCs/>
        </w:rPr>
        <w:t xml:space="preserve"> literacy and reading interest activities also involve all parties to be included in the SDGs issues in the villages, especially </w:t>
      </w:r>
      <w:r w:rsidR="00114987">
        <w:rPr>
          <w:bCs/>
        </w:rPr>
        <w:t>SDG</w:t>
      </w:r>
      <w:r>
        <w:rPr>
          <w:bCs/>
        </w:rPr>
        <w:t xml:space="preserve"> 4 about quality education. </w:t>
      </w:r>
      <w:r w:rsidR="00845C50" w:rsidRPr="00845C50">
        <w:rPr>
          <w:bCs/>
        </w:rPr>
        <w:t xml:space="preserve">Similarly, the World Bank </w:t>
      </w:r>
      <w:r w:rsidR="00845C50">
        <w:rPr>
          <w:bCs/>
        </w:rPr>
        <w:fldChar w:fldCharType="begin" w:fldLock="1"/>
      </w:r>
      <w:r w:rsidR="00845C50">
        <w:rPr>
          <w:bCs/>
        </w:rPr>
        <w:instrText>ADDIN CSL_CITATION {"citationItems":[{"id":"ITEM-1","itemData":{"author":[{"dropping-particle":"","family":"State","given":"The","non-dropping-particle":"","parse-names":false,"suffix":""},{"dropping-particle":"","family":"Poverty","given":"Global Learning","non-dropping-particle":"","parse-names":false,"suffix":""}],"id":"ITEM-1","issue":"June","issued":{"date-parts":[["2022"]]},"title":"The State of Global Learning Poverty : 2022 Update","type":"article-journal"},"uris":["http://www.mendeley.com/documents/?uuid=bc63fa77-b036-479d-be18-28c8d817aa3d"]}],"mendeley":{"formattedCitation":"(State &amp; Poverty, 2022)","plainTextFormattedCitation":"(State &amp; Poverty, 2022)"},"properties":{"noteIndex":0},"schema":"https://github.com/citation-style-language/schema/raw/master/csl-citation.json"}</w:instrText>
      </w:r>
      <w:r w:rsidR="00845C50">
        <w:rPr>
          <w:bCs/>
        </w:rPr>
        <w:fldChar w:fldCharType="separate"/>
      </w:r>
      <w:r w:rsidR="00845C50" w:rsidRPr="00845C50">
        <w:rPr>
          <w:bCs/>
          <w:noProof/>
        </w:rPr>
        <w:t>(State &amp; Poverty, 2022)</w:t>
      </w:r>
      <w:r w:rsidR="00845C50">
        <w:rPr>
          <w:bCs/>
        </w:rPr>
        <w:fldChar w:fldCharType="end"/>
      </w:r>
      <w:r w:rsidR="00845C50">
        <w:rPr>
          <w:bCs/>
        </w:rPr>
        <w:t xml:space="preserve"> </w:t>
      </w:r>
      <w:r w:rsidR="00845C50" w:rsidRPr="00845C50">
        <w:rPr>
          <w:bCs/>
        </w:rPr>
        <w:t>emphasizes that learning poverty remains a major barrier to education quality, especially in underserved communities</w:t>
      </w:r>
      <w:r w:rsidR="00845C50">
        <w:rPr>
          <w:bCs/>
        </w:rPr>
        <w:t>.</w:t>
      </w:r>
    </w:p>
    <w:p w14:paraId="53E3DD9D" w14:textId="77777777" w:rsidR="0038535E" w:rsidRPr="0038535E" w:rsidRDefault="0038535E" w:rsidP="0038535E">
      <w:pPr>
        <w:spacing w:after="14" w:line="276" w:lineRule="auto"/>
        <w:ind w:left="284" w:firstLine="425"/>
        <w:jc w:val="both"/>
        <w:rPr>
          <w:lang w:val="en-ID"/>
        </w:rPr>
      </w:pPr>
    </w:p>
    <w:p w14:paraId="4ADF8FFE" w14:textId="5F547E2C" w:rsidR="00C8212C" w:rsidRPr="00C8212C" w:rsidRDefault="00D947F8" w:rsidP="00C8212C">
      <w:pPr>
        <w:pStyle w:val="Heading1"/>
        <w:numPr>
          <w:ilvl w:val="0"/>
          <w:numId w:val="8"/>
        </w:numPr>
        <w:spacing w:before="1" w:after="240" w:line="321" w:lineRule="exact"/>
        <w:ind w:left="284" w:hanging="284"/>
        <w:jc w:val="both"/>
      </w:pPr>
      <w:r>
        <w:t>Conclusion</w:t>
      </w:r>
    </w:p>
    <w:p w14:paraId="65489105" w14:textId="7E01D813" w:rsidR="009809FD" w:rsidRDefault="00C8212C" w:rsidP="003A4444">
      <w:pPr>
        <w:spacing w:line="276" w:lineRule="auto"/>
        <w:ind w:left="284" w:firstLine="425"/>
        <w:jc w:val="both"/>
        <w:rPr>
          <w:lang w:val="en-ID"/>
        </w:rPr>
      </w:pPr>
      <w:r w:rsidRPr="00C8212C">
        <w:rPr>
          <w:lang w:val="en-ID"/>
        </w:rPr>
        <w:t xml:space="preserve">In conclusion, enhancing literacy and reading interest among elementary students not only accelerates progress toward the SDGs but also creates a lasting impact on individual and </w:t>
      </w:r>
      <w:r w:rsidR="00DA3FD8">
        <w:rPr>
          <w:lang w:val="en-ID"/>
        </w:rPr>
        <w:t>village</w:t>
      </w:r>
      <w:r w:rsidRPr="00C8212C">
        <w:rPr>
          <w:lang w:val="en-ID"/>
        </w:rPr>
        <w:t xml:space="preserve"> development. Through a combination of </w:t>
      </w:r>
      <w:r w:rsidR="00257A27">
        <w:rPr>
          <w:lang w:val="en-ID"/>
        </w:rPr>
        <w:t>teachers, parents, and students'</w:t>
      </w:r>
      <w:r w:rsidRPr="00C8212C">
        <w:rPr>
          <w:lang w:val="en-ID"/>
        </w:rPr>
        <w:t xml:space="preserve"> efforts, this initiative demonstrates how rural education can be transformed, contributing significantly to achieving the global goal of quality education for all by 2030.</w:t>
      </w:r>
      <w:r w:rsidR="00DE287A">
        <w:rPr>
          <w:lang w:val="en-ID"/>
        </w:rPr>
        <w:t xml:space="preserve"> </w:t>
      </w:r>
      <w:r w:rsidR="00DE287A" w:rsidRPr="00DE287A">
        <w:rPr>
          <w:w w:val="105"/>
        </w:rPr>
        <w:t xml:space="preserve">Enhancing literacy and reading interest among elementary students serves as a crucial catalyst for accelerating progress toward the Sustainable Development Goals (SDGs), particularly SDG 4, which aims to ensure inclusive and equitable quality education. </w:t>
      </w:r>
      <w:r w:rsidR="00DE287A" w:rsidRPr="00DE287A">
        <w:rPr>
          <w:bCs/>
          <w:w w:val="105"/>
        </w:rPr>
        <w:t xml:space="preserve">This study demonstrates that with the right support and resources, significant improvements in literacy and reading interest can be achieved, </w:t>
      </w:r>
      <w:r w:rsidR="00DE287A" w:rsidRPr="00DE287A">
        <w:rPr>
          <w:bCs/>
          <w:w w:val="105"/>
        </w:rPr>
        <w:lastRenderedPageBreak/>
        <w:t xml:space="preserve">contributing to the overall educational development of students in rural areas. </w:t>
      </w:r>
      <w:r w:rsidR="00DE287A" w:rsidRPr="00DE287A">
        <w:rPr>
          <w:w w:val="105"/>
        </w:rPr>
        <w:t xml:space="preserve">Enhancing literacy and interest in reading has proven to be an effective strategy to accelerate the SDGs in </w:t>
      </w:r>
      <w:proofErr w:type="spellStart"/>
      <w:r w:rsidR="00DE287A" w:rsidRPr="00DE287A">
        <w:rPr>
          <w:w w:val="105"/>
        </w:rPr>
        <w:t>Setren</w:t>
      </w:r>
      <w:proofErr w:type="spellEnd"/>
      <w:r w:rsidR="00DE287A" w:rsidRPr="00DE287A">
        <w:rPr>
          <w:w w:val="105"/>
        </w:rPr>
        <w:t xml:space="preserve"> Village, especially in achieving quality education at the village level. So in the future, it is hoped that this impact will become the main foundation for preventing school dropout rates in </w:t>
      </w:r>
      <w:proofErr w:type="spellStart"/>
      <w:r w:rsidR="00DE287A" w:rsidRPr="00DE287A">
        <w:rPr>
          <w:w w:val="105"/>
        </w:rPr>
        <w:t>Setren</w:t>
      </w:r>
      <w:proofErr w:type="spellEnd"/>
      <w:r w:rsidR="00DE287A" w:rsidRPr="00DE287A">
        <w:rPr>
          <w:w w:val="105"/>
        </w:rPr>
        <w:t xml:space="preserve"> Village. </w:t>
      </w:r>
      <w:r w:rsidR="0000339B">
        <w:rPr>
          <w:w w:val="105"/>
        </w:rPr>
        <w:t xml:space="preserve"> </w:t>
      </w:r>
      <w:r w:rsidR="0000339B" w:rsidRPr="0000339B">
        <w:rPr>
          <w:w w:val="105"/>
        </w:rPr>
        <w:t>This study has several limitations. First, the sample size was relatively small and limited to one village, which may limit generalizability. Second, the study duration was short-term (5 months), and long-term literacy sustainability requires further investigation. Future studies should involve larger samples and longitudinal designs.</w:t>
      </w:r>
      <w:r w:rsidR="0000339B">
        <w:rPr>
          <w:w w:val="105"/>
        </w:rPr>
        <w:t xml:space="preserve"> </w:t>
      </w:r>
      <w:r w:rsidR="00DE287A" w:rsidRPr="00DE287A">
        <w:rPr>
          <w:w w:val="105"/>
        </w:rPr>
        <w:t>Literacy and interest in reading have a crucial role in accelerating the achievement of Sustainable Development Goals (SDGs) in villages.</w:t>
      </w:r>
      <w:r w:rsidR="003A4444">
        <w:rPr>
          <w:w w:val="105"/>
        </w:rPr>
        <w:t xml:space="preserve"> The regency</w:t>
      </w:r>
      <w:r w:rsidR="003A4444" w:rsidRPr="003A4444">
        <w:rPr>
          <w:w w:val="105"/>
        </w:rPr>
        <w:t xml:space="preserve"> governments can integrate literacy programs into village development plans and allocate resources to support reading facilities, teacher training, and parental engagement initiatives. Future research should involve larger samples, multiple village contexts, and longitudinal evaluation to examine the long-term impact of literacy interventions on education quality and dropout prevention.</w:t>
      </w:r>
    </w:p>
    <w:p w14:paraId="5639DAD4" w14:textId="77777777" w:rsidR="0059233C" w:rsidRDefault="0059233C" w:rsidP="0059233C">
      <w:pPr>
        <w:ind w:left="284" w:firstLine="425"/>
        <w:jc w:val="both"/>
        <w:rPr>
          <w:lang w:val="en-ID"/>
        </w:rPr>
      </w:pPr>
    </w:p>
    <w:p w14:paraId="2B09BE27" w14:textId="77777777" w:rsidR="0059233C" w:rsidRDefault="0059233C" w:rsidP="0059233C">
      <w:pPr>
        <w:ind w:left="284" w:firstLine="425"/>
        <w:jc w:val="both"/>
        <w:rPr>
          <w:lang w:val="en-ID"/>
        </w:rPr>
      </w:pPr>
    </w:p>
    <w:p w14:paraId="3D99396D" w14:textId="77777777" w:rsidR="004B6E3B" w:rsidRDefault="004B6E3B" w:rsidP="0059233C">
      <w:pPr>
        <w:ind w:left="284" w:firstLine="425"/>
        <w:jc w:val="both"/>
        <w:rPr>
          <w:lang w:val="en-ID"/>
        </w:rPr>
      </w:pPr>
    </w:p>
    <w:p w14:paraId="4BC41D7D" w14:textId="77777777" w:rsidR="004B6E3B" w:rsidRDefault="004B6E3B" w:rsidP="0059233C">
      <w:pPr>
        <w:ind w:left="284" w:firstLine="425"/>
        <w:jc w:val="both"/>
        <w:rPr>
          <w:lang w:val="en-ID"/>
        </w:rPr>
      </w:pPr>
    </w:p>
    <w:p w14:paraId="12448A11" w14:textId="77777777" w:rsidR="004B6E3B" w:rsidRDefault="004B6E3B" w:rsidP="0059233C">
      <w:pPr>
        <w:ind w:left="284" w:firstLine="425"/>
        <w:jc w:val="both"/>
        <w:rPr>
          <w:lang w:val="en-ID"/>
        </w:rPr>
      </w:pPr>
    </w:p>
    <w:p w14:paraId="1CE11CA4" w14:textId="77777777" w:rsidR="004B6E3B" w:rsidRDefault="004B6E3B" w:rsidP="0059233C">
      <w:pPr>
        <w:ind w:left="284" w:firstLine="425"/>
        <w:jc w:val="both"/>
        <w:rPr>
          <w:lang w:val="en-ID"/>
        </w:rPr>
      </w:pPr>
    </w:p>
    <w:p w14:paraId="45437297" w14:textId="439C3988" w:rsidR="004B6E3B" w:rsidRDefault="00B73C6E" w:rsidP="0059233C">
      <w:pPr>
        <w:ind w:left="284" w:firstLine="425"/>
        <w:jc w:val="both"/>
        <w:rPr>
          <w:lang w:val="en-ID"/>
        </w:rPr>
      </w:pPr>
      <w:r w:rsidRPr="00B73C6E">
        <w:rPr>
          <w:lang w:val="en-ID"/>
        </w:rPr>
        <w:t>Disclaimer (Artificial intelligence)</w:t>
      </w:r>
    </w:p>
    <w:p w14:paraId="5B57F8DC" w14:textId="77777777" w:rsidR="00B73C6E" w:rsidRDefault="00B73C6E" w:rsidP="0059233C">
      <w:pPr>
        <w:ind w:left="284" w:firstLine="425"/>
        <w:jc w:val="both"/>
        <w:rPr>
          <w:lang w:val="en-ID"/>
        </w:rPr>
      </w:pPr>
    </w:p>
    <w:p w14:paraId="5FF58947" w14:textId="59163280" w:rsidR="00B73C6E" w:rsidRDefault="00B73C6E" w:rsidP="0059233C">
      <w:pPr>
        <w:ind w:left="284" w:firstLine="425"/>
        <w:jc w:val="both"/>
        <w:rPr>
          <w:lang w:val="en-ID"/>
        </w:rPr>
      </w:pPr>
      <w:r w:rsidRPr="00B73C6E">
        <w:rPr>
          <w:lang w:val="en-ID"/>
        </w:rPr>
        <w:t>Author(s) hereby declare that NO generative AI technologies such as Large Language Models (</w:t>
      </w:r>
      <w:proofErr w:type="spellStart"/>
      <w:r w:rsidRPr="00B73C6E">
        <w:rPr>
          <w:lang w:val="en-ID"/>
        </w:rPr>
        <w:t>ChatGPT</w:t>
      </w:r>
      <w:proofErr w:type="spellEnd"/>
      <w:r w:rsidRPr="00B73C6E">
        <w:rPr>
          <w:lang w:val="en-ID"/>
        </w:rPr>
        <w:t xml:space="preserve">, COPILOT, </w:t>
      </w:r>
      <w:proofErr w:type="spellStart"/>
      <w:r w:rsidRPr="00B73C6E">
        <w:rPr>
          <w:lang w:val="en-ID"/>
        </w:rPr>
        <w:t>etc</w:t>
      </w:r>
      <w:proofErr w:type="spellEnd"/>
      <w:r w:rsidRPr="00B73C6E">
        <w:rPr>
          <w:lang w:val="en-ID"/>
        </w:rPr>
        <w:t>) and text-to-image generators have been used during writing or editing of manuscripts.</w:t>
      </w:r>
    </w:p>
    <w:p w14:paraId="76D802BE" w14:textId="77777777" w:rsidR="004B6E3B" w:rsidRDefault="004B6E3B" w:rsidP="0059233C">
      <w:pPr>
        <w:ind w:left="284" w:firstLine="425"/>
        <w:jc w:val="both"/>
        <w:rPr>
          <w:lang w:val="en-ID"/>
        </w:rPr>
      </w:pPr>
    </w:p>
    <w:p w14:paraId="6402B9ED" w14:textId="77777777" w:rsidR="004B6E3B" w:rsidRDefault="004B6E3B" w:rsidP="0059233C">
      <w:pPr>
        <w:ind w:left="284" w:firstLine="425"/>
        <w:jc w:val="both"/>
        <w:rPr>
          <w:lang w:val="en-ID"/>
        </w:rPr>
      </w:pPr>
    </w:p>
    <w:p w14:paraId="58100F8C" w14:textId="77777777" w:rsidR="0038535E" w:rsidRDefault="0038535E" w:rsidP="0059233C">
      <w:pPr>
        <w:ind w:left="284" w:firstLine="425"/>
        <w:jc w:val="both"/>
        <w:rPr>
          <w:lang w:val="en-ID"/>
        </w:rPr>
      </w:pPr>
    </w:p>
    <w:p w14:paraId="2DDA6137" w14:textId="77777777" w:rsidR="0038535E" w:rsidRDefault="0038535E" w:rsidP="0059233C">
      <w:pPr>
        <w:ind w:left="284" w:firstLine="425"/>
        <w:jc w:val="both"/>
        <w:rPr>
          <w:lang w:val="en-ID"/>
        </w:rPr>
      </w:pPr>
    </w:p>
    <w:p w14:paraId="2C19508D" w14:textId="77777777" w:rsidR="0038535E" w:rsidRDefault="0038535E" w:rsidP="0059233C">
      <w:pPr>
        <w:ind w:left="284" w:firstLine="425"/>
        <w:jc w:val="both"/>
        <w:rPr>
          <w:lang w:val="en-ID"/>
        </w:rPr>
      </w:pPr>
    </w:p>
    <w:p w14:paraId="7CA2AFA5" w14:textId="77777777" w:rsidR="0038535E" w:rsidRDefault="0038535E" w:rsidP="0059233C">
      <w:pPr>
        <w:ind w:left="284" w:firstLine="425"/>
        <w:jc w:val="both"/>
        <w:rPr>
          <w:lang w:val="en-ID"/>
        </w:rPr>
      </w:pPr>
    </w:p>
    <w:p w14:paraId="1643795E" w14:textId="77777777" w:rsidR="0038535E" w:rsidRDefault="0038535E" w:rsidP="0059233C">
      <w:pPr>
        <w:ind w:left="284" w:firstLine="425"/>
        <w:jc w:val="both"/>
        <w:rPr>
          <w:lang w:val="en-ID"/>
        </w:rPr>
      </w:pPr>
    </w:p>
    <w:p w14:paraId="0240D811" w14:textId="77777777" w:rsidR="0038535E" w:rsidRDefault="0038535E" w:rsidP="0059233C">
      <w:pPr>
        <w:ind w:left="284" w:firstLine="425"/>
        <w:jc w:val="both"/>
        <w:rPr>
          <w:lang w:val="en-ID"/>
        </w:rPr>
      </w:pPr>
    </w:p>
    <w:p w14:paraId="7D2F4D13" w14:textId="77777777" w:rsidR="0038535E" w:rsidRDefault="0038535E" w:rsidP="0059233C">
      <w:pPr>
        <w:ind w:left="284" w:firstLine="425"/>
        <w:jc w:val="both"/>
        <w:rPr>
          <w:lang w:val="en-ID"/>
        </w:rPr>
      </w:pPr>
    </w:p>
    <w:p w14:paraId="72D10DDE" w14:textId="77777777" w:rsidR="0038535E" w:rsidRDefault="0038535E" w:rsidP="0059233C">
      <w:pPr>
        <w:ind w:left="284" w:firstLine="425"/>
        <w:jc w:val="both"/>
        <w:rPr>
          <w:lang w:val="en-ID"/>
        </w:rPr>
      </w:pPr>
    </w:p>
    <w:p w14:paraId="091842A3" w14:textId="77777777" w:rsidR="0038535E" w:rsidRDefault="0038535E" w:rsidP="0059233C">
      <w:pPr>
        <w:ind w:left="284" w:firstLine="425"/>
        <w:jc w:val="both"/>
        <w:rPr>
          <w:lang w:val="en-ID"/>
        </w:rPr>
      </w:pPr>
    </w:p>
    <w:p w14:paraId="46E755ED" w14:textId="77777777" w:rsidR="0038535E" w:rsidRDefault="0038535E" w:rsidP="0059233C">
      <w:pPr>
        <w:ind w:left="284" w:firstLine="425"/>
        <w:jc w:val="both"/>
        <w:rPr>
          <w:lang w:val="en-ID"/>
        </w:rPr>
      </w:pPr>
    </w:p>
    <w:p w14:paraId="32D45F7B" w14:textId="77777777" w:rsidR="00DF2CF9" w:rsidRDefault="00DF2CF9" w:rsidP="0059233C">
      <w:pPr>
        <w:ind w:left="284" w:firstLine="425"/>
        <w:jc w:val="both"/>
        <w:rPr>
          <w:lang w:val="en-ID"/>
        </w:rPr>
      </w:pPr>
    </w:p>
    <w:p w14:paraId="2DF8B1E4" w14:textId="77777777" w:rsidR="00DF2CF9" w:rsidRDefault="00DF2CF9" w:rsidP="0059233C">
      <w:pPr>
        <w:ind w:left="284" w:firstLine="425"/>
        <w:jc w:val="both"/>
        <w:rPr>
          <w:lang w:val="en-ID"/>
        </w:rPr>
      </w:pPr>
    </w:p>
    <w:p w14:paraId="3354E1D0" w14:textId="77777777" w:rsidR="00DF2CF9" w:rsidRDefault="00DF2CF9" w:rsidP="0059233C">
      <w:pPr>
        <w:ind w:left="284" w:firstLine="425"/>
        <w:jc w:val="both"/>
        <w:rPr>
          <w:lang w:val="en-ID"/>
        </w:rPr>
      </w:pPr>
    </w:p>
    <w:p w14:paraId="40DCDD52" w14:textId="77777777" w:rsidR="0000413E" w:rsidRDefault="0000413E" w:rsidP="0059233C">
      <w:pPr>
        <w:ind w:left="284" w:firstLine="425"/>
        <w:jc w:val="both"/>
        <w:rPr>
          <w:lang w:val="en-ID"/>
        </w:rPr>
      </w:pPr>
    </w:p>
    <w:p w14:paraId="1072527D" w14:textId="77777777" w:rsidR="0000413E" w:rsidRDefault="0000413E" w:rsidP="0059233C">
      <w:pPr>
        <w:ind w:left="284" w:firstLine="425"/>
        <w:jc w:val="both"/>
        <w:rPr>
          <w:lang w:val="en-ID"/>
        </w:rPr>
      </w:pPr>
    </w:p>
    <w:p w14:paraId="1E3A2E24" w14:textId="77777777" w:rsidR="0000413E" w:rsidRDefault="0000413E" w:rsidP="0059233C">
      <w:pPr>
        <w:ind w:left="284" w:firstLine="425"/>
        <w:jc w:val="both"/>
        <w:rPr>
          <w:lang w:val="en-ID"/>
        </w:rPr>
      </w:pPr>
    </w:p>
    <w:p w14:paraId="21D7B009" w14:textId="77777777" w:rsidR="0000413E" w:rsidRDefault="0000413E" w:rsidP="0059233C">
      <w:pPr>
        <w:ind w:left="284" w:firstLine="425"/>
        <w:jc w:val="both"/>
        <w:rPr>
          <w:lang w:val="en-ID"/>
        </w:rPr>
      </w:pPr>
    </w:p>
    <w:p w14:paraId="27F85329" w14:textId="77777777" w:rsidR="0000413E" w:rsidRDefault="0000413E" w:rsidP="0059233C">
      <w:pPr>
        <w:ind w:left="284" w:firstLine="425"/>
        <w:jc w:val="both"/>
        <w:rPr>
          <w:lang w:val="en-ID"/>
        </w:rPr>
      </w:pPr>
    </w:p>
    <w:p w14:paraId="0FF397E0" w14:textId="77777777" w:rsidR="004B6E3B" w:rsidRPr="0059233C" w:rsidRDefault="004B6E3B" w:rsidP="00B26968">
      <w:pPr>
        <w:jc w:val="both"/>
        <w:rPr>
          <w:lang w:val="en-ID"/>
        </w:rPr>
      </w:pPr>
    </w:p>
    <w:p w14:paraId="7CE91743" w14:textId="38864F37" w:rsidR="002067E1" w:rsidRDefault="00DE287A" w:rsidP="00385D98">
      <w:pPr>
        <w:pStyle w:val="Heading1"/>
        <w:spacing w:after="240"/>
        <w:ind w:left="0"/>
        <w:rPr>
          <w:rFonts w:asciiTheme="majorHAnsi" w:hAnsiTheme="majorHAnsi"/>
          <w:lang w:val="id-ID"/>
        </w:rPr>
      </w:pPr>
      <w:r>
        <w:rPr>
          <w:rFonts w:asciiTheme="majorHAnsi" w:hAnsiTheme="majorHAnsi"/>
          <w:lang w:val="id-ID"/>
        </w:rPr>
        <w:t>References</w:t>
      </w:r>
      <w:r w:rsidR="002067E1" w:rsidRPr="002067E1">
        <w:rPr>
          <w:rFonts w:asciiTheme="majorHAnsi" w:hAnsiTheme="majorHAnsi"/>
          <w:lang w:val="id-ID"/>
        </w:rPr>
        <w:t xml:space="preserve"> </w:t>
      </w:r>
    </w:p>
    <w:p w14:paraId="01E3E191" w14:textId="57B2FBC8" w:rsidR="00845C50" w:rsidRPr="00845C50" w:rsidRDefault="00331E4A" w:rsidP="00385D98">
      <w:pPr>
        <w:adjustRightInd w:val="0"/>
        <w:spacing w:after="240"/>
        <w:ind w:left="480" w:hanging="480"/>
        <w:jc w:val="both"/>
        <w:rPr>
          <w:rFonts w:cs="Times New Roman"/>
          <w:noProof/>
          <w:sz w:val="24"/>
        </w:rPr>
      </w:pPr>
      <w:r>
        <w:rPr>
          <w:rFonts w:asciiTheme="majorHAnsi" w:hAnsiTheme="majorHAnsi"/>
        </w:rPr>
        <w:lastRenderedPageBreak/>
        <w:fldChar w:fldCharType="begin" w:fldLock="1"/>
      </w:r>
      <w:r>
        <w:rPr>
          <w:rFonts w:asciiTheme="majorHAnsi" w:hAnsiTheme="majorHAnsi"/>
        </w:rPr>
        <w:instrText xml:space="preserve">ADDIN Mendeley Bibliography CSL_BIBLIOGRAPHY </w:instrText>
      </w:r>
      <w:r>
        <w:rPr>
          <w:rFonts w:asciiTheme="majorHAnsi" w:hAnsiTheme="majorHAnsi"/>
        </w:rPr>
        <w:fldChar w:fldCharType="separate"/>
      </w:r>
      <w:r w:rsidR="00845C50" w:rsidRPr="00845C50">
        <w:rPr>
          <w:rFonts w:cs="Times New Roman"/>
          <w:noProof/>
          <w:sz w:val="24"/>
        </w:rPr>
        <w:t xml:space="preserve">Bai, B., &amp; Wang, J. (2023). The role of growth mindset, self-efficacy and intrinsic value in self-regulated learning and English language learning achievements. </w:t>
      </w:r>
      <w:r w:rsidR="00845C50" w:rsidRPr="00845C50">
        <w:rPr>
          <w:rFonts w:cs="Times New Roman"/>
          <w:i/>
          <w:iCs/>
          <w:noProof/>
          <w:sz w:val="24"/>
        </w:rPr>
        <w:t>Language Teaching Research</w:t>
      </w:r>
      <w:r w:rsidR="00845C50" w:rsidRPr="00845C50">
        <w:rPr>
          <w:rFonts w:cs="Times New Roman"/>
          <w:noProof/>
          <w:sz w:val="24"/>
        </w:rPr>
        <w:t xml:space="preserve">, </w:t>
      </w:r>
      <w:r w:rsidR="00845C50" w:rsidRPr="00845C50">
        <w:rPr>
          <w:rFonts w:cs="Times New Roman"/>
          <w:i/>
          <w:iCs/>
          <w:noProof/>
          <w:sz w:val="24"/>
        </w:rPr>
        <w:t>27</w:t>
      </w:r>
      <w:r w:rsidR="00845C50" w:rsidRPr="00845C50">
        <w:rPr>
          <w:rFonts w:cs="Times New Roman"/>
          <w:noProof/>
          <w:sz w:val="24"/>
        </w:rPr>
        <w:t>(1), 207–228. https://doi.org/10.1177/1362168820933190</w:t>
      </w:r>
    </w:p>
    <w:p w14:paraId="1E5119D8"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Braunger, J., Ed, D., Lewis, J. P., &amp; Ph, D. (1997). </w:t>
      </w:r>
      <w:r w:rsidRPr="00845C50">
        <w:rPr>
          <w:rFonts w:cs="Times New Roman"/>
          <w:i/>
          <w:iCs/>
          <w:noProof/>
          <w:sz w:val="24"/>
        </w:rPr>
        <w:t>Educational Laboratory ’ s</w:t>
      </w:r>
      <w:r w:rsidRPr="00845C50">
        <w:rPr>
          <w:rFonts w:cs="Times New Roman"/>
          <w:noProof/>
          <w:sz w:val="24"/>
        </w:rPr>
        <w:t>.</w:t>
      </w:r>
    </w:p>
    <w:p w14:paraId="285946B8"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Burbules, N. C., Fan, G., &amp; Repp, P. (2020). Five trends of education and technology in a sustainable future. </w:t>
      </w:r>
      <w:r w:rsidRPr="00845C50">
        <w:rPr>
          <w:rFonts w:cs="Times New Roman"/>
          <w:i/>
          <w:iCs/>
          <w:noProof/>
          <w:sz w:val="24"/>
        </w:rPr>
        <w:t>Geography and Sustainability</w:t>
      </w:r>
      <w:r w:rsidRPr="00845C50">
        <w:rPr>
          <w:rFonts w:cs="Times New Roman"/>
          <w:noProof/>
          <w:sz w:val="24"/>
        </w:rPr>
        <w:t xml:space="preserve">, </w:t>
      </w:r>
      <w:r w:rsidRPr="00845C50">
        <w:rPr>
          <w:rFonts w:cs="Times New Roman"/>
          <w:i/>
          <w:iCs/>
          <w:noProof/>
          <w:sz w:val="24"/>
        </w:rPr>
        <w:t>1</w:t>
      </w:r>
      <w:r w:rsidRPr="00845C50">
        <w:rPr>
          <w:rFonts w:cs="Times New Roman"/>
          <w:noProof/>
          <w:sz w:val="24"/>
        </w:rPr>
        <w:t>(2), 93–97. https://doi.org/10.1016/j.geosus.2020.05.001</w:t>
      </w:r>
    </w:p>
    <w:p w14:paraId="03FAC3C2"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Creswell, J. W., &amp; Creswell, J. D. (2018). Mixed Methods Procedures. In </w:t>
      </w:r>
      <w:r w:rsidRPr="00845C50">
        <w:rPr>
          <w:rFonts w:cs="Times New Roman"/>
          <w:i/>
          <w:iCs/>
          <w:noProof/>
          <w:sz w:val="24"/>
        </w:rPr>
        <w:t>Research Defign: Qualitative, Quantitative, and Mixed M ethods Approaches</w:t>
      </w:r>
      <w:r w:rsidRPr="00845C50">
        <w:rPr>
          <w:rFonts w:cs="Times New Roman"/>
          <w:noProof/>
          <w:sz w:val="24"/>
        </w:rPr>
        <w:t>.</w:t>
      </w:r>
    </w:p>
    <w:p w14:paraId="4634A4D2"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Danladi, D. R., &amp; Soko, Y. R. (2019). The role of school libraries in promoting reading culture among secondary school students: A case study of federal government college, Jos. </w:t>
      </w:r>
      <w:r w:rsidRPr="00845C50">
        <w:rPr>
          <w:rFonts w:cs="Times New Roman"/>
          <w:i/>
          <w:iCs/>
          <w:noProof/>
          <w:sz w:val="24"/>
        </w:rPr>
        <w:t>Library Philosophy and Practice</w:t>
      </w:r>
      <w:r w:rsidRPr="00845C50">
        <w:rPr>
          <w:rFonts w:cs="Times New Roman"/>
          <w:noProof/>
          <w:sz w:val="24"/>
        </w:rPr>
        <w:t xml:space="preserve">, </w:t>
      </w:r>
      <w:r w:rsidRPr="00845C50">
        <w:rPr>
          <w:rFonts w:cs="Times New Roman"/>
          <w:i/>
          <w:iCs/>
          <w:noProof/>
          <w:sz w:val="24"/>
        </w:rPr>
        <w:t>2019</w:t>
      </w:r>
      <w:r w:rsidRPr="00845C50">
        <w:rPr>
          <w:rFonts w:cs="Times New Roman"/>
          <w:noProof/>
          <w:sz w:val="24"/>
        </w:rPr>
        <w:t>(June).</w:t>
      </w:r>
    </w:p>
    <w:p w14:paraId="6CA3E0BB"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Garate, J. (2017). No Title</w:t>
      </w:r>
      <w:r w:rsidRPr="00845C50">
        <w:rPr>
          <w:rFonts w:cs="Times New Roman"/>
          <w:noProof/>
          <w:sz w:val="24"/>
          <w:rtl/>
        </w:rPr>
        <w:t>سلطنه عمان</w:t>
      </w:r>
      <w:r w:rsidRPr="00845C50">
        <w:rPr>
          <w:rFonts w:cs="Times New Roman"/>
          <w:noProof/>
          <w:sz w:val="24"/>
        </w:rPr>
        <w:t xml:space="preserve">. </w:t>
      </w:r>
      <w:r w:rsidRPr="00845C50">
        <w:rPr>
          <w:rFonts w:cs="Times New Roman"/>
          <w:i/>
          <w:iCs/>
          <w:noProof/>
          <w:sz w:val="24"/>
        </w:rPr>
        <w:t>Occupational Medicine</w:t>
      </w:r>
      <w:r w:rsidRPr="00845C50">
        <w:rPr>
          <w:rFonts w:cs="Times New Roman"/>
          <w:noProof/>
          <w:sz w:val="24"/>
        </w:rPr>
        <w:t xml:space="preserve">, </w:t>
      </w:r>
      <w:r w:rsidRPr="00845C50">
        <w:rPr>
          <w:rFonts w:cs="Times New Roman"/>
          <w:i/>
          <w:iCs/>
          <w:noProof/>
          <w:sz w:val="24"/>
        </w:rPr>
        <w:t>53</w:t>
      </w:r>
      <w:r w:rsidRPr="00845C50">
        <w:rPr>
          <w:rFonts w:cs="Times New Roman"/>
          <w:noProof/>
          <w:sz w:val="24"/>
        </w:rPr>
        <w:t>(4), 130.</w:t>
      </w:r>
    </w:p>
    <w:p w14:paraId="65F15AF8"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Hopkins, S., Ogle, G., Kaleveld, L., Maurice, J., Keria, B., Louden, W., &amp; Rohl, M. (2005). ‘Education for equality’ and ‘education for life’: examining reading literacy and reading interest in Papua New Guinea primary schools1. </w:t>
      </w:r>
      <w:r w:rsidRPr="00845C50">
        <w:rPr>
          <w:rFonts w:cs="Times New Roman"/>
          <w:i/>
          <w:iCs/>
          <w:noProof/>
          <w:sz w:val="24"/>
        </w:rPr>
        <w:t>Asia-Pacific Journal of Teacher Education</w:t>
      </w:r>
      <w:r w:rsidRPr="00845C50">
        <w:rPr>
          <w:rFonts w:cs="Times New Roman"/>
          <w:noProof/>
          <w:sz w:val="24"/>
        </w:rPr>
        <w:t xml:space="preserve">, </w:t>
      </w:r>
      <w:r w:rsidRPr="00845C50">
        <w:rPr>
          <w:rFonts w:cs="Times New Roman"/>
          <w:i/>
          <w:iCs/>
          <w:noProof/>
          <w:sz w:val="24"/>
        </w:rPr>
        <w:t>33</w:t>
      </w:r>
      <w:r w:rsidRPr="00845C50">
        <w:rPr>
          <w:rFonts w:cs="Times New Roman"/>
          <w:noProof/>
          <w:sz w:val="24"/>
        </w:rPr>
        <w:t>(1), 77–96. https://doi.org/10.1080/1359866052000341142</w:t>
      </w:r>
    </w:p>
    <w:p w14:paraId="773BD1CE"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Inayah A.M, M., Lolotandung, R., &amp; Irmawati M. (2023). Pengaruh Model Pembelajaran PAKEM Terhadap Hasil Belajar IPA Siswa Di Sekolah Dasar. </w:t>
      </w:r>
      <w:r w:rsidRPr="00845C50">
        <w:rPr>
          <w:rFonts w:cs="Times New Roman"/>
          <w:i/>
          <w:iCs/>
          <w:noProof/>
          <w:sz w:val="24"/>
        </w:rPr>
        <w:t>Elementary Journal : Jurnal Pendidikan Guru Sekolah Dasar</w:t>
      </w:r>
      <w:r w:rsidRPr="00845C50">
        <w:rPr>
          <w:rFonts w:cs="Times New Roman"/>
          <w:noProof/>
          <w:sz w:val="24"/>
        </w:rPr>
        <w:t xml:space="preserve">, </w:t>
      </w:r>
      <w:r w:rsidRPr="00845C50">
        <w:rPr>
          <w:rFonts w:cs="Times New Roman"/>
          <w:i/>
          <w:iCs/>
          <w:noProof/>
          <w:sz w:val="24"/>
        </w:rPr>
        <w:t>6</w:t>
      </w:r>
      <w:r w:rsidRPr="00845C50">
        <w:rPr>
          <w:rFonts w:cs="Times New Roman"/>
          <w:noProof/>
          <w:sz w:val="24"/>
        </w:rPr>
        <w:t>(1), 29–38. https://doi.org/10.47178/elementary.v6i1.2056</w:t>
      </w:r>
    </w:p>
    <w:p w14:paraId="4CECB363"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Indicators, O. (2022). </w:t>
      </w:r>
      <w:r w:rsidRPr="00845C50">
        <w:rPr>
          <w:rFonts w:cs="Times New Roman"/>
          <w:i/>
          <w:iCs/>
          <w:noProof/>
          <w:sz w:val="24"/>
        </w:rPr>
        <w:t>Education at a Glance 2022</w:t>
      </w:r>
      <w:r w:rsidRPr="00845C50">
        <w:rPr>
          <w:rFonts w:cs="Times New Roman"/>
          <w:noProof/>
          <w:sz w:val="24"/>
        </w:rPr>
        <w:t>.</w:t>
      </w:r>
    </w:p>
    <w:p w14:paraId="2FAAB801"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Learning, L. F. O. R. (2024). </w:t>
      </w:r>
      <w:r w:rsidRPr="00845C50">
        <w:rPr>
          <w:rFonts w:cs="Times New Roman"/>
          <w:i/>
          <w:iCs/>
          <w:noProof/>
          <w:sz w:val="24"/>
        </w:rPr>
        <w:t>Leadership in education</w:t>
      </w:r>
      <w:r w:rsidRPr="00845C50">
        <w:rPr>
          <w:rFonts w:cs="Times New Roman"/>
          <w:noProof/>
          <w:sz w:val="24"/>
        </w:rPr>
        <w:t>.</w:t>
      </w:r>
    </w:p>
    <w:p w14:paraId="4361CC70"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Mehigan, G. (2020). Effects of fluency oriented instruction on motivation for reading of struggling readers. </w:t>
      </w:r>
      <w:r w:rsidRPr="00845C50">
        <w:rPr>
          <w:rFonts w:cs="Times New Roman"/>
          <w:i/>
          <w:iCs/>
          <w:noProof/>
          <w:sz w:val="24"/>
        </w:rPr>
        <w:t>Education Sciences</w:t>
      </w:r>
      <w:r w:rsidRPr="00845C50">
        <w:rPr>
          <w:rFonts w:cs="Times New Roman"/>
          <w:noProof/>
          <w:sz w:val="24"/>
        </w:rPr>
        <w:t xml:space="preserve">, </w:t>
      </w:r>
      <w:r w:rsidRPr="00845C50">
        <w:rPr>
          <w:rFonts w:cs="Times New Roman"/>
          <w:i/>
          <w:iCs/>
          <w:noProof/>
          <w:sz w:val="24"/>
        </w:rPr>
        <w:t>10</w:t>
      </w:r>
      <w:r w:rsidRPr="00845C50">
        <w:rPr>
          <w:rFonts w:cs="Times New Roman"/>
          <w:noProof/>
          <w:sz w:val="24"/>
        </w:rPr>
        <w:t>(3). https://doi.org/10.3390/educsci10030056</w:t>
      </w:r>
    </w:p>
    <w:p w14:paraId="19ECC8DF"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Murdiyanto, E. (2020). Metode Penelitian Kualitatif (Sistematika Penelitian Kualitatif). In </w:t>
      </w:r>
      <w:r w:rsidRPr="00845C50">
        <w:rPr>
          <w:rFonts w:cs="Times New Roman"/>
          <w:i/>
          <w:iCs/>
          <w:noProof/>
          <w:sz w:val="24"/>
        </w:rPr>
        <w:t>Bandung: Rosda Karya</w:t>
      </w:r>
      <w:r w:rsidRPr="00845C50">
        <w:rPr>
          <w:rFonts w:cs="Times New Roman"/>
          <w:noProof/>
          <w:sz w:val="24"/>
        </w:rPr>
        <w:t>. http://www.academia.edu/download/35360663/METODE_PENELITIAN_KUALITAIF.docx</w:t>
      </w:r>
    </w:p>
    <w:p w14:paraId="2BE2C0DF"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Permendesa. (2020). Peraturan Menteri Desa, Pembangunan Daerah Tertinggal, Dan Transmigrasi Republik Indonesia No. 13 Tahun 2020. </w:t>
      </w:r>
      <w:r w:rsidRPr="00845C50">
        <w:rPr>
          <w:rFonts w:cs="Times New Roman"/>
          <w:i/>
          <w:iCs/>
          <w:noProof/>
          <w:sz w:val="24"/>
        </w:rPr>
        <w:t>PDTT, Pemendes</w:t>
      </w:r>
      <w:r w:rsidRPr="00845C50">
        <w:rPr>
          <w:rFonts w:cs="Times New Roman"/>
          <w:noProof/>
          <w:sz w:val="24"/>
        </w:rPr>
        <w:t xml:space="preserve">, </w:t>
      </w:r>
      <w:r w:rsidRPr="00845C50">
        <w:rPr>
          <w:rFonts w:cs="Times New Roman"/>
          <w:i/>
          <w:iCs/>
          <w:noProof/>
          <w:sz w:val="24"/>
        </w:rPr>
        <w:t>16</w:t>
      </w:r>
      <w:r w:rsidRPr="00845C50">
        <w:rPr>
          <w:rFonts w:cs="Times New Roman"/>
          <w:noProof/>
          <w:sz w:val="24"/>
        </w:rPr>
        <w:t>, 32.</w:t>
      </w:r>
    </w:p>
    <w:p w14:paraId="350DE4C8"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Perry, K. H. (2012). What is literacy? -- A critical overview of sociocultural perspectives. </w:t>
      </w:r>
      <w:r w:rsidRPr="00845C50">
        <w:rPr>
          <w:rFonts w:cs="Times New Roman"/>
          <w:i/>
          <w:iCs/>
          <w:noProof/>
          <w:sz w:val="24"/>
        </w:rPr>
        <w:t>Journal of Language and Literacy Education</w:t>
      </w:r>
      <w:r w:rsidRPr="00845C50">
        <w:rPr>
          <w:rFonts w:cs="Times New Roman"/>
          <w:noProof/>
          <w:sz w:val="24"/>
        </w:rPr>
        <w:t xml:space="preserve">, </w:t>
      </w:r>
      <w:r w:rsidRPr="00845C50">
        <w:rPr>
          <w:rFonts w:cs="Times New Roman"/>
          <w:i/>
          <w:iCs/>
          <w:noProof/>
          <w:sz w:val="24"/>
        </w:rPr>
        <w:t>8</w:t>
      </w:r>
      <w:r w:rsidRPr="00845C50">
        <w:rPr>
          <w:rFonts w:cs="Times New Roman"/>
          <w:noProof/>
          <w:sz w:val="24"/>
        </w:rPr>
        <w:t xml:space="preserve">(1), 50–71. </w:t>
      </w:r>
      <w:r w:rsidRPr="00845C50">
        <w:rPr>
          <w:rFonts w:cs="Times New Roman"/>
          <w:noProof/>
          <w:sz w:val="24"/>
        </w:rPr>
        <w:lastRenderedPageBreak/>
        <w:t>https://doi.org/10.1017/CBO9781107415324.004</w:t>
      </w:r>
    </w:p>
    <w:p w14:paraId="710EA837"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Ragelienė Supervisor, T., Grønhøj Co-Supervisor, A., &amp; Aschemann-Witzel Programme, J. (2021). </w:t>
      </w:r>
      <w:r w:rsidRPr="00845C50">
        <w:rPr>
          <w:rFonts w:cs="Times New Roman"/>
          <w:i/>
          <w:iCs/>
          <w:noProof/>
          <w:sz w:val="24"/>
        </w:rPr>
        <w:t>Peer, Sibling and Social Media Influence on Preadolescent Children’s Healthy Eating Behaviour</w:t>
      </w:r>
      <w:r w:rsidRPr="00845C50">
        <w:rPr>
          <w:rFonts w:cs="Times New Roman"/>
          <w:noProof/>
          <w:sz w:val="24"/>
        </w:rPr>
        <w:t>.</w:t>
      </w:r>
    </w:p>
    <w:p w14:paraId="5A5844D5"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Ranti, K., Atmadja, N. B., &amp; Sendratari, L. P. (2019). Upaya Pencegahan Anak Putus Sekolah di SMP Negeri 1 Gerokgak, Kecamatan Gerokgak, Buleleng, Bali. </w:t>
      </w:r>
      <w:r w:rsidRPr="00845C50">
        <w:rPr>
          <w:rFonts w:cs="Times New Roman"/>
          <w:i/>
          <w:iCs/>
          <w:noProof/>
          <w:sz w:val="24"/>
        </w:rPr>
        <w:t>E-Journal Pendidikan Sosiologi Universitas Pendidikan Ganesha</w:t>
      </w:r>
      <w:r w:rsidRPr="00845C50">
        <w:rPr>
          <w:rFonts w:cs="Times New Roman"/>
          <w:noProof/>
          <w:sz w:val="24"/>
        </w:rPr>
        <w:t xml:space="preserve">, </w:t>
      </w:r>
      <w:r w:rsidRPr="00845C50">
        <w:rPr>
          <w:rFonts w:cs="Times New Roman"/>
          <w:i/>
          <w:iCs/>
          <w:noProof/>
          <w:sz w:val="24"/>
        </w:rPr>
        <w:t>1</w:t>
      </w:r>
      <w:r w:rsidRPr="00845C50">
        <w:rPr>
          <w:rFonts w:cs="Times New Roman"/>
          <w:noProof/>
          <w:sz w:val="24"/>
        </w:rPr>
        <w:t>(1), 12–22.</w:t>
      </w:r>
    </w:p>
    <w:p w14:paraId="07558D27"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Rohim, C. D., &amp; Rahmawati, S. (2020). Di Sekolah Dasar Negeri. </w:t>
      </w:r>
      <w:r w:rsidRPr="00845C50">
        <w:rPr>
          <w:rFonts w:cs="Times New Roman"/>
          <w:i/>
          <w:iCs/>
          <w:noProof/>
          <w:sz w:val="24"/>
        </w:rPr>
        <w:t>Kajian Pendidikan Dan Hasil Penelitian</w:t>
      </w:r>
      <w:r w:rsidRPr="00845C50">
        <w:rPr>
          <w:rFonts w:cs="Times New Roman"/>
          <w:noProof/>
          <w:sz w:val="24"/>
        </w:rPr>
        <w:t xml:space="preserve">, </w:t>
      </w:r>
      <w:r w:rsidRPr="00845C50">
        <w:rPr>
          <w:rFonts w:cs="Times New Roman"/>
          <w:i/>
          <w:iCs/>
          <w:noProof/>
          <w:sz w:val="24"/>
        </w:rPr>
        <w:t>6</w:t>
      </w:r>
      <w:r w:rsidRPr="00845C50">
        <w:rPr>
          <w:rFonts w:cs="Times New Roman"/>
          <w:noProof/>
          <w:sz w:val="24"/>
        </w:rPr>
        <w:t>(3), 2.</w:t>
      </w:r>
    </w:p>
    <w:p w14:paraId="7814C89D"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SALAM, E. S. (2019). Membangun Budaya Literasi Melalui Mata Kuliah Bahasa Indonesia Sebagai Media Revolusi Mental Generasi Produktif. </w:t>
      </w:r>
      <w:r w:rsidRPr="00845C50">
        <w:rPr>
          <w:rFonts w:cs="Times New Roman"/>
          <w:i/>
          <w:iCs/>
          <w:noProof/>
          <w:sz w:val="24"/>
        </w:rPr>
        <w:t>Didaktika</w:t>
      </w:r>
      <w:r w:rsidRPr="00845C50">
        <w:rPr>
          <w:rFonts w:cs="Times New Roman"/>
          <w:noProof/>
          <w:sz w:val="24"/>
        </w:rPr>
        <w:t xml:space="preserve">, </w:t>
      </w:r>
      <w:r w:rsidRPr="00845C50">
        <w:rPr>
          <w:rFonts w:cs="Times New Roman"/>
          <w:i/>
          <w:iCs/>
          <w:noProof/>
          <w:sz w:val="24"/>
        </w:rPr>
        <w:t>11</w:t>
      </w:r>
      <w:r w:rsidRPr="00845C50">
        <w:rPr>
          <w:rFonts w:cs="Times New Roman"/>
          <w:noProof/>
          <w:sz w:val="24"/>
        </w:rPr>
        <w:t>(2), 158. https://doi.org/10.30863/didaktika.v11i2.163</w:t>
      </w:r>
    </w:p>
    <w:p w14:paraId="506118C2"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Singh, A. (2022). </w:t>
      </w:r>
      <w:r w:rsidRPr="00845C50">
        <w:rPr>
          <w:rFonts w:cs="Times New Roman"/>
          <w:i/>
          <w:iCs/>
          <w:noProof/>
          <w:sz w:val="24"/>
        </w:rPr>
        <w:t>Using Curiosity to Improve Learning Outcomes in Schools</w:t>
      </w:r>
      <w:r w:rsidRPr="00845C50">
        <w:rPr>
          <w:rFonts w:cs="Times New Roman"/>
          <w:noProof/>
          <w:sz w:val="24"/>
        </w:rPr>
        <w:t>. https://doi.org/10.1177/21582440211069392</w:t>
      </w:r>
    </w:p>
    <w:p w14:paraId="37FFAFB5"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Singh, A., &amp; Manjaly, J. A. (2022). Using Curiosity to Improve Learning Outcomes in Schools. </w:t>
      </w:r>
      <w:r w:rsidRPr="00845C50">
        <w:rPr>
          <w:rFonts w:cs="Times New Roman"/>
          <w:i/>
          <w:iCs/>
          <w:noProof/>
          <w:sz w:val="24"/>
        </w:rPr>
        <w:t>SAGE Open</w:t>
      </w:r>
      <w:r w:rsidRPr="00845C50">
        <w:rPr>
          <w:rFonts w:cs="Times New Roman"/>
          <w:noProof/>
          <w:sz w:val="24"/>
        </w:rPr>
        <w:t xml:space="preserve">, </w:t>
      </w:r>
      <w:r w:rsidRPr="00845C50">
        <w:rPr>
          <w:rFonts w:cs="Times New Roman"/>
          <w:i/>
          <w:iCs/>
          <w:noProof/>
          <w:sz w:val="24"/>
        </w:rPr>
        <w:t>12</w:t>
      </w:r>
      <w:r w:rsidRPr="00845C50">
        <w:rPr>
          <w:rFonts w:cs="Times New Roman"/>
          <w:noProof/>
          <w:sz w:val="24"/>
        </w:rPr>
        <w:t>(1). https://doi.org/10.1177/21582440211069392</w:t>
      </w:r>
    </w:p>
    <w:p w14:paraId="67047570"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State, T., &amp; Poverty, G. L. (2022). </w:t>
      </w:r>
      <w:r w:rsidRPr="00845C50">
        <w:rPr>
          <w:rFonts w:cs="Times New Roman"/>
          <w:i/>
          <w:iCs/>
          <w:noProof/>
          <w:sz w:val="24"/>
        </w:rPr>
        <w:t>The State of Global Learning Poverty : 2022 Update</w:t>
      </w:r>
      <w:r w:rsidRPr="00845C50">
        <w:rPr>
          <w:rFonts w:cs="Times New Roman"/>
          <w:noProof/>
          <w:sz w:val="24"/>
        </w:rPr>
        <w:t xml:space="preserve">. </w:t>
      </w:r>
      <w:r w:rsidRPr="00845C50">
        <w:rPr>
          <w:rFonts w:cs="Times New Roman"/>
          <w:i/>
          <w:iCs/>
          <w:noProof/>
          <w:sz w:val="24"/>
        </w:rPr>
        <w:t>June</w:t>
      </w:r>
      <w:r w:rsidRPr="00845C50">
        <w:rPr>
          <w:rFonts w:cs="Times New Roman"/>
          <w:noProof/>
          <w:sz w:val="24"/>
        </w:rPr>
        <w:t>.</w:t>
      </w:r>
    </w:p>
    <w:p w14:paraId="311A3CDB"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Szabo, T. G., Richling, S., Embry, D. D., Biglan, A., &amp; Wilson, K. G. (2020). From Helpless to Hero: Promoting Values-Based Behavior and Positive Family Interaction in the Midst of COVID-19. </w:t>
      </w:r>
      <w:r w:rsidRPr="00845C50">
        <w:rPr>
          <w:rFonts w:cs="Times New Roman"/>
          <w:i/>
          <w:iCs/>
          <w:noProof/>
          <w:sz w:val="24"/>
        </w:rPr>
        <w:t>Behavior Analysis in Practice</w:t>
      </w:r>
      <w:r w:rsidRPr="00845C50">
        <w:rPr>
          <w:rFonts w:cs="Times New Roman"/>
          <w:noProof/>
          <w:sz w:val="24"/>
        </w:rPr>
        <w:t xml:space="preserve">, </w:t>
      </w:r>
      <w:r w:rsidRPr="00845C50">
        <w:rPr>
          <w:rFonts w:cs="Times New Roman"/>
          <w:i/>
          <w:iCs/>
          <w:noProof/>
          <w:sz w:val="24"/>
        </w:rPr>
        <w:t>13</w:t>
      </w:r>
      <w:r w:rsidRPr="00845C50">
        <w:rPr>
          <w:rFonts w:cs="Times New Roman"/>
          <w:noProof/>
          <w:sz w:val="24"/>
        </w:rPr>
        <w:t>(3), 568–576. https://doi.org/10.1007/s40617-020-00431-0</w:t>
      </w:r>
    </w:p>
    <w:p w14:paraId="569D5800" w14:textId="77777777" w:rsidR="00845C50" w:rsidRPr="00845C50" w:rsidRDefault="00845C50" w:rsidP="00385D98">
      <w:pPr>
        <w:adjustRightInd w:val="0"/>
        <w:spacing w:after="240"/>
        <w:ind w:left="480" w:hanging="480"/>
        <w:jc w:val="both"/>
        <w:rPr>
          <w:noProof/>
          <w:sz w:val="24"/>
        </w:rPr>
      </w:pPr>
      <w:r w:rsidRPr="00845C50">
        <w:rPr>
          <w:rFonts w:cs="Times New Roman"/>
          <w:noProof/>
          <w:sz w:val="24"/>
        </w:rPr>
        <w:t xml:space="preserve">Walsh, P. P., Banerjee, A., &amp; Murphy, E. (2022). The UN 2030 Agenda for Sustainable Development. </w:t>
      </w:r>
      <w:r w:rsidRPr="00845C50">
        <w:rPr>
          <w:rFonts w:cs="Times New Roman"/>
          <w:i/>
          <w:iCs/>
          <w:noProof/>
          <w:sz w:val="24"/>
        </w:rPr>
        <w:t>Sustainable Development Goals Series</w:t>
      </w:r>
      <w:r w:rsidRPr="00845C50">
        <w:rPr>
          <w:rFonts w:cs="Times New Roman"/>
          <w:noProof/>
          <w:sz w:val="24"/>
        </w:rPr>
        <w:t xml:space="preserve">, </w:t>
      </w:r>
      <w:r w:rsidRPr="00845C50">
        <w:rPr>
          <w:rFonts w:cs="Times New Roman"/>
          <w:i/>
          <w:iCs/>
          <w:noProof/>
          <w:sz w:val="24"/>
        </w:rPr>
        <w:t>Part F2740</w:t>
      </w:r>
      <w:r w:rsidRPr="00845C50">
        <w:rPr>
          <w:rFonts w:cs="Times New Roman"/>
          <w:noProof/>
          <w:sz w:val="24"/>
        </w:rPr>
        <w:t>, 1–12. https://doi.org/10.1007/978-3-031-07461-5_1</w:t>
      </w:r>
    </w:p>
    <w:p w14:paraId="5A4621EF" w14:textId="37C18DB4" w:rsidR="00331E4A" w:rsidRPr="00331E4A" w:rsidRDefault="00331E4A" w:rsidP="00385D98">
      <w:pPr>
        <w:pStyle w:val="Heading1"/>
        <w:spacing w:after="240"/>
        <w:ind w:left="284"/>
        <w:jc w:val="both"/>
        <w:rPr>
          <w:rFonts w:asciiTheme="majorHAnsi" w:hAnsiTheme="majorHAnsi"/>
        </w:rPr>
      </w:pPr>
      <w:r>
        <w:rPr>
          <w:rFonts w:asciiTheme="majorHAnsi" w:hAnsiTheme="majorHAnsi"/>
        </w:rPr>
        <w:fldChar w:fldCharType="end"/>
      </w:r>
    </w:p>
    <w:p w14:paraId="2F3F7FBA" w14:textId="77777777" w:rsidR="002067E1" w:rsidRPr="002067E1" w:rsidRDefault="002067E1" w:rsidP="00385D98">
      <w:pPr>
        <w:jc w:val="both"/>
        <w:rPr>
          <w:rStyle w:val="Strong"/>
          <w:rFonts w:asciiTheme="majorHAnsi" w:hAnsiTheme="majorHAnsi"/>
        </w:rPr>
      </w:pPr>
    </w:p>
    <w:p w14:paraId="5B289205" w14:textId="77777777" w:rsidR="00C7376B" w:rsidRPr="00ED3D3A" w:rsidRDefault="00C7376B" w:rsidP="00385D98">
      <w:pPr>
        <w:pStyle w:val="FootnoteText"/>
        <w:jc w:val="both"/>
        <w:rPr>
          <w:rFonts w:ascii="Palatino Linotype" w:hAnsi="Palatino Linotype"/>
        </w:rPr>
      </w:pPr>
    </w:p>
    <w:sectPr w:rsidR="00C7376B" w:rsidRPr="00ED3D3A" w:rsidSect="00A76CBC">
      <w:headerReference w:type="default" r:id="rId9"/>
      <w:footerReference w:type="default" r:id="rId10"/>
      <w:headerReference w:type="first" r:id="rId11"/>
      <w:type w:val="continuous"/>
      <w:pgSz w:w="11910" w:h="16850"/>
      <w:pgMar w:top="1600" w:right="1220" w:bottom="2420" w:left="1240" w:header="0" w:footer="223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DA7E8" w14:textId="77777777" w:rsidR="00F747EF" w:rsidRDefault="00F747EF">
      <w:r>
        <w:separator/>
      </w:r>
    </w:p>
  </w:endnote>
  <w:endnote w:type="continuationSeparator" w:id="0">
    <w:p w14:paraId="7A8C2668" w14:textId="77777777" w:rsidR="00F747EF" w:rsidRDefault="00F7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Junicod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4105A" w14:textId="205E0054" w:rsidR="00FF5DDB" w:rsidRPr="005175CC" w:rsidRDefault="00994E45" w:rsidP="005175CC">
    <w:pPr>
      <w:pStyle w:val="Footer"/>
      <w:tabs>
        <w:tab w:val="clear" w:pos="9360"/>
        <w:tab w:val="right" w:pos="9356"/>
      </w:tabs>
      <w:rPr>
        <w:sz w:val="18"/>
        <w:szCs w:val="18"/>
      </w:rPr>
    </w:pPr>
    <w:r>
      <w:rPr>
        <w:noProof/>
      </w:rPr>
      <mc:AlternateContent>
        <mc:Choice Requires="wps">
          <w:drawing>
            <wp:anchor distT="0" distB="0" distL="114300" distR="114300" simplePos="0" relativeHeight="487443456" behindDoc="1" locked="0" layoutInCell="1" allowOverlap="1" wp14:anchorId="7F4F95D2" wp14:editId="2B338736">
              <wp:simplePos x="0" y="0"/>
              <wp:positionH relativeFrom="page">
                <wp:posOffset>1205230</wp:posOffset>
              </wp:positionH>
              <wp:positionV relativeFrom="page">
                <wp:posOffset>9444355</wp:posOffset>
              </wp:positionV>
              <wp:extent cx="4067810" cy="163195"/>
              <wp:effectExtent l="0" t="0" r="8890" b="8255"/>
              <wp:wrapNone/>
              <wp:docPr id="333864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81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36FF5" w14:textId="77777777" w:rsidR="00FF5DDB" w:rsidRDefault="00AA2F57">
                          <w:pPr>
                            <w:spacing w:line="240" w:lineRule="exact"/>
                            <w:ind w:left="20"/>
                            <w:rPr>
                              <w:rFonts w:ascii="Palatino Linotype" w:hAnsi="Palatino Linotype"/>
                              <w:b/>
                              <w:i/>
                              <w:sz w:val="18"/>
                            </w:rPr>
                          </w:pPr>
                          <w:r>
                            <w:rPr>
                              <w:rFonts w:ascii="Palatino Linotype" w:hAnsi="Palatino Linotype"/>
                              <w:b/>
                              <w:color w:val="FFFFFF"/>
                              <w:sz w:val="18"/>
                            </w:rPr>
                            <w:t>Erlina:</w:t>
                          </w:r>
                          <w:r>
                            <w:rPr>
                              <w:rFonts w:ascii="Palatino Linotype" w:hAnsi="Palatino Linotype"/>
                              <w:b/>
                              <w:color w:val="FFFFFF"/>
                              <w:spacing w:val="25"/>
                              <w:sz w:val="18"/>
                            </w:rPr>
                            <w:t xml:space="preserve"> </w:t>
                          </w:r>
                          <w:r>
                            <w:rPr>
                              <w:rFonts w:ascii="Palatino Linotype" w:hAnsi="Palatino Linotype"/>
                              <w:b/>
                              <w:i/>
                              <w:color w:val="FFFFFF"/>
                              <w:sz w:val="18"/>
                            </w:rPr>
                            <w:t>Implementation</w:t>
                          </w:r>
                          <w:r>
                            <w:rPr>
                              <w:rFonts w:ascii="Palatino Linotype" w:hAnsi="Palatino Linotype"/>
                              <w:b/>
                              <w:i/>
                              <w:color w:val="FFFFFF"/>
                              <w:spacing w:val="-5"/>
                              <w:sz w:val="18"/>
                            </w:rPr>
                            <w:t xml:space="preserve"> </w:t>
                          </w:r>
                          <w:r>
                            <w:rPr>
                              <w:rFonts w:ascii="Palatino Linotype" w:hAnsi="Palatino Linotype"/>
                              <w:b/>
                              <w:i/>
                              <w:color w:val="FFFFFF"/>
                              <w:sz w:val="18"/>
                            </w:rPr>
                            <w:t>of</w:t>
                          </w:r>
                          <w:r>
                            <w:rPr>
                              <w:rFonts w:ascii="Palatino Linotype" w:hAnsi="Palatino Linotype"/>
                              <w:b/>
                              <w:i/>
                              <w:color w:val="FFFFFF"/>
                              <w:spacing w:val="-2"/>
                              <w:sz w:val="18"/>
                            </w:rPr>
                            <w:t xml:space="preserve"> </w:t>
                          </w:r>
                          <w:r>
                            <w:rPr>
                              <w:rFonts w:ascii="Palatino Linotype" w:hAnsi="Palatino Linotype"/>
                              <w:b/>
                              <w:i/>
                              <w:color w:val="FFFFFF"/>
                              <w:sz w:val="18"/>
                            </w:rPr>
                            <w:t>Legal</w:t>
                          </w:r>
                          <w:r>
                            <w:rPr>
                              <w:rFonts w:ascii="Palatino Linotype" w:hAnsi="Palatino Linotype"/>
                              <w:b/>
                              <w:i/>
                              <w:color w:val="FFFFFF"/>
                              <w:spacing w:val="-2"/>
                              <w:sz w:val="18"/>
                            </w:rPr>
                            <w:t xml:space="preserve"> </w:t>
                          </w:r>
                          <w:r>
                            <w:rPr>
                              <w:rFonts w:ascii="Palatino Linotype" w:hAnsi="Palatino Linotype"/>
                              <w:b/>
                              <w:i/>
                              <w:color w:val="FFFFFF"/>
                              <w:sz w:val="18"/>
                            </w:rPr>
                            <w:t>Protection</w:t>
                          </w:r>
                          <w:r>
                            <w:rPr>
                              <w:rFonts w:ascii="Palatino Linotype" w:hAnsi="Palatino Linotype"/>
                              <w:b/>
                              <w:i/>
                              <w:color w:val="FFFFFF"/>
                              <w:spacing w:val="-1"/>
                              <w:sz w:val="18"/>
                            </w:rPr>
                            <w:t xml:space="preserve"> </w:t>
                          </w:r>
                          <w:r>
                            <w:rPr>
                              <w:rFonts w:ascii="Palatino Linotype" w:hAnsi="Palatino Linotype"/>
                              <w:b/>
                              <w:i/>
                              <w:color w:val="FFFFFF"/>
                              <w:sz w:val="18"/>
                            </w:rPr>
                            <w:t>of</w:t>
                          </w:r>
                          <w:r>
                            <w:rPr>
                              <w:rFonts w:ascii="Palatino Linotype" w:hAnsi="Palatino Linotype"/>
                              <w:b/>
                              <w:i/>
                              <w:color w:val="FFFFFF"/>
                              <w:spacing w:val="-4"/>
                              <w:sz w:val="18"/>
                            </w:rPr>
                            <w:t xml:space="preserve"> </w:t>
                          </w:r>
                          <w:r>
                            <w:rPr>
                              <w:rFonts w:ascii="Palatino Linotype" w:hAnsi="Palatino Linotype"/>
                              <w:b/>
                              <w:i/>
                              <w:color w:val="FFFFFF"/>
                              <w:sz w:val="18"/>
                            </w:rPr>
                            <w:t>Geographical</w:t>
                          </w:r>
                          <w:r>
                            <w:rPr>
                              <w:rFonts w:ascii="Palatino Linotype" w:hAnsi="Palatino Linotype"/>
                              <w:b/>
                              <w:i/>
                              <w:color w:val="FFFFFF"/>
                              <w:spacing w:val="-2"/>
                              <w:sz w:val="18"/>
                            </w:rPr>
                            <w:t xml:space="preserve"> </w:t>
                          </w:r>
                          <w:r>
                            <w:rPr>
                              <w:rFonts w:ascii="Palatino Linotype" w:hAnsi="Palatino Linotype"/>
                              <w:b/>
                              <w:i/>
                              <w:color w:val="FFFFFF"/>
                              <w:sz w:val="18"/>
                            </w:rPr>
                            <w:t>Indication</w:t>
                          </w:r>
                          <w:r>
                            <w:rPr>
                              <w:rFonts w:ascii="Palatino Linotype" w:hAnsi="Palatino Linotype"/>
                              <w:b/>
                              <w:i/>
                              <w:color w:val="FFFFFF"/>
                              <w:spacing w:val="-3"/>
                              <w:sz w:val="18"/>
                            </w:rPr>
                            <w:t xml:space="preserve"> </w:t>
                          </w:r>
                          <w:r>
                            <w:rPr>
                              <w:rFonts w:ascii="Palatino Linotype" w:hAnsi="Palatino Linotype"/>
                              <w:b/>
                              <w:i/>
                              <w:color w:val="FFFFFF"/>
                              <w:sz w:val="18"/>
                            </w:rPr>
                            <w:t>of</w:t>
                          </w:r>
                          <w:r>
                            <w:rPr>
                              <w:rFonts w:ascii="Palatino Linotype" w:hAnsi="Palatino Linotype"/>
                              <w:b/>
                              <w:i/>
                              <w:color w:val="FFFFFF"/>
                              <w:spacing w:val="-2"/>
                              <w:sz w:val="18"/>
                            </w:rPr>
                            <w:t xml:space="preserve"> </w:t>
                          </w:r>
                          <w:r>
                            <w:rPr>
                              <w:rFonts w:ascii="Palatino Linotype" w:hAnsi="Palatino Linotype"/>
                              <w:b/>
                              <w:i/>
                              <w:color w:val="FFFFFF"/>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F95D2" id="_x0000_t202" coordsize="21600,21600" o:spt="202" path="m,l,21600r21600,l21600,xe">
              <v:stroke joinstyle="miter"/>
              <v:path gradientshapeok="t" o:connecttype="rect"/>
            </v:shapetype>
            <v:shape id="Text Box 2" o:spid="_x0000_s1026" type="#_x0000_t202" style="position:absolute;margin-left:94.9pt;margin-top:743.65pt;width:320.3pt;height:12.85pt;z-index:-158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" filled="f" stroked="f">
              <v:textbox inset="0,0,0,0">
                <w:txbxContent>
                  <w:p w14:paraId="1E636FF5" w14:textId="77777777" w:rsidR="00FF5DDB" w:rsidRDefault="00AA2F57">
                    <w:pPr>
                      <w:spacing w:line="240" w:lineRule="exact"/>
                      <w:ind w:left="20"/>
                      <w:rPr>
                        <w:rFonts w:ascii="Palatino Linotype" w:hAnsi="Palatino Linotype"/>
                        <w:b/>
                        <w:i/>
                        <w:sz w:val="18"/>
                      </w:rPr>
                    </w:pPr>
                    <w:r>
                      <w:rPr>
                        <w:rFonts w:ascii="Palatino Linotype" w:hAnsi="Palatino Linotype"/>
                        <w:b/>
                        <w:color w:val="FFFFFF"/>
                        <w:sz w:val="18"/>
                      </w:rPr>
                      <w:t>Erlina:</w:t>
                    </w:r>
                    <w:r>
                      <w:rPr>
                        <w:rFonts w:ascii="Palatino Linotype" w:hAnsi="Palatino Linotype"/>
                        <w:b/>
                        <w:color w:val="FFFFFF"/>
                        <w:spacing w:val="25"/>
                        <w:sz w:val="18"/>
                      </w:rPr>
                      <w:t xml:space="preserve"> </w:t>
                    </w:r>
                    <w:r>
                      <w:rPr>
                        <w:rFonts w:ascii="Palatino Linotype" w:hAnsi="Palatino Linotype"/>
                        <w:b/>
                        <w:i/>
                        <w:color w:val="FFFFFF"/>
                        <w:sz w:val="18"/>
                      </w:rPr>
                      <w:t>Implementation</w:t>
                    </w:r>
                    <w:r>
                      <w:rPr>
                        <w:rFonts w:ascii="Palatino Linotype" w:hAnsi="Palatino Linotype"/>
                        <w:b/>
                        <w:i/>
                        <w:color w:val="FFFFFF"/>
                        <w:spacing w:val="-5"/>
                        <w:sz w:val="18"/>
                      </w:rPr>
                      <w:t xml:space="preserve"> </w:t>
                    </w:r>
                    <w:r>
                      <w:rPr>
                        <w:rFonts w:ascii="Palatino Linotype" w:hAnsi="Palatino Linotype"/>
                        <w:b/>
                        <w:i/>
                        <w:color w:val="FFFFFF"/>
                        <w:sz w:val="18"/>
                      </w:rPr>
                      <w:t>of</w:t>
                    </w:r>
                    <w:r>
                      <w:rPr>
                        <w:rFonts w:ascii="Palatino Linotype" w:hAnsi="Palatino Linotype"/>
                        <w:b/>
                        <w:i/>
                        <w:color w:val="FFFFFF"/>
                        <w:spacing w:val="-2"/>
                        <w:sz w:val="18"/>
                      </w:rPr>
                      <w:t xml:space="preserve"> </w:t>
                    </w:r>
                    <w:r>
                      <w:rPr>
                        <w:rFonts w:ascii="Palatino Linotype" w:hAnsi="Palatino Linotype"/>
                        <w:b/>
                        <w:i/>
                        <w:color w:val="FFFFFF"/>
                        <w:sz w:val="18"/>
                      </w:rPr>
                      <w:t>Legal</w:t>
                    </w:r>
                    <w:r>
                      <w:rPr>
                        <w:rFonts w:ascii="Palatino Linotype" w:hAnsi="Palatino Linotype"/>
                        <w:b/>
                        <w:i/>
                        <w:color w:val="FFFFFF"/>
                        <w:spacing w:val="-2"/>
                        <w:sz w:val="18"/>
                      </w:rPr>
                      <w:t xml:space="preserve"> </w:t>
                    </w:r>
                    <w:r>
                      <w:rPr>
                        <w:rFonts w:ascii="Palatino Linotype" w:hAnsi="Palatino Linotype"/>
                        <w:b/>
                        <w:i/>
                        <w:color w:val="FFFFFF"/>
                        <w:sz w:val="18"/>
                      </w:rPr>
                      <w:t>Protection</w:t>
                    </w:r>
                    <w:r>
                      <w:rPr>
                        <w:rFonts w:ascii="Palatino Linotype" w:hAnsi="Palatino Linotype"/>
                        <w:b/>
                        <w:i/>
                        <w:color w:val="FFFFFF"/>
                        <w:spacing w:val="-1"/>
                        <w:sz w:val="18"/>
                      </w:rPr>
                      <w:t xml:space="preserve"> </w:t>
                    </w:r>
                    <w:r>
                      <w:rPr>
                        <w:rFonts w:ascii="Palatino Linotype" w:hAnsi="Palatino Linotype"/>
                        <w:b/>
                        <w:i/>
                        <w:color w:val="FFFFFF"/>
                        <w:sz w:val="18"/>
                      </w:rPr>
                      <w:t>of</w:t>
                    </w:r>
                    <w:r>
                      <w:rPr>
                        <w:rFonts w:ascii="Palatino Linotype" w:hAnsi="Palatino Linotype"/>
                        <w:b/>
                        <w:i/>
                        <w:color w:val="FFFFFF"/>
                        <w:spacing w:val="-4"/>
                        <w:sz w:val="18"/>
                      </w:rPr>
                      <w:t xml:space="preserve"> </w:t>
                    </w:r>
                    <w:r>
                      <w:rPr>
                        <w:rFonts w:ascii="Palatino Linotype" w:hAnsi="Palatino Linotype"/>
                        <w:b/>
                        <w:i/>
                        <w:color w:val="FFFFFF"/>
                        <w:sz w:val="18"/>
                      </w:rPr>
                      <w:t>Geographical</w:t>
                    </w:r>
                    <w:r>
                      <w:rPr>
                        <w:rFonts w:ascii="Palatino Linotype" w:hAnsi="Palatino Linotype"/>
                        <w:b/>
                        <w:i/>
                        <w:color w:val="FFFFFF"/>
                        <w:spacing w:val="-2"/>
                        <w:sz w:val="18"/>
                      </w:rPr>
                      <w:t xml:space="preserve"> </w:t>
                    </w:r>
                    <w:r>
                      <w:rPr>
                        <w:rFonts w:ascii="Palatino Linotype" w:hAnsi="Palatino Linotype"/>
                        <w:b/>
                        <w:i/>
                        <w:color w:val="FFFFFF"/>
                        <w:sz w:val="18"/>
                      </w:rPr>
                      <w:t>Indication</w:t>
                    </w:r>
                    <w:r>
                      <w:rPr>
                        <w:rFonts w:ascii="Palatino Linotype" w:hAnsi="Palatino Linotype"/>
                        <w:b/>
                        <w:i/>
                        <w:color w:val="FFFFFF"/>
                        <w:spacing w:val="-3"/>
                        <w:sz w:val="18"/>
                      </w:rPr>
                      <w:t xml:space="preserve"> </w:t>
                    </w:r>
                    <w:r>
                      <w:rPr>
                        <w:rFonts w:ascii="Palatino Linotype" w:hAnsi="Palatino Linotype"/>
                        <w:b/>
                        <w:i/>
                        <w:color w:val="FFFFFF"/>
                        <w:sz w:val="18"/>
                      </w:rPr>
                      <w:t>of</w:t>
                    </w:r>
                    <w:r>
                      <w:rPr>
                        <w:rFonts w:ascii="Palatino Linotype" w:hAnsi="Palatino Linotype"/>
                        <w:b/>
                        <w:i/>
                        <w:color w:val="FFFFFF"/>
                        <w:spacing w:val="-2"/>
                        <w:sz w:val="18"/>
                      </w:rPr>
                      <w:t xml:space="preserve"> </w:t>
                    </w:r>
                    <w:r>
                      <w:rPr>
                        <w:rFonts w:ascii="Palatino Linotype" w:hAnsi="Palatino Linotype"/>
                        <w:b/>
                        <w:i/>
                        <w:color w:val="FFFFFF"/>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151EE" w14:textId="77777777" w:rsidR="00F747EF" w:rsidRDefault="00F747EF">
      <w:r>
        <w:separator/>
      </w:r>
    </w:p>
  </w:footnote>
  <w:footnote w:type="continuationSeparator" w:id="0">
    <w:p w14:paraId="6BCC2917" w14:textId="77777777" w:rsidR="00F747EF" w:rsidRDefault="00F7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C7E1D" w14:textId="77777777" w:rsidR="00FF5DDB" w:rsidRPr="008923B2" w:rsidRDefault="00FF5DDB" w:rsidP="008923B2">
    <w:pPr>
      <w:pStyle w:val="Header"/>
      <w:ind w:left="-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EA3C" w14:textId="77777777" w:rsidR="00E2642E" w:rsidRDefault="00E2642E" w:rsidP="00E2642E">
    <w:pPr>
      <w:spacing w:before="89"/>
      <w:ind w:left="2989"/>
      <w:rPr>
        <w:b/>
        <w:color w:val="76923B"/>
        <w:w w:val="95"/>
        <w:sz w:val="16"/>
      </w:rPr>
    </w:pPr>
  </w:p>
  <w:p w14:paraId="10C3AEDB" w14:textId="77777777" w:rsidR="00E2642E" w:rsidRDefault="00E2642E" w:rsidP="00E2642E">
    <w:pPr>
      <w:spacing w:before="89"/>
      <w:ind w:left="2989"/>
      <w:rPr>
        <w:b/>
        <w:color w:val="76923B"/>
        <w:w w:val="95"/>
        <w:sz w:val="16"/>
      </w:rPr>
    </w:pPr>
  </w:p>
  <w:p w14:paraId="3E17BDBB" w14:textId="634A72B1" w:rsidR="00074D70" w:rsidRPr="00996A98" w:rsidRDefault="00E2642E" w:rsidP="00074D70">
    <w:pPr>
      <w:ind w:left="3600"/>
      <w:rPr>
        <w:rFonts w:ascii="Palatino Linotype" w:hAnsi="Palatino Linotype"/>
        <w:b/>
        <w:w w:val="95"/>
        <w:sz w:val="18"/>
        <w:szCs w:val="18"/>
      </w:rPr>
    </w:pPr>
    <w:r>
      <w:rPr>
        <w:rFonts w:ascii="Palatino Linotype" w:hAnsi="Palatino Linotype"/>
        <w:b/>
        <w:color w:val="000000" w:themeColor="text1"/>
        <w:w w:val="95"/>
        <w:sz w:val="16"/>
      </w:rPr>
      <w:tab/>
    </w:r>
    <w:r w:rsidRPr="000A7F1C">
      <w:rPr>
        <w:rFonts w:ascii="Palatino Linotype" w:hAnsi="Palatino Linotype"/>
        <w:b/>
        <w:color w:val="000000" w:themeColor="text1"/>
        <w:w w:val="95"/>
        <w:sz w:val="16"/>
      </w:rPr>
      <w:tab/>
    </w:r>
    <w:r w:rsidRPr="000A7F1C">
      <w:rPr>
        <w:rFonts w:ascii="Palatino Linotype" w:hAnsi="Palatino Linotype"/>
        <w:b/>
        <w:color w:val="000000" w:themeColor="text1"/>
        <w:w w:val="95"/>
        <w:sz w:val="16"/>
      </w:rPr>
      <w:tab/>
    </w:r>
    <w:r w:rsidRPr="000A7F1C">
      <w:rPr>
        <w:rFonts w:ascii="Palatino Linotype" w:hAnsi="Palatino Linotype"/>
        <w:b/>
        <w:color w:val="000000" w:themeColor="text1"/>
        <w:w w:val="95"/>
        <w:sz w:val="16"/>
      </w:rPr>
      <w:tab/>
    </w:r>
    <w:r w:rsidRPr="000A7F1C">
      <w:rPr>
        <w:rFonts w:ascii="Palatino Linotype" w:hAnsi="Palatino Linotype"/>
        <w:b/>
        <w:color w:val="000000" w:themeColor="text1"/>
        <w:w w:val="95"/>
        <w:sz w:val="16"/>
      </w:rPr>
      <w:tab/>
      <w:t xml:space="preserve">                 </w:t>
    </w:r>
  </w:p>
  <w:p w14:paraId="21E93214" w14:textId="3A1ECDF6" w:rsidR="008C0DD5" w:rsidRPr="00E2642E" w:rsidRDefault="008C0DD5" w:rsidP="00E2642E">
    <w:pPr>
      <w:ind w:left="3828"/>
      <w:jc w:val="right"/>
      <w:rPr>
        <w:rFonts w:ascii="Palatino Linotype" w:hAnsi="Palatino Linotype"/>
        <w:b/>
        <w:color w:val="76923B"/>
        <w:w w:val="95"/>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2D9C"/>
    <w:multiLevelType w:val="hybridMultilevel"/>
    <w:tmpl w:val="F78419AC"/>
    <w:lvl w:ilvl="0" w:tplc="20689D68">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4AB0B1D6">
      <w:numFmt w:val="bullet"/>
      <w:lvlText w:val="•"/>
      <w:lvlJc w:val="left"/>
      <w:pPr>
        <w:ind w:left="1736" w:hanging="428"/>
      </w:pPr>
      <w:rPr>
        <w:rFonts w:hint="default"/>
        <w:lang w:val="en-US" w:eastAsia="en-US" w:bidi="ar-SA"/>
      </w:rPr>
    </w:lvl>
    <w:lvl w:ilvl="2" w:tplc="E3CCB5FE">
      <w:numFmt w:val="bullet"/>
      <w:lvlText w:val="•"/>
      <w:lvlJc w:val="left"/>
      <w:pPr>
        <w:ind w:left="2593" w:hanging="428"/>
      </w:pPr>
      <w:rPr>
        <w:rFonts w:hint="default"/>
        <w:lang w:val="en-US" w:eastAsia="en-US" w:bidi="ar-SA"/>
      </w:rPr>
    </w:lvl>
    <w:lvl w:ilvl="3" w:tplc="43601E6A">
      <w:numFmt w:val="bullet"/>
      <w:lvlText w:val="•"/>
      <w:lvlJc w:val="left"/>
      <w:pPr>
        <w:ind w:left="3449" w:hanging="428"/>
      </w:pPr>
      <w:rPr>
        <w:rFonts w:hint="default"/>
        <w:lang w:val="en-US" w:eastAsia="en-US" w:bidi="ar-SA"/>
      </w:rPr>
    </w:lvl>
    <w:lvl w:ilvl="4" w:tplc="1F265FD0">
      <w:numFmt w:val="bullet"/>
      <w:lvlText w:val="•"/>
      <w:lvlJc w:val="left"/>
      <w:pPr>
        <w:ind w:left="4306" w:hanging="428"/>
      </w:pPr>
      <w:rPr>
        <w:rFonts w:hint="default"/>
        <w:lang w:val="en-US" w:eastAsia="en-US" w:bidi="ar-SA"/>
      </w:rPr>
    </w:lvl>
    <w:lvl w:ilvl="5" w:tplc="29E0D21C">
      <w:numFmt w:val="bullet"/>
      <w:lvlText w:val="•"/>
      <w:lvlJc w:val="left"/>
      <w:pPr>
        <w:ind w:left="5163" w:hanging="428"/>
      </w:pPr>
      <w:rPr>
        <w:rFonts w:hint="default"/>
        <w:lang w:val="en-US" w:eastAsia="en-US" w:bidi="ar-SA"/>
      </w:rPr>
    </w:lvl>
    <w:lvl w:ilvl="6" w:tplc="0C52E300">
      <w:numFmt w:val="bullet"/>
      <w:lvlText w:val="•"/>
      <w:lvlJc w:val="left"/>
      <w:pPr>
        <w:ind w:left="6019" w:hanging="428"/>
      </w:pPr>
      <w:rPr>
        <w:rFonts w:hint="default"/>
        <w:lang w:val="en-US" w:eastAsia="en-US" w:bidi="ar-SA"/>
      </w:rPr>
    </w:lvl>
    <w:lvl w:ilvl="7" w:tplc="17080CD2">
      <w:numFmt w:val="bullet"/>
      <w:lvlText w:val="•"/>
      <w:lvlJc w:val="left"/>
      <w:pPr>
        <w:ind w:left="6876" w:hanging="428"/>
      </w:pPr>
      <w:rPr>
        <w:rFonts w:hint="default"/>
        <w:lang w:val="en-US" w:eastAsia="en-US" w:bidi="ar-SA"/>
      </w:rPr>
    </w:lvl>
    <w:lvl w:ilvl="8" w:tplc="4072E178">
      <w:numFmt w:val="bullet"/>
      <w:lvlText w:val="•"/>
      <w:lvlJc w:val="left"/>
      <w:pPr>
        <w:ind w:left="7733" w:hanging="428"/>
      </w:pPr>
      <w:rPr>
        <w:rFonts w:hint="default"/>
        <w:lang w:val="en-US" w:eastAsia="en-US" w:bidi="ar-SA"/>
      </w:rPr>
    </w:lvl>
  </w:abstractNum>
  <w:abstractNum w:abstractNumId="1" w15:restartNumberingAfterBreak="0">
    <w:nsid w:val="06D53F9E"/>
    <w:multiLevelType w:val="multilevel"/>
    <w:tmpl w:val="C0A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07361"/>
    <w:multiLevelType w:val="hybridMultilevel"/>
    <w:tmpl w:val="33B86A70"/>
    <w:lvl w:ilvl="0" w:tplc="75745D14">
      <w:start w:val="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 w15:restartNumberingAfterBreak="0">
    <w:nsid w:val="0B821E61"/>
    <w:multiLevelType w:val="hybridMultilevel"/>
    <w:tmpl w:val="3B54825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0C84461D"/>
    <w:multiLevelType w:val="multilevel"/>
    <w:tmpl w:val="29366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304120"/>
    <w:multiLevelType w:val="multilevel"/>
    <w:tmpl w:val="6CEAEA2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5E80F08"/>
    <w:multiLevelType w:val="hybridMultilevel"/>
    <w:tmpl w:val="9F40C2CA"/>
    <w:lvl w:ilvl="0" w:tplc="4B14C3E2">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506A8ADA">
      <w:numFmt w:val="bullet"/>
      <w:lvlText w:val="•"/>
      <w:lvlJc w:val="left"/>
      <w:pPr>
        <w:ind w:left="1736" w:hanging="428"/>
      </w:pPr>
      <w:rPr>
        <w:rFonts w:hint="default"/>
        <w:lang w:val="en-US" w:eastAsia="en-US" w:bidi="ar-SA"/>
      </w:rPr>
    </w:lvl>
    <w:lvl w:ilvl="2" w:tplc="6D6E8178">
      <w:numFmt w:val="bullet"/>
      <w:lvlText w:val="•"/>
      <w:lvlJc w:val="left"/>
      <w:pPr>
        <w:ind w:left="2593" w:hanging="428"/>
      </w:pPr>
      <w:rPr>
        <w:rFonts w:hint="default"/>
        <w:lang w:val="en-US" w:eastAsia="en-US" w:bidi="ar-SA"/>
      </w:rPr>
    </w:lvl>
    <w:lvl w:ilvl="3" w:tplc="47A88470">
      <w:numFmt w:val="bullet"/>
      <w:lvlText w:val="•"/>
      <w:lvlJc w:val="left"/>
      <w:pPr>
        <w:ind w:left="3449" w:hanging="428"/>
      </w:pPr>
      <w:rPr>
        <w:rFonts w:hint="default"/>
        <w:lang w:val="en-US" w:eastAsia="en-US" w:bidi="ar-SA"/>
      </w:rPr>
    </w:lvl>
    <w:lvl w:ilvl="4" w:tplc="4E0A4E14">
      <w:numFmt w:val="bullet"/>
      <w:lvlText w:val="•"/>
      <w:lvlJc w:val="left"/>
      <w:pPr>
        <w:ind w:left="4306" w:hanging="428"/>
      </w:pPr>
      <w:rPr>
        <w:rFonts w:hint="default"/>
        <w:lang w:val="en-US" w:eastAsia="en-US" w:bidi="ar-SA"/>
      </w:rPr>
    </w:lvl>
    <w:lvl w:ilvl="5" w:tplc="D7B48D1C">
      <w:numFmt w:val="bullet"/>
      <w:lvlText w:val="•"/>
      <w:lvlJc w:val="left"/>
      <w:pPr>
        <w:ind w:left="5163" w:hanging="428"/>
      </w:pPr>
      <w:rPr>
        <w:rFonts w:hint="default"/>
        <w:lang w:val="en-US" w:eastAsia="en-US" w:bidi="ar-SA"/>
      </w:rPr>
    </w:lvl>
    <w:lvl w:ilvl="6" w:tplc="D4348D8C">
      <w:numFmt w:val="bullet"/>
      <w:lvlText w:val="•"/>
      <w:lvlJc w:val="left"/>
      <w:pPr>
        <w:ind w:left="6019" w:hanging="428"/>
      </w:pPr>
      <w:rPr>
        <w:rFonts w:hint="default"/>
        <w:lang w:val="en-US" w:eastAsia="en-US" w:bidi="ar-SA"/>
      </w:rPr>
    </w:lvl>
    <w:lvl w:ilvl="7" w:tplc="A59A98F2">
      <w:numFmt w:val="bullet"/>
      <w:lvlText w:val="•"/>
      <w:lvlJc w:val="left"/>
      <w:pPr>
        <w:ind w:left="6876" w:hanging="428"/>
      </w:pPr>
      <w:rPr>
        <w:rFonts w:hint="default"/>
        <w:lang w:val="en-US" w:eastAsia="en-US" w:bidi="ar-SA"/>
      </w:rPr>
    </w:lvl>
    <w:lvl w:ilvl="8" w:tplc="FEE6684E">
      <w:numFmt w:val="bullet"/>
      <w:lvlText w:val="•"/>
      <w:lvlJc w:val="left"/>
      <w:pPr>
        <w:ind w:left="7733" w:hanging="428"/>
      </w:pPr>
      <w:rPr>
        <w:rFonts w:hint="default"/>
        <w:lang w:val="en-US" w:eastAsia="en-US" w:bidi="ar-SA"/>
      </w:rPr>
    </w:lvl>
  </w:abstractNum>
  <w:abstractNum w:abstractNumId="7" w15:restartNumberingAfterBreak="0">
    <w:nsid w:val="1A794C38"/>
    <w:multiLevelType w:val="multilevel"/>
    <w:tmpl w:val="A9465F10"/>
    <w:lvl w:ilvl="0">
      <w:start w:val="1"/>
      <w:numFmt w:val="bullet"/>
      <w:lvlText w:val="●"/>
      <w:lvlJc w:val="left"/>
      <w:pPr>
        <w:ind w:left="426" w:hanging="360"/>
      </w:pPr>
      <w:rPr>
        <w:rFonts w:ascii="Noto Sans Symbols" w:eastAsia="Noto Sans Symbols" w:hAnsi="Noto Sans Symbols" w:cs="Noto Sans Symbols"/>
      </w:rPr>
    </w:lvl>
    <w:lvl w:ilvl="1">
      <w:start w:val="1"/>
      <w:numFmt w:val="bullet"/>
      <w:lvlText w:val="o"/>
      <w:lvlJc w:val="left"/>
      <w:pPr>
        <w:ind w:left="1146" w:hanging="360"/>
      </w:pPr>
      <w:rPr>
        <w:rFonts w:ascii="Courier New" w:eastAsia="Courier New" w:hAnsi="Courier New" w:cs="Courier New"/>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8" w15:restartNumberingAfterBreak="0">
    <w:nsid w:val="25E86D86"/>
    <w:multiLevelType w:val="hybridMultilevel"/>
    <w:tmpl w:val="37C84BA2"/>
    <w:lvl w:ilvl="0" w:tplc="08748802">
      <w:start w:val="1"/>
      <w:numFmt w:val="lowerLetter"/>
      <w:lvlText w:val="%1."/>
      <w:lvlJc w:val="left"/>
      <w:pPr>
        <w:ind w:left="644" w:hanging="360"/>
      </w:pPr>
      <w:rPr>
        <w:rFonts w:hint="default"/>
        <w:b w:val="0"/>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15:restartNumberingAfterBreak="0">
    <w:nsid w:val="2A984D7B"/>
    <w:multiLevelType w:val="hybridMultilevel"/>
    <w:tmpl w:val="4298131C"/>
    <w:lvl w:ilvl="0" w:tplc="665082B0">
      <w:start w:val="2"/>
      <w:numFmt w:val="decimal"/>
      <w:lvlText w:val="%1."/>
      <w:lvlJc w:val="left"/>
      <w:pPr>
        <w:ind w:left="560" w:hanging="240"/>
      </w:pPr>
      <w:rPr>
        <w:rFonts w:ascii="Palatino Linotype" w:eastAsia="Palatino Linotype" w:hAnsi="Palatino Linotype" w:cs="Palatino Linotype" w:hint="default"/>
        <w:b/>
        <w:bCs/>
        <w:w w:val="100"/>
        <w:sz w:val="24"/>
        <w:szCs w:val="24"/>
        <w:lang w:val="en-US" w:eastAsia="en-US" w:bidi="ar-SA"/>
      </w:rPr>
    </w:lvl>
    <w:lvl w:ilvl="1" w:tplc="3DA2FA50">
      <w:start w:val="1"/>
      <w:numFmt w:val="decimal"/>
      <w:lvlText w:val="%2."/>
      <w:lvlJc w:val="left"/>
      <w:pPr>
        <w:ind w:left="889" w:hanging="428"/>
      </w:pPr>
      <w:rPr>
        <w:rFonts w:ascii="Cambria" w:eastAsia="Cambria" w:hAnsi="Cambria" w:cs="Cambria" w:hint="default"/>
        <w:w w:val="98"/>
        <w:sz w:val="24"/>
        <w:szCs w:val="24"/>
        <w:lang w:val="en-US" w:eastAsia="en-US" w:bidi="ar-SA"/>
      </w:rPr>
    </w:lvl>
    <w:lvl w:ilvl="2" w:tplc="749C28BC">
      <w:numFmt w:val="bullet"/>
      <w:lvlText w:val="•"/>
      <w:lvlJc w:val="left"/>
      <w:pPr>
        <w:ind w:left="1831" w:hanging="428"/>
      </w:pPr>
      <w:rPr>
        <w:rFonts w:hint="default"/>
        <w:lang w:val="en-US" w:eastAsia="en-US" w:bidi="ar-SA"/>
      </w:rPr>
    </w:lvl>
    <w:lvl w:ilvl="3" w:tplc="15D85C0A">
      <w:numFmt w:val="bullet"/>
      <w:lvlText w:val="•"/>
      <w:lvlJc w:val="left"/>
      <w:pPr>
        <w:ind w:left="2783" w:hanging="428"/>
      </w:pPr>
      <w:rPr>
        <w:rFonts w:hint="default"/>
        <w:lang w:val="en-US" w:eastAsia="en-US" w:bidi="ar-SA"/>
      </w:rPr>
    </w:lvl>
    <w:lvl w:ilvl="4" w:tplc="3D8A683E">
      <w:numFmt w:val="bullet"/>
      <w:lvlText w:val="•"/>
      <w:lvlJc w:val="left"/>
      <w:pPr>
        <w:ind w:left="3735" w:hanging="428"/>
      </w:pPr>
      <w:rPr>
        <w:rFonts w:hint="default"/>
        <w:lang w:val="en-US" w:eastAsia="en-US" w:bidi="ar-SA"/>
      </w:rPr>
    </w:lvl>
    <w:lvl w:ilvl="5" w:tplc="B1F8F036">
      <w:numFmt w:val="bullet"/>
      <w:lvlText w:val="•"/>
      <w:lvlJc w:val="left"/>
      <w:pPr>
        <w:ind w:left="4687" w:hanging="428"/>
      </w:pPr>
      <w:rPr>
        <w:rFonts w:hint="default"/>
        <w:lang w:val="en-US" w:eastAsia="en-US" w:bidi="ar-SA"/>
      </w:rPr>
    </w:lvl>
    <w:lvl w:ilvl="6" w:tplc="D6A89610">
      <w:numFmt w:val="bullet"/>
      <w:lvlText w:val="•"/>
      <w:lvlJc w:val="left"/>
      <w:pPr>
        <w:ind w:left="5639" w:hanging="428"/>
      </w:pPr>
      <w:rPr>
        <w:rFonts w:hint="default"/>
        <w:lang w:val="en-US" w:eastAsia="en-US" w:bidi="ar-SA"/>
      </w:rPr>
    </w:lvl>
    <w:lvl w:ilvl="7" w:tplc="83920F24">
      <w:numFmt w:val="bullet"/>
      <w:lvlText w:val="•"/>
      <w:lvlJc w:val="left"/>
      <w:pPr>
        <w:ind w:left="6590" w:hanging="428"/>
      </w:pPr>
      <w:rPr>
        <w:rFonts w:hint="default"/>
        <w:lang w:val="en-US" w:eastAsia="en-US" w:bidi="ar-SA"/>
      </w:rPr>
    </w:lvl>
    <w:lvl w:ilvl="8" w:tplc="39EA3930">
      <w:numFmt w:val="bullet"/>
      <w:lvlText w:val="•"/>
      <w:lvlJc w:val="left"/>
      <w:pPr>
        <w:ind w:left="7542" w:hanging="428"/>
      </w:pPr>
      <w:rPr>
        <w:rFonts w:hint="default"/>
        <w:lang w:val="en-US" w:eastAsia="en-US" w:bidi="ar-SA"/>
      </w:rPr>
    </w:lvl>
  </w:abstractNum>
  <w:abstractNum w:abstractNumId="10" w15:restartNumberingAfterBreak="0">
    <w:nsid w:val="30921AC2"/>
    <w:multiLevelType w:val="multilevel"/>
    <w:tmpl w:val="F2148BF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B77D8E"/>
    <w:multiLevelType w:val="multilevel"/>
    <w:tmpl w:val="26DAF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5E59CA"/>
    <w:multiLevelType w:val="hybridMultilevel"/>
    <w:tmpl w:val="DB0A884C"/>
    <w:lvl w:ilvl="0" w:tplc="4E989496">
      <w:start w:val="1"/>
      <w:numFmt w:val="lowerLetter"/>
      <w:lvlText w:val="%1."/>
      <w:lvlJc w:val="left"/>
      <w:pPr>
        <w:ind w:left="889" w:hanging="360"/>
        <w:jc w:val="right"/>
      </w:pPr>
      <w:rPr>
        <w:rFonts w:ascii="Cambria" w:eastAsia="Cambria" w:hAnsi="Cambria" w:cs="Cambria" w:hint="default"/>
        <w:w w:val="108"/>
        <w:sz w:val="24"/>
        <w:szCs w:val="24"/>
        <w:lang w:val="en-US" w:eastAsia="en-US" w:bidi="ar-SA"/>
      </w:rPr>
    </w:lvl>
    <w:lvl w:ilvl="1" w:tplc="CAE0694E">
      <w:numFmt w:val="bullet"/>
      <w:lvlText w:val="•"/>
      <w:lvlJc w:val="left"/>
      <w:pPr>
        <w:ind w:left="1736" w:hanging="360"/>
      </w:pPr>
      <w:rPr>
        <w:rFonts w:hint="default"/>
        <w:lang w:val="en-US" w:eastAsia="en-US" w:bidi="ar-SA"/>
      </w:rPr>
    </w:lvl>
    <w:lvl w:ilvl="2" w:tplc="3474D706">
      <w:numFmt w:val="bullet"/>
      <w:lvlText w:val="•"/>
      <w:lvlJc w:val="left"/>
      <w:pPr>
        <w:ind w:left="2593" w:hanging="360"/>
      </w:pPr>
      <w:rPr>
        <w:rFonts w:hint="default"/>
        <w:lang w:val="en-US" w:eastAsia="en-US" w:bidi="ar-SA"/>
      </w:rPr>
    </w:lvl>
    <w:lvl w:ilvl="3" w:tplc="8B4C7B14">
      <w:numFmt w:val="bullet"/>
      <w:lvlText w:val="•"/>
      <w:lvlJc w:val="left"/>
      <w:pPr>
        <w:ind w:left="3449" w:hanging="360"/>
      </w:pPr>
      <w:rPr>
        <w:rFonts w:hint="default"/>
        <w:lang w:val="en-US" w:eastAsia="en-US" w:bidi="ar-SA"/>
      </w:rPr>
    </w:lvl>
    <w:lvl w:ilvl="4" w:tplc="217CED0A">
      <w:numFmt w:val="bullet"/>
      <w:lvlText w:val="•"/>
      <w:lvlJc w:val="left"/>
      <w:pPr>
        <w:ind w:left="4306" w:hanging="360"/>
      </w:pPr>
      <w:rPr>
        <w:rFonts w:hint="default"/>
        <w:lang w:val="en-US" w:eastAsia="en-US" w:bidi="ar-SA"/>
      </w:rPr>
    </w:lvl>
    <w:lvl w:ilvl="5" w:tplc="2A88F808">
      <w:numFmt w:val="bullet"/>
      <w:lvlText w:val="•"/>
      <w:lvlJc w:val="left"/>
      <w:pPr>
        <w:ind w:left="5163" w:hanging="360"/>
      </w:pPr>
      <w:rPr>
        <w:rFonts w:hint="default"/>
        <w:lang w:val="en-US" w:eastAsia="en-US" w:bidi="ar-SA"/>
      </w:rPr>
    </w:lvl>
    <w:lvl w:ilvl="6" w:tplc="D5E8E0CE">
      <w:numFmt w:val="bullet"/>
      <w:lvlText w:val="•"/>
      <w:lvlJc w:val="left"/>
      <w:pPr>
        <w:ind w:left="6019" w:hanging="360"/>
      </w:pPr>
      <w:rPr>
        <w:rFonts w:hint="default"/>
        <w:lang w:val="en-US" w:eastAsia="en-US" w:bidi="ar-SA"/>
      </w:rPr>
    </w:lvl>
    <w:lvl w:ilvl="7" w:tplc="DC2E8C7E">
      <w:numFmt w:val="bullet"/>
      <w:lvlText w:val="•"/>
      <w:lvlJc w:val="left"/>
      <w:pPr>
        <w:ind w:left="6876" w:hanging="360"/>
      </w:pPr>
      <w:rPr>
        <w:rFonts w:hint="default"/>
        <w:lang w:val="en-US" w:eastAsia="en-US" w:bidi="ar-SA"/>
      </w:rPr>
    </w:lvl>
    <w:lvl w:ilvl="8" w:tplc="468E4B60">
      <w:numFmt w:val="bullet"/>
      <w:lvlText w:val="•"/>
      <w:lvlJc w:val="left"/>
      <w:pPr>
        <w:ind w:left="7733" w:hanging="360"/>
      </w:pPr>
      <w:rPr>
        <w:rFonts w:hint="default"/>
        <w:lang w:val="en-US" w:eastAsia="en-US" w:bidi="ar-SA"/>
      </w:rPr>
    </w:lvl>
  </w:abstractNum>
  <w:abstractNum w:abstractNumId="13" w15:restartNumberingAfterBreak="0">
    <w:nsid w:val="3B306187"/>
    <w:multiLevelType w:val="hybridMultilevel"/>
    <w:tmpl w:val="94B42D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B4A4018"/>
    <w:multiLevelType w:val="hybridMultilevel"/>
    <w:tmpl w:val="614C14CE"/>
    <w:lvl w:ilvl="0" w:tplc="C78CF2CE">
      <w:start w:val="1"/>
      <w:numFmt w:val="lowerLetter"/>
      <w:lvlText w:val="%1."/>
      <w:lvlJc w:val="left"/>
      <w:pPr>
        <w:ind w:left="1069" w:hanging="360"/>
      </w:pPr>
      <w:rPr>
        <w:rFonts w:hint="default"/>
        <w:b/>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5" w15:restartNumberingAfterBreak="0">
    <w:nsid w:val="3ECF52B2"/>
    <w:multiLevelType w:val="hybridMultilevel"/>
    <w:tmpl w:val="6674FB08"/>
    <w:lvl w:ilvl="0" w:tplc="2920F99C">
      <w:start w:val="1"/>
      <w:numFmt w:val="lowerLetter"/>
      <w:lvlText w:val="%1."/>
      <w:lvlJc w:val="left"/>
      <w:pPr>
        <w:ind w:left="680" w:hanging="360"/>
      </w:pPr>
      <w:rPr>
        <w:rFonts w:ascii="Cambria" w:eastAsia="Cambria" w:hAnsi="Cambria" w:cs="Cambria" w:hint="default"/>
        <w:w w:val="108"/>
        <w:sz w:val="24"/>
        <w:szCs w:val="24"/>
        <w:lang w:val="en-US" w:eastAsia="en-US" w:bidi="ar-SA"/>
      </w:rPr>
    </w:lvl>
    <w:lvl w:ilvl="1" w:tplc="5E44C85E">
      <w:numFmt w:val="bullet"/>
      <w:lvlText w:val="•"/>
      <w:lvlJc w:val="left"/>
      <w:pPr>
        <w:ind w:left="1556" w:hanging="360"/>
      </w:pPr>
      <w:rPr>
        <w:rFonts w:hint="default"/>
        <w:lang w:val="en-US" w:eastAsia="en-US" w:bidi="ar-SA"/>
      </w:rPr>
    </w:lvl>
    <w:lvl w:ilvl="2" w:tplc="367C99D4">
      <w:numFmt w:val="bullet"/>
      <w:lvlText w:val="•"/>
      <w:lvlJc w:val="left"/>
      <w:pPr>
        <w:ind w:left="2433" w:hanging="360"/>
      </w:pPr>
      <w:rPr>
        <w:rFonts w:hint="default"/>
        <w:lang w:val="en-US" w:eastAsia="en-US" w:bidi="ar-SA"/>
      </w:rPr>
    </w:lvl>
    <w:lvl w:ilvl="3" w:tplc="C2524AF4">
      <w:numFmt w:val="bullet"/>
      <w:lvlText w:val="•"/>
      <w:lvlJc w:val="left"/>
      <w:pPr>
        <w:ind w:left="3309" w:hanging="360"/>
      </w:pPr>
      <w:rPr>
        <w:rFonts w:hint="default"/>
        <w:lang w:val="en-US" w:eastAsia="en-US" w:bidi="ar-SA"/>
      </w:rPr>
    </w:lvl>
    <w:lvl w:ilvl="4" w:tplc="C8D639C0">
      <w:numFmt w:val="bullet"/>
      <w:lvlText w:val="•"/>
      <w:lvlJc w:val="left"/>
      <w:pPr>
        <w:ind w:left="4186" w:hanging="360"/>
      </w:pPr>
      <w:rPr>
        <w:rFonts w:hint="default"/>
        <w:lang w:val="en-US" w:eastAsia="en-US" w:bidi="ar-SA"/>
      </w:rPr>
    </w:lvl>
    <w:lvl w:ilvl="5" w:tplc="0BE0E51E">
      <w:numFmt w:val="bullet"/>
      <w:lvlText w:val="•"/>
      <w:lvlJc w:val="left"/>
      <w:pPr>
        <w:ind w:left="5063" w:hanging="360"/>
      </w:pPr>
      <w:rPr>
        <w:rFonts w:hint="default"/>
        <w:lang w:val="en-US" w:eastAsia="en-US" w:bidi="ar-SA"/>
      </w:rPr>
    </w:lvl>
    <w:lvl w:ilvl="6" w:tplc="6A7ED59C">
      <w:numFmt w:val="bullet"/>
      <w:lvlText w:val="•"/>
      <w:lvlJc w:val="left"/>
      <w:pPr>
        <w:ind w:left="5939" w:hanging="360"/>
      </w:pPr>
      <w:rPr>
        <w:rFonts w:hint="default"/>
        <w:lang w:val="en-US" w:eastAsia="en-US" w:bidi="ar-SA"/>
      </w:rPr>
    </w:lvl>
    <w:lvl w:ilvl="7" w:tplc="56E85FB4">
      <w:numFmt w:val="bullet"/>
      <w:lvlText w:val="•"/>
      <w:lvlJc w:val="left"/>
      <w:pPr>
        <w:ind w:left="6816" w:hanging="360"/>
      </w:pPr>
      <w:rPr>
        <w:rFonts w:hint="default"/>
        <w:lang w:val="en-US" w:eastAsia="en-US" w:bidi="ar-SA"/>
      </w:rPr>
    </w:lvl>
    <w:lvl w:ilvl="8" w:tplc="F836E13A">
      <w:numFmt w:val="bullet"/>
      <w:lvlText w:val="•"/>
      <w:lvlJc w:val="left"/>
      <w:pPr>
        <w:ind w:left="7693" w:hanging="360"/>
      </w:pPr>
      <w:rPr>
        <w:rFonts w:hint="default"/>
        <w:lang w:val="en-US" w:eastAsia="en-US" w:bidi="ar-SA"/>
      </w:rPr>
    </w:lvl>
  </w:abstractNum>
  <w:abstractNum w:abstractNumId="16" w15:restartNumberingAfterBreak="0">
    <w:nsid w:val="4CD13067"/>
    <w:multiLevelType w:val="hybridMultilevel"/>
    <w:tmpl w:val="410CD39E"/>
    <w:lvl w:ilvl="0" w:tplc="0A781F98">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781A0522">
      <w:numFmt w:val="bullet"/>
      <w:lvlText w:val="•"/>
      <w:lvlJc w:val="left"/>
      <w:pPr>
        <w:ind w:left="1736" w:hanging="428"/>
      </w:pPr>
      <w:rPr>
        <w:rFonts w:hint="default"/>
        <w:lang w:val="en-US" w:eastAsia="en-US" w:bidi="ar-SA"/>
      </w:rPr>
    </w:lvl>
    <w:lvl w:ilvl="2" w:tplc="4956CC7C">
      <w:numFmt w:val="bullet"/>
      <w:lvlText w:val="•"/>
      <w:lvlJc w:val="left"/>
      <w:pPr>
        <w:ind w:left="2593" w:hanging="428"/>
      </w:pPr>
      <w:rPr>
        <w:rFonts w:hint="default"/>
        <w:lang w:val="en-US" w:eastAsia="en-US" w:bidi="ar-SA"/>
      </w:rPr>
    </w:lvl>
    <w:lvl w:ilvl="3" w:tplc="64E28692">
      <w:numFmt w:val="bullet"/>
      <w:lvlText w:val="•"/>
      <w:lvlJc w:val="left"/>
      <w:pPr>
        <w:ind w:left="3449" w:hanging="428"/>
      </w:pPr>
      <w:rPr>
        <w:rFonts w:hint="default"/>
        <w:lang w:val="en-US" w:eastAsia="en-US" w:bidi="ar-SA"/>
      </w:rPr>
    </w:lvl>
    <w:lvl w:ilvl="4" w:tplc="25E2B498">
      <w:numFmt w:val="bullet"/>
      <w:lvlText w:val="•"/>
      <w:lvlJc w:val="left"/>
      <w:pPr>
        <w:ind w:left="4306" w:hanging="428"/>
      </w:pPr>
      <w:rPr>
        <w:rFonts w:hint="default"/>
        <w:lang w:val="en-US" w:eastAsia="en-US" w:bidi="ar-SA"/>
      </w:rPr>
    </w:lvl>
    <w:lvl w:ilvl="5" w:tplc="9E70C2CA">
      <w:numFmt w:val="bullet"/>
      <w:lvlText w:val="•"/>
      <w:lvlJc w:val="left"/>
      <w:pPr>
        <w:ind w:left="5163" w:hanging="428"/>
      </w:pPr>
      <w:rPr>
        <w:rFonts w:hint="default"/>
        <w:lang w:val="en-US" w:eastAsia="en-US" w:bidi="ar-SA"/>
      </w:rPr>
    </w:lvl>
    <w:lvl w:ilvl="6" w:tplc="45088EEE">
      <w:numFmt w:val="bullet"/>
      <w:lvlText w:val="•"/>
      <w:lvlJc w:val="left"/>
      <w:pPr>
        <w:ind w:left="6019" w:hanging="428"/>
      </w:pPr>
      <w:rPr>
        <w:rFonts w:hint="default"/>
        <w:lang w:val="en-US" w:eastAsia="en-US" w:bidi="ar-SA"/>
      </w:rPr>
    </w:lvl>
    <w:lvl w:ilvl="7" w:tplc="B488653E">
      <w:numFmt w:val="bullet"/>
      <w:lvlText w:val="•"/>
      <w:lvlJc w:val="left"/>
      <w:pPr>
        <w:ind w:left="6876" w:hanging="428"/>
      </w:pPr>
      <w:rPr>
        <w:rFonts w:hint="default"/>
        <w:lang w:val="en-US" w:eastAsia="en-US" w:bidi="ar-SA"/>
      </w:rPr>
    </w:lvl>
    <w:lvl w:ilvl="8" w:tplc="8908864C">
      <w:numFmt w:val="bullet"/>
      <w:lvlText w:val="•"/>
      <w:lvlJc w:val="left"/>
      <w:pPr>
        <w:ind w:left="7733" w:hanging="428"/>
      </w:pPr>
      <w:rPr>
        <w:rFonts w:hint="default"/>
        <w:lang w:val="en-US" w:eastAsia="en-US" w:bidi="ar-SA"/>
      </w:rPr>
    </w:lvl>
  </w:abstractNum>
  <w:abstractNum w:abstractNumId="17" w15:restartNumberingAfterBreak="0">
    <w:nsid w:val="540A4700"/>
    <w:multiLevelType w:val="multilevel"/>
    <w:tmpl w:val="1B447F66"/>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8" w15:restartNumberingAfterBreak="0">
    <w:nsid w:val="574E1BEA"/>
    <w:multiLevelType w:val="multilevel"/>
    <w:tmpl w:val="26C23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234432"/>
    <w:multiLevelType w:val="hybridMultilevel"/>
    <w:tmpl w:val="0974EA76"/>
    <w:lvl w:ilvl="0" w:tplc="55E6BD52">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8190E0CC">
      <w:numFmt w:val="bullet"/>
      <w:lvlText w:val="•"/>
      <w:lvlJc w:val="left"/>
      <w:pPr>
        <w:ind w:left="1736" w:hanging="428"/>
      </w:pPr>
      <w:rPr>
        <w:rFonts w:hint="default"/>
        <w:lang w:val="en-US" w:eastAsia="en-US" w:bidi="ar-SA"/>
      </w:rPr>
    </w:lvl>
    <w:lvl w:ilvl="2" w:tplc="939E9810">
      <w:numFmt w:val="bullet"/>
      <w:lvlText w:val="•"/>
      <w:lvlJc w:val="left"/>
      <w:pPr>
        <w:ind w:left="2593" w:hanging="428"/>
      </w:pPr>
      <w:rPr>
        <w:rFonts w:hint="default"/>
        <w:lang w:val="en-US" w:eastAsia="en-US" w:bidi="ar-SA"/>
      </w:rPr>
    </w:lvl>
    <w:lvl w:ilvl="3" w:tplc="0E2C13B6">
      <w:numFmt w:val="bullet"/>
      <w:lvlText w:val="•"/>
      <w:lvlJc w:val="left"/>
      <w:pPr>
        <w:ind w:left="3449" w:hanging="428"/>
      </w:pPr>
      <w:rPr>
        <w:rFonts w:hint="default"/>
        <w:lang w:val="en-US" w:eastAsia="en-US" w:bidi="ar-SA"/>
      </w:rPr>
    </w:lvl>
    <w:lvl w:ilvl="4" w:tplc="836413F8">
      <w:numFmt w:val="bullet"/>
      <w:lvlText w:val="•"/>
      <w:lvlJc w:val="left"/>
      <w:pPr>
        <w:ind w:left="4306" w:hanging="428"/>
      </w:pPr>
      <w:rPr>
        <w:rFonts w:hint="default"/>
        <w:lang w:val="en-US" w:eastAsia="en-US" w:bidi="ar-SA"/>
      </w:rPr>
    </w:lvl>
    <w:lvl w:ilvl="5" w:tplc="7A00E7E2">
      <w:numFmt w:val="bullet"/>
      <w:lvlText w:val="•"/>
      <w:lvlJc w:val="left"/>
      <w:pPr>
        <w:ind w:left="5163" w:hanging="428"/>
      </w:pPr>
      <w:rPr>
        <w:rFonts w:hint="default"/>
        <w:lang w:val="en-US" w:eastAsia="en-US" w:bidi="ar-SA"/>
      </w:rPr>
    </w:lvl>
    <w:lvl w:ilvl="6" w:tplc="6D56E6B8">
      <w:numFmt w:val="bullet"/>
      <w:lvlText w:val="•"/>
      <w:lvlJc w:val="left"/>
      <w:pPr>
        <w:ind w:left="6019" w:hanging="428"/>
      </w:pPr>
      <w:rPr>
        <w:rFonts w:hint="default"/>
        <w:lang w:val="en-US" w:eastAsia="en-US" w:bidi="ar-SA"/>
      </w:rPr>
    </w:lvl>
    <w:lvl w:ilvl="7" w:tplc="A01A802A">
      <w:numFmt w:val="bullet"/>
      <w:lvlText w:val="•"/>
      <w:lvlJc w:val="left"/>
      <w:pPr>
        <w:ind w:left="6876" w:hanging="428"/>
      </w:pPr>
      <w:rPr>
        <w:rFonts w:hint="default"/>
        <w:lang w:val="en-US" w:eastAsia="en-US" w:bidi="ar-SA"/>
      </w:rPr>
    </w:lvl>
    <w:lvl w:ilvl="8" w:tplc="727C8D74">
      <w:numFmt w:val="bullet"/>
      <w:lvlText w:val="•"/>
      <w:lvlJc w:val="left"/>
      <w:pPr>
        <w:ind w:left="7733" w:hanging="428"/>
      </w:pPr>
      <w:rPr>
        <w:rFonts w:hint="default"/>
        <w:lang w:val="en-US" w:eastAsia="en-US" w:bidi="ar-SA"/>
      </w:rPr>
    </w:lvl>
  </w:abstractNum>
  <w:abstractNum w:abstractNumId="20" w15:restartNumberingAfterBreak="0">
    <w:nsid w:val="621331E8"/>
    <w:multiLevelType w:val="multilevel"/>
    <w:tmpl w:val="80AEF1B8"/>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1" w15:restartNumberingAfterBreak="0">
    <w:nsid w:val="65816521"/>
    <w:multiLevelType w:val="multilevel"/>
    <w:tmpl w:val="E67C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C573BF"/>
    <w:multiLevelType w:val="multilevel"/>
    <w:tmpl w:val="DCD0C6B4"/>
    <w:lvl w:ilvl="0">
      <w:start w:val="1"/>
      <w:numFmt w:val="lowerLetter"/>
      <w:lvlText w:val="%1."/>
      <w:lvlJc w:val="left"/>
      <w:pPr>
        <w:tabs>
          <w:tab w:val="num" w:pos="720"/>
        </w:tabs>
        <w:ind w:left="720" w:hanging="360"/>
      </w:pPr>
      <w:rPr>
        <w:rFonts w:ascii="Cambria" w:eastAsia="Cambria" w:hAnsi="Cambria" w:cs="Cambr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4" w15:restartNumberingAfterBreak="0">
    <w:nsid w:val="6CD56353"/>
    <w:multiLevelType w:val="hybridMultilevel"/>
    <w:tmpl w:val="7FCE6FFC"/>
    <w:lvl w:ilvl="0" w:tplc="AD004AF0">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27929230">
      <w:numFmt w:val="bullet"/>
      <w:lvlText w:val="•"/>
      <w:lvlJc w:val="left"/>
      <w:pPr>
        <w:ind w:left="1736" w:hanging="428"/>
      </w:pPr>
      <w:rPr>
        <w:rFonts w:hint="default"/>
        <w:lang w:val="en-US" w:eastAsia="en-US" w:bidi="ar-SA"/>
      </w:rPr>
    </w:lvl>
    <w:lvl w:ilvl="2" w:tplc="B802D5EA">
      <w:numFmt w:val="bullet"/>
      <w:lvlText w:val="•"/>
      <w:lvlJc w:val="left"/>
      <w:pPr>
        <w:ind w:left="2593" w:hanging="428"/>
      </w:pPr>
      <w:rPr>
        <w:rFonts w:hint="default"/>
        <w:lang w:val="en-US" w:eastAsia="en-US" w:bidi="ar-SA"/>
      </w:rPr>
    </w:lvl>
    <w:lvl w:ilvl="3" w:tplc="2418141C">
      <w:numFmt w:val="bullet"/>
      <w:lvlText w:val="•"/>
      <w:lvlJc w:val="left"/>
      <w:pPr>
        <w:ind w:left="3449" w:hanging="428"/>
      </w:pPr>
      <w:rPr>
        <w:rFonts w:hint="default"/>
        <w:lang w:val="en-US" w:eastAsia="en-US" w:bidi="ar-SA"/>
      </w:rPr>
    </w:lvl>
    <w:lvl w:ilvl="4" w:tplc="F5D0BB32">
      <w:numFmt w:val="bullet"/>
      <w:lvlText w:val="•"/>
      <w:lvlJc w:val="left"/>
      <w:pPr>
        <w:ind w:left="4306" w:hanging="428"/>
      </w:pPr>
      <w:rPr>
        <w:rFonts w:hint="default"/>
        <w:lang w:val="en-US" w:eastAsia="en-US" w:bidi="ar-SA"/>
      </w:rPr>
    </w:lvl>
    <w:lvl w:ilvl="5" w:tplc="EC529B12">
      <w:numFmt w:val="bullet"/>
      <w:lvlText w:val="•"/>
      <w:lvlJc w:val="left"/>
      <w:pPr>
        <w:ind w:left="5163" w:hanging="428"/>
      </w:pPr>
      <w:rPr>
        <w:rFonts w:hint="default"/>
        <w:lang w:val="en-US" w:eastAsia="en-US" w:bidi="ar-SA"/>
      </w:rPr>
    </w:lvl>
    <w:lvl w:ilvl="6" w:tplc="A6126C8C">
      <w:numFmt w:val="bullet"/>
      <w:lvlText w:val="•"/>
      <w:lvlJc w:val="left"/>
      <w:pPr>
        <w:ind w:left="6019" w:hanging="428"/>
      </w:pPr>
      <w:rPr>
        <w:rFonts w:hint="default"/>
        <w:lang w:val="en-US" w:eastAsia="en-US" w:bidi="ar-SA"/>
      </w:rPr>
    </w:lvl>
    <w:lvl w:ilvl="7" w:tplc="B65421D4">
      <w:numFmt w:val="bullet"/>
      <w:lvlText w:val="•"/>
      <w:lvlJc w:val="left"/>
      <w:pPr>
        <w:ind w:left="6876" w:hanging="428"/>
      </w:pPr>
      <w:rPr>
        <w:rFonts w:hint="default"/>
        <w:lang w:val="en-US" w:eastAsia="en-US" w:bidi="ar-SA"/>
      </w:rPr>
    </w:lvl>
    <w:lvl w:ilvl="8" w:tplc="3566E68A">
      <w:numFmt w:val="bullet"/>
      <w:lvlText w:val="•"/>
      <w:lvlJc w:val="left"/>
      <w:pPr>
        <w:ind w:left="7733" w:hanging="428"/>
      </w:pPr>
      <w:rPr>
        <w:rFonts w:hint="default"/>
        <w:lang w:val="en-US" w:eastAsia="en-US" w:bidi="ar-SA"/>
      </w:rPr>
    </w:lvl>
  </w:abstractNum>
  <w:abstractNum w:abstractNumId="25" w15:restartNumberingAfterBreak="0">
    <w:nsid w:val="75737D86"/>
    <w:multiLevelType w:val="multilevel"/>
    <w:tmpl w:val="88E2DF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19"/>
  </w:num>
  <w:num w:numId="4">
    <w:abstractNumId w:val="24"/>
  </w:num>
  <w:num w:numId="5">
    <w:abstractNumId w:val="0"/>
  </w:num>
  <w:num w:numId="6">
    <w:abstractNumId w:val="16"/>
  </w:num>
  <w:num w:numId="7">
    <w:abstractNumId w:val="15"/>
  </w:num>
  <w:num w:numId="8">
    <w:abstractNumId w:val="9"/>
  </w:num>
  <w:num w:numId="9">
    <w:abstractNumId w:val="23"/>
  </w:num>
  <w:num w:numId="10">
    <w:abstractNumId w:val="2"/>
  </w:num>
  <w:num w:numId="11">
    <w:abstractNumId w:val="17"/>
  </w:num>
  <w:num w:numId="12">
    <w:abstractNumId w:val="7"/>
  </w:num>
  <w:num w:numId="13">
    <w:abstractNumId w:val="20"/>
  </w:num>
  <w:num w:numId="14">
    <w:abstractNumId w:val="18"/>
  </w:num>
  <w:num w:numId="15">
    <w:abstractNumId w:val="4"/>
  </w:num>
  <w:num w:numId="16">
    <w:abstractNumId w:val="5"/>
  </w:num>
  <w:num w:numId="17">
    <w:abstractNumId w:val="11"/>
  </w:num>
  <w:num w:numId="18">
    <w:abstractNumId w:val="8"/>
  </w:num>
  <w:num w:numId="19">
    <w:abstractNumId w:val="1"/>
  </w:num>
  <w:num w:numId="20">
    <w:abstractNumId w:val="21"/>
  </w:num>
  <w:num w:numId="21">
    <w:abstractNumId w:val="22"/>
  </w:num>
  <w:num w:numId="22">
    <w:abstractNumId w:val="25"/>
  </w:num>
  <w:num w:numId="23">
    <w:abstractNumId w:val="3"/>
  </w:num>
  <w:num w:numId="24">
    <w:abstractNumId w:val="14"/>
  </w:num>
  <w:num w:numId="25">
    <w:abstractNumId w:val="1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DB"/>
    <w:rsid w:val="0000339B"/>
    <w:rsid w:val="0000413E"/>
    <w:rsid w:val="00010378"/>
    <w:rsid w:val="00012177"/>
    <w:rsid w:val="00012704"/>
    <w:rsid w:val="00031A91"/>
    <w:rsid w:val="00053089"/>
    <w:rsid w:val="00066592"/>
    <w:rsid w:val="00074D70"/>
    <w:rsid w:val="000912FE"/>
    <w:rsid w:val="00092E6A"/>
    <w:rsid w:val="00093016"/>
    <w:rsid w:val="000A483E"/>
    <w:rsid w:val="000A7F1C"/>
    <w:rsid w:val="000E1AE1"/>
    <w:rsid w:val="000F1A44"/>
    <w:rsid w:val="000F708E"/>
    <w:rsid w:val="001004F2"/>
    <w:rsid w:val="00114987"/>
    <w:rsid w:val="00133C45"/>
    <w:rsid w:val="00142669"/>
    <w:rsid w:val="001509E8"/>
    <w:rsid w:val="001A7009"/>
    <w:rsid w:val="0020120A"/>
    <w:rsid w:val="002067E1"/>
    <w:rsid w:val="00207BE1"/>
    <w:rsid w:val="0021092D"/>
    <w:rsid w:val="00212CB2"/>
    <w:rsid w:val="00222C05"/>
    <w:rsid w:val="00257A27"/>
    <w:rsid w:val="002877E5"/>
    <w:rsid w:val="00287FB9"/>
    <w:rsid w:val="002C7C64"/>
    <w:rsid w:val="002E4536"/>
    <w:rsid w:val="002F3EA1"/>
    <w:rsid w:val="002F5253"/>
    <w:rsid w:val="002F70A1"/>
    <w:rsid w:val="00327B84"/>
    <w:rsid w:val="00331E4A"/>
    <w:rsid w:val="00355C7B"/>
    <w:rsid w:val="00356CB5"/>
    <w:rsid w:val="00360056"/>
    <w:rsid w:val="00365E35"/>
    <w:rsid w:val="0038535E"/>
    <w:rsid w:val="00385999"/>
    <w:rsid w:val="00385D98"/>
    <w:rsid w:val="003A4444"/>
    <w:rsid w:val="003C39C2"/>
    <w:rsid w:val="003D586F"/>
    <w:rsid w:val="003E6889"/>
    <w:rsid w:val="00415ECF"/>
    <w:rsid w:val="00447749"/>
    <w:rsid w:val="0047217C"/>
    <w:rsid w:val="00473D6B"/>
    <w:rsid w:val="00494440"/>
    <w:rsid w:val="004A5F0F"/>
    <w:rsid w:val="004A7710"/>
    <w:rsid w:val="004B6E3B"/>
    <w:rsid w:val="004C267B"/>
    <w:rsid w:val="004D6626"/>
    <w:rsid w:val="004E0F40"/>
    <w:rsid w:val="004E3D22"/>
    <w:rsid w:val="00507C64"/>
    <w:rsid w:val="00510B90"/>
    <w:rsid w:val="005175CC"/>
    <w:rsid w:val="0052480E"/>
    <w:rsid w:val="00524C71"/>
    <w:rsid w:val="005338B9"/>
    <w:rsid w:val="00570A7D"/>
    <w:rsid w:val="00576E6A"/>
    <w:rsid w:val="005848B9"/>
    <w:rsid w:val="0059233C"/>
    <w:rsid w:val="005A4707"/>
    <w:rsid w:val="005A6062"/>
    <w:rsid w:val="005A6D37"/>
    <w:rsid w:val="005C6601"/>
    <w:rsid w:val="005E3C0D"/>
    <w:rsid w:val="005E5A6B"/>
    <w:rsid w:val="005E6CB9"/>
    <w:rsid w:val="005F001D"/>
    <w:rsid w:val="006027E6"/>
    <w:rsid w:val="00641F52"/>
    <w:rsid w:val="00645EED"/>
    <w:rsid w:val="0065779D"/>
    <w:rsid w:val="00674536"/>
    <w:rsid w:val="00690ACC"/>
    <w:rsid w:val="00696C32"/>
    <w:rsid w:val="006B2430"/>
    <w:rsid w:val="006B6915"/>
    <w:rsid w:val="006C75BB"/>
    <w:rsid w:val="00702C96"/>
    <w:rsid w:val="0076274B"/>
    <w:rsid w:val="00781262"/>
    <w:rsid w:val="007B6EB1"/>
    <w:rsid w:val="007D318C"/>
    <w:rsid w:val="0080743E"/>
    <w:rsid w:val="008200FA"/>
    <w:rsid w:val="008247A9"/>
    <w:rsid w:val="00824B1A"/>
    <w:rsid w:val="00834B8E"/>
    <w:rsid w:val="00845C50"/>
    <w:rsid w:val="008462DE"/>
    <w:rsid w:val="00885149"/>
    <w:rsid w:val="008923B2"/>
    <w:rsid w:val="008A6D72"/>
    <w:rsid w:val="008B0B61"/>
    <w:rsid w:val="008C0DD5"/>
    <w:rsid w:val="008C49CA"/>
    <w:rsid w:val="008E0FEB"/>
    <w:rsid w:val="00917394"/>
    <w:rsid w:val="00917E3D"/>
    <w:rsid w:val="009431F4"/>
    <w:rsid w:val="009445FE"/>
    <w:rsid w:val="00946881"/>
    <w:rsid w:val="00951442"/>
    <w:rsid w:val="0096497C"/>
    <w:rsid w:val="00970C2D"/>
    <w:rsid w:val="009809FD"/>
    <w:rsid w:val="00980A23"/>
    <w:rsid w:val="00994E45"/>
    <w:rsid w:val="009C1B92"/>
    <w:rsid w:val="009C371B"/>
    <w:rsid w:val="009D4020"/>
    <w:rsid w:val="009E7FFB"/>
    <w:rsid w:val="00A0280C"/>
    <w:rsid w:val="00A122AC"/>
    <w:rsid w:val="00A422BE"/>
    <w:rsid w:val="00A61D1F"/>
    <w:rsid w:val="00A7540E"/>
    <w:rsid w:val="00A76CBC"/>
    <w:rsid w:val="00A81408"/>
    <w:rsid w:val="00A81F1E"/>
    <w:rsid w:val="00AA2F57"/>
    <w:rsid w:val="00AE3F77"/>
    <w:rsid w:val="00B0010A"/>
    <w:rsid w:val="00B10949"/>
    <w:rsid w:val="00B20523"/>
    <w:rsid w:val="00B207D1"/>
    <w:rsid w:val="00B26968"/>
    <w:rsid w:val="00B57BBD"/>
    <w:rsid w:val="00B73077"/>
    <w:rsid w:val="00B73C6E"/>
    <w:rsid w:val="00B8572B"/>
    <w:rsid w:val="00B9164A"/>
    <w:rsid w:val="00BC2135"/>
    <w:rsid w:val="00BC2FC1"/>
    <w:rsid w:val="00BD41A9"/>
    <w:rsid w:val="00BE5C12"/>
    <w:rsid w:val="00BE7175"/>
    <w:rsid w:val="00C046C0"/>
    <w:rsid w:val="00C20210"/>
    <w:rsid w:val="00C41194"/>
    <w:rsid w:val="00C439B0"/>
    <w:rsid w:val="00C44247"/>
    <w:rsid w:val="00C55181"/>
    <w:rsid w:val="00C55C02"/>
    <w:rsid w:val="00C57749"/>
    <w:rsid w:val="00C7376B"/>
    <w:rsid w:val="00C73886"/>
    <w:rsid w:val="00C77B61"/>
    <w:rsid w:val="00C8212C"/>
    <w:rsid w:val="00CB11D8"/>
    <w:rsid w:val="00CB1C0D"/>
    <w:rsid w:val="00CB7538"/>
    <w:rsid w:val="00CC2963"/>
    <w:rsid w:val="00CD2591"/>
    <w:rsid w:val="00CE7283"/>
    <w:rsid w:val="00CF348C"/>
    <w:rsid w:val="00D25C4D"/>
    <w:rsid w:val="00D35AD2"/>
    <w:rsid w:val="00D524F1"/>
    <w:rsid w:val="00D525F9"/>
    <w:rsid w:val="00D947F8"/>
    <w:rsid w:val="00D97326"/>
    <w:rsid w:val="00DA3FD8"/>
    <w:rsid w:val="00DB3721"/>
    <w:rsid w:val="00DC24E3"/>
    <w:rsid w:val="00DC77E4"/>
    <w:rsid w:val="00DD2D5F"/>
    <w:rsid w:val="00DE287A"/>
    <w:rsid w:val="00DE7E52"/>
    <w:rsid w:val="00DF2CF9"/>
    <w:rsid w:val="00E2642E"/>
    <w:rsid w:val="00E30E29"/>
    <w:rsid w:val="00E35EC8"/>
    <w:rsid w:val="00E776AA"/>
    <w:rsid w:val="00EA5D92"/>
    <w:rsid w:val="00EA731A"/>
    <w:rsid w:val="00ED3D3A"/>
    <w:rsid w:val="00ED57D8"/>
    <w:rsid w:val="00EE48CF"/>
    <w:rsid w:val="00EF5295"/>
    <w:rsid w:val="00F16D4D"/>
    <w:rsid w:val="00F61E4A"/>
    <w:rsid w:val="00F747EF"/>
    <w:rsid w:val="00F7780A"/>
    <w:rsid w:val="00FF5D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62390"/>
  <w15:docId w15:val="{6340535C-F5D7-4A22-9F03-E08767AC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462"/>
      <w:outlineLvl w:val="0"/>
    </w:pPr>
    <w:rPr>
      <w:rFonts w:ascii="Palatino Linotype" w:eastAsia="Palatino Linotype" w:hAnsi="Palatino Linotype" w:cs="Palatino Linotype"/>
      <w:b/>
      <w:bCs/>
      <w:sz w:val="24"/>
      <w:szCs w:val="24"/>
    </w:rPr>
  </w:style>
  <w:style w:type="paragraph" w:styleId="Heading2">
    <w:name w:val="heading 2"/>
    <w:basedOn w:val="Normal"/>
    <w:next w:val="Normal"/>
    <w:link w:val="Heading2Char"/>
    <w:uiPriority w:val="9"/>
    <w:unhideWhenUsed/>
    <w:qFormat/>
    <w:rsid w:val="002067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9"/>
      <w:jc w:val="both"/>
    </w:pPr>
    <w:rPr>
      <w:sz w:val="24"/>
      <w:szCs w:val="24"/>
    </w:rPr>
  </w:style>
  <w:style w:type="paragraph" w:styleId="ListParagraph">
    <w:name w:val="List Paragraph"/>
    <w:basedOn w:val="Normal"/>
    <w:uiPriority w:val="1"/>
    <w:qFormat/>
    <w:pPr>
      <w:ind w:left="889" w:hanging="428"/>
      <w:jc w:val="both"/>
    </w:pPr>
  </w:style>
  <w:style w:type="paragraph" w:customStyle="1" w:styleId="TableParagraph">
    <w:name w:val="Table Paragraph"/>
    <w:basedOn w:val="Normal"/>
    <w:uiPriority w:val="1"/>
    <w:qFormat/>
    <w:pPr>
      <w:ind w:left="108"/>
    </w:pPr>
    <w:rPr>
      <w:rFonts w:ascii="Palatino Linotype" w:eastAsia="Palatino Linotype" w:hAnsi="Palatino Linotype" w:cs="Palatino Linotype"/>
    </w:rPr>
  </w:style>
  <w:style w:type="paragraph" w:styleId="Header">
    <w:name w:val="header"/>
    <w:basedOn w:val="Normal"/>
    <w:link w:val="HeaderChar"/>
    <w:uiPriority w:val="99"/>
    <w:unhideWhenUsed/>
    <w:rsid w:val="00576E6A"/>
    <w:pPr>
      <w:tabs>
        <w:tab w:val="center" w:pos="4680"/>
        <w:tab w:val="right" w:pos="9360"/>
      </w:tabs>
    </w:pPr>
  </w:style>
  <w:style w:type="character" w:customStyle="1" w:styleId="HeaderChar">
    <w:name w:val="Header Char"/>
    <w:basedOn w:val="DefaultParagraphFont"/>
    <w:link w:val="Header"/>
    <w:uiPriority w:val="99"/>
    <w:rsid w:val="00576E6A"/>
    <w:rPr>
      <w:rFonts w:ascii="Cambria" w:eastAsia="Cambria" w:hAnsi="Cambria" w:cs="Cambria"/>
    </w:rPr>
  </w:style>
  <w:style w:type="paragraph" w:styleId="Footer">
    <w:name w:val="footer"/>
    <w:basedOn w:val="Normal"/>
    <w:link w:val="FooterChar"/>
    <w:uiPriority w:val="99"/>
    <w:unhideWhenUsed/>
    <w:rsid w:val="00576E6A"/>
    <w:pPr>
      <w:tabs>
        <w:tab w:val="center" w:pos="4680"/>
        <w:tab w:val="right" w:pos="9360"/>
      </w:tabs>
    </w:pPr>
  </w:style>
  <w:style w:type="character" w:customStyle="1" w:styleId="FooterChar">
    <w:name w:val="Footer Char"/>
    <w:basedOn w:val="DefaultParagraphFont"/>
    <w:link w:val="Footer"/>
    <w:uiPriority w:val="99"/>
    <w:rsid w:val="00576E6A"/>
    <w:rPr>
      <w:rFonts w:ascii="Cambria" w:eastAsia="Cambria" w:hAnsi="Cambria" w:cs="Cambria"/>
    </w:rPr>
  </w:style>
  <w:style w:type="paragraph" w:styleId="Title">
    <w:name w:val="Title"/>
    <w:aliases w:val="notused"/>
    <w:basedOn w:val="Normal"/>
    <w:next w:val="Normal"/>
    <w:link w:val="TitleChar"/>
    <w:uiPriority w:val="10"/>
    <w:rsid w:val="00576E6A"/>
    <w:pPr>
      <w:widowControl/>
      <w:autoSpaceDE/>
      <w:autoSpaceDN/>
      <w:spacing w:before="240" w:after="60" w:line="259"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aliases w:val="notused Char"/>
    <w:basedOn w:val="DefaultParagraphFont"/>
    <w:link w:val="Title"/>
    <w:uiPriority w:val="10"/>
    <w:rsid w:val="00576E6A"/>
    <w:rPr>
      <w:rFonts w:ascii="Calibri Light" w:eastAsia="Times New Roman" w:hAnsi="Calibri Light" w:cs="Times New Roman"/>
      <w:b/>
      <w:bCs/>
      <w:kern w:val="28"/>
      <w:sz w:val="32"/>
      <w:szCs w:val="32"/>
    </w:rPr>
  </w:style>
  <w:style w:type="paragraph" w:customStyle="1" w:styleId="AbstractText">
    <w:name w:val="AbstractText"/>
    <w:rsid w:val="00576E6A"/>
    <w:pPr>
      <w:widowControl/>
      <w:autoSpaceDE/>
      <w:autoSpaceDN/>
      <w:spacing w:after="80" w:line="200" w:lineRule="exact"/>
      <w:jc w:val="both"/>
    </w:pPr>
    <w:rPr>
      <w:rFonts w:ascii="Palatino Linotype" w:eastAsia="Times New Roman" w:hAnsi="Palatino Linotype" w:cs="Times New Roman"/>
      <w:sz w:val="20"/>
      <w:szCs w:val="20"/>
      <w:lang w:val="en"/>
    </w:rPr>
  </w:style>
  <w:style w:type="character" w:styleId="Hyperlink">
    <w:name w:val="Hyperlink"/>
    <w:uiPriority w:val="99"/>
    <w:unhideWhenUsed/>
    <w:rsid w:val="00576E6A"/>
    <w:rPr>
      <w:color w:val="0563C1"/>
      <w:u w:val="single"/>
    </w:rPr>
  </w:style>
  <w:style w:type="paragraph" w:customStyle="1" w:styleId="Copyright">
    <w:name w:val="Copyright"/>
    <w:basedOn w:val="AbstractText"/>
    <w:qFormat/>
    <w:rsid w:val="00576E6A"/>
    <w:pPr>
      <w:framePr w:hSpace="187" w:wrap="around" w:vAnchor="text" w:hAnchor="text" w:y="1"/>
      <w:spacing w:after="0"/>
      <w:suppressOverlap/>
      <w:jc w:val="right"/>
    </w:pPr>
    <w:rPr>
      <w:sz w:val="17"/>
      <w:szCs w:val="14"/>
    </w:rPr>
  </w:style>
  <w:style w:type="character" w:customStyle="1" w:styleId="Heading2Char">
    <w:name w:val="Heading 2 Char"/>
    <w:basedOn w:val="DefaultParagraphFont"/>
    <w:link w:val="Heading2"/>
    <w:uiPriority w:val="9"/>
    <w:rsid w:val="002067E1"/>
    <w:rPr>
      <w:rFonts w:asciiTheme="majorHAnsi" w:eastAsiaTheme="majorEastAsia" w:hAnsiTheme="majorHAnsi" w:cstheme="majorBidi"/>
      <w:color w:val="365F91" w:themeColor="accent1" w:themeShade="BF"/>
      <w:sz w:val="26"/>
      <w:szCs w:val="26"/>
    </w:rPr>
  </w:style>
  <w:style w:type="paragraph" w:customStyle="1" w:styleId="AuthorAffiliation">
    <w:name w:val="AuthorAffiliation"/>
    <w:next w:val="Normal"/>
    <w:rsid w:val="002067E1"/>
    <w:pPr>
      <w:widowControl/>
      <w:suppressAutoHyphens/>
      <w:autoSpaceDE/>
      <w:autoSpaceDN/>
      <w:spacing w:line="200" w:lineRule="exact"/>
    </w:pPr>
    <w:rPr>
      <w:rFonts w:ascii="Palatino Linotype" w:eastAsia="SimSun" w:hAnsi="Palatino Linotype" w:cs="Times New Roman"/>
      <w:noProof/>
      <w:sz w:val="14"/>
      <w:szCs w:val="20"/>
    </w:rPr>
  </w:style>
  <w:style w:type="paragraph" w:customStyle="1" w:styleId="tablecolhead">
    <w:name w:val="table col head"/>
    <w:basedOn w:val="Normal"/>
    <w:uiPriority w:val="99"/>
    <w:rsid w:val="002067E1"/>
    <w:pPr>
      <w:widowControl/>
      <w:autoSpaceDE/>
      <w:autoSpaceDN/>
      <w:jc w:val="center"/>
    </w:pPr>
    <w:rPr>
      <w:rFonts w:ascii="Junicode" w:eastAsia="Times New Roman" w:hAnsi="Junicode" w:cs="Times New Roman"/>
      <w:b/>
      <w:bCs/>
      <w:sz w:val="20"/>
      <w:szCs w:val="16"/>
    </w:rPr>
  </w:style>
  <w:style w:type="paragraph" w:customStyle="1" w:styleId="tablecopy">
    <w:name w:val="table copy"/>
    <w:uiPriority w:val="99"/>
    <w:rsid w:val="002067E1"/>
    <w:pPr>
      <w:widowControl/>
      <w:autoSpaceDE/>
      <w:autoSpaceDN/>
      <w:jc w:val="center"/>
    </w:pPr>
    <w:rPr>
      <w:rFonts w:ascii="Junicode" w:eastAsia="Times New Roman" w:hAnsi="Junicode" w:cs="Times New Roman"/>
      <w:noProof/>
      <w:sz w:val="18"/>
      <w:szCs w:val="16"/>
    </w:rPr>
  </w:style>
  <w:style w:type="paragraph" w:customStyle="1" w:styleId="tablehead">
    <w:name w:val="table head"/>
    <w:uiPriority w:val="99"/>
    <w:rsid w:val="002067E1"/>
    <w:pPr>
      <w:widowControl/>
      <w:numPr>
        <w:numId w:val="9"/>
      </w:numPr>
      <w:autoSpaceDE/>
      <w:autoSpaceDN/>
      <w:spacing w:before="240" w:after="120"/>
      <w:jc w:val="center"/>
    </w:pPr>
    <w:rPr>
      <w:rFonts w:ascii="Junicode" w:eastAsia="Times New Roman" w:hAnsi="Junicode" w:cs="Times New Roman"/>
      <w:noProof/>
      <w:sz w:val="20"/>
      <w:szCs w:val="16"/>
    </w:rPr>
  </w:style>
  <w:style w:type="character" w:styleId="Strong">
    <w:name w:val="Strong"/>
    <w:uiPriority w:val="22"/>
    <w:qFormat/>
    <w:rsid w:val="002067E1"/>
    <w:rPr>
      <w:b/>
      <w:bCs/>
    </w:rPr>
  </w:style>
  <w:style w:type="paragraph" w:styleId="FootnoteText">
    <w:name w:val="footnote text"/>
    <w:basedOn w:val="Normal"/>
    <w:link w:val="FootnoteTextChar"/>
    <w:uiPriority w:val="99"/>
    <w:unhideWhenUsed/>
    <w:rsid w:val="002067E1"/>
    <w:pPr>
      <w:widowControl/>
      <w:autoSpaceDE/>
      <w:autoSpaceDN/>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067E1"/>
    <w:rPr>
      <w:rFonts w:ascii="Calibri" w:eastAsia="Calibri" w:hAnsi="Calibri" w:cs="Times New Roman"/>
      <w:sz w:val="20"/>
      <w:szCs w:val="20"/>
    </w:rPr>
  </w:style>
  <w:style w:type="character" w:styleId="FootnoteReference">
    <w:name w:val="footnote reference"/>
    <w:uiPriority w:val="99"/>
    <w:semiHidden/>
    <w:unhideWhenUsed/>
    <w:rsid w:val="002067E1"/>
    <w:rPr>
      <w:vertAlign w:val="superscript"/>
    </w:rPr>
  </w:style>
  <w:style w:type="table" w:styleId="TableGrid">
    <w:name w:val="Table Grid"/>
    <w:basedOn w:val="TableNormal"/>
    <w:uiPriority w:val="39"/>
    <w:rsid w:val="002F3EA1"/>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E0F40"/>
    <w:rPr>
      <w:color w:val="605E5C"/>
      <w:shd w:val="clear" w:color="auto" w:fill="E1DFDD"/>
    </w:rPr>
  </w:style>
  <w:style w:type="paragraph" w:styleId="NormalWeb">
    <w:name w:val="Normal (Web)"/>
    <w:basedOn w:val="Normal"/>
    <w:uiPriority w:val="99"/>
    <w:semiHidden/>
    <w:unhideWhenUsed/>
    <w:rsid w:val="00951442"/>
    <w:rPr>
      <w:rFonts w:ascii="Times New Roman" w:hAnsi="Times New Roman" w:cs="Times New Roman"/>
      <w:sz w:val="24"/>
      <w:szCs w:val="24"/>
    </w:rPr>
  </w:style>
  <w:style w:type="paragraph" w:customStyle="1" w:styleId="Paragraph">
    <w:name w:val="Paragraph"/>
    <w:basedOn w:val="Normal"/>
    <w:rsid w:val="00917E3D"/>
    <w:pPr>
      <w:widowControl/>
      <w:autoSpaceDE/>
      <w:autoSpaceDN/>
      <w:ind w:firstLine="284"/>
      <w:jc w:val="both"/>
    </w:pPr>
    <w:rPr>
      <w:rFonts w:ascii="Times New Roman" w:eastAsia="MS Mincho" w:hAnsi="Times New Roman" w:cs="Calibri"/>
      <w:sz w:val="20"/>
      <w:szCs w:val="20"/>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071">
      <w:bodyDiv w:val="1"/>
      <w:marLeft w:val="0"/>
      <w:marRight w:val="0"/>
      <w:marTop w:val="0"/>
      <w:marBottom w:val="0"/>
      <w:divBdr>
        <w:top w:val="none" w:sz="0" w:space="0" w:color="auto"/>
        <w:left w:val="none" w:sz="0" w:space="0" w:color="auto"/>
        <w:bottom w:val="none" w:sz="0" w:space="0" w:color="auto"/>
        <w:right w:val="none" w:sz="0" w:space="0" w:color="auto"/>
      </w:divBdr>
      <w:divsChild>
        <w:div w:id="713623488">
          <w:marLeft w:val="0"/>
          <w:marRight w:val="0"/>
          <w:marTop w:val="0"/>
          <w:marBottom w:val="0"/>
          <w:divBdr>
            <w:top w:val="none" w:sz="0" w:space="0" w:color="auto"/>
            <w:left w:val="none" w:sz="0" w:space="0" w:color="auto"/>
            <w:bottom w:val="none" w:sz="0" w:space="0" w:color="auto"/>
            <w:right w:val="none" w:sz="0" w:space="0" w:color="auto"/>
          </w:divBdr>
        </w:div>
        <w:div w:id="1695573078">
          <w:marLeft w:val="0"/>
          <w:marRight w:val="0"/>
          <w:marTop w:val="0"/>
          <w:marBottom w:val="0"/>
          <w:divBdr>
            <w:top w:val="none" w:sz="0" w:space="0" w:color="auto"/>
            <w:left w:val="none" w:sz="0" w:space="0" w:color="auto"/>
            <w:bottom w:val="none" w:sz="0" w:space="0" w:color="auto"/>
            <w:right w:val="none" w:sz="0" w:space="0" w:color="auto"/>
          </w:divBdr>
        </w:div>
        <w:div w:id="1740321985">
          <w:marLeft w:val="0"/>
          <w:marRight w:val="0"/>
          <w:marTop w:val="0"/>
          <w:marBottom w:val="0"/>
          <w:divBdr>
            <w:top w:val="none" w:sz="0" w:space="0" w:color="auto"/>
            <w:left w:val="none" w:sz="0" w:space="0" w:color="auto"/>
            <w:bottom w:val="none" w:sz="0" w:space="0" w:color="auto"/>
            <w:right w:val="none" w:sz="0" w:space="0" w:color="auto"/>
          </w:divBdr>
        </w:div>
        <w:div w:id="1888829934">
          <w:marLeft w:val="0"/>
          <w:marRight w:val="0"/>
          <w:marTop w:val="0"/>
          <w:marBottom w:val="0"/>
          <w:divBdr>
            <w:top w:val="none" w:sz="0" w:space="0" w:color="auto"/>
            <w:left w:val="none" w:sz="0" w:space="0" w:color="auto"/>
            <w:bottom w:val="none" w:sz="0" w:space="0" w:color="auto"/>
            <w:right w:val="none" w:sz="0" w:space="0" w:color="auto"/>
          </w:divBdr>
        </w:div>
        <w:div w:id="1954441159">
          <w:marLeft w:val="0"/>
          <w:marRight w:val="0"/>
          <w:marTop w:val="0"/>
          <w:marBottom w:val="0"/>
          <w:divBdr>
            <w:top w:val="none" w:sz="0" w:space="0" w:color="auto"/>
            <w:left w:val="none" w:sz="0" w:space="0" w:color="auto"/>
            <w:bottom w:val="none" w:sz="0" w:space="0" w:color="auto"/>
            <w:right w:val="none" w:sz="0" w:space="0" w:color="auto"/>
          </w:divBdr>
        </w:div>
        <w:div w:id="1909531824">
          <w:marLeft w:val="0"/>
          <w:marRight w:val="0"/>
          <w:marTop w:val="0"/>
          <w:marBottom w:val="0"/>
          <w:divBdr>
            <w:top w:val="none" w:sz="0" w:space="0" w:color="auto"/>
            <w:left w:val="none" w:sz="0" w:space="0" w:color="auto"/>
            <w:bottom w:val="none" w:sz="0" w:space="0" w:color="auto"/>
            <w:right w:val="none" w:sz="0" w:space="0" w:color="auto"/>
          </w:divBdr>
        </w:div>
        <w:div w:id="235867437">
          <w:marLeft w:val="0"/>
          <w:marRight w:val="0"/>
          <w:marTop w:val="0"/>
          <w:marBottom w:val="0"/>
          <w:divBdr>
            <w:top w:val="none" w:sz="0" w:space="0" w:color="auto"/>
            <w:left w:val="none" w:sz="0" w:space="0" w:color="auto"/>
            <w:bottom w:val="none" w:sz="0" w:space="0" w:color="auto"/>
            <w:right w:val="none" w:sz="0" w:space="0" w:color="auto"/>
          </w:divBdr>
        </w:div>
        <w:div w:id="1883129152">
          <w:marLeft w:val="0"/>
          <w:marRight w:val="0"/>
          <w:marTop w:val="0"/>
          <w:marBottom w:val="0"/>
          <w:divBdr>
            <w:top w:val="none" w:sz="0" w:space="0" w:color="auto"/>
            <w:left w:val="none" w:sz="0" w:space="0" w:color="auto"/>
            <w:bottom w:val="none" w:sz="0" w:space="0" w:color="auto"/>
            <w:right w:val="none" w:sz="0" w:space="0" w:color="auto"/>
          </w:divBdr>
        </w:div>
        <w:div w:id="1335642134">
          <w:marLeft w:val="0"/>
          <w:marRight w:val="0"/>
          <w:marTop w:val="0"/>
          <w:marBottom w:val="0"/>
          <w:divBdr>
            <w:top w:val="none" w:sz="0" w:space="0" w:color="auto"/>
            <w:left w:val="none" w:sz="0" w:space="0" w:color="auto"/>
            <w:bottom w:val="none" w:sz="0" w:space="0" w:color="auto"/>
            <w:right w:val="none" w:sz="0" w:space="0" w:color="auto"/>
          </w:divBdr>
        </w:div>
        <w:div w:id="484391632">
          <w:marLeft w:val="0"/>
          <w:marRight w:val="0"/>
          <w:marTop w:val="0"/>
          <w:marBottom w:val="0"/>
          <w:divBdr>
            <w:top w:val="none" w:sz="0" w:space="0" w:color="auto"/>
            <w:left w:val="none" w:sz="0" w:space="0" w:color="auto"/>
            <w:bottom w:val="none" w:sz="0" w:space="0" w:color="auto"/>
            <w:right w:val="none" w:sz="0" w:space="0" w:color="auto"/>
          </w:divBdr>
        </w:div>
        <w:div w:id="1773476078">
          <w:marLeft w:val="0"/>
          <w:marRight w:val="0"/>
          <w:marTop w:val="0"/>
          <w:marBottom w:val="0"/>
          <w:divBdr>
            <w:top w:val="none" w:sz="0" w:space="0" w:color="auto"/>
            <w:left w:val="none" w:sz="0" w:space="0" w:color="auto"/>
            <w:bottom w:val="none" w:sz="0" w:space="0" w:color="auto"/>
            <w:right w:val="none" w:sz="0" w:space="0" w:color="auto"/>
          </w:divBdr>
        </w:div>
      </w:divsChild>
    </w:div>
    <w:div w:id="249312181">
      <w:bodyDiv w:val="1"/>
      <w:marLeft w:val="0"/>
      <w:marRight w:val="0"/>
      <w:marTop w:val="0"/>
      <w:marBottom w:val="0"/>
      <w:divBdr>
        <w:top w:val="none" w:sz="0" w:space="0" w:color="auto"/>
        <w:left w:val="none" w:sz="0" w:space="0" w:color="auto"/>
        <w:bottom w:val="none" w:sz="0" w:space="0" w:color="auto"/>
        <w:right w:val="none" w:sz="0" w:space="0" w:color="auto"/>
      </w:divBdr>
    </w:div>
    <w:div w:id="293291336">
      <w:bodyDiv w:val="1"/>
      <w:marLeft w:val="0"/>
      <w:marRight w:val="0"/>
      <w:marTop w:val="0"/>
      <w:marBottom w:val="0"/>
      <w:divBdr>
        <w:top w:val="none" w:sz="0" w:space="0" w:color="auto"/>
        <w:left w:val="none" w:sz="0" w:space="0" w:color="auto"/>
        <w:bottom w:val="none" w:sz="0" w:space="0" w:color="auto"/>
        <w:right w:val="none" w:sz="0" w:space="0" w:color="auto"/>
      </w:divBdr>
    </w:div>
    <w:div w:id="297954303">
      <w:bodyDiv w:val="1"/>
      <w:marLeft w:val="0"/>
      <w:marRight w:val="0"/>
      <w:marTop w:val="0"/>
      <w:marBottom w:val="0"/>
      <w:divBdr>
        <w:top w:val="none" w:sz="0" w:space="0" w:color="auto"/>
        <w:left w:val="none" w:sz="0" w:space="0" w:color="auto"/>
        <w:bottom w:val="none" w:sz="0" w:space="0" w:color="auto"/>
        <w:right w:val="none" w:sz="0" w:space="0" w:color="auto"/>
      </w:divBdr>
    </w:div>
    <w:div w:id="380633703">
      <w:bodyDiv w:val="1"/>
      <w:marLeft w:val="0"/>
      <w:marRight w:val="0"/>
      <w:marTop w:val="0"/>
      <w:marBottom w:val="0"/>
      <w:divBdr>
        <w:top w:val="none" w:sz="0" w:space="0" w:color="auto"/>
        <w:left w:val="none" w:sz="0" w:space="0" w:color="auto"/>
        <w:bottom w:val="none" w:sz="0" w:space="0" w:color="auto"/>
        <w:right w:val="none" w:sz="0" w:space="0" w:color="auto"/>
      </w:divBdr>
    </w:div>
    <w:div w:id="423649761">
      <w:bodyDiv w:val="1"/>
      <w:marLeft w:val="0"/>
      <w:marRight w:val="0"/>
      <w:marTop w:val="0"/>
      <w:marBottom w:val="0"/>
      <w:divBdr>
        <w:top w:val="none" w:sz="0" w:space="0" w:color="auto"/>
        <w:left w:val="none" w:sz="0" w:space="0" w:color="auto"/>
        <w:bottom w:val="none" w:sz="0" w:space="0" w:color="auto"/>
        <w:right w:val="none" w:sz="0" w:space="0" w:color="auto"/>
      </w:divBdr>
    </w:div>
    <w:div w:id="444496195">
      <w:bodyDiv w:val="1"/>
      <w:marLeft w:val="0"/>
      <w:marRight w:val="0"/>
      <w:marTop w:val="0"/>
      <w:marBottom w:val="0"/>
      <w:divBdr>
        <w:top w:val="none" w:sz="0" w:space="0" w:color="auto"/>
        <w:left w:val="none" w:sz="0" w:space="0" w:color="auto"/>
        <w:bottom w:val="none" w:sz="0" w:space="0" w:color="auto"/>
        <w:right w:val="none" w:sz="0" w:space="0" w:color="auto"/>
      </w:divBdr>
    </w:div>
    <w:div w:id="499809973">
      <w:bodyDiv w:val="1"/>
      <w:marLeft w:val="0"/>
      <w:marRight w:val="0"/>
      <w:marTop w:val="0"/>
      <w:marBottom w:val="0"/>
      <w:divBdr>
        <w:top w:val="none" w:sz="0" w:space="0" w:color="auto"/>
        <w:left w:val="none" w:sz="0" w:space="0" w:color="auto"/>
        <w:bottom w:val="none" w:sz="0" w:space="0" w:color="auto"/>
        <w:right w:val="none" w:sz="0" w:space="0" w:color="auto"/>
      </w:divBdr>
    </w:div>
    <w:div w:id="587273796">
      <w:bodyDiv w:val="1"/>
      <w:marLeft w:val="0"/>
      <w:marRight w:val="0"/>
      <w:marTop w:val="0"/>
      <w:marBottom w:val="0"/>
      <w:divBdr>
        <w:top w:val="none" w:sz="0" w:space="0" w:color="auto"/>
        <w:left w:val="none" w:sz="0" w:space="0" w:color="auto"/>
        <w:bottom w:val="none" w:sz="0" w:space="0" w:color="auto"/>
        <w:right w:val="none" w:sz="0" w:space="0" w:color="auto"/>
      </w:divBdr>
    </w:div>
    <w:div w:id="699277828">
      <w:bodyDiv w:val="1"/>
      <w:marLeft w:val="0"/>
      <w:marRight w:val="0"/>
      <w:marTop w:val="0"/>
      <w:marBottom w:val="0"/>
      <w:divBdr>
        <w:top w:val="none" w:sz="0" w:space="0" w:color="auto"/>
        <w:left w:val="none" w:sz="0" w:space="0" w:color="auto"/>
        <w:bottom w:val="none" w:sz="0" w:space="0" w:color="auto"/>
        <w:right w:val="none" w:sz="0" w:space="0" w:color="auto"/>
      </w:divBdr>
    </w:div>
    <w:div w:id="791166333">
      <w:bodyDiv w:val="1"/>
      <w:marLeft w:val="0"/>
      <w:marRight w:val="0"/>
      <w:marTop w:val="0"/>
      <w:marBottom w:val="0"/>
      <w:divBdr>
        <w:top w:val="none" w:sz="0" w:space="0" w:color="auto"/>
        <w:left w:val="none" w:sz="0" w:space="0" w:color="auto"/>
        <w:bottom w:val="none" w:sz="0" w:space="0" w:color="auto"/>
        <w:right w:val="none" w:sz="0" w:space="0" w:color="auto"/>
      </w:divBdr>
    </w:div>
    <w:div w:id="795029951">
      <w:bodyDiv w:val="1"/>
      <w:marLeft w:val="0"/>
      <w:marRight w:val="0"/>
      <w:marTop w:val="0"/>
      <w:marBottom w:val="0"/>
      <w:divBdr>
        <w:top w:val="none" w:sz="0" w:space="0" w:color="auto"/>
        <w:left w:val="none" w:sz="0" w:space="0" w:color="auto"/>
        <w:bottom w:val="none" w:sz="0" w:space="0" w:color="auto"/>
        <w:right w:val="none" w:sz="0" w:space="0" w:color="auto"/>
      </w:divBdr>
      <w:divsChild>
        <w:div w:id="1651396839">
          <w:marLeft w:val="0"/>
          <w:marRight w:val="0"/>
          <w:marTop w:val="0"/>
          <w:marBottom w:val="0"/>
          <w:divBdr>
            <w:top w:val="none" w:sz="0" w:space="0" w:color="auto"/>
            <w:left w:val="none" w:sz="0" w:space="0" w:color="auto"/>
            <w:bottom w:val="none" w:sz="0" w:space="0" w:color="auto"/>
            <w:right w:val="none" w:sz="0" w:space="0" w:color="auto"/>
          </w:divBdr>
        </w:div>
        <w:div w:id="1040204009">
          <w:marLeft w:val="0"/>
          <w:marRight w:val="0"/>
          <w:marTop w:val="0"/>
          <w:marBottom w:val="0"/>
          <w:divBdr>
            <w:top w:val="none" w:sz="0" w:space="0" w:color="auto"/>
            <w:left w:val="none" w:sz="0" w:space="0" w:color="auto"/>
            <w:bottom w:val="none" w:sz="0" w:space="0" w:color="auto"/>
            <w:right w:val="none" w:sz="0" w:space="0" w:color="auto"/>
          </w:divBdr>
        </w:div>
        <w:div w:id="1265377725">
          <w:marLeft w:val="0"/>
          <w:marRight w:val="0"/>
          <w:marTop w:val="0"/>
          <w:marBottom w:val="0"/>
          <w:divBdr>
            <w:top w:val="none" w:sz="0" w:space="0" w:color="auto"/>
            <w:left w:val="none" w:sz="0" w:space="0" w:color="auto"/>
            <w:bottom w:val="none" w:sz="0" w:space="0" w:color="auto"/>
            <w:right w:val="none" w:sz="0" w:space="0" w:color="auto"/>
          </w:divBdr>
        </w:div>
        <w:div w:id="1358196022">
          <w:marLeft w:val="0"/>
          <w:marRight w:val="0"/>
          <w:marTop w:val="0"/>
          <w:marBottom w:val="0"/>
          <w:divBdr>
            <w:top w:val="none" w:sz="0" w:space="0" w:color="auto"/>
            <w:left w:val="none" w:sz="0" w:space="0" w:color="auto"/>
            <w:bottom w:val="none" w:sz="0" w:space="0" w:color="auto"/>
            <w:right w:val="none" w:sz="0" w:space="0" w:color="auto"/>
          </w:divBdr>
        </w:div>
        <w:div w:id="1573854513">
          <w:marLeft w:val="0"/>
          <w:marRight w:val="0"/>
          <w:marTop w:val="0"/>
          <w:marBottom w:val="0"/>
          <w:divBdr>
            <w:top w:val="none" w:sz="0" w:space="0" w:color="auto"/>
            <w:left w:val="none" w:sz="0" w:space="0" w:color="auto"/>
            <w:bottom w:val="none" w:sz="0" w:space="0" w:color="auto"/>
            <w:right w:val="none" w:sz="0" w:space="0" w:color="auto"/>
          </w:divBdr>
        </w:div>
        <w:div w:id="1678388479">
          <w:marLeft w:val="0"/>
          <w:marRight w:val="0"/>
          <w:marTop w:val="0"/>
          <w:marBottom w:val="0"/>
          <w:divBdr>
            <w:top w:val="none" w:sz="0" w:space="0" w:color="auto"/>
            <w:left w:val="none" w:sz="0" w:space="0" w:color="auto"/>
            <w:bottom w:val="none" w:sz="0" w:space="0" w:color="auto"/>
            <w:right w:val="none" w:sz="0" w:space="0" w:color="auto"/>
          </w:divBdr>
        </w:div>
        <w:div w:id="1047074226">
          <w:marLeft w:val="0"/>
          <w:marRight w:val="0"/>
          <w:marTop w:val="0"/>
          <w:marBottom w:val="0"/>
          <w:divBdr>
            <w:top w:val="none" w:sz="0" w:space="0" w:color="auto"/>
            <w:left w:val="none" w:sz="0" w:space="0" w:color="auto"/>
            <w:bottom w:val="none" w:sz="0" w:space="0" w:color="auto"/>
            <w:right w:val="none" w:sz="0" w:space="0" w:color="auto"/>
          </w:divBdr>
        </w:div>
        <w:div w:id="1315063567">
          <w:marLeft w:val="0"/>
          <w:marRight w:val="0"/>
          <w:marTop w:val="0"/>
          <w:marBottom w:val="0"/>
          <w:divBdr>
            <w:top w:val="none" w:sz="0" w:space="0" w:color="auto"/>
            <w:left w:val="none" w:sz="0" w:space="0" w:color="auto"/>
            <w:bottom w:val="none" w:sz="0" w:space="0" w:color="auto"/>
            <w:right w:val="none" w:sz="0" w:space="0" w:color="auto"/>
          </w:divBdr>
        </w:div>
        <w:div w:id="915088628">
          <w:marLeft w:val="0"/>
          <w:marRight w:val="0"/>
          <w:marTop w:val="0"/>
          <w:marBottom w:val="0"/>
          <w:divBdr>
            <w:top w:val="none" w:sz="0" w:space="0" w:color="auto"/>
            <w:left w:val="none" w:sz="0" w:space="0" w:color="auto"/>
            <w:bottom w:val="none" w:sz="0" w:space="0" w:color="auto"/>
            <w:right w:val="none" w:sz="0" w:space="0" w:color="auto"/>
          </w:divBdr>
        </w:div>
        <w:div w:id="693503978">
          <w:marLeft w:val="0"/>
          <w:marRight w:val="0"/>
          <w:marTop w:val="0"/>
          <w:marBottom w:val="0"/>
          <w:divBdr>
            <w:top w:val="none" w:sz="0" w:space="0" w:color="auto"/>
            <w:left w:val="none" w:sz="0" w:space="0" w:color="auto"/>
            <w:bottom w:val="none" w:sz="0" w:space="0" w:color="auto"/>
            <w:right w:val="none" w:sz="0" w:space="0" w:color="auto"/>
          </w:divBdr>
        </w:div>
        <w:div w:id="898901393">
          <w:marLeft w:val="0"/>
          <w:marRight w:val="0"/>
          <w:marTop w:val="0"/>
          <w:marBottom w:val="0"/>
          <w:divBdr>
            <w:top w:val="none" w:sz="0" w:space="0" w:color="auto"/>
            <w:left w:val="none" w:sz="0" w:space="0" w:color="auto"/>
            <w:bottom w:val="none" w:sz="0" w:space="0" w:color="auto"/>
            <w:right w:val="none" w:sz="0" w:space="0" w:color="auto"/>
          </w:divBdr>
        </w:div>
      </w:divsChild>
    </w:div>
    <w:div w:id="812210273">
      <w:bodyDiv w:val="1"/>
      <w:marLeft w:val="0"/>
      <w:marRight w:val="0"/>
      <w:marTop w:val="0"/>
      <w:marBottom w:val="0"/>
      <w:divBdr>
        <w:top w:val="none" w:sz="0" w:space="0" w:color="auto"/>
        <w:left w:val="none" w:sz="0" w:space="0" w:color="auto"/>
        <w:bottom w:val="none" w:sz="0" w:space="0" w:color="auto"/>
        <w:right w:val="none" w:sz="0" w:space="0" w:color="auto"/>
      </w:divBdr>
    </w:div>
    <w:div w:id="813642017">
      <w:bodyDiv w:val="1"/>
      <w:marLeft w:val="0"/>
      <w:marRight w:val="0"/>
      <w:marTop w:val="0"/>
      <w:marBottom w:val="0"/>
      <w:divBdr>
        <w:top w:val="none" w:sz="0" w:space="0" w:color="auto"/>
        <w:left w:val="none" w:sz="0" w:space="0" w:color="auto"/>
        <w:bottom w:val="none" w:sz="0" w:space="0" w:color="auto"/>
        <w:right w:val="none" w:sz="0" w:space="0" w:color="auto"/>
      </w:divBdr>
    </w:div>
    <w:div w:id="820392575">
      <w:bodyDiv w:val="1"/>
      <w:marLeft w:val="0"/>
      <w:marRight w:val="0"/>
      <w:marTop w:val="0"/>
      <w:marBottom w:val="0"/>
      <w:divBdr>
        <w:top w:val="none" w:sz="0" w:space="0" w:color="auto"/>
        <w:left w:val="none" w:sz="0" w:space="0" w:color="auto"/>
        <w:bottom w:val="none" w:sz="0" w:space="0" w:color="auto"/>
        <w:right w:val="none" w:sz="0" w:space="0" w:color="auto"/>
      </w:divBdr>
    </w:div>
    <w:div w:id="829171475">
      <w:bodyDiv w:val="1"/>
      <w:marLeft w:val="0"/>
      <w:marRight w:val="0"/>
      <w:marTop w:val="0"/>
      <w:marBottom w:val="0"/>
      <w:divBdr>
        <w:top w:val="none" w:sz="0" w:space="0" w:color="auto"/>
        <w:left w:val="none" w:sz="0" w:space="0" w:color="auto"/>
        <w:bottom w:val="none" w:sz="0" w:space="0" w:color="auto"/>
        <w:right w:val="none" w:sz="0" w:space="0" w:color="auto"/>
      </w:divBdr>
    </w:div>
    <w:div w:id="872230782">
      <w:bodyDiv w:val="1"/>
      <w:marLeft w:val="0"/>
      <w:marRight w:val="0"/>
      <w:marTop w:val="0"/>
      <w:marBottom w:val="0"/>
      <w:divBdr>
        <w:top w:val="none" w:sz="0" w:space="0" w:color="auto"/>
        <w:left w:val="none" w:sz="0" w:space="0" w:color="auto"/>
        <w:bottom w:val="none" w:sz="0" w:space="0" w:color="auto"/>
        <w:right w:val="none" w:sz="0" w:space="0" w:color="auto"/>
      </w:divBdr>
    </w:div>
    <w:div w:id="1172911629">
      <w:bodyDiv w:val="1"/>
      <w:marLeft w:val="0"/>
      <w:marRight w:val="0"/>
      <w:marTop w:val="0"/>
      <w:marBottom w:val="0"/>
      <w:divBdr>
        <w:top w:val="none" w:sz="0" w:space="0" w:color="auto"/>
        <w:left w:val="none" w:sz="0" w:space="0" w:color="auto"/>
        <w:bottom w:val="none" w:sz="0" w:space="0" w:color="auto"/>
        <w:right w:val="none" w:sz="0" w:space="0" w:color="auto"/>
      </w:divBdr>
    </w:div>
    <w:div w:id="1215266589">
      <w:bodyDiv w:val="1"/>
      <w:marLeft w:val="0"/>
      <w:marRight w:val="0"/>
      <w:marTop w:val="0"/>
      <w:marBottom w:val="0"/>
      <w:divBdr>
        <w:top w:val="none" w:sz="0" w:space="0" w:color="auto"/>
        <w:left w:val="none" w:sz="0" w:space="0" w:color="auto"/>
        <w:bottom w:val="none" w:sz="0" w:space="0" w:color="auto"/>
        <w:right w:val="none" w:sz="0" w:space="0" w:color="auto"/>
      </w:divBdr>
    </w:div>
    <w:div w:id="1244074015">
      <w:bodyDiv w:val="1"/>
      <w:marLeft w:val="0"/>
      <w:marRight w:val="0"/>
      <w:marTop w:val="0"/>
      <w:marBottom w:val="0"/>
      <w:divBdr>
        <w:top w:val="none" w:sz="0" w:space="0" w:color="auto"/>
        <w:left w:val="none" w:sz="0" w:space="0" w:color="auto"/>
        <w:bottom w:val="none" w:sz="0" w:space="0" w:color="auto"/>
        <w:right w:val="none" w:sz="0" w:space="0" w:color="auto"/>
      </w:divBdr>
    </w:div>
    <w:div w:id="1252200263">
      <w:bodyDiv w:val="1"/>
      <w:marLeft w:val="0"/>
      <w:marRight w:val="0"/>
      <w:marTop w:val="0"/>
      <w:marBottom w:val="0"/>
      <w:divBdr>
        <w:top w:val="none" w:sz="0" w:space="0" w:color="auto"/>
        <w:left w:val="none" w:sz="0" w:space="0" w:color="auto"/>
        <w:bottom w:val="none" w:sz="0" w:space="0" w:color="auto"/>
        <w:right w:val="none" w:sz="0" w:space="0" w:color="auto"/>
      </w:divBdr>
    </w:div>
    <w:div w:id="1274826915">
      <w:bodyDiv w:val="1"/>
      <w:marLeft w:val="0"/>
      <w:marRight w:val="0"/>
      <w:marTop w:val="0"/>
      <w:marBottom w:val="0"/>
      <w:divBdr>
        <w:top w:val="none" w:sz="0" w:space="0" w:color="auto"/>
        <w:left w:val="none" w:sz="0" w:space="0" w:color="auto"/>
        <w:bottom w:val="none" w:sz="0" w:space="0" w:color="auto"/>
        <w:right w:val="none" w:sz="0" w:space="0" w:color="auto"/>
      </w:divBdr>
    </w:div>
    <w:div w:id="1290355023">
      <w:bodyDiv w:val="1"/>
      <w:marLeft w:val="0"/>
      <w:marRight w:val="0"/>
      <w:marTop w:val="0"/>
      <w:marBottom w:val="0"/>
      <w:divBdr>
        <w:top w:val="none" w:sz="0" w:space="0" w:color="auto"/>
        <w:left w:val="none" w:sz="0" w:space="0" w:color="auto"/>
        <w:bottom w:val="none" w:sz="0" w:space="0" w:color="auto"/>
        <w:right w:val="none" w:sz="0" w:space="0" w:color="auto"/>
      </w:divBdr>
    </w:div>
    <w:div w:id="1294336006">
      <w:bodyDiv w:val="1"/>
      <w:marLeft w:val="0"/>
      <w:marRight w:val="0"/>
      <w:marTop w:val="0"/>
      <w:marBottom w:val="0"/>
      <w:divBdr>
        <w:top w:val="none" w:sz="0" w:space="0" w:color="auto"/>
        <w:left w:val="none" w:sz="0" w:space="0" w:color="auto"/>
        <w:bottom w:val="none" w:sz="0" w:space="0" w:color="auto"/>
        <w:right w:val="none" w:sz="0" w:space="0" w:color="auto"/>
      </w:divBdr>
    </w:div>
    <w:div w:id="1294484988">
      <w:bodyDiv w:val="1"/>
      <w:marLeft w:val="0"/>
      <w:marRight w:val="0"/>
      <w:marTop w:val="0"/>
      <w:marBottom w:val="0"/>
      <w:divBdr>
        <w:top w:val="none" w:sz="0" w:space="0" w:color="auto"/>
        <w:left w:val="none" w:sz="0" w:space="0" w:color="auto"/>
        <w:bottom w:val="none" w:sz="0" w:space="0" w:color="auto"/>
        <w:right w:val="none" w:sz="0" w:space="0" w:color="auto"/>
      </w:divBdr>
    </w:div>
    <w:div w:id="1324702489">
      <w:bodyDiv w:val="1"/>
      <w:marLeft w:val="0"/>
      <w:marRight w:val="0"/>
      <w:marTop w:val="0"/>
      <w:marBottom w:val="0"/>
      <w:divBdr>
        <w:top w:val="none" w:sz="0" w:space="0" w:color="auto"/>
        <w:left w:val="none" w:sz="0" w:space="0" w:color="auto"/>
        <w:bottom w:val="none" w:sz="0" w:space="0" w:color="auto"/>
        <w:right w:val="none" w:sz="0" w:space="0" w:color="auto"/>
      </w:divBdr>
    </w:div>
    <w:div w:id="1373962640">
      <w:bodyDiv w:val="1"/>
      <w:marLeft w:val="0"/>
      <w:marRight w:val="0"/>
      <w:marTop w:val="0"/>
      <w:marBottom w:val="0"/>
      <w:divBdr>
        <w:top w:val="none" w:sz="0" w:space="0" w:color="auto"/>
        <w:left w:val="none" w:sz="0" w:space="0" w:color="auto"/>
        <w:bottom w:val="none" w:sz="0" w:space="0" w:color="auto"/>
        <w:right w:val="none" w:sz="0" w:space="0" w:color="auto"/>
      </w:divBdr>
    </w:div>
    <w:div w:id="1428303397">
      <w:bodyDiv w:val="1"/>
      <w:marLeft w:val="0"/>
      <w:marRight w:val="0"/>
      <w:marTop w:val="0"/>
      <w:marBottom w:val="0"/>
      <w:divBdr>
        <w:top w:val="none" w:sz="0" w:space="0" w:color="auto"/>
        <w:left w:val="none" w:sz="0" w:space="0" w:color="auto"/>
        <w:bottom w:val="none" w:sz="0" w:space="0" w:color="auto"/>
        <w:right w:val="none" w:sz="0" w:space="0" w:color="auto"/>
      </w:divBdr>
    </w:div>
    <w:div w:id="1514681980">
      <w:bodyDiv w:val="1"/>
      <w:marLeft w:val="0"/>
      <w:marRight w:val="0"/>
      <w:marTop w:val="0"/>
      <w:marBottom w:val="0"/>
      <w:divBdr>
        <w:top w:val="none" w:sz="0" w:space="0" w:color="auto"/>
        <w:left w:val="none" w:sz="0" w:space="0" w:color="auto"/>
        <w:bottom w:val="none" w:sz="0" w:space="0" w:color="auto"/>
        <w:right w:val="none" w:sz="0" w:space="0" w:color="auto"/>
      </w:divBdr>
    </w:div>
    <w:div w:id="1530296229">
      <w:bodyDiv w:val="1"/>
      <w:marLeft w:val="0"/>
      <w:marRight w:val="0"/>
      <w:marTop w:val="0"/>
      <w:marBottom w:val="0"/>
      <w:divBdr>
        <w:top w:val="none" w:sz="0" w:space="0" w:color="auto"/>
        <w:left w:val="none" w:sz="0" w:space="0" w:color="auto"/>
        <w:bottom w:val="none" w:sz="0" w:space="0" w:color="auto"/>
        <w:right w:val="none" w:sz="0" w:space="0" w:color="auto"/>
      </w:divBdr>
    </w:div>
    <w:div w:id="1543059232">
      <w:bodyDiv w:val="1"/>
      <w:marLeft w:val="0"/>
      <w:marRight w:val="0"/>
      <w:marTop w:val="0"/>
      <w:marBottom w:val="0"/>
      <w:divBdr>
        <w:top w:val="none" w:sz="0" w:space="0" w:color="auto"/>
        <w:left w:val="none" w:sz="0" w:space="0" w:color="auto"/>
        <w:bottom w:val="none" w:sz="0" w:space="0" w:color="auto"/>
        <w:right w:val="none" w:sz="0" w:space="0" w:color="auto"/>
      </w:divBdr>
    </w:div>
    <w:div w:id="1599867757">
      <w:bodyDiv w:val="1"/>
      <w:marLeft w:val="0"/>
      <w:marRight w:val="0"/>
      <w:marTop w:val="0"/>
      <w:marBottom w:val="0"/>
      <w:divBdr>
        <w:top w:val="none" w:sz="0" w:space="0" w:color="auto"/>
        <w:left w:val="none" w:sz="0" w:space="0" w:color="auto"/>
        <w:bottom w:val="none" w:sz="0" w:space="0" w:color="auto"/>
        <w:right w:val="none" w:sz="0" w:space="0" w:color="auto"/>
      </w:divBdr>
    </w:div>
    <w:div w:id="1624651288">
      <w:bodyDiv w:val="1"/>
      <w:marLeft w:val="0"/>
      <w:marRight w:val="0"/>
      <w:marTop w:val="0"/>
      <w:marBottom w:val="0"/>
      <w:divBdr>
        <w:top w:val="none" w:sz="0" w:space="0" w:color="auto"/>
        <w:left w:val="none" w:sz="0" w:space="0" w:color="auto"/>
        <w:bottom w:val="none" w:sz="0" w:space="0" w:color="auto"/>
        <w:right w:val="none" w:sz="0" w:space="0" w:color="auto"/>
      </w:divBdr>
    </w:div>
    <w:div w:id="1632981468">
      <w:bodyDiv w:val="1"/>
      <w:marLeft w:val="0"/>
      <w:marRight w:val="0"/>
      <w:marTop w:val="0"/>
      <w:marBottom w:val="0"/>
      <w:divBdr>
        <w:top w:val="none" w:sz="0" w:space="0" w:color="auto"/>
        <w:left w:val="none" w:sz="0" w:space="0" w:color="auto"/>
        <w:bottom w:val="none" w:sz="0" w:space="0" w:color="auto"/>
        <w:right w:val="none" w:sz="0" w:space="0" w:color="auto"/>
      </w:divBdr>
    </w:div>
    <w:div w:id="1649430683">
      <w:bodyDiv w:val="1"/>
      <w:marLeft w:val="0"/>
      <w:marRight w:val="0"/>
      <w:marTop w:val="0"/>
      <w:marBottom w:val="0"/>
      <w:divBdr>
        <w:top w:val="none" w:sz="0" w:space="0" w:color="auto"/>
        <w:left w:val="none" w:sz="0" w:space="0" w:color="auto"/>
        <w:bottom w:val="none" w:sz="0" w:space="0" w:color="auto"/>
        <w:right w:val="none" w:sz="0" w:space="0" w:color="auto"/>
      </w:divBdr>
    </w:div>
    <w:div w:id="1708987807">
      <w:bodyDiv w:val="1"/>
      <w:marLeft w:val="0"/>
      <w:marRight w:val="0"/>
      <w:marTop w:val="0"/>
      <w:marBottom w:val="0"/>
      <w:divBdr>
        <w:top w:val="none" w:sz="0" w:space="0" w:color="auto"/>
        <w:left w:val="none" w:sz="0" w:space="0" w:color="auto"/>
        <w:bottom w:val="none" w:sz="0" w:space="0" w:color="auto"/>
        <w:right w:val="none" w:sz="0" w:space="0" w:color="auto"/>
      </w:divBdr>
    </w:div>
    <w:div w:id="1759132659">
      <w:bodyDiv w:val="1"/>
      <w:marLeft w:val="0"/>
      <w:marRight w:val="0"/>
      <w:marTop w:val="0"/>
      <w:marBottom w:val="0"/>
      <w:divBdr>
        <w:top w:val="none" w:sz="0" w:space="0" w:color="auto"/>
        <w:left w:val="none" w:sz="0" w:space="0" w:color="auto"/>
        <w:bottom w:val="none" w:sz="0" w:space="0" w:color="auto"/>
        <w:right w:val="none" w:sz="0" w:space="0" w:color="auto"/>
      </w:divBdr>
    </w:div>
    <w:div w:id="1789935055">
      <w:bodyDiv w:val="1"/>
      <w:marLeft w:val="0"/>
      <w:marRight w:val="0"/>
      <w:marTop w:val="0"/>
      <w:marBottom w:val="0"/>
      <w:divBdr>
        <w:top w:val="none" w:sz="0" w:space="0" w:color="auto"/>
        <w:left w:val="none" w:sz="0" w:space="0" w:color="auto"/>
        <w:bottom w:val="none" w:sz="0" w:space="0" w:color="auto"/>
        <w:right w:val="none" w:sz="0" w:space="0" w:color="auto"/>
      </w:divBdr>
    </w:div>
    <w:div w:id="1821925369">
      <w:bodyDiv w:val="1"/>
      <w:marLeft w:val="0"/>
      <w:marRight w:val="0"/>
      <w:marTop w:val="0"/>
      <w:marBottom w:val="0"/>
      <w:divBdr>
        <w:top w:val="none" w:sz="0" w:space="0" w:color="auto"/>
        <w:left w:val="none" w:sz="0" w:space="0" w:color="auto"/>
        <w:bottom w:val="none" w:sz="0" w:space="0" w:color="auto"/>
        <w:right w:val="none" w:sz="0" w:space="0" w:color="auto"/>
      </w:divBdr>
    </w:div>
    <w:div w:id="1828592526">
      <w:bodyDiv w:val="1"/>
      <w:marLeft w:val="0"/>
      <w:marRight w:val="0"/>
      <w:marTop w:val="0"/>
      <w:marBottom w:val="0"/>
      <w:divBdr>
        <w:top w:val="none" w:sz="0" w:space="0" w:color="auto"/>
        <w:left w:val="none" w:sz="0" w:space="0" w:color="auto"/>
        <w:bottom w:val="none" w:sz="0" w:space="0" w:color="auto"/>
        <w:right w:val="none" w:sz="0" w:space="0" w:color="auto"/>
      </w:divBdr>
    </w:div>
    <w:div w:id="1909806407">
      <w:bodyDiv w:val="1"/>
      <w:marLeft w:val="0"/>
      <w:marRight w:val="0"/>
      <w:marTop w:val="0"/>
      <w:marBottom w:val="0"/>
      <w:divBdr>
        <w:top w:val="none" w:sz="0" w:space="0" w:color="auto"/>
        <w:left w:val="none" w:sz="0" w:space="0" w:color="auto"/>
        <w:bottom w:val="none" w:sz="0" w:space="0" w:color="auto"/>
        <w:right w:val="none" w:sz="0" w:space="0" w:color="auto"/>
      </w:divBdr>
    </w:div>
    <w:div w:id="1991442863">
      <w:bodyDiv w:val="1"/>
      <w:marLeft w:val="0"/>
      <w:marRight w:val="0"/>
      <w:marTop w:val="0"/>
      <w:marBottom w:val="0"/>
      <w:divBdr>
        <w:top w:val="none" w:sz="0" w:space="0" w:color="auto"/>
        <w:left w:val="none" w:sz="0" w:space="0" w:color="auto"/>
        <w:bottom w:val="none" w:sz="0" w:space="0" w:color="auto"/>
        <w:right w:val="none" w:sz="0" w:space="0" w:color="auto"/>
      </w:divBdr>
    </w:div>
    <w:div w:id="2083944696">
      <w:bodyDiv w:val="1"/>
      <w:marLeft w:val="0"/>
      <w:marRight w:val="0"/>
      <w:marTop w:val="0"/>
      <w:marBottom w:val="0"/>
      <w:divBdr>
        <w:top w:val="none" w:sz="0" w:space="0" w:color="auto"/>
        <w:left w:val="none" w:sz="0" w:space="0" w:color="auto"/>
        <w:bottom w:val="none" w:sz="0" w:space="0" w:color="auto"/>
        <w:right w:val="none" w:sz="0" w:space="0" w:color="auto"/>
      </w:divBdr>
    </w:div>
    <w:div w:id="2113089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00DDA-0BA9-40B1-8577-6C4EE357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2411</TotalTime>
  <Pages>12</Pages>
  <Words>12688</Words>
  <Characters>72327</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84846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UBAY</dc:creator>
  <cp:lastModifiedBy>SDI CPU 1117</cp:lastModifiedBy>
  <cp:revision>85</cp:revision>
  <dcterms:created xsi:type="dcterms:W3CDTF">2023-06-13T00:21:00Z</dcterms:created>
  <dcterms:modified xsi:type="dcterms:W3CDTF">2026-02-27T11:04:00Z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2021</vt:lpwstr>
  </property>
  <property fmtid="{D5CDD505-2E9C-101B-9397-08002B2CF9AE}" pid="4" name="LastSaved">
    <vt:filetime>2023-06-13T00:00:00Z</vt:filetime>
  </property>
  <property fmtid="{D5CDD505-2E9C-101B-9397-08002B2CF9AE}" pid="5" name="GrammarlyDocumentId">
    <vt:lpwstr>c1a819ae88ab25e0c8f30b4d70ced77888b565d1ec119b96d6983506a9bd69e6</vt:lpwstr>
  </property>
  <property fmtid="{D5CDD505-2E9C-101B-9397-08002B2CF9AE}" pid="6" name="Mendeley Document_1">
    <vt:lpwstr>True</vt:lpwstr>
  </property>
  <property fmtid="{D5CDD505-2E9C-101B-9397-08002B2CF9AE}" pid="7" name="Mendeley Citation Style_1">
    <vt:lpwstr>http://www.zotero.org/styles/apa</vt:lpwstr>
  </property>
  <property fmtid="{D5CDD505-2E9C-101B-9397-08002B2CF9AE}" pid="8" name="Mendeley Unique User Id_1">
    <vt:lpwstr>5d1e8e4b-2749-3c93-b932-d3ead00a7609</vt:lpwstr>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7th edition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 6th edition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12th edition - Harvard</vt:lpwstr>
  </property>
  <property fmtid="{D5CDD505-2E9C-101B-9397-08002B2CF9AE}" pid="19" name="Mendeley Recent Style Id 5_1">
    <vt:lpwstr>http://www.zotero.org/styles/ieee</vt:lpwstr>
  </property>
  <property fmtid="{D5CDD505-2E9C-101B-9397-08002B2CF9AE}" pid="20" name="Mendeley Recent Style Name 5_1">
    <vt:lpwstr>IEEE</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9th edition</vt:lpwstr>
  </property>
  <property fmtid="{D5CDD505-2E9C-101B-9397-08002B2CF9AE}" pid="25" name="Mendeley Recent Style Id 8_1">
    <vt:lpwstr>http://www.zotero.org/styles/nature</vt:lpwstr>
  </property>
  <property fmtid="{D5CDD505-2E9C-101B-9397-08002B2CF9AE}" pid="26" name="Mendeley Recent Style Name 8_1">
    <vt:lpwstr>Nature</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ies>
</file>