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A7684" w14:textId="77777777" w:rsidR="00ED70A4" w:rsidRPr="00ED70A4" w:rsidRDefault="00ED70A4" w:rsidP="00ED70A4">
      <w:pPr>
        <w:spacing w:line="240" w:lineRule="auto"/>
        <w:jc w:val="center"/>
        <w:rPr>
          <w:rFonts w:ascii="Arial" w:hAnsi="Arial" w:cs="Arial"/>
          <w:b/>
          <w:bCs/>
          <w:i/>
          <w:iCs/>
          <w:sz w:val="28"/>
          <w:szCs w:val="28"/>
          <w:u w:val="single"/>
          <w:lang w:val="en-US"/>
        </w:rPr>
      </w:pPr>
      <w:r w:rsidRPr="00ED70A4">
        <w:rPr>
          <w:rFonts w:ascii="Arial" w:hAnsi="Arial" w:cs="Arial"/>
          <w:b/>
          <w:bCs/>
          <w:i/>
          <w:iCs/>
          <w:sz w:val="28"/>
          <w:szCs w:val="28"/>
          <w:u w:val="single"/>
          <w:lang w:val="en-US"/>
        </w:rPr>
        <w:t>Review Article</w:t>
      </w:r>
    </w:p>
    <w:p w14:paraId="298FE11A" w14:textId="5148E590" w:rsidR="00392B28" w:rsidRDefault="00B7231A" w:rsidP="00B7231A">
      <w:pPr>
        <w:spacing w:line="240" w:lineRule="auto"/>
        <w:jc w:val="center"/>
        <w:rPr>
          <w:rFonts w:ascii="Arial" w:hAnsi="Arial" w:cs="Arial"/>
          <w:b/>
          <w:bCs/>
        </w:rPr>
      </w:pPr>
      <w:r w:rsidRPr="00B7231A">
        <w:rPr>
          <w:rFonts w:ascii="Arial" w:hAnsi="Arial" w:cs="Arial"/>
          <w:b/>
          <w:bCs/>
          <w:sz w:val="28"/>
          <w:szCs w:val="28"/>
        </w:rPr>
        <w:t xml:space="preserve">Advances in Horticultural Crop Breeding: From Conventional Selection to Genomic </w:t>
      </w:r>
      <w:r w:rsidR="00AF6115">
        <w:rPr>
          <w:rFonts w:ascii="Arial" w:hAnsi="Arial" w:cs="Arial"/>
          <w:b/>
          <w:bCs/>
          <w:sz w:val="28"/>
          <w:szCs w:val="28"/>
        </w:rPr>
        <w:t>and Genome-Editing Technologies</w:t>
      </w:r>
    </w:p>
    <w:p w14:paraId="25261F01" w14:textId="77777777" w:rsidR="00392B28" w:rsidRDefault="00392B28" w:rsidP="00E53B33">
      <w:pPr>
        <w:spacing w:line="240" w:lineRule="auto"/>
        <w:rPr>
          <w:rFonts w:ascii="Arial" w:hAnsi="Arial" w:cs="Arial"/>
          <w:b/>
          <w:bCs/>
        </w:rPr>
      </w:pPr>
    </w:p>
    <w:p w14:paraId="5B120D84" w14:textId="0FBB728C" w:rsidR="00B9058F" w:rsidRPr="005F3664" w:rsidRDefault="00FA5051" w:rsidP="00E53B33">
      <w:pPr>
        <w:spacing w:line="240" w:lineRule="auto"/>
        <w:rPr>
          <w:rFonts w:ascii="Arial" w:hAnsi="Arial" w:cs="Arial"/>
          <w:b/>
          <w:bCs/>
        </w:rPr>
      </w:pPr>
      <w:r w:rsidRPr="005F3664">
        <w:rPr>
          <w:rFonts w:ascii="Arial" w:hAnsi="Arial" w:cs="Arial"/>
          <w:b/>
          <w:bCs/>
        </w:rPr>
        <w:t>Abstract</w:t>
      </w:r>
      <w:bookmarkStart w:id="0" w:name="_GoBack"/>
      <w:bookmarkEnd w:id="0"/>
    </w:p>
    <w:p w14:paraId="7DB93EF6" w14:textId="7FD053DD" w:rsidR="00B7231A" w:rsidRDefault="00B7231A" w:rsidP="00E53B33">
      <w:pPr>
        <w:spacing w:after="120" w:line="240" w:lineRule="auto"/>
        <w:jc w:val="both"/>
        <w:rPr>
          <w:rFonts w:ascii="Arial" w:hAnsi="Arial" w:cs="Arial"/>
          <w:sz w:val="20"/>
          <w:szCs w:val="20"/>
        </w:rPr>
      </w:pPr>
      <w:r w:rsidRPr="00B7231A">
        <w:rPr>
          <w:rFonts w:ascii="Arial" w:hAnsi="Arial" w:cs="Arial"/>
          <w:sz w:val="20"/>
          <w:szCs w:val="20"/>
        </w:rPr>
        <w:t>Horticultural crops</w:t>
      </w:r>
      <w:r>
        <w:rPr>
          <w:rFonts w:ascii="Arial" w:hAnsi="Arial" w:cs="Arial"/>
          <w:sz w:val="20"/>
          <w:szCs w:val="20"/>
        </w:rPr>
        <w:t>-</w:t>
      </w:r>
      <w:r w:rsidRPr="00B7231A">
        <w:rPr>
          <w:rFonts w:ascii="Arial" w:hAnsi="Arial" w:cs="Arial"/>
          <w:sz w:val="20"/>
          <w:szCs w:val="20"/>
        </w:rPr>
        <w:t>including fruits, vegetables, ornamentals, spices, and plantation crops</w:t>
      </w:r>
      <w:r w:rsidR="00365EF5">
        <w:rPr>
          <w:rFonts w:ascii="Arial" w:hAnsi="Arial" w:cs="Arial"/>
          <w:sz w:val="20"/>
          <w:szCs w:val="20"/>
        </w:rPr>
        <w:t>-</w:t>
      </w:r>
      <w:r w:rsidRPr="00B7231A">
        <w:rPr>
          <w:rFonts w:ascii="Arial" w:hAnsi="Arial" w:cs="Arial"/>
          <w:sz w:val="20"/>
          <w:szCs w:val="20"/>
        </w:rPr>
        <w:t>are essential to global food security, human nutrition, and agricultural economies. However, their genetic improvement has long been constrained by biological complexities such as polyploidy, extended juvenile phases, vegetative propagation, and narrow elite germplasm pools. This review synthesizes breeding strategies across major horticultural crops, tracing the progression from classical phenotypic selection to molecular marker</w:t>
      </w:r>
      <w:r>
        <w:rPr>
          <w:rFonts w:ascii="Arial" w:hAnsi="Arial" w:cs="Arial"/>
          <w:sz w:val="20"/>
          <w:szCs w:val="20"/>
        </w:rPr>
        <w:t>-</w:t>
      </w:r>
      <w:r w:rsidRPr="00B7231A">
        <w:rPr>
          <w:rFonts w:ascii="Arial" w:hAnsi="Arial" w:cs="Arial"/>
          <w:sz w:val="20"/>
          <w:szCs w:val="20"/>
        </w:rPr>
        <w:t>assisted approaches and advanced genome editing technologies. Conventional breeding established the genetic foundation for crop improvement through hybridization, backcrossing, mutation breeding, and heterosis exploitation. The integration of molecular markers (RFLPs, SSRs, SNPs) with marker-assisted selection (MAS), quantitative trait locus (QTL) mapping, genome-wide association studies (GWAS), and genomic selection (GS) significantly enhanced breeding precision and efficiency. Advances in whole-genome sequencing, transcriptomics, metabolomics, and pan-genomics have further strengthened genomic resources for trait discovery and predictive breeding. More recently, CRISPR/Cas</w:t>
      </w:r>
      <w:r w:rsidR="00EB63C4">
        <w:rPr>
          <w:rFonts w:ascii="Arial" w:hAnsi="Arial" w:cs="Arial"/>
          <w:sz w:val="20"/>
          <w:szCs w:val="20"/>
        </w:rPr>
        <w:t>9</w:t>
      </w:r>
      <w:r w:rsidRPr="00B7231A">
        <w:rPr>
          <w:rFonts w:ascii="Arial" w:hAnsi="Arial" w:cs="Arial"/>
          <w:sz w:val="20"/>
          <w:szCs w:val="20"/>
        </w:rPr>
        <w:t xml:space="preserve"> systems, including base editing and prime editing, have enabled precise targeted trait modification, demonstrated in applications such as extended shelf-life tomato, waxy-starch potato, Fusarium-resistant banana, and canker-resistant citrus. Despite these advances, challenges remain, including regulatory heterogeneity, transformation recalcitrance in elite genotypes, polyploid genome complexity, and public acceptance concerns. This review highlights critical research gaps and proposes an integrated breeding framework that combines classical genetics, genomic prediction, and precision genome editing to accelerate the development of climate-resilient, nutritionally enhanced, and commercially competitive horticultural crops.</w:t>
      </w:r>
    </w:p>
    <w:p w14:paraId="17D12075" w14:textId="361FD19D" w:rsidR="00831536" w:rsidRPr="005F3664" w:rsidRDefault="00FA5051" w:rsidP="00E53B33">
      <w:pPr>
        <w:spacing w:after="120" w:line="240" w:lineRule="auto"/>
        <w:jc w:val="both"/>
        <w:rPr>
          <w:rFonts w:ascii="Arial" w:hAnsi="Arial" w:cs="Arial"/>
          <w:sz w:val="20"/>
          <w:szCs w:val="20"/>
        </w:rPr>
      </w:pPr>
      <w:r w:rsidRPr="005F3664">
        <w:rPr>
          <w:rFonts w:ascii="Arial" w:hAnsi="Arial" w:cs="Arial"/>
          <w:b/>
          <w:bCs/>
          <w:sz w:val="20"/>
          <w:szCs w:val="20"/>
        </w:rPr>
        <w:t>Keywords:</w:t>
      </w:r>
      <w:r w:rsidRPr="005F3664">
        <w:rPr>
          <w:rFonts w:ascii="Arial" w:hAnsi="Arial" w:cs="Arial"/>
          <w:sz w:val="20"/>
          <w:szCs w:val="20"/>
        </w:rPr>
        <w:t xml:space="preserve"> </w:t>
      </w:r>
      <w:r w:rsidRPr="005F3664">
        <w:rPr>
          <w:rFonts w:ascii="Arial" w:hAnsi="Arial" w:cs="Arial"/>
          <w:i/>
          <w:iCs/>
          <w:sz w:val="20"/>
          <w:szCs w:val="20"/>
        </w:rPr>
        <w:t>conventional breeding</w:t>
      </w:r>
      <w:r w:rsidR="00C14FAC" w:rsidRPr="005F3664">
        <w:rPr>
          <w:rFonts w:ascii="Arial" w:hAnsi="Arial" w:cs="Arial"/>
          <w:i/>
          <w:iCs/>
          <w:sz w:val="20"/>
          <w:szCs w:val="20"/>
        </w:rPr>
        <w:t>,</w:t>
      </w:r>
      <w:r w:rsidRPr="005F3664">
        <w:rPr>
          <w:rFonts w:ascii="Arial" w:hAnsi="Arial" w:cs="Arial"/>
          <w:i/>
          <w:iCs/>
          <w:sz w:val="20"/>
          <w:szCs w:val="20"/>
        </w:rPr>
        <w:t xml:space="preserve"> marker-assisted selection</w:t>
      </w:r>
      <w:r w:rsidR="00C14FAC" w:rsidRPr="005F3664">
        <w:rPr>
          <w:rFonts w:ascii="Arial" w:hAnsi="Arial" w:cs="Arial"/>
          <w:i/>
          <w:iCs/>
          <w:sz w:val="20"/>
          <w:szCs w:val="20"/>
        </w:rPr>
        <w:t>,</w:t>
      </w:r>
      <w:r w:rsidRPr="005F3664">
        <w:rPr>
          <w:rFonts w:ascii="Arial" w:hAnsi="Arial" w:cs="Arial"/>
          <w:i/>
          <w:iCs/>
          <w:sz w:val="20"/>
          <w:szCs w:val="20"/>
        </w:rPr>
        <w:t xml:space="preserve"> QTL mapping</w:t>
      </w:r>
      <w:r w:rsidR="00C14FAC" w:rsidRPr="005F3664">
        <w:rPr>
          <w:rFonts w:ascii="Arial" w:hAnsi="Arial" w:cs="Arial"/>
          <w:i/>
          <w:iCs/>
          <w:sz w:val="20"/>
          <w:szCs w:val="20"/>
        </w:rPr>
        <w:t>,</w:t>
      </w:r>
      <w:r w:rsidRPr="005F3664">
        <w:rPr>
          <w:rFonts w:ascii="Arial" w:hAnsi="Arial" w:cs="Arial"/>
          <w:i/>
          <w:iCs/>
          <w:sz w:val="20"/>
          <w:szCs w:val="20"/>
        </w:rPr>
        <w:t xml:space="preserve"> CRISPR/Cas9</w:t>
      </w:r>
      <w:r w:rsidR="00C14FAC" w:rsidRPr="005F3664">
        <w:rPr>
          <w:rFonts w:ascii="Arial" w:hAnsi="Arial" w:cs="Arial"/>
          <w:i/>
          <w:iCs/>
          <w:sz w:val="20"/>
          <w:szCs w:val="20"/>
        </w:rPr>
        <w:t>,</w:t>
      </w:r>
      <w:r w:rsidRPr="005F3664">
        <w:rPr>
          <w:rFonts w:ascii="Arial" w:hAnsi="Arial" w:cs="Arial"/>
          <w:i/>
          <w:iCs/>
          <w:sz w:val="20"/>
          <w:szCs w:val="20"/>
        </w:rPr>
        <w:t xml:space="preserve"> omics-assisted breeding </w:t>
      </w:r>
    </w:p>
    <w:p w14:paraId="7B256D51" w14:textId="73DA468A" w:rsidR="00FA5051" w:rsidRPr="005F3664" w:rsidRDefault="00FA5051" w:rsidP="00E53B33">
      <w:pPr>
        <w:spacing w:line="240" w:lineRule="auto"/>
        <w:rPr>
          <w:rFonts w:ascii="Arial" w:hAnsi="Arial" w:cs="Arial"/>
          <w:b/>
          <w:bCs/>
        </w:rPr>
      </w:pPr>
      <w:r w:rsidRPr="005F3664">
        <w:rPr>
          <w:rFonts w:ascii="Arial" w:hAnsi="Arial" w:cs="Arial"/>
          <w:b/>
          <w:bCs/>
        </w:rPr>
        <w:t>1. Introduction</w:t>
      </w:r>
    </w:p>
    <w:p w14:paraId="14000151" w14:textId="77777777" w:rsidR="00E1451C" w:rsidRPr="005F3664" w:rsidRDefault="00E1451C" w:rsidP="00E53B33">
      <w:pPr>
        <w:spacing w:line="240" w:lineRule="auto"/>
        <w:jc w:val="both"/>
        <w:rPr>
          <w:rFonts w:ascii="Arial" w:hAnsi="Arial" w:cs="Arial"/>
          <w:sz w:val="20"/>
          <w:szCs w:val="20"/>
        </w:rPr>
      </w:pPr>
      <w:r w:rsidRPr="005F3664">
        <w:rPr>
          <w:rFonts w:ascii="Arial" w:hAnsi="Arial" w:cs="Arial"/>
          <w:sz w:val="20"/>
          <w:szCs w:val="20"/>
        </w:rPr>
        <w:t>Horticultural crops form a vital component of global agriculture, encompassing fruits, vegetables, ornamentals, spices and plantation crops, with annual production exceeding 1.8 billion metric tonnes (FAO, 2023). Beyond their volume, their nutritional importance is substantial, supplying essential micronutrients such as vitamins A and C, fibre, potassium and folate, as well as bioactive phytochemicals linked to reduced risks of cardiovascular disease, type 2 diabetes and certain cancers (Gao et al., 2019). Economically, they generate significant export income and sustain millions of smallholder farmers across diverse agro-climatic regions.</w:t>
      </w:r>
    </w:p>
    <w:p w14:paraId="5F3F364C" w14:textId="77777777" w:rsidR="00E1451C" w:rsidRPr="005F3664" w:rsidRDefault="00E1451C" w:rsidP="00E53B33">
      <w:pPr>
        <w:spacing w:line="240" w:lineRule="auto"/>
        <w:jc w:val="both"/>
        <w:rPr>
          <w:rFonts w:ascii="Arial" w:hAnsi="Arial" w:cs="Arial"/>
          <w:sz w:val="20"/>
          <w:szCs w:val="20"/>
        </w:rPr>
      </w:pPr>
      <w:r w:rsidRPr="005F3664">
        <w:rPr>
          <w:rFonts w:ascii="Arial" w:hAnsi="Arial" w:cs="Arial"/>
          <w:sz w:val="20"/>
          <w:szCs w:val="20"/>
        </w:rPr>
        <w:t>Despite this importance, genetic improvement in horticultural crops has lagged behind major cereals. This disparity is largely due to biological complexities such as polyploidy (e.g., potato, strawberry, banana), clonal propagation, long juvenile phases in perennial species and cross-pollinated reproductive systems, which complicate inbred line development. Fragmented seed markets, diverse production environments and limited public-sector investment further constrain breeding progress (</w:t>
      </w:r>
      <w:proofErr w:type="spellStart"/>
      <w:r w:rsidRPr="005F3664">
        <w:rPr>
          <w:rFonts w:ascii="Arial" w:hAnsi="Arial" w:cs="Arial"/>
          <w:sz w:val="20"/>
          <w:szCs w:val="20"/>
        </w:rPr>
        <w:t>Fernie</w:t>
      </w:r>
      <w:proofErr w:type="spellEnd"/>
      <w:r w:rsidRPr="005F3664">
        <w:rPr>
          <w:rFonts w:ascii="Arial" w:hAnsi="Arial" w:cs="Arial"/>
          <w:sz w:val="20"/>
          <w:szCs w:val="20"/>
        </w:rPr>
        <w:t xml:space="preserve"> and Yan, 2019).</w:t>
      </w:r>
    </w:p>
    <w:p w14:paraId="1712F274" w14:textId="64615459" w:rsidR="00E1451C" w:rsidRPr="005F3664" w:rsidRDefault="00E1451C" w:rsidP="00E53B33">
      <w:pPr>
        <w:spacing w:line="240" w:lineRule="auto"/>
        <w:jc w:val="both"/>
        <w:rPr>
          <w:rFonts w:ascii="Arial" w:hAnsi="Arial" w:cs="Arial"/>
          <w:sz w:val="20"/>
          <w:szCs w:val="20"/>
        </w:rPr>
      </w:pPr>
      <w:r w:rsidRPr="005F3664">
        <w:rPr>
          <w:rFonts w:ascii="Arial" w:hAnsi="Arial" w:cs="Arial"/>
          <w:sz w:val="20"/>
          <w:szCs w:val="20"/>
        </w:rPr>
        <w:t>These challenges are intensified by climate change, high post-harvest losses (25</w:t>
      </w:r>
      <w:r w:rsidR="00195BC2">
        <w:rPr>
          <w:rFonts w:ascii="Arial" w:hAnsi="Arial" w:cs="Arial"/>
          <w:sz w:val="20"/>
          <w:szCs w:val="20"/>
        </w:rPr>
        <w:t>-</w:t>
      </w:r>
      <w:r w:rsidRPr="005F3664">
        <w:rPr>
          <w:rFonts w:ascii="Arial" w:hAnsi="Arial" w:cs="Arial"/>
          <w:sz w:val="20"/>
          <w:szCs w:val="20"/>
        </w:rPr>
        <w:t>40% in many developing countries) and evolving consumer demands for improved quality and sustainability. Emerging pathogens</w:t>
      </w:r>
      <w:r w:rsidR="005856F9" w:rsidRPr="005F3664">
        <w:rPr>
          <w:rFonts w:ascii="Arial" w:hAnsi="Arial" w:cs="Arial"/>
          <w:sz w:val="20"/>
          <w:szCs w:val="20"/>
        </w:rPr>
        <w:t>-</w:t>
      </w:r>
      <w:r w:rsidRPr="005F3664">
        <w:rPr>
          <w:rFonts w:ascii="Arial" w:hAnsi="Arial" w:cs="Arial"/>
          <w:sz w:val="20"/>
          <w:szCs w:val="20"/>
        </w:rPr>
        <w:t xml:space="preserve">including </w:t>
      </w:r>
      <w:proofErr w:type="spellStart"/>
      <w:r w:rsidRPr="005F3664">
        <w:rPr>
          <w:rFonts w:ascii="Arial" w:hAnsi="Arial" w:cs="Arial"/>
          <w:i/>
          <w:iCs/>
          <w:sz w:val="20"/>
          <w:szCs w:val="20"/>
        </w:rPr>
        <w:t>Fusarium</w:t>
      </w:r>
      <w:proofErr w:type="spellEnd"/>
      <w:r w:rsidRPr="005F3664">
        <w:rPr>
          <w:rFonts w:ascii="Arial" w:hAnsi="Arial" w:cs="Arial"/>
          <w:i/>
          <w:iCs/>
          <w:sz w:val="20"/>
          <w:szCs w:val="20"/>
        </w:rPr>
        <w:t xml:space="preserve"> </w:t>
      </w:r>
      <w:proofErr w:type="spellStart"/>
      <w:r w:rsidRPr="005F3664">
        <w:rPr>
          <w:rFonts w:ascii="Arial" w:hAnsi="Arial" w:cs="Arial"/>
          <w:i/>
          <w:iCs/>
          <w:sz w:val="20"/>
          <w:szCs w:val="20"/>
        </w:rPr>
        <w:t>oxysporum</w:t>
      </w:r>
      <w:proofErr w:type="spellEnd"/>
      <w:r w:rsidRPr="005F3664">
        <w:rPr>
          <w:rFonts w:ascii="Arial" w:hAnsi="Arial" w:cs="Arial"/>
          <w:sz w:val="20"/>
          <w:szCs w:val="20"/>
        </w:rPr>
        <w:t xml:space="preserve"> f. sp. </w:t>
      </w:r>
      <w:proofErr w:type="spellStart"/>
      <w:r w:rsidRPr="005F3664">
        <w:rPr>
          <w:rFonts w:ascii="Arial" w:hAnsi="Arial" w:cs="Arial"/>
          <w:i/>
          <w:iCs/>
          <w:sz w:val="20"/>
          <w:szCs w:val="20"/>
        </w:rPr>
        <w:t>cubense</w:t>
      </w:r>
      <w:proofErr w:type="spellEnd"/>
      <w:r w:rsidRPr="005F3664">
        <w:rPr>
          <w:rFonts w:ascii="Arial" w:hAnsi="Arial" w:cs="Arial"/>
          <w:sz w:val="20"/>
          <w:szCs w:val="20"/>
        </w:rPr>
        <w:t xml:space="preserve"> </w:t>
      </w:r>
      <w:r w:rsidRPr="00EB63C4">
        <w:rPr>
          <w:rFonts w:ascii="Arial" w:hAnsi="Arial" w:cs="Arial"/>
          <w:i/>
          <w:iCs/>
          <w:sz w:val="20"/>
          <w:szCs w:val="20"/>
        </w:rPr>
        <w:t>TR4</w:t>
      </w:r>
      <w:r w:rsidRPr="005F3664">
        <w:rPr>
          <w:rFonts w:ascii="Arial" w:hAnsi="Arial" w:cs="Arial"/>
          <w:sz w:val="20"/>
          <w:szCs w:val="20"/>
        </w:rPr>
        <w:t xml:space="preserve"> in banana, </w:t>
      </w:r>
      <w:proofErr w:type="spellStart"/>
      <w:r w:rsidRPr="005F3664">
        <w:rPr>
          <w:rFonts w:ascii="Arial" w:hAnsi="Arial" w:cs="Arial"/>
          <w:i/>
          <w:iCs/>
          <w:sz w:val="20"/>
          <w:szCs w:val="20"/>
        </w:rPr>
        <w:t>Candidatus</w:t>
      </w:r>
      <w:proofErr w:type="spellEnd"/>
      <w:r w:rsidRPr="005F3664">
        <w:rPr>
          <w:rFonts w:ascii="Arial" w:hAnsi="Arial" w:cs="Arial"/>
          <w:i/>
          <w:iCs/>
          <w:sz w:val="20"/>
          <w:szCs w:val="20"/>
        </w:rPr>
        <w:t xml:space="preserve"> </w:t>
      </w:r>
      <w:proofErr w:type="spellStart"/>
      <w:r w:rsidRPr="005F3664">
        <w:rPr>
          <w:rFonts w:ascii="Arial" w:hAnsi="Arial" w:cs="Arial"/>
          <w:i/>
          <w:iCs/>
          <w:sz w:val="20"/>
          <w:szCs w:val="20"/>
        </w:rPr>
        <w:t>Liberibacter</w:t>
      </w:r>
      <w:proofErr w:type="spellEnd"/>
      <w:r w:rsidRPr="005F3664">
        <w:rPr>
          <w:rFonts w:ascii="Arial" w:hAnsi="Arial" w:cs="Arial"/>
          <w:i/>
          <w:iCs/>
          <w:sz w:val="20"/>
          <w:szCs w:val="20"/>
        </w:rPr>
        <w:t xml:space="preserve"> </w:t>
      </w:r>
      <w:proofErr w:type="spellStart"/>
      <w:r w:rsidRPr="005F3664">
        <w:rPr>
          <w:rFonts w:ascii="Arial" w:hAnsi="Arial" w:cs="Arial"/>
          <w:i/>
          <w:iCs/>
          <w:sz w:val="20"/>
          <w:szCs w:val="20"/>
        </w:rPr>
        <w:t>asiaticus</w:t>
      </w:r>
      <w:proofErr w:type="spellEnd"/>
      <w:r w:rsidRPr="005F3664">
        <w:rPr>
          <w:rFonts w:ascii="Arial" w:hAnsi="Arial" w:cs="Arial"/>
          <w:sz w:val="20"/>
          <w:szCs w:val="20"/>
        </w:rPr>
        <w:t xml:space="preserve"> causing HLB in citrus, and new virulent races of </w:t>
      </w:r>
      <w:proofErr w:type="spellStart"/>
      <w:r w:rsidRPr="005F3664">
        <w:rPr>
          <w:rFonts w:ascii="Arial" w:hAnsi="Arial" w:cs="Arial"/>
          <w:i/>
          <w:iCs/>
          <w:sz w:val="20"/>
          <w:szCs w:val="20"/>
        </w:rPr>
        <w:t>Phytophthora</w:t>
      </w:r>
      <w:proofErr w:type="spellEnd"/>
      <w:r w:rsidRPr="005F3664">
        <w:rPr>
          <w:rFonts w:ascii="Arial" w:hAnsi="Arial" w:cs="Arial"/>
          <w:i/>
          <w:iCs/>
          <w:sz w:val="20"/>
          <w:szCs w:val="20"/>
        </w:rPr>
        <w:t xml:space="preserve"> </w:t>
      </w:r>
      <w:proofErr w:type="spellStart"/>
      <w:r w:rsidRPr="005F3664">
        <w:rPr>
          <w:rFonts w:ascii="Arial" w:hAnsi="Arial" w:cs="Arial"/>
          <w:i/>
          <w:iCs/>
          <w:sz w:val="20"/>
          <w:szCs w:val="20"/>
        </w:rPr>
        <w:t>infestans</w:t>
      </w:r>
      <w:proofErr w:type="spellEnd"/>
      <w:r w:rsidRPr="005F3664">
        <w:rPr>
          <w:rFonts w:ascii="Arial" w:hAnsi="Arial" w:cs="Arial"/>
          <w:sz w:val="20"/>
          <w:szCs w:val="20"/>
        </w:rPr>
        <w:t xml:space="preserve"> in potato</w:t>
      </w:r>
      <w:r w:rsidR="005856F9" w:rsidRPr="005F3664">
        <w:rPr>
          <w:rFonts w:ascii="Arial" w:hAnsi="Arial" w:cs="Arial"/>
          <w:sz w:val="20"/>
          <w:szCs w:val="20"/>
        </w:rPr>
        <w:t>-</w:t>
      </w:r>
      <w:r w:rsidRPr="005F3664">
        <w:rPr>
          <w:rFonts w:ascii="Arial" w:hAnsi="Arial" w:cs="Arial"/>
          <w:sz w:val="20"/>
          <w:szCs w:val="20"/>
        </w:rPr>
        <w:t xml:space="preserve">pose serious threats to global production (Dale et al., 2017; </w:t>
      </w:r>
      <w:proofErr w:type="spellStart"/>
      <w:r w:rsidRPr="005F3664">
        <w:rPr>
          <w:rFonts w:ascii="Arial" w:hAnsi="Arial" w:cs="Arial"/>
          <w:sz w:val="20"/>
          <w:szCs w:val="20"/>
        </w:rPr>
        <w:t>Gmitter</w:t>
      </w:r>
      <w:proofErr w:type="spellEnd"/>
      <w:r w:rsidRPr="005F3664">
        <w:rPr>
          <w:rFonts w:ascii="Arial" w:hAnsi="Arial" w:cs="Arial"/>
          <w:sz w:val="20"/>
          <w:szCs w:val="20"/>
        </w:rPr>
        <w:t xml:space="preserve"> et al., 2020; </w:t>
      </w:r>
      <w:proofErr w:type="spellStart"/>
      <w:r w:rsidRPr="005F3664">
        <w:rPr>
          <w:rFonts w:ascii="Arial" w:hAnsi="Arial" w:cs="Arial"/>
          <w:sz w:val="20"/>
          <w:szCs w:val="20"/>
        </w:rPr>
        <w:t>Lindqvist-Kreuze</w:t>
      </w:r>
      <w:proofErr w:type="spellEnd"/>
      <w:r w:rsidRPr="005F3664">
        <w:rPr>
          <w:rFonts w:ascii="Arial" w:hAnsi="Arial" w:cs="Arial"/>
          <w:sz w:val="20"/>
          <w:szCs w:val="20"/>
        </w:rPr>
        <w:t xml:space="preserve"> et al., 2020).</w:t>
      </w:r>
    </w:p>
    <w:p w14:paraId="4CEC14BF" w14:textId="77777777" w:rsidR="00E1451C" w:rsidRPr="005F3664" w:rsidRDefault="00E1451C" w:rsidP="00E53B33">
      <w:pPr>
        <w:spacing w:line="240" w:lineRule="auto"/>
        <w:jc w:val="both"/>
        <w:rPr>
          <w:rFonts w:ascii="Arial" w:hAnsi="Arial" w:cs="Arial"/>
          <w:sz w:val="20"/>
          <w:szCs w:val="20"/>
        </w:rPr>
      </w:pPr>
      <w:r w:rsidRPr="005F3664">
        <w:rPr>
          <w:rFonts w:ascii="Arial" w:hAnsi="Arial" w:cs="Arial"/>
          <w:sz w:val="20"/>
          <w:szCs w:val="20"/>
        </w:rPr>
        <w:t xml:space="preserve">Over the past three decades, breeding methodologies have advanced significantly. Marker-assisted selection improved </w:t>
      </w:r>
      <w:proofErr w:type="spellStart"/>
      <w:r w:rsidRPr="005F3664">
        <w:rPr>
          <w:rFonts w:ascii="Arial" w:hAnsi="Arial" w:cs="Arial"/>
          <w:sz w:val="20"/>
          <w:szCs w:val="20"/>
        </w:rPr>
        <w:t>introgression</w:t>
      </w:r>
      <w:proofErr w:type="spellEnd"/>
      <w:r w:rsidRPr="005F3664">
        <w:rPr>
          <w:rFonts w:ascii="Arial" w:hAnsi="Arial" w:cs="Arial"/>
          <w:sz w:val="20"/>
          <w:szCs w:val="20"/>
        </w:rPr>
        <w:t xml:space="preserve"> efficiency, while high-throughput sequencing enabled GWAS and genomic selection for complex traits. Reference genomes for major horticultural crops accelerated gene discovery, and CRISPR/Cas9 genome editing now allows precise trait modification with evolving regulatory implications.</w:t>
      </w:r>
    </w:p>
    <w:p w14:paraId="17E4BD9A" w14:textId="6819A47F" w:rsidR="00E1451C" w:rsidRPr="005F3664" w:rsidRDefault="00E1451C" w:rsidP="00E53B33">
      <w:pPr>
        <w:spacing w:line="240" w:lineRule="auto"/>
        <w:jc w:val="both"/>
        <w:rPr>
          <w:rFonts w:ascii="Arial" w:hAnsi="Arial" w:cs="Arial"/>
          <w:sz w:val="24"/>
          <w:szCs w:val="24"/>
        </w:rPr>
      </w:pPr>
      <w:r w:rsidRPr="005F3664">
        <w:rPr>
          <w:rFonts w:ascii="Arial" w:hAnsi="Arial" w:cs="Arial"/>
          <w:sz w:val="20"/>
          <w:szCs w:val="20"/>
        </w:rPr>
        <w:lastRenderedPageBreak/>
        <w:t>This review synthesizes breeding approaches in horticultural crops</w:t>
      </w:r>
      <w:r w:rsidR="005856F9" w:rsidRPr="005F3664">
        <w:rPr>
          <w:rFonts w:ascii="Arial" w:hAnsi="Arial" w:cs="Arial"/>
          <w:sz w:val="20"/>
          <w:szCs w:val="20"/>
        </w:rPr>
        <w:t>-</w:t>
      </w:r>
      <w:r w:rsidRPr="005F3664">
        <w:rPr>
          <w:rFonts w:ascii="Arial" w:hAnsi="Arial" w:cs="Arial"/>
          <w:sz w:val="20"/>
          <w:szCs w:val="20"/>
        </w:rPr>
        <w:t>from conventional selection to genome editing</w:t>
      </w:r>
      <w:r w:rsidR="005856F9" w:rsidRPr="005F3664">
        <w:rPr>
          <w:rFonts w:ascii="Arial" w:hAnsi="Arial" w:cs="Arial"/>
          <w:sz w:val="20"/>
          <w:szCs w:val="20"/>
        </w:rPr>
        <w:t>-</w:t>
      </w:r>
      <w:r w:rsidRPr="005F3664">
        <w:rPr>
          <w:rFonts w:ascii="Arial" w:hAnsi="Arial" w:cs="Arial"/>
          <w:sz w:val="20"/>
          <w:szCs w:val="20"/>
        </w:rPr>
        <w:t>highlighting applications in major species and outlining future directions such as AI-assisted breeding, pan-genome integration and de novo domestication, alongside key regulatory and ethical considerations.</w:t>
      </w:r>
    </w:p>
    <w:p w14:paraId="455BCA91" w14:textId="3608165C" w:rsidR="005B3010" w:rsidRPr="005F3664" w:rsidRDefault="005B3010" w:rsidP="00E53B33">
      <w:pPr>
        <w:spacing w:line="240" w:lineRule="auto"/>
        <w:jc w:val="both"/>
        <w:rPr>
          <w:rFonts w:ascii="Arial" w:hAnsi="Arial" w:cs="Arial"/>
          <w:b/>
          <w:bCs/>
        </w:rPr>
      </w:pPr>
      <w:r w:rsidRPr="005F3664">
        <w:rPr>
          <w:rFonts w:ascii="Arial" w:hAnsi="Arial" w:cs="Arial"/>
          <w:b/>
          <w:bCs/>
        </w:rPr>
        <w:t>2. Conventional Breeding Approaches</w:t>
      </w:r>
    </w:p>
    <w:p w14:paraId="635C5B2E" w14:textId="10F3A2CB" w:rsidR="00D63F5A" w:rsidRPr="00D63F5A" w:rsidRDefault="00D63F5A" w:rsidP="00D63F5A">
      <w:pPr>
        <w:spacing w:line="240" w:lineRule="auto"/>
        <w:jc w:val="both"/>
        <w:rPr>
          <w:rFonts w:ascii="Times New Roman" w:hAnsi="Times New Roman" w:cs="Times New Roman"/>
          <w:sz w:val="20"/>
          <w:szCs w:val="20"/>
        </w:rPr>
      </w:pPr>
      <w:r w:rsidRPr="00D63F5A">
        <w:rPr>
          <w:rFonts w:ascii="Times New Roman" w:hAnsi="Times New Roman" w:cs="Times New Roman"/>
          <w:sz w:val="20"/>
          <w:szCs w:val="20"/>
        </w:rPr>
        <w:t xml:space="preserve">Modern horticultural breeding is based on the systematic application of selection within sexually reproducing populations to increase the frequency of alleles associated with desirable traits. One of the earliest methods, mass selection, involves collecting seeds or propagules from phenotypically superior individuals in open-pollinated populations. It is particularly effective for traits with high heritability, such as fruit size, </w:t>
      </w:r>
      <w:proofErr w:type="spellStart"/>
      <w:r w:rsidRPr="00D63F5A">
        <w:rPr>
          <w:rFonts w:ascii="Times New Roman" w:hAnsi="Times New Roman" w:cs="Times New Roman"/>
          <w:sz w:val="20"/>
          <w:szCs w:val="20"/>
        </w:rPr>
        <w:t>color</w:t>
      </w:r>
      <w:proofErr w:type="spellEnd"/>
      <w:r w:rsidRPr="00D63F5A">
        <w:rPr>
          <w:rFonts w:ascii="Times New Roman" w:hAnsi="Times New Roman" w:cs="Times New Roman"/>
          <w:sz w:val="20"/>
          <w:szCs w:val="20"/>
        </w:rPr>
        <w:t>, and yield.</w:t>
      </w:r>
    </w:p>
    <w:p w14:paraId="7B0B7FA9" w14:textId="6DB8F027" w:rsidR="00D63F5A" w:rsidRPr="00D63F5A" w:rsidRDefault="00D63F5A" w:rsidP="00D63F5A">
      <w:pPr>
        <w:spacing w:line="240" w:lineRule="auto"/>
        <w:jc w:val="both"/>
        <w:rPr>
          <w:rFonts w:ascii="Times New Roman" w:hAnsi="Times New Roman" w:cs="Times New Roman"/>
          <w:sz w:val="20"/>
          <w:szCs w:val="20"/>
        </w:rPr>
      </w:pPr>
      <w:r w:rsidRPr="00D63F5A">
        <w:rPr>
          <w:rFonts w:ascii="Times New Roman" w:hAnsi="Times New Roman" w:cs="Times New Roman"/>
          <w:sz w:val="20"/>
          <w:szCs w:val="20"/>
        </w:rPr>
        <w:t>Pure line selection, commonly used in self-pollinating crops such as tomato, pepper, and eggplant, develops genetically uniform and homozygous lines through repeated self-fertilization after an initial hybridization or selection event. This approach produces stable cultivars with consistent performance under defined conditions (Allard, 1960).</w:t>
      </w:r>
    </w:p>
    <w:p w14:paraId="039B8CC7" w14:textId="6AE20106" w:rsidR="00D63F5A" w:rsidRPr="00D63F5A" w:rsidRDefault="00D63F5A" w:rsidP="00D63F5A">
      <w:pPr>
        <w:spacing w:line="240" w:lineRule="auto"/>
        <w:jc w:val="both"/>
        <w:rPr>
          <w:rFonts w:ascii="Times New Roman" w:hAnsi="Times New Roman" w:cs="Times New Roman"/>
          <w:sz w:val="20"/>
          <w:szCs w:val="20"/>
        </w:rPr>
      </w:pPr>
      <w:r w:rsidRPr="00D63F5A">
        <w:rPr>
          <w:rFonts w:ascii="Times New Roman" w:hAnsi="Times New Roman" w:cs="Times New Roman"/>
          <w:sz w:val="20"/>
          <w:szCs w:val="20"/>
        </w:rPr>
        <w:t xml:space="preserve">Pedigree selection is a major strategy in self-pollinated crops. It involves selecting superior individuals from segregating populations starting from the F₂ generation while maintaining detailed ancestry records. This enables gradual fixation of </w:t>
      </w:r>
      <w:proofErr w:type="spellStart"/>
      <w:r w:rsidRPr="00D63F5A">
        <w:rPr>
          <w:rFonts w:ascii="Times New Roman" w:hAnsi="Times New Roman" w:cs="Times New Roman"/>
          <w:sz w:val="20"/>
          <w:szCs w:val="20"/>
        </w:rPr>
        <w:t>favorable</w:t>
      </w:r>
      <w:proofErr w:type="spellEnd"/>
      <w:r w:rsidRPr="00D63F5A">
        <w:rPr>
          <w:rFonts w:ascii="Times New Roman" w:hAnsi="Times New Roman" w:cs="Times New Roman"/>
          <w:sz w:val="20"/>
          <w:szCs w:val="20"/>
        </w:rPr>
        <w:t xml:space="preserve"> alleles. Selection efficiency depends on trait heritability, population size, and accurate phenotyping.</w:t>
      </w:r>
    </w:p>
    <w:p w14:paraId="51F3CC5B" w14:textId="77777777" w:rsidR="00D63F5A" w:rsidRPr="00D63F5A" w:rsidRDefault="00D63F5A" w:rsidP="00D63F5A">
      <w:pPr>
        <w:spacing w:line="240" w:lineRule="auto"/>
        <w:jc w:val="both"/>
        <w:rPr>
          <w:rFonts w:ascii="Times New Roman" w:hAnsi="Times New Roman" w:cs="Times New Roman"/>
          <w:sz w:val="20"/>
          <w:szCs w:val="20"/>
        </w:rPr>
      </w:pPr>
      <w:r w:rsidRPr="00D63F5A">
        <w:rPr>
          <w:rFonts w:ascii="Times New Roman" w:hAnsi="Times New Roman" w:cs="Times New Roman"/>
          <w:sz w:val="20"/>
          <w:szCs w:val="20"/>
        </w:rPr>
        <w:t xml:space="preserve">In cross-pollinated crops such as cucumber, carrot, and onion, recurrent selection is widely applied. Through repeated cycles of selection and </w:t>
      </w:r>
      <w:proofErr w:type="spellStart"/>
      <w:r w:rsidRPr="00D63F5A">
        <w:rPr>
          <w:rFonts w:ascii="Times New Roman" w:hAnsi="Times New Roman" w:cs="Times New Roman"/>
          <w:sz w:val="20"/>
          <w:szCs w:val="20"/>
        </w:rPr>
        <w:t>intercrossing</w:t>
      </w:r>
      <w:proofErr w:type="spellEnd"/>
      <w:r w:rsidRPr="00D63F5A">
        <w:rPr>
          <w:rFonts w:ascii="Times New Roman" w:hAnsi="Times New Roman" w:cs="Times New Roman"/>
          <w:sz w:val="20"/>
          <w:szCs w:val="20"/>
        </w:rPr>
        <w:t>, it increases additive genetic variance and enhances complex quantitative traits.</w:t>
      </w:r>
    </w:p>
    <w:p w14:paraId="26A11714" w14:textId="6B41AF6D" w:rsidR="005B3010" w:rsidRPr="005F3664" w:rsidRDefault="005B3010" w:rsidP="00D63F5A">
      <w:pPr>
        <w:spacing w:line="240" w:lineRule="auto"/>
        <w:jc w:val="both"/>
        <w:rPr>
          <w:rFonts w:ascii="Arial" w:hAnsi="Arial" w:cs="Arial"/>
          <w:b/>
          <w:bCs/>
        </w:rPr>
      </w:pPr>
      <w:r w:rsidRPr="005F3664">
        <w:rPr>
          <w:rFonts w:ascii="Arial" w:hAnsi="Arial" w:cs="Arial"/>
          <w:b/>
          <w:bCs/>
        </w:rPr>
        <w:t>2.2 Hybridisation, Heterosis, and Wide Crosses</w:t>
      </w:r>
    </w:p>
    <w:p w14:paraId="0CFF1D7B" w14:textId="22995868" w:rsidR="005B3010" w:rsidRPr="005F3664" w:rsidRDefault="005B3010" w:rsidP="00E53B33">
      <w:pPr>
        <w:spacing w:line="240" w:lineRule="auto"/>
        <w:jc w:val="both"/>
        <w:rPr>
          <w:rFonts w:ascii="Arial" w:hAnsi="Arial" w:cs="Arial"/>
          <w:sz w:val="20"/>
          <w:szCs w:val="20"/>
        </w:rPr>
      </w:pPr>
      <w:r w:rsidRPr="005F3664">
        <w:rPr>
          <w:rFonts w:ascii="Arial" w:hAnsi="Arial" w:cs="Arial"/>
          <w:sz w:val="20"/>
          <w:szCs w:val="20"/>
        </w:rPr>
        <w:t xml:space="preserve">Deliberate interspecific and intergeneric hybridisation has played a pivotal role in expanding the genetic diversity of horticultural crops by introducing favourable alleles from wild relatives and traditional landraces that are absent within elite breeding pools. A well-documented example is the contribution of wild </w:t>
      </w:r>
      <w:proofErr w:type="spellStart"/>
      <w:r w:rsidRPr="005F3664">
        <w:rPr>
          <w:rFonts w:ascii="Arial" w:hAnsi="Arial" w:cs="Arial"/>
          <w:i/>
          <w:iCs/>
          <w:sz w:val="20"/>
          <w:szCs w:val="20"/>
        </w:rPr>
        <w:t>Solanum</w:t>
      </w:r>
      <w:proofErr w:type="spellEnd"/>
      <w:r w:rsidRPr="005F3664">
        <w:rPr>
          <w:rFonts w:ascii="Arial" w:hAnsi="Arial" w:cs="Arial"/>
          <w:sz w:val="20"/>
          <w:szCs w:val="20"/>
        </w:rPr>
        <w:t xml:space="preserve"> </w:t>
      </w:r>
      <w:r w:rsidR="00C879D9" w:rsidRPr="005F3664">
        <w:rPr>
          <w:rFonts w:ascii="Arial" w:hAnsi="Arial" w:cs="Arial"/>
          <w:sz w:val="20"/>
          <w:szCs w:val="20"/>
        </w:rPr>
        <w:t>Species</w:t>
      </w:r>
      <w:r w:rsidR="005856F9" w:rsidRPr="005F3664">
        <w:rPr>
          <w:rFonts w:ascii="Arial" w:hAnsi="Arial" w:cs="Arial"/>
          <w:sz w:val="20"/>
          <w:szCs w:val="20"/>
        </w:rPr>
        <w:t>-</w:t>
      </w:r>
      <w:proofErr w:type="spellStart"/>
      <w:r w:rsidRPr="005F3664">
        <w:rPr>
          <w:rFonts w:ascii="Arial" w:hAnsi="Arial" w:cs="Arial"/>
          <w:i/>
          <w:iCs/>
          <w:sz w:val="20"/>
          <w:szCs w:val="20"/>
        </w:rPr>
        <w:t>Solanum</w:t>
      </w:r>
      <w:proofErr w:type="spellEnd"/>
      <w:r w:rsidRPr="005F3664">
        <w:rPr>
          <w:rFonts w:ascii="Arial" w:hAnsi="Arial" w:cs="Arial"/>
          <w:i/>
          <w:iCs/>
          <w:sz w:val="20"/>
          <w:szCs w:val="20"/>
        </w:rPr>
        <w:t xml:space="preserve"> </w:t>
      </w:r>
      <w:proofErr w:type="spellStart"/>
      <w:r w:rsidRPr="005F3664">
        <w:rPr>
          <w:rFonts w:ascii="Arial" w:hAnsi="Arial" w:cs="Arial"/>
          <w:i/>
          <w:iCs/>
          <w:sz w:val="20"/>
          <w:szCs w:val="20"/>
        </w:rPr>
        <w:t>habrochaites</w:t>
      </w:r>
      <w:proofErr w:type="spellEnd"/>
      <w:r w:rsidRPr="005F3664">
        <w:rPr>
          <w:rFonts w:ascii="Arial" w:hAnsi="Arial" w:cs="Arial"/>
          <w:sz w:val="20"/>
          <w:szCs w:val="20"/>
        </w:rPr>
        <w:t xml:space="preserve">, </w:t>
      </w:r>
      <w:r w:rsidRPr="005F3664">
        <w:rPr>
          <w:rFonts w:ascii="Arial" w:hAnsi="Arial" w:cs="Arial"/>
          <w:i/>
          <w:iCs/>
          <w:sz w:val="20"/>
          <w:szCs w:val="20"/>
        </w:rPr>
        <w:t xml:space="preserve">S. </w:t>
      </w:r>
      <w:proofErr w:type="spellStart"/>
      <w:r w:rsidRPr="005F3664">
        <w:rPr>
          <w:rFonts w:ascii="Arial" w:hAnsi="Arial" w:cs="Arial"/>
          <w:i/>
          <w:iCs/>
          <w:sz w:val="20"/>
          <w:szCs w:val="20"/>
        </w:rPr>
        <w:t>peruvianum</w:t>
      </w:r>
      <w:proofErr w:type="spellEnd"/>
      <w:r w:rsidRPr="005F3664">
        <w:rPr>
          <w:rFonts w:ascii="Arial" w:hAnsi="Arial" w:cs="Arial"/>
          <w:sz w:val="20"/>
          <w:szCs w:val="20"/>
        </w:rPr>
        <w:t xml:space="preserve">, </w:t>
      </w:r>
      <w:r w:rsidRPr="005F3664">
        <w:rPr>
          <w:rFonts w:ascii="Arial" w:hAnsi="Arial" w:cs="Arial"/>
          <w:i/>
          <w:iCs/>
          <w:sz w:val="20"/>
          <w:szCs w:val="20"/>
        </w:rPr>
        <w:t xml:space="preserve">S. </w:t>
      </w:r>
      <w:proofErr w:type="spellStart"/>
      <w:r w:rsidRPr="005F3664">
        <w:rPr>
          <w:rFonts w:ascii="Arial" w:hAnsi="Arial" w:cs="Arial"/>
          <w:i/>
          <w:iCs/>
          <w:sz w:val="20"/>
          <w:szCs w:val="20"/>
        </w:rPr>
        <w:t>pennellii</w:t>
      </w:r>
      <w:proofErr w:type="spellEnd"/>
      <w:r w:rsidRPr="005F3664">
        <w:rPr>
          <w:rFonts w:ascii="Arial" w:hAnsi="Arial" w:cs="Arial"/>
          <w:sz w:val="20"/>
          <w:szCs w:val="20"/>
        </w:rPr>
        <w:t xml:space="preserve">, and </w:t>
      </w:r>
      <w:r w:rsidRPr="005F3664">
        <w:rPr>
          <w:rFonts w:ascii="Arial" w:hAnsi="Arial" w:cs="Arial"/>
          <w:i/>
          <w:iCs/>
          <w:sz w:val="20"/>
          <w:szCs w:val="20"/>
        </w:rPr>
        <w:t xml:space="preserve">S. </w:t>
      </w:r>
      <w:proofErr w:type="spellStart"/>
      <w:r w:rsidRPr="005F3664">
        <w:rPr>
          <w:rFonts w:ascii="Arial" w:hAnsi="Arial" w:cs="Arial"/>
          <w:i/>
          <w:iCs/>
          <w:sz w:val="20"/>
          <w:szCs w:val="20"/>
        </w:rPr>
        <w:t>pimpinellifolium</w:t>
      </w:r>
      <w:proofErr w:type="spellEnd"/>
      <w:r w:rsidR="005856F9" w:rsidRPr="005F3664">
        <w:rPr>
          <w:rFonts w:ascii="Arial" w:hAnsi="Arial" w:cs="Arial"/>
          <w:sz w:val="20"/>
          <w:szCs w:val="20"/>
        </w:rPr>
        <w:t>-</w:t>
      </w:r>
      <w:r w:rsidRPr="005F3664">
        <w:rPr>
          <w:rFonts w:ascii="Arial" w:hAnsi="Arial" w:cs="Arial"/>
          <w:sz w:val="20"/>
          <w:szCs w:val="20"/>
        </w:rPr>
        <w:t xml:space="preserve">to tomato improvement. These species have served as valuable sources of resistance genes against major biotic stresses, including </w:t>
      </w:r>
      <w:r w:rsidRPr="00C879D9">
        <w:rPr>
          <w:rFonts w:ascii="Arial" w:hAnsi="Arial" w:cs="Arial"/>
          <w:i/>
          <w:iCs/>
          <w:sz w:val="20"/>
          <w:szCs w:val="20"/>
        </w:rPr>
        <w:t>Tomato Yellow Leaf Curl Virus</w:t>
      </w:r>
      <w:r w:rsidRPr="005F3664">
        <w:rPr>
          <w:rFonts w:ascii="Arial" w:hAnsi="Arial" w:cs="Arial"/>
          <w:sz w:val="20"/>
          <w:szCs w:val="20"/>
        </w:rPr>
        <w:t>, early blight, Fusarium wilt, root-knot nematodes, and other production constraints (</w:t>
      </w:r>
      <w:proofErr w:type="spellStart"/>
      <w:r w:rsidRPr="005F3664">
        <w:rPr>
          <w:rFonts w:ascii="Arial" w:hAnsi="Arial" w:cs="Arial"/>
          <w:sz w:val="20"/>
          <w:szCs w:val="20"/>
        </w:rPr>
        <w:t>Foolad</w:t>
      </w:r>
      <w:proofErr w:type="spellEnd"/>
      <w:r w:rsidRPr="005F3664">
        <w:rPr>
          <w:rFonts w:ascii="Arial" w:hAnsi="Arial" w:cs="Arial"/>
          <w:sz w:val="20"/>
          <w:szCs w:val="20"/>
        </w:rPr>
        <w:t xml:space="preserve"> et al., 2020). In a similar manner, wild potato taxa belonging to the </w:t>
      </w:r>
      <w:proofErr w:type="spellStart"/>
      <w:r w:rsidRPr="005F3664">
        <w:rPr>
          <w:rFonts w:ascii="Arial" w:hAnsi="Arial" w:cs="Arial"/>
          <w:i/>
          <w:iCs/>
          <w:sz w:val="20"/>
          <w:szCs w:val="20"/>
        </w:rPr>
        <w:t>Solanum</w:t>
      </w:r>
      <w:proofErr w:type="spellEnd"/>
      <w:r w:rsidRPr="005F3664">
        <w:rPr>
          <w:rFonts w:ascii="Arial" w:hAnsi="Arial" w:cs="Arial"/>
          <w:i/>
          <w:iCs/>
          <w:sz w:val="20"/>
          <w:szCs w:val="20"/>
        </w:rPr>
        <w:t xml:space="preserve"> </w:t>
      </w:r>
      <w:proofErr w:type="spellStart"/>
      <w:r w:rsidRPr="005F3664">
        <w:rPr>
          <w:rFonts w:ascii="Arial" w:hAnsi="Arial" w:cs="Arial"/>
          <w:i/>
          <w:iCs/>
          <w:sz w:val="20"/>
          <w:szCs w:val="20"/>
        </w:rPr>
        <w:t>brevicauda</w:t>
      </w:r>
      <w:proofErr w:type="spellEnd"/>
      <w:r w:rsidRPr="005F3664">
        <w:rPr>
          <w:rFonts w:ascii="Arial" w:hAnsi="Arial" w:cs="Arial"/>
          <w:sz w:val="20"/>
          <w:szCs w:val="20"/>
        </w:rPr>
        <w:t xml:space="preserve"> and </w:t>
      </w:r>
      <w:r w:rsidRPr="005F3664">
        <w:rPr>
          <w:rFonts w:ascii="Arial" w:hAnsi="Arial" w:cs="Arial"/>
          <w:i/>
          <w:iCs/>
          <w:sz w:val="20"/>
          <w:szCs w:val="20"/>
        </w:rPr>
        <w:t xml:space="preserve">S. </w:t>
      </w:r>
      <w:proofErr w:type="spellStart"/>
      <w:r w:rsidRPr="005F3664">
        <w:rPr>
          <w:rFonts w:ascii="Arial" w:hAnsi="Arial" w:cs="Arial"/>
          <w:i/>
          <w:iCs/>
          <w:sz w:val="20"/>
          <w:szCs w:val="20"/>
        </w:rPr>
        <w:t>bulbocastanum</w:t>
      </w:r>
      <w:proofErr w:type="spellEnd"/>
      <w:r w:rsidRPr="005F3664">
        <w:rPr>
          <w:rFonts w:ascii="Arial" w:hAnsi="Arial" w:cs="Arial"/>
          <w:sz w:val="20"/>
          <w:szCs w:val="20"/>
        </w:rPr>
        <w:t xml:space="preserve"> complexes have provided broad-spectrum late blight resistance genes (</w:t>
      </w:r>
      <w:proofErr w:type="spellStart"/>
      <w:r w:rsidRPr="00C879D9">
        <w:rPr>
          <w:rFonts w:ascii="Arial" w:hAnsi="Arial" w:cs="Arial"/>
          <w:i/>
          <w:iCs/>
          <w:sz w:val="20"/>
          <w:szCs w:val="20"/>
        </w:rPr>
        <w:t>Rpi</w:t>
      </w:r>
      <w:proofErr w:type="spellEnd"/>
      <w:r w:rsidRPr="005F3664">
        <w:rPr>
          <w:rFonts w:ascii="Arial" w:hAnsi="Arial" w:cs="Arial"/>
          <w:sz w:val="20"/>
          <w:szCs w:val="20"/>
        </w:rPr>
        <w:t xml:space="preserve"> genes), which are now central components of modern molecular </w:t>
      </w:r>
      <w:proofErr w:type="spellStart"/>
      <w:r w:rsidRPr="005F3664">
        <w:rPr>
          <w:rFonts w:ascii="Arial" w:hAnsi="Arial" w:cs="Arial"/>
          <w:sz w:val="20"/>
          <w:szCs w:val="20"/>
        </w:rPr>
        <w:t>introgression</w:t>
      </w:r>
      <w:proofErr w:type="spellEnd"/>
      <w:r w:rsidRPr="005F3664">
        <w:rPr>
          <w:rFonts w:ascii="Arial" w:hAnsi="Arial" w:cs="Arial"/>
          <w:sz w:val="20"/>
          <w:szCs w:val="20"/>
        </w:rPr>
        <w:t xml:space="preserve"> strategies.</w:t>
      </w:r>
    </w:p>
    <w:p w14:paraId="43C07A18" w14:textId="304AD4F5" w:rsidR="005B3010" w:rsidRPr="005F3664" w:rsidRDefault="005B3010" w:rsidP="00E53B33">
      <w:pPr>
        <w:spacing w:line="240" w:lineRule="auto"/>
        <w:jc w:val="both"/>
        <w:rPr>
          <w:rFonts w:ascii="Arial" w:hAnsi="Arial" w:cs="Arial"/>
          <w:sz w:val="24"/>
          <w:szCs w:val="24"/>
        </w:rPr>
      </w:pPr>
      <w:r w:rsidRPr="005F3664">
        <w:rPr>
          <w:rFonts w:ascii="Arial" w:hAnsi="Arial" w:cs="Arial"/>
          <w:sz w:val="20"/>
          <w:szCs w:val="20"/>
        </w:rPr>
        <w:t>The commercial exploitation of heterosis</w:t>
      </w:r>
      <w:r w:rsidR="005856F9" w:rsidRPr="005F3664">
        <w:rPr>
          <w:rFonts w:ascii="Arial" w:hAnsi="Arial" w:cs="Arial"/>
          <w:sz w:val="20"/>
          <w:szCs w:val="20"/>
        </w:rPr>
        <w:t>-</w:t>
      </w:r>
      <w:r w:rsidRPr="005F3664">
        <w:rPr>
          <w:rFonts w:ascii="Arial" w:hAnsi="Arial" w:cs="Arial"/>
          <w:sz w:val="20"/>
          <w:szCs w:val="20"/>
        </w:rPr>
        <w:t>the superior performance of F</w:t>
      </w:r>
      <w:r w:rsidRPr="005F3664">
        <w:rPr>
          <w:rFonts w:ascii="Cambria Math" w:hAnsi="Cambria Math" w:cs="Cambria Math"/>
          <w:sz w:val="20"/>
          <w:szCs w:val="20"/>
        </w:rPr>
        <w:t>₁</w:t>
      </w:r>
      <w:r w:rsidRPr="005F3664">
        <w:rPr>
          <w:rFonts w:ascii="Arial" w:hAnsi="Arial" w:cs="Arial"/>
          <w:sz w:val="20"/>
          <w:szCs w:val="20"/>
        </w:rPr>
        <w:t xml:space="preserve"> hybrids relative to their parental inbred lines in terms of yield, vigour, uniformity, and quality</w:t>
      </w:r>
      <w:r w:rsidR="005856F9" w:rsidRPr="005F3664">
        <w:rPr>
          <w:rFonts w:ascii="Arial" w:hAnsi="Arial" w:cs="Arial"/>
          <w:sz w:val="20"/>
          <w:szCs w:val="20"/>
        </w:rPr>
        <w:t>-</w:t>
      </w:r>
      <w:r w:rsidRPr="005F3664">
        <w:rPr>
          <w:rFonts w:ascii="Arial" w:hAnsi="Arial" w:cs="Arial"/>
          <w:sz w:val="20"/>
          <w:szCs w:val="20"/>
        </w:rPr>
        <w:t>has driven substantial progress in vegetable crop improvement since the mid-20th century. Hybrid cultivars of tomato, chilli, cucumber, and onion, developed through cytoplasmic male sterility (CMS) systems or manual pollination techniques, consistently exhibit yield gains of 15</w:t>
      </w:r>
      <w:r w:rsidR="00195BC2">
        <w:rPr>
          <w:rFonts w:ascii="Arial" w:hAnsi="Arial" w:cs="Arial"/>
          <w:sz w:val="20"/>
          <w:szCs w:val="20"/>
        </w:rPr>
        <w:t>-</w:t>
      </w:r>
      <w:r w:rsidRPr="005F3664">
        <w:rPr>
          <w:rFonts w:ascii="Arial" w:hAnsi="Arial" w:cs="Arial"/>
          <w:sz w:val="20"/>
          <w:szCs w:val="20"/>
        </w:rPr>
        <w:t>30% compared with open-pollinated varieties, while also offering enhanced uniformity, earlier maturity, and improved disease resistance (Nonaka et al., 2017). More recently, the development of novel CMS systems via mitochondrial genome editing using CRISPR/Cas9 has emerged as a promising convergence between traditional heterosis breeding and precision genome engineering technologies</w:t>
      </w:r>
      <w:r w:rsidRPr="005F3664">
        <w:rPr>
          <w:rFonts w:ascii="Arial" w:hAnsi="Arial" w:cs="Arial"/>
          <w:sz w:val="24"/>
          <w:szCs w:val="24"/>
        </w:rPr>
        <w:t>.</w:t>
      </w:r>
    </w:p>
    <w:p w14:paraId="03FACF53" w14:textId="77777777" w:rsidR="00782273" w:rsidRDefault="00782273" w:rsidP="00E53B33">
      <w:pPr>
        <w:spacing w:line="240" w:lineRule="auto"/>
        <w:jc w:val="both"/>
        <w:rPr>
          <w:rFonts w:ascii="Arial" w:hAnsi="Arial" w:cs="Arial"/>
          <w:b/>
          <w:bCs/>
        </w:rPr>
      </w:pPr>
    </w:p>
    <w:p w14:paraId="4A18BAE4" w14:textId="19C3B4C6" w:rsidR="005B3010" w:rsidRPr="005F3664" w:rsidRDefault="005B3010" w:rsidP="00E53B33">
      <w:pPr>
        <w:spacing w:line="240" w:lineRule="auto"/>
        <w:jc w:val="both"/>
        <w:rPr>
          <w:rFonts w:ascii="Arial" w:hAnsi="Arial" w:cs="Arial"/>
          <w:b/>
          <w:bCs/>
        </w:rPr>
      </w:pPr>
      <w:r w:rsidRPr="005F3664">
        <w:rPr>
          <w:rFonts w:ascii="Arial" w:hAnsi="Arial" w:cs="Arial"/>
          <w:b/>
          <w:bCs/>
        </w:rPr>
        <w:t>2.3 Mutation Breeding and Polyploidy</w:t>
      </w:r>
    </w:p>
    <w:p w14:paraId="31C6A44E" w14:textId="77777777" w:rsidR="005B3010" w:rsidRPr="005F3664" w:rsidRDefault="005B3010" w:rsidP="00E53B33">
      <w:pPr>
        <w:spacing w:line="240" w:lineRule="auto"/>
        <w:jc w:val="both"/>
        <w:rPr>
          <w:rFonts w:ascii="Arial" w:hAnsi="Arial" w:cs="Arial"/>
          <w:sz w:val="20"/>
          <w:szCs w:val="20"/>
        </w:rPr>
      </w:pPr>
      <w:r w:rsidRPr="005F3664">
        <w:rPr>
          <w:rFonts w:ascii="Arial" w:hAnsi="Arial" w:cs="Arial"/>
          <w:sz w:val="20"/>
          <w:szCs w:val="20"/>
        </w:rPr>
        <w:t xml:space="preserve">Induced mutagenesis, achieved through exposure to physical mutagens such as gamma radiation, X-rays, and fast neutrons, or chemical agents including ethyl </w:t>
      </w:r>
      <w:proofErr w:type="spellStart"/>
      <w:r w:rsidRPr="005F3664">
        <w:rPr>
          <w:rFonts w:ascii="Arial" w:hAnsi="Arial" w:cs="Arial"/>
          <w:sz w:val="20"/>
          <w:szCs w:val="20"/>
        </w:rPr>
        <w:t>methanesulphonate</w:t>
      </w:r>
      <w:proofErr w:type="spellEnd"/>
      <w:r w:rsidRPr="005F3664">
        <w:rPr>
          <w:rFonts w:ascii="Arial" w:hAnsi="Arial" w:cs="Arial"/>
          <w:sz w:val="20"/>
          <w:szCs w:val="20"/>
        </w:rPr>
        <w:t xml:space="preserve"> (EMS) and sodium </w:t>
      </w:r>
      <w:proofErr w:type="spellStart"/>
      <w:r w:rsidRPr="005F3664">
        <w:rPr>
          <w:rFonts w:ascii="Arial" w:hAnsi="Arial" w:cs="Arial"/>
          <w:sz w:val="20"/>
          <w:szCs w:val="20"/>
        </w:rPr>
        <w:t>azide</w:t>
      </w:r>
      <w:proofErr w:type="spellEnd"/>
      <w:r w:rsidRPr="005F3664">
        <w:rPr>
          <w:rFonts w:ascii="Arial" w:hAnsi="Arial" w:cs="Arial"/>
          <w:sz w:val="20"/>
          <w:szCs w:val="20"/>
        </w:rPr>
        <w:t xml:space="preserve">, generates elevated frequencies of random genetic variation. This approach facilitates the creation of novel allelic diversity beyond that available within existing germplasm collections. According to the FAO/IAEA Mutant Variety Database, more than 3,300 mutant varieties have been officially released worldwide, including tomato lines with compact growth habits and enhanced processing quality, potato varieties with modified starch composition, seedless citrus types, and ornamental cultivars exhibiting improved flower colour and morphology. Despite these achievements, the inherently random nature of mutation breeding often necessitates extensive backcrossing to remove undesirable </w:t>
      </w:r>
      <w:r w:rsidRPr="005F3664">
        <w:rPr>
          <w:rFonts w:ascii="Arial" w:hAnsi="Arial" w:cs="Arial"/>
          <w:sz w:val="20"/>
          <w:szCs w:val="20"/>
        </w:rPr>
        <w:lastRenderedPageBreak/>
        <w:t>background mutations. This limitation has been substantially mitigated by the advent of CRISPR-based targeted mutagenesis, which enables precise and site-specific genetic modifications.</w:t>
      </w:r>
    </w:p>
    <w:p w14:paraId="2EA1603D" w14:textId="29C7F731" w:rsidR="005B3010" w:rsidRPr="005F3664" w:rsidRDefault="005B3010" w:rsidP="00E53B33">
      <w:pPr>
        <w:spacing w:line="240" w:lineRule="auto"/>
        <w:jc w:val="both"/>
        <w:rPr>
          <w:rFonts w:ascii="Arial" w:hAnsi="Arial" w:cs="Arial"/>
          <w:sz w:val="20"/>
          <w:szCs w:val="20"/>
        </w:rPr>
      </w:pPr>
      <w:r w:rsidRPr="005F3664">
        <w:rPr>
          <w:rFonts w:ascii="Arial" w:hAnsi="Arial" w:cs="Arial"/>
          <w:sz w:val="20"/>
          <w:szCs w:val="20"/>
        </w:rPr>
        <w:t>Manipulation of ploidy levels has led to some of the most commercially significant advancements in horticultural breeding. Triploid (3x) seedless watermelon cultivars, generated by crossing colchicine-induced tetraploid (4x) lines with diploid parents to produce sterile triploid hybrids, now account for approximately 85</w:t>
      </w:r>
      <w:r w:rsidR="00195BC2">
        <w:rPr>
          <w:rFonts w:ascii="Arial" w:hAnsi="Arial" w:cs="Arial"/>
          <w:sz w:val="20"/>
          <w:szCs w:val="20"/>
        </w:rPr>
        <w:t>-</w:t>
      </w:r>
      <w:r w:rsidRPr="005F3664">
        <w:rPr>
          <w:rFonts w:ascii="Arial" w:hAnsi="Arial" w:cs="Arial"/>
          <w:sz w:val="20"/>
          <w:szCs w:val="20"/>
        </w:rPr>
        <w:t>90% of watermelon production in developed markets (Tian et al., 2017). Comparable strategies exploiting natural or induced polyploidy have been applied in seedless grapes, bananas, and citrus. In ornamental crops, polyploidisation has facilitated the development of novel phenotypes and enhanced aesthetic attributes that are unattainable through conventional diploid hybridisation.</w:t>
      </w:r>
    </w:p>
    <w:p w14:paraId="7FF5C9D7" w14:textId="77777777" w:rsidR="005B3010" w:rsidRPr="005F3664" w:rsidRDefault="005B3010" w:rsidP="00E53B33">
      <w:pPr>
        <w:spacing w:line="240" w:lineRule="auto"/>
        <w:jc w:val="both"/>
        <w:rPr>
          <w:rFonts w:ascii="Arial" w:hAnsi="Arial" w:cs="Arial"/>
          <w:b/>
          <w:bCs/>
        </w:rPr>
      </w:pPr>
      <w:r w:rsidRPr="005F3664">
        <w:rPr>
          <w:rFonts w:ascii="Arial" w:hAnsi="Arial" w:cs="Arial"/>
          <w:b/>
          <w:bCs/>
        </w:rPr>
        <w:t>2.4 Limitations of Conventional Breeding</w:t>
      </w:r>
    </w:p>
    <w:p w14:paraId="134D3A77" w14:textId="23EFFCDF" w:rsidR="005B3010" w:rsidRPr="00F9373E" w:rsidRDefault="005B3010" w:rsidP="00E53B33">
      <w:pPr>
        <w:spacing w:line="240" w:lineRule="auto"/>
        <w:jc w:val="both"/>
        <w:rPr>
          <w:rFonts w:ascii="Arial" w:hAnsi="Arial" w:cs="Arial"/>
          <w:sz w:val="20"/>
          <w:szCs w:val="20"/>
        </w:rPr>
      </w:pPr>
      <w:r w:rsidRPr="00F9373E">
        <w:rPr>
          <w:rFonts w:ascii="Arial" w:hAnsi="Arial" w:cs="Arial"/>
          <w:sz w:val="20"/>
          <w:szCs w:val="20"/>
        </w:rPr>
        <w:t>The limitations inherent to conventional breeding methodologies are increasingly apparent in the context of rapid environmental change and expanding technological capabilities. Among the most significant constraints are: (</w:t>
      </w:r>
      <w:proofErr w:type="spellStart"/>
      <w:r w:rsidRPr="00F9373E">
        <w:rPr>
          <w:rFonts w:ascii="Arial" w:hAnsi="Arial" w:cs="Arial"/>
          <w:sz w:val="20"/>
          <w:szCs w:val="20"/>
        </w:rPr>
        <w:t>i</w:t>
      </w:r>
      <w:proofErr w:type="spellEnd"/>
      <w:r w:rsidRPr="00F9373E">
        <w:rPr>
          <w:rFonts w:ascii="Arial" w:hAnsi="Arial" w:cs="Arial"/>
          <w:sz w:val="20"/>
          <w:szCs w:val="20"/>
        </w:rPr>
        <w:t>) extended breeding cycles</w:t>
      </w:r>
      <w:r w:rsidR="005856F9" w:rsidRPr="00F9373E">
        <w:rPr>
          <w:rFonts w:ascii="Arial" w:hAnsi="Arial" w:cs="Arial"/>
          <w:sz w:val="20"/>
          <w:szCs w:val="20"/>
        </w:rPr>
        <w:t>-</w:t>
      </w:r>
      <w:r w:rsidRPr="00F9373E">
        <w:rPr>
          <w:rFonts w:ascii="Arial" w:hAnsi="Arial" w:cs="Arial"/>
          <w:sz w:val="20"/>
          <w:szCs w:val="20"/>
        </w:rPr>
        <w:t>typically 8</w:t>
      </w:r>
      <w:r w:rsidR="00195BC2" w:rsidRPr="00F9373E">
        <w:rPr>
          <w:rFonts w:ascii="Arial" w:hAnsi="Arial" w:cs="Arial"/>
          <w:sz w:val="20"/>
          <w:szCs w:val="20"/>
        </w:rPr>
        <w:t>-</w:t>
      </w:r>
      <w:r w:rsidRPr="00F9373E">
        <w:rPr>
          <w:rFonts w:ascii="Arial" w:hAnsi="Arial" w:cs="Arial"/>
          <w:sz w:val="20"/>
          <w:szCs w:val="20"/>
        </w:rPr>
        <w:t>15 years for annual vegetable crops and 15</w:t>
      </w:r>
      <w:r w:rsidR="004C0DDD" w:rsidRPr="00F9373E">
        <w:rPr>
          <w:rFonts w:ascii="Arial" w:hAnsi="Arial" w:cs="Arial"/>
          <w:sz w:val="20"/>
          <w:szCs w:val="20"/>
        </w:rPr>
        <w:t>-</w:t>
      </w:r>
      <w:r w:rsidRPr="00F9373E">
        <w:rPr>
          <w:rFonts w:ascii="Arial" w:hAnsi="Arial" w:cs="Arial"/>
          <w:sz w:val="20"/>
          <w:szCs w:val="20"/>
        </w:rPr>
        <w:t>30 years for perennial fruit species</w:t>
      </w:r>
      <w:r w:rsidR="005856F9" w:rsidRPr="00F9373E">
        <w:rPr>
          <w:rFonts w:ascii="Arial" w:hAnsi="Arial" w:cs="Arial"/>
          <w:sz w:val="20"/>
          <w:szCs w:val="20"/>
        </w:rPr>
        <w:t>-</w:t>
      </w:r>
      <w:r w:rsidRPr="00F9373E">
        <w:rPr>
          <w:rFonts w:ascii="Arial" w:hAnsi="Arial" w:cs="Arial"/>
          <w:sz w:val="20"/>
          <w:szCs w:val="20"/>
        </w:rPr>
        <w:t>due to the necessity for multiple generations of crossing, inbreeding, and multi-location performance evaluation; (ii) a restricted genetic base within elite germplasm pools, resulting from domestication bottlenecks and intensive directional selection; (iii) linkage drag, whereby undesirable donor alleles flanking a target gene are co-introduced during backcrossing, potentially reducing performance in the recurrent parent background; and (iv) limited selection accuracy for complex quantitative traits governed by numerous loci of small effect and influenced by genotype-by-environment interactions. These constraints collectively underpin the growing adoption of molecular and genomic tools, which seek to enhance precision, efficiency, and predictive capacity in horticultural crop improvement.</w:t>
      </w:r>
    </w:p>
    <w:p w14:paraId="3DF4AE92" w14:textId="77777777" w:rsidR="00E53B33" w:rsidRPr="005F3664" w:rsidRDefault="00E53B33" w:rsidP="00E53B33">
      <w:pPr>
        <w:spacing w:line="240" w:lineRule="auto"/>
        <w:jc w:val="both"/>
        <w:rPr>
          <w:rFonts w:ascii="Arial" w:hAnsi="Arial" w:cs="Arial"/>
        </w:rPr>
      </w:pPr>
    </w:p>
    <w:p w14:paraId="51C425B5" w14:textId="442A0A42" w:rsidR="00CE4171" w:rsidRPr="005F3664" w:rsidRDefault="00CE4171" w:rsidP="00E53B33">
      <w:pPr>
        <w:spacing w:line="240" w:lineRule="auto"/>
        <w:jc w:val="both"/>
        <w:rPr>
          <w:rFonts w:ascii="Arial" w:hAnsi="Arial" w:cs="Arial"/>
          <w:b/>
          <w:bCs/>
        </w:rPr>
      </w:pPr>
      <w:r w:rsidRPr="005F3664">
        <w:rPr>
          <w:rFonts w:ascii="Arial" w:hAnsi="Arial" w:cs="Arial"/>
          <w:b/>
          <w:bCs/>
        </w:rPr>
        <w:t>3. Molecular Breeding and Marker-Assisted Selection</w:t>
      </w:r>
    </w:p>
    <w:p w14:paraId="6CE7614D" w14:textId="77777777" w:rsidR="00CE4171" w:rsidRPr="005F3664" w:rsidRDefault="00CE4171" w:rsidP="00E53B33">
      <w:pPr>
        <w:spacing w:line="240" w:lineRule="auto"/>
        <w:jc w:val="both"/>
        <w:rPr>
          <w:rFonts w:ascii="Arial" w:hAnsi="Arial" w:cs="Arial"/>
          <w:b/>
          <w:bCs/>
        </w:rPr>
      </w:pPr>
      <w:r w:rsidRPr="005F3664">
        <w:rPr>
          <w:rFonts w:ascii="Arial" w:hAnsi="Arial" w:cs="Arial"/>
          <w:b/>
          <w:bCs/>
        </w:rPr>
        <w:t>3.1 Molecular Marker Systems</w:t>
      </w:r>
    </w:p>
    <w:p w14:paraId="038CAAEE" w14:textId="184471B2"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The emergence of DNA-based molecular marker technologies marked a fundamental shift in plant breeding by allowing direct genotypic evaluation of breeding materials, independent of phenotypic expression, developmental stage, or environmental influence. The technological evolution from first-generation markers</w:t>
      </w:r>
      <w:r w:rsidR="005856F9" w:rsidRPr="005F3664">
        <w:rPr>
          <w:rFonts w:ascii="Arial" w:hAnsi="Arial" w:cs="Arial"/>
          <w:sz w:val="20"/>
          <w:szCs w:val="20"/>
        </w:rPr>
        <w:t>-</w:t>
      </w:r>
      <w:r w:rsidRPr="005F3664">
        <w:rPr>
          <w:rFonts w:ascii="Arial" w:hAnsi="Arial" w:cs="Arial"/>
          <w:sz w:val="20"/>
          <w:szCs w:val="20"/>
        </w:rPr>
        <w:t>restriction fragment length polymorphisms (RFLPs) and random amplified polymorphic DNAs (RAPDs)</w:t>
      </w:r>
      <w:r w:rsidR="005856F9" w:rsidRPr="005F3664">
        <w:rPr>
          <w:rFonts w:ascii="Arial" w:hAnsi="Arial" w:cs="Arial"/>
          <w:sz w:val="20"/>
          <w:szCs w:val="20"/>
        </w:rPr>
        <w:t>-</w:t>
      </w:r>
      <w:r w:rsidRPr="005F3664">
        <w:rPr>
          <w:rFonts w:ascii="Arial" w:hAnsi="Arial" w:cs="Arial"/>
          <w:sz w:val="20"/>
          <w:szCs w:val="20"/>
        </w:rPr>
        <w:t>to second-generation systems such as simple sequence repeats (SSRs or microsatellites) and amplified fragment length polymorphisms (AFLPs), and subsequently to third-generation single nucleotide polymorphism (SNP)-based platforms, reflects the broader advancement of genomic technologies (Xu and Crouch, 2008).</w:t>
      </w:r>
    </w:p>
    <w:p w14:paraId="46862BED" w14:textId="78702C05"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SNP markers now predominate in molecular breeding due to their widespread distribution throughout plant genomes, suitability for high-throughput automated genotyping, and compatibility with both array-based and sequencing-based platforms. Crop-specific SNP arrays</w:t>
      </w:r>
      <w:r w:rsidR="005856F9" w:rsidRPr="005F3664">
        <w:rPr>
          <w:rFonts w:ascii="Arial" w:hAnsi="Arial" w:cs="Arial"/>
          <w:sz w:val="20"/>
          <w:szCs w:val="20"/>
        </w:rPr>
        <w:t>-</w:t>
      </w:r>
      <w:r w:rsidRPr="005F3664">
        <w:rPr>
          <w:rFonts w:ascii="Arial" w:hAnsi="Arial" w:cs="Arial"/>
          <w:sz w:val="20"/>
          <w:szCs w:val="20"/>
        </w:rPr>
        <w:t xml:space="preserve">including the </w:t>
      </w:r>
      <w:proofErr w:type="spellStart"/>
      <w:r w:rsidRPr="005F3664">
        <w:rPr>
          <w:rFonts w:ascii="Arial" w:hAnsi="Arial" w:cs="Arial"/>
          <w:sz w:val="20"/>
          <w:szCs w:val="20"/>
        </w:rPr>
        <w:t>SolCAP</w:t>
      </w:r>
      <w:proofErr w:type="spellEnd"/>
      <w:r w:rsidRPr="005F3664">
        <w:rPr>
          <w:rFonts w:ascii="Arial" w:hAnsi="Arial" w:cs="Arial"/>
          <w:sz w:val="20"/>
          <w:szCs w:val="20"/>
        </w:rPr>
        <w:t xml:space="preserve"> 8,303-SNP array for tomato and potato, the Axiom Potato Genotyping Array (650,000 SNPs), the </w:t>
      </w:r>
      <w:proofErr w:type="spellStart"/>
      <w:r w:rsidRPr="005F3664">
        <w:rPr>
          <w:rFonts w:ascii="Arial" w:hAnsi="Arial" w:cs="Arial"/>
          <w:sz w:val="20"/>
          <w:szCs w:val="20"/>
        </w:rPr>
        <w:t>IStraw</w:t>
      </w:r>
      <w:proofErr w:type="spellEnd"/>
      <w:r w:rsidRPr="005F3664">
        <w:rPr>
          <w:rFonts w:ascii="Arial" w:hAnsi="Arial" w:cs="Arial"/>
          <w:sz w:val="20"/>
          <w:szCs w:val="20"/>
        </w:rPr>
        <w:t xml:space="preserve"> 90K strawberry array, and the Citrus 90K Axiom chip</w:t>
      </w:r>
      <w:r w:rsidR="005856F9" w:rsidRPr="005F3664">
        <w:rPr>
          <w:rFonts w:ascii="Arial" w:hAnsi="Arial" w:cs="Arial"/>
          <w:sz w:val="20"/>
          <w:szCs w:val="20"/>
        </w:rPr>
        <w:t>-</w:t>
      </w:r>
      <w:r w:rsidRPr="005F3664">
        <w:rPr>
          <w:rFonts w:ascii="Arial" w:hAnsi="Arial" w:cs="Arial"/>
          <w:sz w:val="20"/>
          <w:szCs w:val="20"/>
        </w:rPr>
        <w:t>provide genome-wide marker densities adequate for genome-wide association studies (GWAS), genomic selection, and high-resolution QTL mapping.</w:t>
      </w:r>
    </w:p>
    <w:p w14:paraId="2AC9FED2" w14:textId="624C8E22"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For species lacking dedicated commercial SNP arrays, genotyping-by-sequencing (GBS) and restriction-site associated DNA sequencing (</w:t>
      </w:r>
      <w:proofErr w:type="spellStart"/>
      <w:r w:rsidRPr="005F3664">
        <w:rPr>
          <w:rFonts w:ascii="Arial" w:hAnsi="Arial" w:cs="Arial"/>
          <w:sz w:val="20"/>
          <w:szCs w:val="20"/>
        </w:rPr>
        <w:t>RADseq</w:t>
      </w:r>
      <w:proofErr w:type="spellEnd"/>
      <w:r w:rsidRPr="005F3664">
        <w:rPr>
          <w:rFonts w:ascii="Arial" w:hAnsi="Arial" w:cs="Arial"/>
          <w:sz w:val="20"/>
          <w:szCs w:val="20"/>
        </w:rPr>
        <w:t>) provide flexible and cost-efficient alternatives, typically generating between 5,000 and 50,000 informative SNP markers per sample. These approaches have been particularly instrumental in facilitating molecular breeding efforts in minor horticultural crops and genetically diverse germplasm collections where development of commercial SNP platforms is economically impractical.</w:t>
      </w:r>
    </w:p>
    <w:p w14:paraId="22417BBB" w14:textId="77777777" w:rsidR="00CE4171" w:rsidRPr="005F3664" w:rsidRDefault="00CE4171" w:rsidP="00E53B33">
      <w:pPr>
        <w:spacing w:line="240" w:lineRule="auto"/>
        <w:jc w:val="both"/>
        <w:rPr>
          <w:rFonts w:ascii="Arial" w:hAnsi="Arial" w:cs="Arial"/>
          <w:b/>
          <w:bCs/>
        </w:rPr>
      </w:pPr>
      <w:r w:rsidRPr="005F3664">
        <w:rPr>
          <w:rFonts w:ascii="Arial" w:hAnsi="Arial" w:cs="Arial"/>
          <w:b/>
          <w:bCs/>
        </w:rPr>
        <w:t>3.2 Marker-Assisted Selection and Backcrossing</w:t>
      </w:r>
    </w:p>
    <w:p w14:paraId="45348CAD" w14:textId="77777777"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 xml:space="preserve">Marker-assisted selection (MAS) utilizes statistical linkages between molecular markers and target loci to enable indirect selection of individuals carrying desirable alleles without the need for direct phenotypic evaluation. This strategy is especially advantageous for traits that are difficult, </w:t>
      </w:r>
      <w:proofErr w:type="spellStart"/>
      <w:r w:rsidRPr="005F3664">
        <w:rPr>
          <w:rFonts w:ascii="Arial" w:hAnsi="Arial" w:cs="Arial"/>
          <w:sz w:val="20"/>
          <w:szCs w:val="20"/>
        </w:rPr>
        <w:t>labor-intensive</w:t>
      </w:r>
      <w:proofErr w:type="spellEnd"/>
      <w:r w:rsidRPr="005F3664">
        <w:rPr>
          <w:rFonts w:ascii="Arial" w:hAnsi="Arial" w:cs="Arial"/>
          <w:sz w:val="20"/>
          <w:szCs w:val="20"/>
        </w:rPr>
        <w:t xml:space="preserve">, or costly to measure, such as disease resistance requiring controlled pathogen inoculation, quality traits dependent on biochemical or chromatographic analysis, and root architecture traits necessitating destructive sampling. The effectiveness of MAS depends critically on the proximity between marker and </w:t>
      </w:r>
      <w:r w:rsidRPr="005F3664">
        <w:rPr>
          <w:rFonts w:ascii="Arial" w:hAnsi="Arial" w:cs="Arial"/>
          <w:sz w:val="20"/>
          <w:szCs w:val="20"/>
        </w:rPr>
        <w:lastRenderedPageBreak/>
        <w:t xml:space="preserve">target locus, with tightly linked markers (&lt; 5 </w:t>
      </w:r>
      <w:proofErr w:type="spellStart"/>
      <w:r w:rsidRPr="005F3664">
        <w:rPr>
          <w:rFonts w:ascii="Arial" w:hAnsi="Arial" w:cs="Arial"/>
          <w:sz w:val="20"/>
          <w:szCs w:val="20"/>
        </w:rPr>
        <w:t>cM</w:t>
      </w:r>
      <w:proofErr w:type="spellEnd"/>
      <w:r w:rsidRPr="005F3664">
        <w:rPr>
          <w:rFonts w:ascii="Arial" w:hAnsi="Arial" w:cs="Arial"/>
          <w:sz w:val="20"/>
          <w:szCs w:val="20"/>
        </w:rPr>
        <w:t>) or functional markers located within genes offering the highest accuracy and minimizing false-positive recombinants (Xu and Crouch, 2008).</w:t>
      </w:r>
    </w:p>
    <w:p w14:paraId="4D873F65" w14:textId="1EC4B1C4" w:rsidR="00CE4171" w:rsidRPr="005F3664" w:rsidRDefault="00CE4171" w:rsidP="00E53B33">
      <w:pPr>
        <w:spacing w:line="240" w:lineRule="auto"/>
        <w:jc w:val="both"/>
        <w:rPr>
          <w:rFonts w:ascii="Arial" w:hAnsi="Arial" w:cs="Arial"/>
          <w:sz w:val="24"/>
          <w:szCs w:val="24"/>
        </w:rPr>
      </w:pPr>
      <w:r w:rsidRPr="005F3664">
        <w:rPr>
          <w:rFonts w:ascii="Arial" w:hAnsi="Arial" w:cs="Arial"/>
          <w:sz w:val="20"/>
          <w:szCs w:val="20"/>
        </w:rPr>
        <w:t xml:space="preserve">Marker-assisted backcrossing (MABC) illustrates the substantial efficiency improvements achievable through molecular breeding. By combining foreground selection using markers flanking the target </w:t>
      </w:r>
      <w:proofErr w:type="spellStart"/>
      <w:r w:rsidRPr="005F3664">
        <w:rPr>
          <w:rFonts w:ascii="Arial" w:hAnsi="Arial" w:cs="Arial"/>
          <w:sz w:val="20"/>
          <w:szCs w:val="20"/>
        </w:rPr>
        <w:t>introgression</w:t>
      </w:r>
      <w:proofErr w:type="spellEnd"/>
      <w:r w:rsidRPr="005F3664">
        <w:rPr>
          <w:rFonts w:ascii="Arial" w:hAnsi="Arial" w:cs="Arial"/>
          <w:sz w:val="20"/>
          <w:szCs w:val="20"/>
        </w:rPr>
        <w:t xml:space="preserve"> segment with background selection employing genome-wide markers to accelerate recurrent parent genome recovery, MABC can reduce the number of required backcross generations from six or seven under conventional breeding to as few as two or three. This compression shortens </w:t>
      </w:r>
      <w:proofErr w:type="spellStart"/>
      <w:r w:rsidRPr="005F3664">
        <w:rPr>
          <w:rFonts w:ascii="Arial" w:hAnsi="Arial" w:cs="Arial"/>
          <w:sz w:val="20"/>
          <w:szCs w:val="20"/>
        </w:rPr>
        <w:t>introgression</w:t>
      </w:r>
      <w:proofErr w:type="spellEnd"/>
      <w:r w:rsidRPr="005F3664">
        <w:rPr>
          <w:rFonts w:ascii="Arial" w:hAnsi="Arial" w:cs="Arial"/>
          <w:sz w:val="20"/>
          <w:szCs w:val="20"/>
        </w:rPr>
        <w:t xml:space="preserve"> programs from approximately 12</w:t>
      </w:r>
      <w:r w:rsidR="00195BC2">
        <w:rPr>
          <w:rFonts w:ascii="Arial" w:hAnsi="Arial" w:cs="Arial"/>
          <w:sz w:val="20"/>
          <w:szCs w:val="20"/>
        </w:rPr>
        <w:t>-</w:t>
      </w:r>
      <w:r w:rsidRPr="005F3664">
        <w:rPr>
          <w:rFonts w:ascii="Arial" w:hAnsi="Arial" w:cs="Arial"/>
          <w:sz w:val="20"/>
          <w:szCs w:val="20"/>
        </w:rPr>
        <w:t>18 years to 4</w:t>
      </w:r>
      <w:r w:rsidR="00195BC2">
        <w:rPr>
          <w:rFonts w:ascii="Arial" w:hAnsi="Arial" w:cs="Arial"/>
          <w:sz w:val="20"/>
          <w:szCs w:val="20"/>
        </w:rPr>
        <w:t>-</w:t>
      </w:r>
      <w:r w:rsidRPr="005F3664">
        <w:rPr>
          <w:rFonts w:ascii="Arial" w:hAnsi="Arial" w:cs="Arial"/>
          <w:sz w:val="20"/>
          <w:szCs w:val="20"/>
        </w:rPr>
        <w:t xml:space="preserve">6 years (Hospital, 2005). In commercial tomato hybrid development, multiplex SNP genotyping targeting resistance loci such as </w:t>
      </w:r>
      <w:r w:rsidRPr="00B260D1">
        <w:rPr>
          <w:rFonts w:ascii="Arial" w:hAnsi="Arial" w:cs="Arial"/>
          <w:i/>
          <w:iCs/>
          <w:sz w:val="20"/>
          <w:szCs w:val="20"/>
        </w:rPr>
        <w:t>Ty-1</w:t>
      </w:r>
      <w:r w:rsidRPr="005F3664">
        <w:rPr>
          <w:rFonts w:ascii="Arial" w:hAnsi="Arial" w:cs="Arial"/>
          <w:sz w:val="20"/>
          <w:szCs w:val="20"/>
        </w:rPr>
        <w:t xml:space="preserve">, </w:t>
      </w:r>
      <w:r w:rsidR="00B260D1">
        <w:rPr>
          <w:rFonts w:ascii="Arial" w:hAnsi="Arial" w:cs="Arial"/>
          <w:sz w:val="20"/>
          <w:szCs w:val="20"/>
        </w:rPr>
        <w:t>Ty-3</w:t>
      </w:r>
      <w:r w:rsidRPr="005F3664">
        <w:rPr>
          <w:rFonts w:ascii="Arial" w:hAnsi="Arial" w:cs="Arial"/>
          <w:sz w:val="20"/>
          <w:szCs w:val="20"/>
        </w:rPr>
        <w:t xml:space="preserve">, </w:t>
      </w:r>
      <w:r w:rsidRPr="002D02E4">
        <w:rPr>
          <w:rFonts w:ascii="Arial" w:hAnsi="Arial" w:cs="Arial"/>
          <w:i/>
          <w:iCs/>
          <w:sz w:val="20"/>
          <w:szCs w:val="20"/>
        </w:rPr>
        <w:t>Tm-2a, I-2, Mi-1,</w:t>
      </w:r>
      <w:r w:rsidRPr="005F3664">
        <w:rPr>
          <w:rFonts w:ascii="Arial" w:hAnsi="Arial" w:cs="Arial"/>
          <w:sz w:val="20"/>
          <w:szCs w:val="20"/>
        </w:rPr>
        <w:t xml:space="preserve"> and others has become routine practice (Ji et al., 2007). Furthermore, gene pyramiding</w:t>
      </w:r>
      <w:r w:rsidR="005856F9" w:rsidRPr="005F3664">
        <w:rPr>
          <w:rFonts w:ascii="Arial" w:hAnsi="Arial" w:cs="Arial"/>
          <w:sz w:val="20"/>
          <w:szCs w:val="20"/>
        </w:rPr>
        <w:t>-</w:t>
      </w:r>
      <w:r w:rsidRPr="005F3664">
        <w:rPr>
          <w:rFonts w:ascii="Arial" w:hAnsi="Arial" w:cs="Arial"/>
          <w:sz w:val="20"/>
          <w:szCs w:val="20"/>
        </w:rPr>
        <w:t xml:space="preserve">the accumulation of multiple </w:t>
      </w:r>
      <w:proofErr w:type="spellStart"/>
      <w:r w:rsidRPr="005F3664">
        <w:rPr>
          <w:rFonts w:ascii="Arial" w:hAnsi="Arial" w:cs="Arial"/>
          <w:sz w:val="20"/>
          <w:szCs w:val="20"/>
        </w:rPr>
        <w:t>favorable</w:t>
      </w:r>
      <w:proofErr w:type="spellEnd"/>
      <w:r w:rsidRPr="005F3664">
        <w:rPr>
          <w:rFonts w:ascii="Arial" w:hAnsi="Arial" w:cs="Arial"/>
          <w:sz w:val="20"/>
          <w:szCs w:val="20"/>
        </w:rPr>
        <w:t xml:space="preserve"> alleles at distinct loci through sequential MABC cycles</w:t>
      </w:r>
      <w:r w:rsidR="005856F9" w:rsidRPr="005F3664">
        <w:rPr>
          <w:rFonts w:ascii="Arial" w:hAnsi="Arial" w:cs="Arial"/>
          <w:sz w:val="20"/>
          <w:szCs w:val="20"/>
        </w:rPr>
        <w:t>-</w:t>
      </w:r>
      <w:r w:rsidRPr="005F3664">
        <w:rPr>
          <w:rFonts w:ascii="Arial" w:hAnsi="Arial" w:cs="Arial"/>
          <w:sz w:val="20"/>
          <w:szCs w:val="20"/>
        </w:rPr>
        <w:t xml:space="preserve">has been successfully implemented for late blight resistance in potato by stacking </w:t>
      </w:r>
      <w:r w:rsidRPr="00F7344F">
        <w:rPr>
          <w:rFonts w:ascii="Arial" w:hAnsi="Arial" w:cs="Arial"/>
          <w:i/>
          <w:iCs/>
          <w:sz w:val="20"/>
          <w:szCs w:val="20"/>
        </w:rPr>
        <w:t xml:space="preserve">Rpi-blb1, Rpi-blb2, Rpi-blb3, </w:t>
      </w:r>
      <w:r w:rsidRPr="00F7344F">
        <w:rPr>
          <w:rFonts w:ascii="Arial" w:hAnsi="Arial" w:cs="Arial"/>
          <w:sz w:val="20"/>
          <w:szCs w:val="20"/>
        </w:rPr>
        <w:t>and</w:t>
      </w:r>
      <w:r w:rsidRPr="00F7344F">
        <w:rPr>
          <w:rFonts w:ascii="Arial" w:hAnsi="Arial" w:cs="Arial"/>
          <w:i/>
          <w:iCs/>
          <w:sz w:val="20"/>
          <w:szCs w:val="20"/>
        </w:rPr>
        <w:t xml:space="preserve"> Rpi-vnt1.1</w:t>
      </w:r>
      <w:r w:rsidRPr="005F3664">
        <w:rPr>
          <w:rFonts w:ascii="Arial" w:hAnsi="Arial" w:cs="Arial"/>
          <w:sz w:val="20"/>
          <w:szCs w:val="20"/>
        </w:rPr>
        <w:t>, resulting in enhanced durability and broad-spectrum resistance (</w:t>
      </w:r>
      <w:proofErr w:type="spellStart"/>
      <w:r w:rsidRPr="005F3664">
        <w:rPr>
          <w:rFonts w:ascii="Arial" w:hAnsi="Arial" w:cs="Arial"/>
          <w:sz w:val="20"/>
          <w:szCs w:val="20"/>
        </w:rPr>
        <w:t>Lindqvist-Kreuze</w:t>
      </w:r>
      <w:proofErr w:type="spellEnd"/>
      <w:r w:rsidRPr="005F3664">
        <w:rPr>
          <w:rFonts w:ascii="Arial" w:hAnsi="Arial" w:cs="Arial"/>
          <w:sz w:val="20"/>
          <w:szCs w:val="20"/>
        </w:rPr>
        <w:t xml:space="preserve"> et al., 2020).</w:t>
      </w:r>
    </w:p>
    <w:p w14:paraId="5897EFCA" w14:textId="3612186A" w:rsidR="00CE4171" w:rsidRPr="005F3664" w:rsidRDefault="00CE4171" w:rsidP="00E53B33">
      <w:pPr>
        <w:spacing w:line="240" w:lineRule="auto"/>
        <w:jc w:val="both"/>
        <w:rPr>
          <w:rFonts w:ascii="Arial" w:hAnsi="Arial" w:cs="Arial"/>
          <w:b/>
          <w:bCs/>
        </w:rPr>
      </w:pPr>
      <w:r w:rsidRPr="005F3664">
        <w:rPr>
          <w:rFonts w:ascii="Arial" w:hAnsi="Arial" w:cs="Arial"/>
          <w:b/>
          <w:bCs/>
        </w:rPr>
        <w:t>3.3 QTL Mapping and GWAS</w:t>
      </w:r>
    </w:p>
    <w:p w14:paraId="57D6FA03" w14:textId="7D504FB6"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 xml:space="preserve">Quantitative trait locus (QTL) mapping identifies genomic regions associated with quantitative traits by </w:t>
      </w:r>
      <w:proofErr w:type="spellStart"/>
      <w:r w:rsidRPr="005F3664">
        <w:rPr>
          <w:rFonts w:ascii="Arial" w:hAnsi="Arial" w:cs="Arial"/>
          <w:sz w:val="20"/>
          <w:szCs w:val="20"/>
        </w:rPr>
        <w:t>analyzing</w:t>
      </w:r>
      <w:proofErr w:type="spellEnd"/>
      <w:r w:rsidRPr="005F3664">
        <w:rPr>
          <w:rFonts w:ascii="Arial" w:hAnsi="Arial" w:cs="Arial"/>
          <w:sz w:val="20"/>
          <w:szCs w:val="20"/>
        </w:rPr>
        <w:t xml:space="preserve"> statistical relationships between molecular markers and phenotypic variation in segregating populations. Common mapping populations include F</w:t>
      </w:r>
      <w:r w:rsidRPr="005F3664">
        <w:rPr>
          <w:rFonts w:ascii="Cambria Math" w:hAnsi="Cambria Math" w:cs="Cambria Math"/>
          <w:sz w:val="20"/>
          <w:szCs w:val="20"/>
        </w:rPr>
        <w:t>₂</w:t>
      </w:r>
      <w:r w:rsidRPr="005F3664">
        <w:rPr>
          <w:rFonts w:ascii="Arial" w:hAnsi="Arial" w:cs="Arial"/>
          <w:sz w:val="20"/>
          <w:szCs w:val="20"/>
        </w:rPr>
        <w:t xml:space="preserve">, backcross, recombinant inbred line (RIL), doubled haploid (DH), and near-isogenic line (NIL) populations, each differing in mapping resolution, statistical power, and practical applicability. In tomato, </w:t>
      </w:r>
      <w:proofErr w:type="spellStart"/>
      <w:r w:rsidRPr="005F3664">
        <w:rPr>
          <w:rFonts w:ascii="Arial" w:hAnsi="Arial" w:cs="Arial"/>
          <w:sz w:val="20"/>
          <w:szCs w:val="20"/>
        </w:rPr>
        <w:t>introgression</w:t>
      </w:r>
      <w:proofErr w:type="spellEnd"/>
      <w:r w:rsidRPr="005F3664">
        <w:rPr>
          <w:rFonts w:ascii="Arial" w:hAnsi="Arial" w:cs="Arial"/>
          <w:sz w:val="20"/>
          <w:szCs w:val="20"/>
        </w:rPr>
        <w:t xml:space="preserve"> line (IL) populations derived from </w:t>
      </w:r>
      <w:proofErr w:type="spellStart"/>
      <w:r w:rsidRPr="005F3664">
        <w:rPr>
          <w:rFonts w:ascii="Arial" w:hAnsi="Arial" w:cs="Arial"/>
          <w:i/>
          <w:iCs/>
          <w:sz w:val="20"/>
          <w:szCs w:val="20"/>
        </w:rPr>
        <w:t>Solanum</w:t>
      </w:r>
      <w:proofErr w:type="spellEnd"/>
      <w:r w:rsidRPr="005F3664">
        <w:rPr>
          <w:rFonts w:ascii="Arial" w:hAnsi="Arial" w:cs="Arial"/>
          <w:i/>
          <w:iCs/>
          <w:sz w:val="20"/>
          <w:szCs w:val="20"/>
        </w:rPr>
        <w:t xml:space="preserve"> </w:t>
      </w:r>
      <w:proofErr w:type="spellStart"/>
      <w:r w:rsidRPr="005F3664">
        <w:rPr>
          <w:rFonts w:ascii="Arial" w:hAnsi="Arial" w:cs="Arial"/>
          <w:i/>
          <w:iCs/>
          <w:sz w:val="20"/>
          <w:szCs w:val="20"/>
        </w:rPr>
        <w:t>pennellii</w:t>
      </w:r>
      <w:proofErr w:type="spellEnd"/>
      <w:r w:rsidRPr="005F3664">
        <w:rPr>
          <w:rFonts w:ascii="Arial" w:hAnsi="Arial" w:cs="Arial"/>
          <w:sz w:val="20"/>
          <w:szCs w:val="20"/>
        </w:rPr>
        <w:t xml:space="preserve"> have facilitated the identification and characterization of numerous QTLs governing traits such as fruit weight (</w:t>
      </w:r>
      <w:r w:rsidRPr="00F7344F">
        <w:rPr>
          <w:rFonts w:ascii="Arial" w:hAnsi="Arial" w:cs="Arial"/>
          <w:i/>
          <w:iCs/>
          <w:sz w:val="20"/>
          <w:szCs w:val="20"/>
        </w:rPr>
        <w:t>fw2.2, fw3.2</w:t>
      </w:r>
      <w:r w:rsidRPr="005F3664">
        <w:rPr>
          <w:rFonts w:ascii="Arial" w:hAnsi="Arial" w:cs="Arial"/>
          <w:sz w:val="20"/>
          <w:szCs w:val="20"/>
        </w:rPr>
        <w:t>), fruit shape (</w:t>
      </w:r>
      <w:r w:rsidRPr="00F7344F">
        <w:rPr>
          <w:rFonts w:ascii="Arial" w:hAnsi="Arial" w:cs="Arial"/>
          <w:i/>
          <w:iCs/>
          <w:sz w:val="20"/>
          <w:szCs w:val="20"/>
        </w:rPr>
        <w:t xml:space="preserve">sun, ovate, </w:t>
      </w:r>
      <w:proofErr w:type="spellStart"/>
      <w:r w:rsidRPr="00F7344F">
        <w:rPr>
          <w:rFonts w:ascii="Arial" w:hAnsi="Arial" w:cs="Arial"/>
          <w:i/>
          <w:iCs/>
          <w:sz w:val="20"/>
          <w:szCs w:val="20"/>
        </w:rPr>
        <w:t>fas</w:t>
      </w:r>
      <w:proofErr w:type="spellEnd"/>
      <w:r w:rsidRPr="005F3664">
        <w:rPr>
          <w:rFonts w:ascii="Arial" w:hAnsi="Arial" w:cs="Arial"/>
          <w:sz w:val="20"/>
          <w:szCs w:val="20"/>
        </w:rPr>
        <w:t>), soluble solids (</w:t>
      </w:r>
      <w:r w:rsidRPr="00F7344F">
        <w:rPr>
          <w:rFonts w:ascii="Arial" w:hAnsi="Arial" w:cs="Arial"/>
          <w:i/>
          <w:iCs/>
          <w:sz w:val="20"/>
          <w:szCs w:val="20"/>
        </w:rPr>
        <w:t>Brix9-2-5</w:t>
      </w:r>
      <w:r w:rsidRPr="005F3664">
        <w:rPr>
          <w:rFonts w:ascii="Arial" w:hAnsi="Arial" w:cs="Arial"/>
          <w:sz w:val="20"/>
          <w:szCs w:val="20"/>
        </w:rPr>
        <w:t>), lycopene content, pH, volatile compounds, and disease resistance. More recently, QTL-</w:t>
      </w:r>
      <w:proofErr w:type="spellStart"/>
      <w:r w:rsidRPr="005F3664">
        <w:rPr>
          <w:rFonts w:ascii="Arial" w:hAnsi="Arial" w:cs="Arial"/>
          <w:sz w:val="20"/>
          <w:szCs w:val="20"/>
        </w:rPr>
        <w:t>seq</w:t>
      </w:r>
      <w:proofErr w:type="spellEnd"/>
      <w:r w:rsidR="005856F9" w:rsidRPr="005F3664">
        <w:rPr>
          <w:rFonts w:ascii="Arial" w:hAnsi="Arial" w:cs="Arial"/>
          <w:sz w:val="20"/>
          <w:szCs w:val="20"/>
        </w:rPr>
        <w:t>-</w:t>
      </w:r>
      <w:r w:rsidRPr="005F3664">
        <w:rPr>
          <w:rFonts w:ascii="Arial" w:hAnsi="Arial" w:cs="Arial"/>
          <w:sz w:val="20"/>
          <w:szCs w:val="20"/>
        </w:rPr>
        <w:t xml:space="preserve">combining bulk </w:t>
      </w:r>
      <w:proofErr w:type="spellStart"/>
      <w:r w:rsidRPr="005F3664">
        <w:rPr>
          <w:rFonts w:ascii="Arial" w:hAnsi="Arial" w:cs="Arial"/>
          <w:sz w:val="20"/>
          <w:szCs w:val="20"/>
        </w:rPr>
        <w:t>segregant</w:t>
      </w:r>
      <w:proofErr w:type="spellEnd"/>
      <w:r w:rsidRPr="005F3664">
        <w:rPr>
          <w:rFonts w:ascii="Arial" w:hAnsi="Arial" w:cs="Arial"/>
          <w:sz w:val="20"/>
          <w:szCs w:val="20"/>
        </w:rPr>
        <w:t xml:space="preserve"> analysis with whole-genome sequencing</w:t>
      </w:r>
      <w:r w:rsidR="005856F9" w:rsidRPr="005F3664">
        <w:rPr>
          <w:rFonts w:ascii="Arial" w:hAnsi="Arial" w:cs="Arial"/>
          <w:sz w:val="20"/>
          <w:szCs w:val="20"/>
        </w:rPr>
        <w:t>-</w:t>
      </w:r>
      <w:r w:rsidRPr="005F3664">
        <w:rPr>
          <w:rFonts w:ascii="Arial" w:hAnsi="Arial" w:cs="Arial"/>
          <w:sz w:val="20"/>
          <w:szCs w:val="20"/>
        </w:rPr>
        <w:t>has significantly accelerated fine-mapping by enabling genome-wide analysis from large F</w:t>
      </w:r>
      <w:r w:rsidRPr="005F3664">
        <w:rPr>
          <w:rFonts w:ascii="Cambria Math" w:hAnsi="Cambria Math" w:cs="Cambria Math"/>
          <w:sz w:val="20"/>
          <w:szCs w:val="20"/>
        </w:rPr>
        <w:t>₂</w:t>
      </w:r>
      <w:r w:rsidRPr="005F3664">
        <w:rPr>
          <w:rFonts w:ascii="Arial" w:hAnsi="Arial" w:cs="Arial"/>
          <w:sz w:val="20"/>
          <w:szCs w:val="20"/>
        </w:rPr>
        <w:t xml:space="preserve"> populations (Takagi et al., 2013).</w:t>
      </w:r>
    </w:p>
    <w:p w14:paraId="208ED542" w14:textId="407F0593"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 xml:space="preserve">Genome-wide association studies (GWAS) leverage historical recombination events accumulated across diverse germplasm panels to achieve finer mapping resolution than traditional bi-parental QTL populations, while simultaneously evaluating allele effects across multiple genetic backgrounds. Notable GWAS applications include the elucidation of tomato fruit volatile profiles to restore consumer-preferred </w:t>
      </w:r>
      <w:proofErr w:type="spellStart"/>
      <w:r w:rsidRPr="005F3664">
        <w:rPr>
          <w:rFonts w:ascii="Arial" w:hAnsi="Arial" w:cs="Arial"/>
          <w:sz w:val="20"/>
          <w:szCs w:val="20"/>
        </w:rPr>
        <w:t>flavor</w:t>
      </w:r>
      <w:proofErr w:type="spellEnd"/>
      <w:r w:rsidRPr="005F3664">
        <w:rPr>
          <w:rFonts w:ascii="Arial" w:hAnsi="Arial" w:cs="Arial"/>
          <w:sz w:val="20"/>
          <w:szCs w:val="20"/>
        </w:rPr>
        <w:t xml:space="preserve"> traits diminished during commercial breeding (</w:t>
      </w:r>
      <w:proofErr w:type="spellStart"/>
      <w:r w:rsidRPr="005F3664">
        <w:rPr>
          <w:rFonts w:ascii="Arial" w:hAnsi="Arial" w:cs="Arial"/>
          <w:sz w:val="20"/>
          <w:szCs w:val="20"/>
        </w:rPr>
        <w:t>Tieman</w:t>
      </w:r>
      <w:proofErr w:type="spellEnd"/>
      <w:r w:rsidRPr="005F3664">
        <w:rPr>
          <w:rFonts w:ascii="Arial" w:hAnsi="Arial" w:cs="Arial"/>
          <w:sz w:val="20"/>
          <w:szCs w:val="20"/>
        </w:rPr>
        <w:t xml:space="preserve"> et al., 2017), identification of loci associated with late blight resistance and processing quality in tetraploid potato (</w:t>
      </w:r>
      <w:proofErr w:type="spellStart"/>
      <w:r w:rsidRPr="005F3664">
        <w:rPr>
          <w:rFonts w:ascii="Arial" w:hAnsi="Arial" w:cs="Arial"/>
          <w:sz w:val="20"/>
          <w:szCs w:val="20"/>
        </w:rPr>
        <w:t>Lindqvist-Kreuze</w:t>
      </w:r>
      <w:proofErr w:type="spellEnd"/>
      <w:r w:rsidRPr="005F3664">
        <w:rPr>
          <w:rFonts w:ascii="Arial" w:hAnsi="Arial" w:cs="Arial"/>
          <w:sz w:val="20"/>
          <w:szCs w:val="20"/>
        </w:rPr>
        <w:t xml:space="preserve"> et al., 2020), and characterization of fruit quality and disease resistance architecture in octoploid strawberry (Whitaker et al., 2020).</w:t>
      </w:r>
    </w:p>
    <w:p w14:paraId="229813E1" w14:textId="77777777" w:rsidR="00CE4171" w:rsidRPr="005F3664" w:rsidRDefault="00CE4171" w:rsidP="00E53B33">
      <w:pPr>
        <w:spacing w:line="240" w:lineRule="auto"/>
        <w:jc w:val="both"/>
        <w:rPr>
          <w:rFonts w:ascii="Arial" w:hAnsi="Arial" w:cs="Arial"/>
          <w:b/>
          <w:bCs/>
        </w:rPr>
      </w:pPr>
      <w:r w:rsidRPr="005F3664">
        <w:rPr>
          <w:rFonts w:ascii="Arial" w:hAnsi="Arial" w:cs="Arial"/>
          <w:b/>
          <w:bCs/>
        </w:rPr>
        <w:t>3.4 Genomic Selection</w:t>
      </w:r>
    </w:p>
    <w:p w14:paraId="3F3F5C7B" w14:textId="77777777"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 xml:space="preserve">Genomic selection (GS), originally proposed by </w:t>
      </w:r>
      <w:proofErr w:type="spellStart"/>
      <w:r w:rsidRPr="005F3664">
        <w:rPr>
          <w:rFonts w:ascii="Arial" w:hAnsi="Arial" w:cs="Arial"/>
          <w:sz w:val="20"/>
          <w:szCs w:val="20"/>
        </w:rPr>
        <w:t>Meuwissen</w:t>
      </w:r>
      <w:proofErr w:type="spellEnd"/>
      <w:r w:rsidRPr="005F3664">
        <w:rPr>
          <w:rFonts w:ascii="Arial" w:hAnsi="Arial" w:cs="Arial"/>
          <w:sz w:val="20"/>
          <w:szCs w:val="20"/>
        </w:rPr>
        <w:t xml:space="preserve"> et al. (2001) for livestock improvement, employs genome-wide marker information from a genotyped and </w:t>
      </w:r>
      <w:proofErr w:type="spellStart"/>
      <w:r w:rsidRPr="005F3664">
        <w:rPr>
          <w:rFonts w:ascii="Arial" w:hAnsi="Arial" w:cs="Arial"/>
          <w:sz w:val="20"/>
          <w:szCs w:val="20"/>
        </w:rPr>
        <w:t>phenotyped</w:t>
      </w:r>
      <w:proofErr w:type="spellEnd"/>
      <w:r w:rsidRPr="005F3664">
        <w:rPr>
          <w:rFonts w:ascii="Arial" w:hAnsi="Arial" w:cs="Arial"/>
          <w:sz w:val="20"/>
          <w:szCs w:val="20"/>
        </w:rPr>
        <w:t xml:space="preserve"> reference (training) population to develop statistical prediction models that estimate genome-wide marker effects simultaneously. These models generate genome-estimated breeding values (GEBVs) for candidate individuals without direct phenotypic assessment.</w:t>
      </w:r>
    </w:p>
    <w:p w14:paraId="57AEBD36" w14:textId="0EF33968" w:rsidR="00831536"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Unlike single-marker MAS, GS captures the cumulative contribution of all marker-trait associations, including those below individual significance thresholds, thereby enabling more accurate prediction of highly polygenic traits governed by numerous loci with small effects. Prediction accuracies ranging from 0.60 to 0.85 have been reported for fruit quality traits in apple (Kumar et al., 2012), as well as for disease resistance and processing quality in potato and post-harvest firmness in strawberry (Whitaker et al., 2020). A major practical advantage of GS lies in its ability to shorten breeding cycles by facilitating early selection prior to extensive field evaluation</w:t>
      </w:r>
      <w:r w:rsidR="005856F9" w:rsidRPr="005F3664">
        <w:rPr>
          <w:rFonts w:ascii="Arial" w:hAnsi="Arial" w:cs="Arial"/>
          <w:sz w:val="20"/>
          <w:szCs w:val="20"/>
        </w:rPr>
        <w:t>-</w:t>
      </w:r>
      <w:r w:rsidRPr="005F3664">
        <w:rPr>
          <w:rFonts w:ascii="Arial" w:hAnsi="Arial" w:cs="Arial"/>
          <w:sz w:val="20"/>
          <w:szCs w:val="20"/>
        </w:rPr>
        <w:t>a particularly transformative benefit for perennial fruit crops requiring multi-year testing. Increasingly, machine learning algorithms such as random forests, support vector machines, and deep neural networks are being investigated to model non-linear genetic architectures within GS frameworks (</w:t>
      </w:r>
      <w:proofErr w:type="spellStart"/>
      <w:r w:rsidRPr="005F3664">
        <w:rPr>
          <w:rFonts w:ascii="Arial" w:hAnsi="Arial" w:cs="Arial"/>
          <w:sz w:val="20"/>
          <w:szCs w:val="20"/>
        </w:rPr>
        <w:t>Crossa</w:t>
      </w:r>
      <w:proofErr w:type="spellEnd"/>
      <w:r w:rsidRPr="005F3664">
        <w:rPr>
          <w:rFonts w:ascii="Arial" w:hAnsi="Arial" w:cs="Arial"/>
          <w:sz w:val="20"/>
          <w:szCs w:val="20"/>
        </w:rPr>
        <w:t xml:space="preserve"> et al., 2017).</w:t>
      </w:r>
    </w:p>
    <w:p w14:paraId="22592FC4" w14:textId="2AFD6F97" w:rsidR="00CE4171" w:rsidRPr="005F3664" w:rsidRDefault="00CE4171" w:rsidP="00E53B33">
      <w:pPr>
        <w:spacing w:line="240" w:lineRule="auto"/>
        <w:jc w:val="both"/>
        <w:rPr>
          <w:rFonts w:ascii="Arial" w:hAnsi="Arial" w:cs="Arial"/>
        </w:rPr>
      </w:pPr>
      <w:r w:rsidRPr="005F3664">
        <w:rPr>
          <w:rFonts w:ascii="Arial" w:hAnsi="Arial" w:cs="Arial"/>
          <w:b/>
          <w:bCs/>
        </w:rPr>
        <w:t>4. Genomics and Omics-Assisted Breeding</w:t>
      </w:r>
    </w:p>
    <w:p w14:paraId="528A3065" w14:textId="77777777" w:rsidR="00CE4171" w:rsidRPr="005F3664" w:rsidRDefault="00CE4171" w:rsidP="00E53B33">
      <w:pPr>
        <w:spacing w:line="240" w:lineRule="auto"/>
        <w:jc w:val="both"/>
        <w:rPr>
          <w:rFonts w:ascii="Arial" w:hAnsi="Arial" w:cs="Arial"/>
          <w:b/>
          <w:bCs/>
        </w:rPr>
      </w:pPr>
      <w:r w:rsidRPr="005F3664">
        <w:rPr>
          <w:rFonts w:ascii="Arial" w:hAnsi="Arial" w:cs="Arial"/>
          <w:b/>
          <w:bCs/>
        </w:rPr>
        <w:t>4.1 Reference Genomes and Pan-Genomics</w:t>
      </w:r>
    </w:p>
    <w:p w14:paraId="1C1FF86E" w14:textId="30A6B432" w:rsidR="00D63F5A" w:rsidRPr="00D63F5A" w:rsidRDefault="00D63F5A" w:rsidP="00D63F5A">
      <w:pPr>
        <w:spacing w:line="240" w:lineRule="auto"/>
        <w:jc w:val="both"/>
        <w:rPr>
          <w:rFonts w:ascii="Arial" w:hAnsi="Arial" w:cs="Arial"/>
          <w:sz w:val="20"/>
          <w:szCs w:val="20"/>
        </w:rPr>
      </w:pPr>
      <w:r w:rsidRPr="00D63F5A">
        <w:rPr>
          <w:rFonts w:ascii="Arial" w:hAnsi="Arial" w:cs="Arial"/>
          <w:sz w:val="20"/>
          <w:szCs w:val="20"/>
        </w:rPr>
        <w:t xml:space="preserve">High-quality reference genome assemblies have transformed horticultural breeding by providing frameworks for marker development, candidate gene identification, comparative genomics, and </w:t>
      </w:r>
      <w:r w:rsidRPr="00D63F5A">
        <w:rPr>
          <w:rFonts w:ascii="Arial" w:hAnsi="Arial" w:cs="Arial"/>
          <w:sz w:val="20"/>
          <w:szCs w:val="20"/>
        </w:rPr>
        <w:lastRenderedPageBreak/>
        <w:t>functional annotation. Important assemblies include tomato, potato, grape, strawberry, banana, and citrus. Recent advances in long-read sequencing technologies such as PacBio HiFi and Oxford Nanopore now enable near-complete, chromosome-scale assemblies, even in species with high repetitive content or complex polyploid genomes.</w:t>
      </w:r>
    </w:p>
    <w:p w14:paraId="1051E40E" w14:textId="6DA8F389" w:rsidR="00D63F5A" w:rsidRDefault="00D63F5A" w:rsidP="00D63F5A">
      <w:pPr>
        <w:spacing w:line="240" w:lineRule="auto"/>
        <w:jc w:val="both"/>
        <w:rPr>
          <w:rFonts w:ascii="Arial" w:hAnsi="Arial" w:cs="Arial"/>
          <w:b/>
          <w:bCs/>
          <w:sz w:val="20"/>
          <w:szCs w:val="20"/>
        </w:rPr>
      </w:pPr>
      <w:r w:rsidRPr="00D63F5A">
        <w:rPr>
          <w:rFonts w:ascii="Arial" w:hAnsi="Arial" w:cs="Arial"/>
          <w:sz w:val="20"/>
          <w:szCs w:val="20"/>
        </w:rPr>
        <w:t>Pan-genomics expands beyond a single reference genome by capturing the full genetic diversity within a species. It distinguishes between the core genome, shared by all accessions, and the dispensable genome, present only in some genotypes. For example, a tomato pan-genome constructed from 725 accessions identified over 4,800 genes absent from the standard reference, including alleles associated with aroma and soluble solids content (Gao et al., 2019). The development of pan-genomic resources in crops such as potato, banana, citrus, and pepper are expected to improve GWAS resolution, genomic selection accuracy, and candidate gene discovery.</w:t>
      </w:r>
      <w:r w:rsidRPr="00D63F5A">
        <w:rPr>
          <w:rFonts w:ascii="Arial" w:hAnsi="Arial" w:cs="Arial"/>
          <w:b/>
          <w:bCs/>
          <w:sz w:val="20"/>
          <w:szCs w:val="20"/>
        </w:rPr>
        <w:t xml:space="preserve"> </w:t>
      </w:r>
    </w:p>
    <w:p w14:paraId="28DE6185" w14:textId="1AD59F6D" w:rsidR="00CE4171" w:rsidRPr="005F3664" w:rsidRDefault="00CE4171" w:rsidP="00D63F5A">
      <w:pPr>
        <w:spacing w:line="240" w:lineRule="auto"/>
        <w:jc w:val="both"/>
        <w:rPr>
          <w:rFonts w:ascii="Arial" w:hAnsi="Arial" w:cs="Arial"/>
          <w:b/>
          <w:bCs/>
        </w:rPr>
      </w:pPr>
      <w:r w:rsidRPr="005F3664">
        <w:rPr>
          <w:rFonts w:ascii="Arial" w:hAnsi="Arial" w:cs="Arial"/>
          <w:b/>
          <w:bCs/>
        </w:rPr>
        <w:t>4.2 Transcriptomics, Proteomics, and Metabolomics</w:t>
      </w:r>
    </w:p>
    <w:p w14:paraId="764FFEDC" w14:textId="77777777"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RNA sequencing (RNA-</w:t>
      </w:r>
      <w:proofErr w:type="spellStart"/>
      <w:r w:rsidRPr="005F3664">
        <w:rPr>
          <w:rFonts w:ascii="Arial" w:hAnsi="Arial" w:cs="Arial"/>
          <w:sz w:val="20"/>
          <w:szCs w:val="20"/>
        </w:rPr>
        <w:t>seq</w:t>
      </w:r>
      <w:proofErr w:type="spellEnd"/>
      <w:r w:rsidRPr="005F3664">
        <w:rPr>
          <w:rFonts w:ascii="Arial" w:hAnsi="Arial" w:cs="Arial"/>
          <w:sz w:val="20"/>
          <w:szCs w:val="20"/>
        </w:rPr>
        <w:t>) enables comprehensive profiling of transcriptomic activity across tissues, developmental stages, and environmental treatments, providing direct insight into gene expression dynamics underlying complex trait biology. In horticultural breeding, transcriptomic approaches have been applied to identify candidate genes within QTL regions, characterize molecular responses to abiotic stresses (e.g., drought, heat, salinity) and biotic challenges, and elucidate regulatory networks governing fruit ripening and quality development. Comparative transcriptome analyses between contrasting genotypes for disease resistance, post-harvest performance, and stress tolerance have yielded valuable candidate gene sets for downstream functional validation and marker development in crops such as tomato, citrus, mango, and banana (Gao et al., 2019).</w:t>
      </w:r>
    </w:p>
    <w:p w14:paraId="3CF68219" w14:textId="3622FDCC" w:rsidR="009C34BF"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 xml:space="preserve">Metabolomics, defined as the comprehensive analysis of low-molecular-weight metabolites, has proven particularly impactful for dissecting fruit quality traits, as sensory attributes such as </w:t>
      </w:r>
      <w:proofErr w:type="spellStart"/>
      <w:r w:rsidRPr="005F3664">
        <w:rPr>
          <w:rFonts w:ascii="Arial" w:hAnsi="Arial" w:cs="Arial"/>
          <w:sz w:val="20"/>
          <w:szCs w:val="20"/>
        </w:rPr>
        <w:t>flavor</w:t>
      </w:r>
      <w:proofErr w:type="spellEnd"/>
      <w:r w:rsidRPr="005F3664">
        <w:rPr>
          <w:rFonts w:ascii="Arial" w:hAnsi="Arial" w:cs="Arial"/>
          <w:sz w:val="20"/>
          <w:szCs w:val="20"/>
        </w:rPr>
        <w:t xml:space="preserve">, aroma, </w:t>
      </w:r>
      <w:proofErr w:type="spellStart"/>
      <w:r w:rsidRPr="005F3664">
        <w:rPr>
          <w:rFonts w:ascii="Arial" w:hAnsi="Arial" w:cs="Arial"/>
          <w:sz w:val="20"/>
          <w:szCs w:val="20"/>
        </w:rPr>
        <w:t>color</w:t>
      </w:r>
      <w:proofErr w:type="spellEnd"/>
      <w:r w:rsidRPr="005F3664">
        <w:rPr>
          <w:rFonts w:ascii="Arial" w:hAnsi="Arial" w:cs="Arial"/>
          <w:sz w:val="20"/>
          <w:szCs w:val="20"/>
        </w:rPr>
        <w:t>, and nutritional value are largely determined by specific metabolite compositions. The integration of metabolomic profiling with GWAS approaches</w:t>
      </w:r>
      <w:r w:rsidR="005856F9" w:rsidRPr="005F3664">
        <w:rPr>
          <w:rFonts w:ascii="Arial" w:hAnsi="Arial" w:cs="Arial"/>
          <w:sz w:val="20"/>
          <w:szCs w:val="20"/>
        </w:rPr>
        <w:t>-</w:t>
      </w:r>
      <w:r w:rsidRPr="005F3664">
        <w:rPr>
          <w:rFonts w:ascii="Arial" w:hAnsi="Arial" w:cs="Arial"/>
          <w:sz w:val="20"/>
          <w:szCs w:val="20"/>
        </w:rPr>
        <w:t>often termed metabolome-QTL (</w:t>
      </w:r>
      <w:proofErr w:type="spellStart"/>
      <w:r w:rsidRPr="005F3664">
        <w:rPr>
          <w:rFonts w:ascii="Arial" w:hAnsi="Arial" w:cs="Arial"/>
          <w:sz w:val="20"/>
          <w:szCs w:val="20"/>
        </w:rPr>
        <w:t>mQTL</w:t>
      </w:r>
      <w:proofErr w:type="spellEnd"/>
      <w:r w:rsidRPr="005F3664">
        <w:rPr>
          <w:rFonts w:ascii="Arial" w:hAnsi="Arial" w:cs="Arial"/>
          <w:sz w:val="20"/>
          <w:szCs w:val="20"/>
        </w:rPr>
        <w:t>) or metabolome-wide association studies (</w:t>
      </w:r>
      <w:proofErr w:type="spellStart"/>
      <w:r w:rsidRPr="005F3664">
        <w:rPr>
          <w:rFonts w:ascii="Arial" w:hAnsi="Arial" w:cs="Arial"/>
          <w:sz w:val="20"/>
          <w:szCs w:val="20"/>
        </w:rPr>
        <w:t>mGWAS</w:t>
      </w:r>
      <w:proofErr w:type="spellEnd"/>
      <w:r w:rsidRPr="005F3664">
        <w:rPr>
          <w:rFonts w:ascii="Arial" w:hAnsi="Arial" w:cs="Arial"/>
          <w:sz w:val="20"/>
          <w:szCs w:val="20"/>
        </w:rPr>
        <w:t>)</w:t>
      </w:r>
      <w:r w:rsidR="005856F9" w:rsidRPr="005F3664">
        <w:rPr>
          <w:rFonts w:ascii="Arial" w:hAnsi="Arial" w:cs="Arial"/>
          <w:sz w:val="20"/>
          <w:szCs w:val="20"/>
        </w:rPr>
        <w:t>-</w:t>
      </w:r>
      <w:r w:rsidRPr="005F3664">
        <w:rPr>
          <w:rFonts w:ascii="Arial" w:hAnsi="Arial" w:cs="Arial"/>
          <w:sz w:val="20"/>
          <w:szCs w:val="20"/>
        </w:rPr>
        <w:t xml:space="preserve">has enabled identification of genomic loci controlling the accumulation of key volatiles, carotenoids, flavonoids, and </w:t>
      </w:r>
      <w:proofErr w:type="spellStart"/>
      <w:r w:rsidRPr="005F3664">
        <w:rPr>
          <w:rFonts w:ascii="Arial" w:hAnsi="Arial" w:cs="Arial"/>
          <w:sz w:val="20"/>
          <w:szCs w:val="20"/>
        </w:rPr>
        <w:t>glucosinolates</w:t>
      </w:r>
      <w:proofErr w:type="spellEnd"/>
      <w:r w:rsidRPr="005F3664">
        <w:rPr>
          <w:rFonts w:ascii="Arial" w:hAnsi="Arial" w:cs="Arial"/>
          <w:sz w:val="20"/>
          <w:szCs w:val="20"/>
        </w:rPr>
        <w:t xml:space="preserve"> in crops including tomato, grape, brassica, and citrus. These studies provide precise molecular targets for breeding programs aimed at enhancing quality attributes (</w:t>
      </w:r>
      <w:proofErr w:type="spellStart"/>
      <w:r w:rsidRPr="005F3664">
        <w:rPr>
          <w:rFonts w:ascii="Arial" w:hAnsi="Arial" w:cs="Arial"/>
          <w:sz w:val="20"/>
          <w:szCs w:val="20"/>
        </w:rPr>
        <w:t>Tieman</w:t>
      </w:r>
      <w:proofErr w:type="spellEnd"/>
      <w:r w:rsidRPr="005F3664">
        <w:rPr>
          <w:rFonts w:ascii="Arial" w:hAnsi="Arial" w:cs="Arial"/>
          <w:sz w:val="20"/>
          <w:szCs w:val="20"/>
        </w:rPr>
        <w:t xml:space="preserve"> et al., 2017).</w:t>
      </w:r>
    </w:p>
    <w:p w14:paraId="34B8042B" w14:textId="55807ADE" w:rsidR="00CE4171" w:rsidRPr="005F3664" w:rsidRDefault="00CE4171" w:rsidP="00E53B33">
      <w:pPr>
        <w:spacing w:line="240" w:lineRule="auto"/>
        <w:jc w:val="both"/>
        <w:rPr>
          <w:rFonts w:ascii="Arial" w:hAnsi="Arial" w:cs="Arial"/>
          <w:b/>
          <w:bCs/>
        </w:rPr>
      </w:pPr>
      <w:r w:rsidRPr="005F3664">
        <w:rPr>
          <w:rFonts w:ascii="Arial" w:hAnsi="Arial" w:cs="Arial"/>
          <w:b/>
          <w:bCs/>
        </w:rPr>
        <w:t>4.3 Speed Breeding and High-Throughput Phenotyping</w:t>
      </w:r>
    </w:p>
    <w:p w14:paraId="1284A503" w14:textId="4FC3BD44" w:rsidR="00CE4171"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Speed breeding, achieved through optimization of photoperiod regimes, LED light spectra, temperature, and humidity conditions, has demonstrated substantial reductions in generation time. In tomato, generation cycles have been shortened from approximately 85</w:t>
      </w:r>
      <w:r w:rsidR="00195BC2">
        <w:rPr>
          <w:rFonts w:ascii="Arial" w:hAnsi="Arial" w:cs="Arial"/>
          <w:sz w:val="20"/>
          <w:szCs w:val="20"/>
        </w:rPr>
        <w:t>-</w:t>
      </w:r>
      <w:r w:rsidRPr="005F3664">
        <w:rPr>
          <w:rFonts w:ascii="Arial" w:hAnsi="Arial" w:cs="Arial"/>
          <w:sz w:val="20"/>
          <w:szCs w:val="20"/>
        </w:rPr>
        <w:t>105 days to 42</w:t>
      </w:r>
      <w:r w:rsidR="00195BC2">
        <w:rPr>
          <w:rFonts w:ascii="Arial" w:hAnsi="Arial" w:cs="Arial"/>
          <w:sz w:val="20"/>
          <w:szCs w:val="20"/>
        </w:rPr>
        <w:t>-</w:t>
      </w:r>
      <w:r w:rsidRPr="005F3664">
        <w:rPr>
          <w:rFonts w:ascii="Arial" w:hAnsi="Arial" w:cs="Arial"/>
          <w:sz w:val="20"/>
          <w:szCs w:val="20"/>
        </w:rPr>
        <w:t>60 days, enabling up to six generations annually compared with the conventional one to two (Watson et al., 2018). When combined with genomic selection for early-stage selection decisions and doubled haploid technologies for rapid line fixation, speed breeding can produce three- to five-fold increases in genetic gain per unit time.</w:t>
      </w:r>
    </w:p>
    <w:p w14:paraId="546BDAA9" w14:textId="56485FEC" w:rsidR="00EE50DD" w:rsidRPr="005F3664" w:rsidRDefault="00CE4171" w:rsidP="00E53B33">
      <w:pPr>
        <w:spacing w:line="240" w:lineRule="auto"/>
        <w:jc w:val="both"/>
        <w:rPr>
          <w:rFonts w:ascii="Arial" w:hAnsi="Arial" w:cs="Arial"/>
          <w:sz w:val="20"/>
          <w:szCs w:val="20"/>
        </w:rPr>
      </w:pPr>
      <w:r w:rsidRPr="005F3664">
        <w:rPr>
          <w:rFonts w:ascii="Arial" w:hAnsi="Arial" w:cs="Arial"/>
          <w:sz w:val="20"/>
          <w:szCs w:val="20"/>
        </w:rPr>
        <w:t>High-throughput phenotyping (HTP) technologies address the longstanding phenotyping bottleneck limiting the full implementation of genomic selection. Platforms incorporating RGB imaging, multispectral and hyperspectral sensors, LiDAR, thermal infrared imaging, and unmanned aerial vehicles (UAVs), integrated with machine vision and deep learning algorithms for automated trait extraction, enable rapid and precise phenotypic data acquisition at scale (</w:t>
      </w:r>
      <w:proofErr w:type="spellStart"/>
      <w:r w:rsidRPr="005F3664">
        <w:rPr>
          <w:rFonts w:ascii="Arial" w:hAnsi="Arial" w:cs="Arial"/>
          <w:sz w:val="20"/>
          <w:szCs w:val="20"/>
        </w:rPr>
        <w:t>Araus</w:t>
      </w:r>
      <w:proofErr w:type="spellEnd"/>
      <w:r w:rsidRPr="005F3664">
        <w:rPr>
          <w:rFonts w:ascii="Arial" w:hAnsi="Arial" w:cs="Arial"/>
          <w:sz w:val="20"/>
          <w:szCs w:val="20"/>
        </w:rPr>
        <w:t xml:space="preserve"> et al., 2018). The convergence of HTP with genomic tools is central to accelerating breeding cycles and enhancing predictive breeding accuracy in horticultural crops.</w:t>
      </w:r>
    </w:p>
    <w:p w14:paraId="020EFF39" w14:textId="77777777" w:rsidR="00BA458F" w:rsidRPr="005F3664" w:rsidRDefault="00BA458F" w:rsidP="00E53B33">
      <w:pPr>
        <w:spacing w:line="240" w:lineRule="auto"/>
        <w:jc w:val="both"/>
        <w:rPr>
          <w:rFonts w:ascii="Arial" w:hAnsi="Arial" w:cs="Arial"/>
          <w:b/>
          <w:bCs/>
          <w:sz w:val="24"/>
          <w:szCs w:val="24"/>
        </w:rPr>
      </w:pPr>
    </w:p>
    <w:p w14:paraId="3F17B169" w14:textId="5FA618B7" w:rsidR="0051097E" w:rsidRPr="005F3664" w:rsidRDefault="00EE50DD" w:rsidP="00E53B33">
      <w:pPr>
        <w:spacing w:line="240" w:lineRule="auto"/>
        <w:jc w:val="both"/>
        <w:rPr>
          <w:rFonts w:ascii="Arial" w:hAnsi="Arial" w:cs="Arial"/>
          <w:b/>
          <w:bCs/>
          <w:sz w:val="24"/>
          <w:szCs w:val="24"/>
        </w:rPr>
      </w:pPr>
      <w:r w:rsidRPr="005F3664">
        <w:rPr>
          <w:rFonts w:ascii="Arial" w:hAnsi="Arial" w:cs="Arial"/>
          <w:b/>
          <w:bCs/>
          <w:sz w:val="24"/>
          <w:szCs w:val="24"/>
        </w:rPr>
        <w:t>Table 1. Key Horticultural Crops: Conventional and Molecular/Genomic Breeding Achievements</w:t>
      </w:r>
    </w:p>
    <w:tbl>
      <w:tblPr>
        <w:tblStyle w:val="TableGridLight"/>
        <w:tblW w:w="9360" w:type="dxa"/>
        <w:tblLook w:val="0000" w:firstRow="0" w:lastRow="0" w:firstColumn="0" w:lastColumn="0" w:noHBand="0" w:noVBand="0"/>
      </w:tblPr>
      <w:tblGrid>
        <w:gridCol w:w="1450"/>
        <w:gridCol w:w="1673"/>
        <w:gridCol w:w="1900"/>
        <w:gridCol w:w="2061"/>
        <w:gridCol w:w="2276"/>
      </w:tblGrid>
      <w:tr w:rsidR="003876C2" w:rsidRPr="005F3664" w14:paraId="63CCFCE7" w14:textId="77777777" w:rsidTr="003876C2">
        <w:tc>
          <w:tcPr>
            <w:tcW w:w="1200" w:type="dxa"/>
          </w:tcPr>
          <w:p w14:paraId="595EC27D"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Crop</w:t>
            </w:r>
          </w:p>
        </w:tc>
        <w:tc>
          <w:tcPr>
            <w:tcW w:w="1400" w:type="dxa"/>
          </w:tcPr>
          <w:p w14:paraId="235821E9"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Ploidy</w:t>
            </w:r>
          </w:p>
        </w:tc>
        <w:tc>
          <w:tcPr>
            <w:tcW w:w="2000" w:type="dxa"/>
          </w:tcPr>
          <w:p w14:paraId="07199BB9"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Conventional Method &amp; Achievement</w:t>
            </w:r>
          </w:p>
        </w:tc>
        <w:tc>
          <w:tcPr>
            <w:tcW w:w="2000" w:type="dxa"/>
          </w:tcPr>
          <w:p w14:paraId="7C77C4E5"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Molecular/Genomic Approach</w:t>
            </w:r>
          </w:p>
        </w:tc>
        <w:tc>
          <w:tcPr>
            <w:tcW w:w="2760" w:type="dxa"/>
          </w:tcPr>
          <w:p w14:paraId="19C98A57"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Key Reference</w:t>
            </w:r>
          </w:p>
        </w:tc>
      </w:tr>
      <w:tr w:rsidR="003876C2" w:rsidRPr="005F3664" w14:paraId="5C419EC5" w14:textId="77777777" w:rsidTr="003876C2">
        <w:tc>
          <w:tcPr>
            <w:tcW w:w="1200" w:type="dxa"/>
          </w:tcPr>
          <w:p w14:paraId="4A0F06D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lastRenderedPageBreak/>
              <w:t>Tomato (</w:t>
            </w:r>
            <w:proofErr w:type="spellStart"/>
            <w:r w:rsidRPr="005F3664">
              <w:rPr>
                <w:rFonts w:ascii="Arial" w:eastAsia="Times New Roman" w:hAnsi="Arial" w:cs="Arial"/>
                <w:i/>
                <w:iCs/>
                <w:sz w:val="20"/>
                <w:szCs w:val="20"/>
                <w:lang w:eastAsia="en-IN"/>
              </w:rPr>
              <w:t>Solanum</w:t>
            </w:r>
            <w:proofErr w:type="spellEnd"/>
            <w:r w:rsidRPr="005F3664">
              <w:rPr>
                <w:rFonts w:ascii="Arial" w:eastAsia="Times New Roman" w:hAnsi="Arial" w:cs="Arial"/>
                <w:i/>
                <w:iCs/>
                <w:sz w:val="20"/>
                <w:szCs w:val="20"/>
                <w:lang w:eastAsia="en-IN"/>
              </w:rPr>
              <w:t xml:space="preserve"> </w:t>
            </w:r>
            <w:proofErr w:type="spellStart"/>
            <w:r w:rsidRPr="005F3664">
              <w:rPr>
                <w:rFonts w:ascii="Arial" w:eastAsia="Times New Roman" w:hAnsi="Arial" w:cs="Arial"/>
                <w:i/>
                <w:iCs/>
                <w:sz w:val="20"/>
                <w:szCs w:val="20"/>
                <w:lang w:eastAsia="en-IN"/>
              </w:rPr>
              <w:t>lycopersicum</w:t>
            </w:r>
            <w:proofErr w:type="spellEnd"/>
            <w:r w:rsidRPr="005F3664">
              <w:rPr>
                <w:rFonts w:ascii="Arial" w:eastAsia="Times New Roman" w:hAnsi="Arial" w:cs="Arial"/>
                <w:sz w:val="20"/>
                <w:szCs w:val="20"/>
                <w:lang w:eastAsia="en-IN"/>
              </w:rPr>
              <w:t>)</w:t>
            </w:r>
          </w:p>
        </w:tc>
        <w:tc>
          <w:tcPr>
            <w:tcW w:w="1400" w:type="dxa"/>
          </w:tcPr>
          <w:p w14:paraId="3D85D5D9"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2x (diploid)</w:t>
            </w:r>
          </w:p>
        </w:tc>
        <w:tc>
          <w:tcPr>
            <w:tcW w:w="2000" w:type="dxa"/>
          </w:tcPr>
          <w:p w14:paraId="5269AFB6" w14:textId="1C6BE7EB"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Backcross </w:t>
            </w:r>
            <w:proofErr w:type="spellStart"/>
            <w:r w:rsidRPr="005F3664">
              <w:rPr>
                <w:rFonts w:ascii="Arial" w:eastAsia="Times New Roman" w:hAnsi="Arial" w:cs="Arial"/>
                <w:sz w:val="20"/>
                <w:szCs w:val="20"/>
                <w:lang w:eastAsia="en-IN"/>
              </w:rPr>
              <w:t>introgression</w:t>
            </w:r>
            <w:proofErr w:type="spellEnd"/>
            <w:r w:rsidRPr="005F3664">
              <w:rPr>
                <w:rFonts w:ascii="Arial" w:eastAsia="Times New Roman" w:hAnsi="Arial" w:cs="Arial"/>
                <w:sz w:val="20"/>
                <w:szCs w:val="20"/>
                <w:lang w:eastAsia="en-IN"/>
              </w:rPr>
              <w:t xml:space="preserve"> of </w:t>
            </w:r>
            <w:r w:rsidRPr="00B260D1">
              <w:rPr>
                <w:rFonts w:ascii="Arial" w:eastAsia="Times New Roman" w:hAnsi="Arial" w:cs="Arial"/>
                <w:i/>
                <w:iCs/>
                <w:sz w:val="20"/>
                <w:szCs w:val="20"/>
                <w:lang w:eastAsia="en-IN"/>
              </w:rPr>
              <w:t>Ty-1</w:t>
            </w:r>
            <w:r w:rsidRPr="005F3664">
              <w:rPr>
                <w:rFonts w:ascii="Arial" w:eastAsia="Times New Roman" w:hAnsi="Arial" w:cs="Arial"/>
                <w:sz w:val="20"/>
                <w:szCs w:val="20"/>
                <w:lang w:eastAsia="en-IN"/>
              </w:rPr>
              <w:t xml:space="preserve">, </w:t>
            </w:r>
            <w:r w:rsidR="00B260D1" w:rsidRPr="00B260D1">
              <w:rPr>
                <w:rFonts w:ascii="Arial" w:eastAsia="Times New Roman" w:hAnsi="Arial" w:cs="Arial"/>
                <w:i/>
                <w:iCs/>
                <w:sz w:val="20"/>
                <w:szCs w:val="20"/>
                <w:lang w:eastAsia="en-IN"/>
              </w:rPr>
              <w:t>Ty-3</w:t>
            </w:r>
            <w:r w:rsidRPr="005F3664">
              <w:rPr>
                <w:rFonts w:ascii="Arial" w:eastAsia="Times New Roman" w:hAnsi="Arial" w:cs="Arial"/>
                <w:sz w:val="20"/>
                <w:szCs w:val="20"/>
                <w:lang w:eastAsia="en-IN"/>
              </w:rPr>
              <w:t xml:space="preserve"> (TYLCV resistance) from </w:t>
            </w:r>
            <w:r w:rsidRPr="00194143">
              <w:rPr>
                <w:rFonts w:ascii="Arial" w:eastAsia="Times New Roman" w:hAnsi="Arial" w:cs="Arial"/>
                <w:i/>
                <w:iCs/>
                <w:sz w:val="20"/>
                <w:szCs w:val="20"/>
                <w:lang w:eastAsia="en-IN"/>
              </w:rPr>
              <w:t xml:space="preserve">S. </w:t>
            </w:r>
            <w:proofErr w:type="spellStart"/>
            <w:r w:rsidRPr="00194143">
              <w:rPr>
                <w:rFonts w:ascii="Arial" w:eastAsia="Times New Roman" w:hAnsi="Arial" w:cs="Arial"/>
                <w:i/>
                <w:iCs/>
                <w:sz w:val="20"/>
                <w:szCs w:val="20"/>
                <w:lang w:eastAsia="en-IN"/>
              </w:rPr>
              <w:t>habrochaites</w:t>
            </w:r>
            <w:proofErr w:type="spellEnd"/>
            <w:r w:rsidRPr="00194143">
              <w:rPr>
                <w:rFonts w:ascii="Arial" w:eastAsia="Times New Roman" w:hAnsi="Arial" w:cs="Arial"/>
                <w:i/>
                <w:iCs/>
                <w:sz w:val="20"/>
                <w:szCs w:val="20"/>
                <w:lang w:eastAsia="en-IN"/>
              </w:rPr>
              <w:t>;</w:t>
            </w:r>
            <w:r w:rsidRPr="005F3664">
              <w:rPr>
                <w:rFonts w:ascii="Arial" w:eastAsia="Times New Roman" w:hAnsi="Arial" w:cs="Arial"/>
                <w:sz w:val="20"/>
                <w:szCs w:val="20"/>
                <w:lang w:eastAsia="en-IN"/>
              </w:rPr>
              <w:t xml:space="preserve"> pedigree selection for high Brix and disease resistance; CMS-based F1 hybrid systems</w:t>
            </w:r>
          </w:p>
        </w:tc>
        <w:tc>
          <w:tcPr>
            <w:tcW w:w="2000" w:type="dxa"/>
          </w:tcPr>
          <w:p w14:paraId="3B86B6B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MAS with CAPS/SSR markers; </w:t>
            </w:r>
            <w:proofErr w:type="spellStart"/>
            <w:r w:rsidRPr="005F3664">
              <w:rPr>
                <w:rFonts w:ascii="Arial" w:eastAsia="Times New Roman" w:hAnsi="Arial" w:cs="Arial"/>
                <w:sz w:val="20"/>
                <w:szCs w:val="20"/>
                <w:lang w:eastAsia="en-IN"/>
              </w:rPr>
              <w:t>SolCAP</w:t>
            </w:r>
            <w:proofErr w:type="spellEnd"/>
            <w:r w:rsidRPr="005F3664">
              <w:rPr>
                <w:rFonts w:ascii="Arial" w:eastAsia="Times New Roman" w:hAnsi="Arial" w:cs="Arial"/>
                <w:sz w:val="20"/>
                <w:szCs w:val="20"/>
                <w:lang w:eastAsia="en-IN"/>
              </w:rPr>
              <w:t xml:space="preserve"> SNP array; GWAS for fruit volatiles and metabolites; genomic selection for Brix and shelf-life</w:t>
            </w:r>
          </w:p>
        </w:tc>
        <w:tc>
          <w:tcPr>
            <w:tcW w:w="2760" w:type="dxa"/>
          </w:tcPr>
          <w:p w14:paraId="3A1BEC36" w14:textId="77777777" w:rsidR="003876C2" w:rsidRPr="005F3664" w:rsidRDefault="003876C2" w:rsidP="00E53B33">
            <w:pPr>
              <w:rPr>
                <w:rFonts w:ascii="Arial" w:eastAsia="Times New Roman" w:hAnsi="Arial" w:cs="Arial"/>
                <w:sz w:val="20"/>
                <w:szCs w:val="20"/>
                <w:lang w:eastAsia="en-IN"/>
              </w:rPr>
            </w:pPr>
            <w:r w:rsidRPr="004C0DDD">
              <w:rPr>
                <w:rFonts w:ascii="Arial" w:eastAsia="Times New Roman" w:hAnsi="Arial" w:cs="Arial"/>
                <w:sz w:val="20"/>
                <w:szCs w:val="20"/>
                <w:lang w:val="da-DK" w:eastAsia="en-IN"/>
              </w:rPr>
              <w:t xml:space="preserve">Foolad et al. (2020); Tieman et al. </w:t>
            </w:r>
            <w:r w:rsidRPr="005F3664">
              <w:rPr>
                <w:rFonts w:ascii="Arial" w:eastAsia="Times New Roman" w:hAnsi="Arial" w:cs="Arial"/>
                <w:sz w:val="20"/>
                <w:szCs w:val="20"/>
                <w:lang w:eastAsia="en-IN"/>
              </w:rPr>
              <w:t>(2017)</w:t>
            </w:r>
          </w:p>
        </w:tc>
      </w:tr>
      <w:tr w:rsidR="003876C2" w:rsidRPr="005F3664" w14:paraId="2911EA66" w14:textId="77777777" w:rsidTr="003876C2">
        <w:tc>
          <w:tcPr>
            <w:tcW w:w="1200" w:type="dxa"/>
          </w:tcPr>
          <w:p w14:paraId="5C74CC86"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Potato (</w:t>
            </w:r>
            <w:r w:rsidRPr="005F3664">
              <w:rPr>
                <w:rFonts w:ascii="Arial" w:eastAsia="Times New Roman" w:hAnsi="Arial" w:cs="Arial"/>
                <w:i/>
                <w:iCs/>
                <w:sz w:val="20"/>
                <w:szCs w:val="20"/>
                <w:lang w:eastAsia="en-IN"/>
              </w:rPr>
              <w:t>Solanum tuberosum</w:t>
            </w:r>
            <w:r w:rsidRPr="005F3664">
              <w:rPr>
                <w:rFonts w:ascii="Arial" w:eastAsia="Times New Roman" w:hAnsi="Arial" w:cs="Arial"/>
                <w:sz w:val="20"/>
                <w:szCs w:val="20"/>
                <w:lang w:eastAsia="en-IN"/>
              </w:rPr>
              <w:t>)</w:t>
            </w:r>
          </w:p>
        </w:tc>
        <w:tc>
          <w:tcPr>
            <w:tcW w:w="1400" w:type="dxa"/>
          </w:tcPr>
          <w:p w14:paraId="07D70C2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4x (autotetraploid)</w:t>
            </w:r>
          </w:p>
        </w:tc>
        <w:tc>
          <w:tcPr>
            <w:tcW w:w="2000" w:type="dxa"/>
          </w:tcPr>
          <w:p w14:paraId="5FFA9F2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Interspecific hybridisation from </w:t>
            </w:r>
            <w:r w:rsidRPr="00194143">
              <w:rPr>
                <w:rFonts w:ascii="Arial" w:eastAsia="Times New Roman" w:hAnsi="Arial" w:cs="Arial"/>
                <w:i/>
                <w:iCs/>
                <w:sz w:val="20"/>
                <w:szCs w:val="20"/>
                <w:lang w:eastAsia="en-IN"/>
              </w:rPr>
              <w:t xml:space="preserve">S. </w:t>
            </w:r>
            <w:proofErr w:type="spellStart"/>
            <w:r w:rsidRPr="00194143">
              <w:rPr>
                <w:rFonts w:ascii="Arial" w:eastAsia="Times New Roman" w:hAnsi="Arial" w:cs="Arial"/>
                <w:i/>
                <w:iCs/>
                <w:sz w:val="20"/>
                <w:szCs w:val="20"/>
                <w:lang w:eastAsia="en-IN"/>
              </w:rPr>
              <w:t>bulbocastanum</w:t>
            </w:r>
            <w:proofErr w:type="spellEnd"/>
            <w:r w:rsidRPr="005F3664">
              <w:rPr>
                <w:rFonts w:ascii="Arial" w:eastAsia="Times New Roman" w:hAnsi="Arial" w:cs="Arial"/>
                <w:sz w:val="20"/>
                <w:szCs w:val="20"/>
                <w:lang w:eastAsia="en-IN"/>
              </w:rPr>
              <w:t xml:space="preserve"> for </w:t>
            </w:r>
            <w:proofErr w:type="spellStart"/>
            <w:r w:rsidRPr="00194143">
              <w:rPr>
                <w:rFonts w:ascii="Arial" w:eastAsia="Times New Roman" w:hAnsi="Arial" w:cs="Arial"/>
                <w:i/>
                <w:iCs/>
                <w:sz w:val="20"/>
                <w:szCs w:val="20"/>
                <w:lang w:eastAsia="en-IN"/>
              </w:rPr>
              <w:t>Rpi-blb</w:t>
            </w:r>
            <w:proofErr w:type="spellEnd"/>
            <w:r w:rsidRPr="005F3664">
              <w:rPr>
                <w:rFonts w:ascii="Arial" w:eastAsia="Times New Roman" w:hAnsi="Arial" w:cs="Arial"/>
                <w:sz w:val="20"/>
                <w:szCs w:val="20"/>
                <w:lang w:eastAsia="en-IN"/>
              </w:rPr>
              <w:t xml:space="preserve"> genes (late blight); mutation breeding for starch modification; backcross selection for processing quality</w:t>
            </w:r>
          </w:p>
        </w:tc>
        <w:tc>
          <w:tcPr>
            <w:tcW w:w="2000" w:type="dxa"/>
          </w:tcPr>
          <w:p w14:paraId="2CB819E5"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Axiom 650K SNP array; GWAS for late blight resistance and starch; diploid GS platform; MABC for </w:t>
            </w:r>
            <w:proofErr w:type="spellStart"/>
            <w:r w:rsidRPr="00194143">
              <w:rPr>
                <w:rFonts w:ascii="Arial" w:eastAsia="Times New Roman" w:hAnsi="Arial" w:cs="Arial"/>
                <w:i/>
                <w:iCs/>
                <w:sz w:val="20"/>
                <w:szCs w:val="20"/>
                <w:lang w:eastAsia="en-IN"/>
              </w:rPr>
              <w:t>Rpi</w:t>
            </w:r>
            <w:proofErr w:type="spellEnd"/>
            <w:r w:rsidRPr="005F3664">
              <w:rPr>
                <w:rFonts w:ascii="Arial" w:eastAsia="Times New Roman" w:hAnsi="Arial" w:cs="Arial"/>
                <w:sz w:val="20"/>
                <w:szCs w:val="20"/>
                <w:lang w:eastAsia="en-IN"/>
              </w:rPr>
              <w:t xml:space="preserve"> gene pyramiding</w:t>
            </w:r>
          </w:p>
        </w:tc>
        <w:tc>
          <w:tcPr>
            <w:tcW w:w="2760" w:type="dxa"/>
          </w:tcPr>
          <w:p w14:paraId="2DC63CA9" w14:textId="77777777" w:rsidR="003876C2" w:rsidRPr="005F3664" w:rsidRDefault="003876C2" w:rsidP="00E53B33">
            <w:pPr>
              <w:rPr>
                <w:rFonts w:ascii="Arial" w:eastAsia="Times New Roman" w:hAnsi="Arial" w:cs="Arial"/>
                <w:sz w:val="20"/>
                <w:szCs w:val="20"/>
                <w:lang w:eastAsia="en-IN"/>
              </w:rPr>
            </w:pPr>
            <w:r w:rsidRPr="004C0DDD">
              <w:rPr>
                <w:rFonts w:ascii="Arial" w:eastAsia="Times New Roman" w:hAnsi="Arial" w:cs="Arial"/>
                <w:sz w:val="20"/>
                <w:szCs w:val="20"/>
                <w:lang w:val="da-DK" w:eastAsia="en-IN"/>
              </w:rPr>
              <w:t xml:space="preserve">Lindqvist-Kreuze et al. (2020); Andersson et al. </w:t>
            </w:r>
            <w:r w:rsidRPr="005F3664">
              <w:rPr>
                <w:rFonts w:ascii="Arial" w:eastAsia="Times New Roman" w:hAnsi="Arial" w:cs="Arial"/>
                <w:sz w:val="20"/>
                <w:szCs w:val="20"/>
                <w:lang w:eastAsia="en-IN"/>
              </w:rPr>
              <w:t>(2017)</w:t>
            </w:r>
          </w:p>
        </w:tc>
      </w:tr>
      <w:tr w:rsidR="003876C2" w:rsidRPr="005F3664" w14:paraId="63348085" w14:textId="77777777" w:rsidTr="003876C2">
        <w:tc>
          <w:tcPr>
            <w:tcW w:w="1200" w:type="dxa"/>
          </w:tcPr>
          <w:p w14:paraId="2F5A1E1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Banana (</w:t>
            </w:r>
            <w:r w:rsidRPr="005F3664">
              <w:rPr>
                <w:rFonts w:ascii="Arial" w:eastAsia="Times New Roman" w:hAnsi="Arial" w:cs="Arial"/>
                <w:i/>
                <w:iCs/>
                <w:sz w:val="20"/>
                <w:szCs w:val="20"/>
                <w:lang w:eastAsia="en-IN"/>
              </w:rPr>
              <w:t>Musa spp</w:t>
            </w:r>
            <w:r w:rsidRPr="005F3664">
              <w:rPr>
                <w:rFonts w:ascii="Arial" w:eastAsia="Times New Roman" w:hAnsi="Arial" w:cs="Arial"/>
                <w:sz w:val="20"/>
                <w:szCs w:val="20"/>
                <w:lang w:eastAsia="en-IN"/>
              </w:rPr>
              <w:t>.)</w:t>
            </w:r>
          </w:p>
        </w:tc>
        <w:tc>
          <w:tcPr>
            <w:tcW w:w="1400" w:type="dxa"/>
          </w:tcPr>
          <w:p w14:paraId="2F40A2A2"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3x (triploid)</w:t>
            </w:r>
          </w:p>
        </w:tc>
        <w:tc>
          <w:tcPr>
            <w:tcW w:w="2000" w:type="dxa"/>
          </w:tcPr>
          <w:p w14:paraId="5DABF19F"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Diploid x tetraploid crossing scheme at IITA; NARITA and FHIA improved tetraploid hybrids; selection for Fusarium TR4 partial resistance in diploid breeding lines</w:t>
            </w:r>
          </w:p>
        </w:tc>
        <w:tc>
          <w:tcPr>
            <w:tcW w:w="2000" w:type="dxa"/>
          </w:tcPr>
          <w:p w14:paraId="2861599F"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GBS-based diversity analysis; SSR fingerprinting; CRISPR-mediated </w:t>
            </w:r>
            <w:r w:rsidRPr="00194143">
              <w:rPr>
                <w:rFonts w:ascii="Arial" w:eastAsia="Times New Roman" w:hAnsi="Arial" w:cs="Arial"/>
                <w:i/>
                <w:iCs/>
                <w:sz w:val="20"/>
                <w:szCs w:val="20"/>
                <w:lang w:eastAsia="en-IN"/>
              </w:rPr>
              <w:t>RGA2</w:t>
            </w:r>
            <w:r w:rsidRPr="005F3664">
              <w:rPr>
                <w:rFonts w:ascii="Arial" w:eastAsia="Times New Roman" w:hAnsi="Arial" w:cs="Arial"/>
                <w:sz w:val="20"/>
                <w:szCs w:val="20"/>
                <w:lang w:eastAsia="en-IN"/>
              </w:rPr>
              <w:t xml:space="preserve"> resistance gene expression in Cavendish</w:t>
            </w:r>
          </w:p>
        </w:tc>
        <w:tc>
          <w:tcPr>
            <w:tcW w:w="2760" w:type="dxa"/>
          </w:tcPr>
          <w:p w14:paraId="39B80214" w14:textId="77777777" w:rsidR="003876C2" w:rsidRPr="005F3664" w:rsidRDefault="003876C2" w:rsidP="00E53B33">
            <w:pPr>
              <w:rPr>
                <w:rFonts w:ascii="Arial" w:eastAsia="Times New Roman" w:hAnsi="Arial" w:cs="Arial"/>
                <w:sz w:val="20"/>
                <w:szCs w:val="20"/>
                <w:lang w:eastAsia="en-IN"/>
              </w:rPr>
            </w:pPr>
            <w:r w:rsidRPr="004C0DDD">
              <w:rPr>
                <w:rFonts w:ascii="Arial" w:eastAsia="Times New Roman" w:hAnsi="Arial" w:cs="Arial"/>
                <w:sz w:val="20"/>
                <w:szCs w:val="20"/>
                <w:lang w:val="da-DK" w:eastAsia="en-IN"/>
              </w:rPr>
              <w:t xml:space="preserve">Dale et al. (2017); Ekesa et al. </w:t>
            </w:r>
            <w:r w:rsidRPr="005F3664">
              <w:rPr>
                <w:rFonts w:ascii="Arial" w:eastAsia="Times New Roman" w:hAnsi="Arial" w:cs="Arial"/>
                <w:sz w:val="20"/>
                <w:szCs w:val="20"/>
                <w:lang w:eastAsia="en-IN"/>
              </w:rPr>
              <w:t>(2020)</w:t>
            </w:r>
          </w:p>
        </w:tc>
      </w:tr>
      <w:tr w:rsidR="003876C2" w:rsidRPr="005F3664" w14:paraId="39FAE9AC" w14:textId="77777777" w:rsidTr="003876C2">
        <w:tc>
          <w:tcPr>
            <w:tcW w:w="1200" w:type="dxa"/>
          </w:tcPr>
          <w:p w14:paraId="7033648D"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Citrus (</w:t>
            </w:r>
            <w:r w:rsidRPr="005F3664">
              <w:rPr>
                <w:rFonts w:ascii="Arial" w:eastAsia="Times New Roman" w:hAnsi="Arial" w:cs="Arial"/>
                <w:i/>
                <w:iCs/>
                <w:sz w:val="20"/>
                <w:szCs w:val="20"/>
                <w:lang w:eastAsia="en-IN"/>
              </w:rPr>
              <w:t>Citrus spp.</w:t>
            </w:r>
            <w:r w:rsidRPr="005F3664">
              <w:rPr>
                <w:rFonts w:ascii="Arial" w:eastAsia="Times New Roman" w:hAnsi="Arial" w:cs="Arial"/>
                <w:sz w:val="20"/>
                <w:szCs w:val="20"/>
                <w:lang w:eastAsia="en-IN"/>
              </w:rPr>
              <w:t>)</w:t>
            </w:r>
          </w:p>
        </w:tc>
        <w:tc>
          <w:tcPr>
            <w:tcW w:w="1400" w:type="dxa"/>
          </w:tcPr>
          <w:p w14:paraId="7EA5672F"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Diploid/polyploid</w:t>
            </w:r>
          </w:p>
        </w:tc>
        <w:tc>
          <w:tcPr>
            <w:tcW w:w="2000" w:type="dxa"/>
          </w:tcPr>
          <w:p w14:paraId="2A7480E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Clonal selection for </w:t>
            </w:r>
            <w:proofErr w:type="spellStart"/>
            <w:r w:rsidRPr="005F3664">
              <w:rPr>
                <w:rFonts w:ascii="Arial" w:eastAsia="Times New Roman" w:hAnsi="Arial" w:cs="Arial"/>
                <w:sz w:val="20"/>
                <w:szCs w:val="20"/>
                <w:lang w:eastAsia="en-IN"/>
              </w:rPr>
              <w:t>seedlessness</w:t>
            </w:r>
            <w:proofErr w:type="spellEnd"/>
            <w:r w:rsidRPr="005F3664">
              <w:rPr>
                <w:rFonts w:ascii="Arial" w:eastAsia="Times New Roman" w:hAnsi="Arial" w:cs="Arial"/>
                <w:sz w:val="20"/>
                <w:szCs w:val="20"/>
                <w:lang w:eastAsia="en-IN"/>
              </w:rPr>
              <w:t>; trifoliate rootstock deployment; conventional grafting for CTV tolerance; hybridisation for Navel and mandarin improvement</w:t>
            </w:r>
          </w:p>
        </w:tc>
        <w:tc>
          <w:tcPr>
            <w:tcW w:w="2000" w:type="dxa"/>
          </w:tcPr>
          <w:p w14:paraId="5282812D"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90K Axiom SNP chip; MAS for CTV resistance; CRISPR editing of </w:t>
            </w:r>
            <w:r w:rsidRPr="00194143">
              <w:rPr>
                <w:rFonts w:ascii="Arial" w:eastAsia="Times New Roman" w:hAnsi="Arial" w:cs="Arial"/>
                <w:i/>
                <w:iCs/>
                <w:sz w:val="20"/>
                <w:szCs w:val="20"/>
                <w:lang w:eastAsia="en-IN"/>
              </w:rPr>
              <w:t>CsLOB1</w:t>
            </w:r>
            <w:r w:rsidRPr="005F3664">
              <w:rPr>
                <w:rFonts w:ascii="Arial" w:eastAsia="Times New Roman" w:hAnsi="Arial" w:cs="Arial"/>
                <w:sz w:val="20"/>
                <w:szCs w:val="20"/>
                <w:lang w:eastAsia="en-IN"/>
              </w:rPr>
              <w:t xml:space="preserve"> promoter for canker resistance</w:t>
            </w:r>
          </w:p>
        </w:tc>
        <w:tc>
          <w:tcPr>
            <w:tcW w:w="2760" w:type="dxa"/>
          </w:tcPr>
          <w:p w14:paraId="73A271F6" w14:textId="77777777" w:rsidR="003876C2" w:rsidRPr="005F3664" w:rsidRDefault="003876C2" w:rsidP="00E53B33">
            <w:pPr>
              <w:rPr>
                <w:rFonts w:ascii="Arial" w:eastAsia="Times New Roman" w:hAnsi="Arial" w:cs="Arial"/>
                <w:sz w:val="20"/>
                <w:szCs w:val="20"/>
                <w:lang w:eastAsia="en-IN"/>
              </w:rPr>
            </w:pPr>
            <w:r w:rsidRPr="004C0DDD">
              <w:rPr>
                <w:rFonts w:ascii="Arial" w:eastAsia="Times New Roman" w:hAnsi="Arial" w:cs="Arial"/>
                <w:sz w:val="20"/>
                <w:szCs w:val="20"/>
                <w:lang w:val="da-DK" w:eastAsia="en-IN"/>
              </w:rPr>
              <w:t xml:space="preserve">Jia et al. (2017); Gmitter et al. </w:t>
            </w:r>
            <w:r w:rsidRPr="005F3664">
              <w:rPr>
                <w:rFonts w:ascii="Arial" w:eastAsia="Times New Roman" w:hAnsi="Arial" w:cs="Arial"/>
                <w:sz w:val="20"/>
                <w:szCs w:val="20"/>
                <w:lang w:eastAsia="en-IN"/>
              </w:rPr>
              <w:t>(2020)</w:t>
            </w:r>
          </w:p>
        </w:tc>
      </w:tr>
      <w:tr w:rsidR="003876C2" w:rsidRPr="005F3664" w14:paraId="6D31D18E" w14:textId="77777777" w:rsidTr="003876C2">
        <w:tc>
          <w:tcPr>
            <w:tcW w:w="1200" w:type="dxa"/>
          </w:tcPr>
          <w:p w14:paraId="69E33656"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Mango </w:t>
            </w:r>
            <w:r w:rsidRPr="005F3664">
              <w:rPr>
                <w:rFonts w:ascii="Arial" w:eastAsia="Times New Roman" w:hAnsi="Arial" w:cs="Arial"/>
                <w:i/>
                <w:iCs/>
                <w:sz w:val="20"/>
                <w:szCs w:val="20"/>
                <w:lang w:eastAsia="en-IN"/>
              </w:rPr>
              <w:t>(</w:t>
            </w:r>
            <w:proofErr w:type="spellStart"/>
            <w:r w:rsidRPr="005F3664">
              <w:rPr>
                <w:rFonts w:ascii="Arial" w:eastAsia="Times New Roman" w:hAnsi="Arial" w:cs="Arial"/>
                <w:i/>
                <w:iCs/>
                <w:sz w:val="20"/>
                <w:szCs w:val="20"/>
                <w:lang w:eastAsia="en-IN"/>
              </w:rPr>
              <w:t>Mangifera</w:t>
            </w:r>
            <w:proofErr w:type="spellEnd"/>
            <w:r w:rsidRPr="005F3664">
              <w:rPr>
                <w:rFonts w:ascii="Arial" w:eastAsia="Times New Roman" w:hAnsi="Arial" w:cs="Arial"/>
                <w:i/>
                <w:iCs/>
                <w:sz w:val="20"/>
                <w:szCs w:val="20"/>
                <w:lang w:eastAsia="en-IN"/>
              </w:rPr>
              <w:t xml:space="preserve"> </w:t>
            </w:r>
            <w:proofErr w:type="spellStart"/>
            <w:r w:rsidRPr="005F3664">
              <w:rPr>
                <w:rFonts w:ascii="Arial" w:eastAsia="Times New Roman" w:hAnsi="Arial" w:cs="Arial"/>
                <w:i/>
                <w:iCs/>
                <w:sz w:val="20"/>
                <w:szCs w:val="20"/>
                <w:lang w:eastAsia="en-IN"/>
              </w:rPr>
              <w:t>indica</w:t>
            </w:r>
            <w:proofErr w:type="spellEnd"/>
            <w:r w:rsidRPr="005F3664">
              <w:rPr>
                <w:rFonts w:ascii="Arial" w:eastAsia="Times New Roman" w:hAnsi="Arial" w:cs="Arial"/>
                <w:sz w:val="20"/>
                <w:szCs w:val="20"/>
                <w:lang w:eastAsia="en-IN"/>
              </w:rPr>
              <w:t>)</w:t>
            </w:r>
          </w:p>
        </w:tc>
        <w:tc>
          <w:tcPr>
            <w:tcW w:w="1400" w:type="dxa"/>
          </w:tcPr>
          <w:p w14:paraId="4CA86CB0"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Polyploid complex</w:t>
            </w:r>
          </w:p>
        </w:tc>
        <w:tc>
          <w:tcPr>
            <w:tcW w:w="2000" w:type="dxa"/>
          </w:tcPr>
          <w:p w14:paraId="745E87E8"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Clonal selection of chance seedlings; pedigree crossing for Amrapali, Mallika; selection for shelf-life and reduced fibre; poly-embryony exploitation for rootstock</w:t>
            </w:r>
          </w:p>
        </w:tc>
        <w:tc>
          <w:tcPr>
            <w:tcW w:w="2000" w:type="dxa"/>
          </w:tcPr>
          <w:p w14:paraId="6990C5AA"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SSR fingerprinting for cultivar identification; emerging QTL mapping for fruit weight and ripening; early-stage transformation protocols</w:t>
            </w:r>
          </w:p>
        </w:tc>
        <w:tc>
          <w:tcPr>
            <w:tcW w:w="2760" w:type="dxa"/>
          </w:tcPr>
          <w:p w14:paraId="71FC0AA8"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Singh et al. (2021)</w:t>
            </w:r>
          </w:p>
        </w:tc>
      </w:tr>
      <w:tr w:rsidR="003876C2" w:rsidRPr="005F3664" w14:paraId="23BA7ADC" w14:textId="77777777" w:rsidTr="003876C2">
        <w:tc>
          <w:tcPr>
            <w:tcW w:w="1200" w:type="dxa"/>
          </w:tcPr>
          <w:p w14:paraId="2B411E9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Grapevine (</w:t>
            </w:r>
            <w:proofErr w:type="spellStart"/>
            <w:r w:rsidRPr="005F3664">
              <w:rPr>
                <w:rFonts w:ascii="Arial" w:eastAsia="Times New Roman" w:hAnsi="Arial" w:cs="Arial"/>
                <w:i/>
                <w:iCs/>
                <w:sz w:val="20"/>
                <w:szCs w:val="20"/>
                <w:lang w:eastAsia="en-IN"/>
              </w:rPr>
              <w:t>Vitis</w:t>
            </w:r>
            <w:proofErr w:type="spellEnd"/>
            <w:r w:rsidRPr="005F3664">
              <w:rPr>
                <w:rFonts w:ascii="Arial" w:eastAsia="Times New Roman" w:hAnsi="Arial" w:cs="Arial"/>
                <w:i/>
                <w:iCs/>
                <w:sz w:val="20"/>
                <w:szCs w:val="20"/>
                <w:lang w:eastAsia="en-IN"/>
              </w:rPr>
              <w:t xml:space="preserve"> </w:t>
            </w:r>
            <w:proofErr w:type="spellStart"/>
            <w:r w:rsidRPr="005F3664">
              <w:rPr>
                <w:rFonts w:ascii="Arial" w:eastAsia="Times New Roman" w:hAnsi="Arial" w:cs="Arial"/>
                <w:i/>
                <w:iCs/>
                <w:sz w:val="20"/>
                <w:szCs w:val="20"/>
                <w:lang w:eastAsia="en-IN"/>
              </w:rPr>
              <w:t>vinifera</w:t>
            </w:r>
            <w:proofErr w:type="spellEnd"/>
            <w:r w:rsidRPr="005F3664">
              <w:rPr>
                <w:rFonts w:ascii="Arial" w:eastAsia="Times New Roman" w:hAnsi="Arial" w:cs="Arial"/>
                <w:sz w:val="20"/>
                <w:szCs w:val="20"/>
                <w:lang w:eastAsia="en-IN"/>
              </w:rPr>
              <w:t>)</w:t>
            </w:r>
          </w:p>
        </w:tc>
        <w:tc>
          <w:tcPr>
            <w:tcW w:w="1400" w:type="dxa"/>
          </w:tcPr>
          <w:p w14:paraId="7C402168"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2x (diploid)</w:t>
            </w:r>
          </w:p>
        </w:tc>
        <w:tc>
          <w:tcPr>
            <w:tcW w:w="2000" w:type="dxa"/>
          </w:tcPr>
          <w:p w14:paraId="434E91B6"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Interspecific hybridisation with American </w:t>
            </w:r>
            <w:proofErr w:type="spellStart"/>
            <w:r w:rsidRPr="00D63F5A">
              <w:rPr>
                <w:rFonts w:ascii="Arial" w:eastAsia="Times New Roman" w:hAnsi="Arial" w:cs="Arial"/>
                <w:i/>
                <w:iCs/>
                <w:sz w:val="20"/>
                <w:szCs w:val="20"/>
                <w:lang w:eastAsia="en-IN"/>
              </w:rPr>
              <w:t>Vitis</w:t>
            </w:r>
            <w:proofErr w:type="spellEnd"/>
            <w:r w:rsidRPr="005F3664">
              <w:rPr>
                <w:rFonts w:ascii="Arial" w:eastAsia="Times New Roman" w:hAnsi="Arial" w:cs="Arial"/>
                <w:sz w:val="20"/>
                <w:szCs w:val="20"/>
                <w:lang w:eastAsia="en-IN"/>
              </w:rPr>
              <w:t xml:space="preserve"> species for </w:t>
            </w:r>
            <w:proofErr w:type="spellStart"/>
            <w:r w:rsidRPr="005F3664">
              <w:rPr>
                <w:rFonts w:ascii="Arial" w:eastAsia="Times New Roman" w:hAnsi="Arial" w:cs="Arial"/>
                <w:sz w:val="20"/>
                <w:szCs w:val="20"/>
                <w:lang w:eastAsia="en-IN"/>
              </w:rPr>
              <w:t>Rpv</w:t>
            </w:r>
            <w:proofErr w:type="spellEnd"/>
            <w:r w:rsidRPr="005F3664">
              <w:rPr>
                <w:rFonts w:ascii="Arial" w:eastAsia="Times New Roman" w:hAnsi="Arial" w:cs="Arial"/>
                <w:sz w:val="20"/>
                <w:szCs w:val="20"/>
                <w:lang w:eastAsia="en-IN"/>
              </w:rPr>
              <w:t xml:space="preserve"> resistance loci (powdery/downy </w:t>
            </w:r>
            <w:r w:rsidRPr="005F3664">
              <w:rPr>
                <w:rFonts w:ascii="Arial" w:eastAsia="Times New Roman" w:hAnsi="Arial" w:cs="Arial"/>
                <w:sz w:val="20"/>
                <w:szCs w:val="20"/>
                <w:lang w:eastAsia="en-IN"/>
              </w:rPr>
              <w:lastRenderedPageBreak/>
              <w:t>mildew); clonal selection for wine typicity; MAS-based MABC in progress</w:t>
            </w:r>
          </w:p>
        </w:tc>
        <w:tc>
          <w:tcPr>
            <w:tcW w:w="2000" w:type="dxa"/>
          </w:tcPr>
          <w:p w14:paraId="3838C19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lastRenderedPageBreak/>
              <w:t xml:space="preserve">SNP-MAS for Rpv1-Rpv29 resistance QTLs; CRISPR/Cas9 RNP-mediated editing of </w:t>
            </w:r>
            <w:r w:rsidRPr="003F46A2">
              <w:rPr>
                <w:rFonts w:ascii="Arial" w:eastAsia="Times New Roman" w:hAnsi="Arial" w:cs="Arial"/>
                <w:i/>
                <w:iCs/>
                <w:sz w:val="20"/>
                <w:szCs w:val="20"/>
                <w:lang w:eastAsia="en-IN"/>
              </w:rPr>
              <w:t>VvMLO-7</w:t>
            </w:r>
            <w:r w:rsidRPr="005F3664">
              <w:rPr>
                <w:rFonts w:ascii="Arial" w:eastAsia="Times New Roman" w:hAnsi="Arial" w:cs="Arial"/>
                <w:sz w:val="20"/>
                <w:szCs w:val="20"/>
                <w:lang w:eastAsia="en-IN"/>
              </w:rPr>
              <w:t xml:space="preserve"> and </w:t>
            </w:r>
            <w:r w:rsidRPr="003F46A2">
              <w:rPr>
                <w:rFonts w:ascii="Arial" w:eastAsia="Times New Roman" w:hAnsi="Arial" w:cs="Arial"/>
                <w:i/>
                <w:iCs/>
                <w:sz w:val="20"/>
                <w:szCs w:val="20"/>
                <w:lang w:eastAsia="en-IN"/>
              </w:rPr>
              <w:lastRenderedPageBreak/>
              <w:t xml:space="preserve">VvWRKY52 </w:t>
            </w:r>
            <w:r w:rsidRPr="005F3664">
              <w:rPr>
                <w:rFonts w:ascii="Arial" w:eastAsia="Times New Roman" w:hAnsi="Arial" w:cs="Arial"/>
                <w:sz w:val="20"/>
                <w:szCs w:val="20"/>
                <w:lang w:eastAsia="en-IN"/>
              </w:rPr>
              <w:t>for mildew resistance without transgene</w:t>
            </w:r>
          </w:p>
        </w:tc>
        <w:tc>
          <w:tcPr>
            <w:tcW w:w="2760" w:type="dxa"/>
          </w:tcPr>
          <w:p w14:paraId="7466B855" w14:textId="77777777" w:rsidR="003876C2" w:rsidRPr="005F3664" w:rsidRDefault="003876C2" w:rsidP="00E53B33">
            <w:pPr>
              <w:rPr>
                <w:rFonts w:ascii="Arial" w:eastAsia="Times New Roman" w:hAnsi="Arial" w:cs="Arial"/>
                <w:sz w:val="20"/>
                <w:szCs w:val="20"/>
                <w:lang w:eastAsia="en-IN"/>
              </w:rPr>
            </w:pPr>
            <w:proofErr w:type="spellStart"/>
            <w:r w:rsidRPr="005F3664">
              <w:rPr>
                <w:rFonts w:ascii="Arial" w:eastAsia="Times New Roman" w:hAnsi="Arial" w:cs="Arial"/>
                <w:sz w:val="20"/>
                <w:szCs w:val="20"/>
                <w:lang w:eastAsia="en-IN"/>
              </w:rPr>
              <w:lastRenderedPageBreak/>
              <w:t>Malnoy</w:t>
            </w:r>
            <w:proofErr w:type="spellEnd"/>
            <w:r w:rsidRPr="005F3664">
              <w:rPr>
                <w:rFonts w:ascii="Arial" w:eastAsia="Times New Roman" w:hAnsi="Arial" w:cs="Arial"/>
                <w:sz w:val="20"/>
                <w:szCs w:val="20"/>
                <w:lang w:eastAsia="en-IN"/>
              </w:rPr>
              <w:t xml:space="preserve"> et al. (2016)</w:t>
            </w:r>
          </w:p>
        </w:tc>
      </w:tr>
      <w:tr w:rsidR="003876C2" w:rsidRPr="005F3664" w14:paraId="778FAC70" w14:textId="77777777" w:rsidTr="003876C2">
        <w:tc>
          <w:tcPr>
            <w:tcW w:w="1200" w:type="dxa"/>
          </w:tcPr>
          <w:p w14:paraId="440805A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Strawberry (</w:t>
            </w:r>
            <w:proofErr w:type="spellStart"/>
            <w:r w:rsidRPr="005F3664">
              <w:rPr>
                <w:rFonts w:ascii="Arial" w:eastAsia="Times New Roman" w:hAnsi="Arial" w:cs="Arial"/>
                <w:i/>
                <w:iCs/>
                <w:sz w:val="20"/>
                <w:szCs w:val="20"/>
                <w:lang w:eastAsia="en-IN"/>
              </w:rPr>
              <w:t>Fragaria</w:t>
            </w:r>
            <w:proofErr w:type="spellEnd"/>
            <w:r w:rsidRPr="005F3664">
              <w:rPr>
                <w:rFonts w:ascii="Arial" w:eastAsia="Times New Roman" w:hAnsi="Arial" w:cs="Arial"/>
                <w:i/>
                <w:iCs/>
                <w:sz w:val="20"/>
                <w:szCs w:val="20"/>
                <w:lang w:eastAsia="en-IN"/>
              </w:rPr>
              <w:t xml:space="preserve"> x </w:t>
            </w:r>
            <w:proofErr w:type="spellStart"/>
            <w:r w:rsidRPr="005F3664">
              <w:rPr>
                <w:rFonts w:ascii="Arial" w:eastAsia="Times New Roman" w:hAnsi="Arial" w:cs="Arial"/>
                <w:i/>
                <w:iCs/>
                <w:sz w:val="20"/>
                <w:szCs w:val="20"/>
                <w:lang w:eastAsia="en-IN"/>
              </w:rPr>
              <w:t>ananassa</w:t>
            </w:r>
            <w:proofErr w:type="spellEnd"/>
            <w:r w:rsidRPr="005F3664">
              <w:rPr>
                <w:rFonts w:ascii="Arial" w:eastAsia="Times New Roman" w:hAnsi="Arial" w:cs="Arial"/>
                <w:sz w:val="20"/>
                <w:szCs w:val="20"/>
                <w:lang w:eastAsia="en-IN"/>
              </w:rPr>
              <w:t>)</w:t>
            </w:r>
          </w:p>
        </w:tc>
        <w:tc>
          <w:tcPr>
            <w:tcW w:w="1400" w:type="dxa"/>
          </w:tcPr>
          <w:p w14:paraId="02CD358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8x (octoploid)</w:t>
            </w:r>
          </w:p>
        </w:tc>
        <w:tc>
          <w:tcPr>
            <w:tcW w:w="2000" w:type="dxa"/>
          </w:tcPr>
          <w:p w14:paraId="158A4FF0"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Hybridisation and pedigree selection across </w:t>
            </w:r>
            <w:proofErr w:type="spellStart"/>
            <w:r w:rsidRPr="005F3664">
              <w:rPr>
                <w:rFonts w:ascii="Arial" w:eastAsia="Times New Roman" w:hAnsi="Arial" w:cs="Arial"/>
                <w:sz w:val="20"/>
                <w:szCs w:val="20"/>
                <w:lang w:eastAsia="en-IN"/>
              </w:rPr>
              <w:t>polycross</w:t>
            </w:r>
            <w:proofErr w:type="spellEnd"/>
            <w:r w:rsidRPr="005F3664">
              <w:rPr>
                <w:rFonts w:ascii="Arial" w:eastAsia="Times New Roman" w:hAnsi="Arial" w:cs="Arial"/>
                <w:sz w:val="20"/>
                <w:szCs w:val="20"/>
                <w:lang w:eastAsia="en-IN"/>
              </w:rPr>
              <w:t xml:space="preserve"> populations; selection for fruit firmness, colour, flavour and disease resistance (Botrytis)</w:t>
            </w:r>
          </w:p>
        </w:tc>
        <w:tc>
          <w:tcPr>
            <w:tcW w:w="2000" w:type="dxa"/>
          </w:tcPr>
          <w:p w14:paraId="762954E5" w14:textId="77777777" w:rsidR="003876C2" w:rsidRPr="005F3664" w:rsidRDefault="003876C2" w:rsidP="00E53B33">
            <w:pPr>
              <w:rPr>
                <w:rFonts w:ascii="Arial" w:eastAsia="Times New Roman" w:hAnsi="Arial" w:cs="Arial"/>
                <w:sz w:val="20"/>
                <w:szCs w:val="20"/>
                <w:lang w:eastAsia="en-IN"/>
              </w:rPr>
            </w:pPr>
            <w:proofErr w:type="spellStart"/>
            <w:r w:rsidRPr="005F3664">
              <w:rPr>
                <w:rFonts w:ascii="Arial" w:eastAsia="Times New Roman" w:hAnsi="Arial" w:cs="Arial"/>
                <w:sz w:val="20"/>
                <w:szCs w:val="20"/>
                <w:lang w:eastAsia="en-IN"/>
              </w:rPr>
              <w:t>IStraw</w:t>
            </w:r>
            <w:proofErr w:type="spellEnd"/>
            <w:r w:rsidRPr="005F3664">
              <w:rPr>
                <w:rFonts w:ascii="Arial" w:eastAsia="Times New Roman" w:hAnsi="Arial" w:cs="Arial"/>
                <w:sz w:val="20"/>
                <w:szCs w:val="20"/>
                <w:lang w:eastAsia="en-IN"/>
              </w:rPr>
              <w:t xml:space="preserve"> 90K SNP array; genomic selection in octoploid populations (accuracy 0.60-0.80 for firmness); GWAS for post-harvest quality traits</w:t>
            </w:r>
          </w:p>
        </w:tc>
        <w:tc>
          <w:tcPr>
            <w:tcW w:w="2760" w:type="dxa"/>
          </w:tcPr>
          <w:p w14:paraId="2AAADA9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Whitaker et al. (2020)</w:t>
            </w:r>
          </w:p>
        </w:tc>
      </w:tr>
      <w:tr w:rsidR="003876C2" w:rsidRPr="005F3664" w14:paraId="39C92420" w14:textId="77777777" w:rsidTr="003876C2">
        <w:tc>
          <w:tcPr>
            <w:tcW w:w="1200" w:type="dxa"/>
          </w:tcPr>
          <w:p w14:paraId="5DD734A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Pepper (</w:t>
            </w:r>
            <w:r w:rsidRPr="005F3664">
              <w:rPr>
                <w:rFonts w:ascii="Arial" w:eastAsia="Times New Roman" w:hAnsi="Arial" w:cs="Arial"/>
                <w:i/>
                <w:iCs/>
                <w:sz w:val="20"/>
                <w:szCs w:val="20"/>
                <w:lang w:eastAsia="en-IN"/>
              </w:rPr>
              <w:t>Capsicum annuum</w:t>
            </w:r>
            <w:r w:rsidRPr="005F3664">
              <w:rPr>
                <w:rFonts w:ascii="Arial" w:eastAsia="Times New Roman" w:hAnsi="Arial" w:cs="Arial"/>
                <w:sz w:val="20"/>
                <w:szCs w:val="20"/>
                <w:lang w:eastAsia="en-IN"/>
              </w:rPr>
              <w:t>)</w:t>
            </w:r>
          </w:p>
        </w:tc>
        <w:tc>
          <w:tcPr>
            <w:tcW w:w="1400" w:type="dxa"/>
          </w:tcPr>
          <w:p w14:paraId="240AECB7"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2x (diploid)</w:t>
            </w:r>
          </w:p>
        </w:tc>
        <w:tc>
          <w:tcPr>
            <w:tcW w:w="2000" w:type="dxa"/>
          </w:tcPr>
          <w:p w14:paraId="5227F55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Backcross </w:t>
            </w:r>
            <w:proofErr w:type="spellStart"/>
            <w:r w:rsidRPr="005F3664">
              <w:rPr>
                <w:rFonts w:ascii="Arial" w:eastAsia="Times New Roman" w:hAnsi="Arial" w:cs="Arial"/>
                <w:sz w:val="20"/>
                <w:szCs w:val="20"/>
                <w:lang w:eastAsia="en-IN"/>
              </w:rPr>
              <w:t>introgression</w:t>
            </w:r>
            <w:proofErr w:type="spellEnd"/>
            <w:r w:rsidRPr="005F3664">
              <w:rPr>
                <w:rFonts w:ascii="Arial" w:eastAsia="Times New Roman" w:hAnsi="Arial" w:cs="Arial"/>
                <w:sz w:val="20"/>
                <w:szCs w:val="20"/>
                <w:lang w:eastAsia="en-IN"/>
              </w:rPr>
              <w:t xml:space="preserve"> of </w:t>
            </w:r>
            <w:r w:rsidRPr="003F46A2">
              <w:rPr>
                <w:rFonts w:ascii="Arial" w:eastAsia="Times New Roman" w:hAnsi="Arial" w:cs="Arial"/>
                <w:i/>
                <w:iCs/>
                <w:sz w:val="20"/>
                <w:szCs w:val="20"/>
                <w:lang w:eastAsia="en-IN"/>
              </w:rPr>
              <w:t>Bs2</w:t>
            </w:r>
            <w:r w:rsidRPr="005F3664">
              <w:rPr>
                <w:rFonts w:ascii="Arial" w:eastAsia="Times New Roman" w:hAnsi="Arial" w:cs="Arial"/>
                <w:sz w:val="20"/>
                <w:szCs w:val="20"/>
                <w:lang w:eastAsia="en-IN"/>
              </w:rPr>
              <w:t xml:space="preserve"> (bacterial spot), </w:t>
            </w:r>
            <w:proofErr w:type="spellStart"/>
            <w:r w:rsidRPr="005F3664">
              <w:rPr>
                <w:rFonts w:ascii="Arial" w:eastAsia="Times New Roman" w:hAnsi="Arial" w:cs="Arial"/>
                <w:sz w:val="20"/>
                <w:szCs w:val="20"/>
                <w:lang w:eastAsia="en-IN"/>
              </w:rPr>
              <w:t>Pvr</w:t>
            </w:r>
            <w:proofErr w:type="spellEnd"/>
            <w:r w:rsidRPr="005F3664">
              <w:rPr>
                <w:rFonts w:ascii="Arial" w:eastAsia="Times New Roman" w:hAnsi="Arial" w:cs="Arial"/>
                <w:sz w:val="20"/>
                <w:szCs w:val="20"/>
                <w:lang w:eastAsia="en-IN"/>
              </w:rPr>
              <w:t xml:space="preserve"> (PVY resistance) from </w:t>
            </w:r>
            <w:r w:rsidRPr="003F46A2">
              <w:rPr>
                <w:rFonts w:ascii="Arial" w:eastAsia="Times New Roman" w:hAnsi="Arial" w:cs="Arial"/>
                <w:i/>
                <w:iCs/>
                <w:sz w:val="20"/>
                <w:szCs w:val="20"/>
                <w:lang w:eastAsia="en-IN"/>
              </w:rPr>
              <w:t xml:space="preserve">C. </w:t>
            </w:r>
            <w:proofErr w:type="spellStart"/>
            <w:r w:rsidRPr="003F46A2">
              <w:rPr>
                <w:rFonts w:ascii="Arial" w:eastAsia="Times New Roman" w:hAnsi="Arial" w:cs="Arial"/>
                <w:i/>
                <w:iCs/>
                <w:sz w:val="20"/>
                <w:szCs w:val="20"/>
                <w:lang w:eastAsia="en-IN"/>
              </w:rPr>
              <w:t>chinense</w:t>
            </w:r>
            <w:proofErr w:type="spellEnd"/>
            <w:r w:rsidRPr="003F46A2">
              <w:rPr>
                <w:rFonts w:ascii="Arial" w:eastAsia="Times New Roman" w:hAnsi="Arial" w:cs="Arial"/>
                <w:i/>
                <w:iCs/>
                <w:sz w:val="20"/>
                <w:szCs w:val="20"/>
                <w:lang w:eastAsia="en-IN"/>
              </w:rPr>
              <w:t>;</w:t>
            </w:r>
            <w:r w:rsidRPr="005F3664">
              <w:rPr>
                <w:rFonts w:ascii="Arial" w:eastAsia="Times New Roman" w:hAnsi="Arial" w:cs="Arial"/>
                <w:sz w:val="20"/>
                <w:szCs w:val="20"/>
                <w:lang w:eastAsia="en-IN"/>
              </w:rPr>
              <w:t xml:space="preserve"> CMS-based F1 hybrid production for commercial vegetable</w:t>
            </w:r>
          </w:p>
        </w:tc>
        <w:tc>
          <w:tcPr>
            <w:tcW w:w="2000" w:type="dxa"/>
          </w:tcPr>
          <w:p w14:paraId="61FC8BD5"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SNP/SSR markers for </w:t>
            </w:r>
            <w:r w:rsidRPr="003F46A2">
              <w:rPr>
                <w:rFonts w:ascii="Arial" w:eastAsia="Times New Roman" w:hAnsi="Arial" w:cs="Arial"/>
                <w:i/>
                <w:iCs/>
                <w:sz w:val="20"/>
                <w:szCs w:val="20"/>
                <w:lang w:eastAsia="en-IN"/>
              </w:rPr>
              <w:t>Bs2</w:t>
            </w:r>
            <w:r w:rsidRPr="005F3664">
              <w:rPr>
                <w:rFonts w:ascii="Arial" w:eastAsia="Times New Roman" w:hAnsi="Arial" w:cs="Arial"/>
                <w:sz w:val="20"/>
                <w:szCs w:val="20"/>
                <w:lang w:eastAsia="en-IN"/>
              </w:rPr>
              <w:t xml:space="preserve">, </w:t>
            </w:r>
            <w:r w:rsidRPr="003F46A2">
              <w:rPr>
                <w:rFonts w:ascii="Arial" w:eastAsia="Times New Roman" w:hAnsi="Arial" w:cs="Arial"/>
                <w:i/>
                <w:iCs/>
                <w:sz w:val="20"/>
                <w:szCs w:val="20"/>
                <w:lang w:eastAsia="en-IN"/>
              </w:rPr>
              <w:t>Cm-1</w:t>
            </w:r>
            <w:r w:rsidRPr="005F3664">
              <w:rPr>
                <w:rFonts w:ascii="Arial" w:eastAsia="Times New Roman" w:hAnsi="Arial" w:cs="Arial"/>
                <w:sz w:val="20"/>
                <w:szCs w:val="20"/>
                <w:lang w:eastAsia="en-IN"/>
              </w:rPr>
              <w:t xml:space="preserve">, and </w:t>
            </w:r>
            <w:proofErr w:type="spellStart"/>
            <w:r w:rsidRPr="003F46A2">
              <w:rPr>
                <w:rFonts w:ascii="Arial" w:eastAsia="Times New Roman" w:hAnsi="Arial" w:cs="Arial"/>
                <w:i/>
                <w:iCs/>
                <w:sz w:val="20"/>
                <w:szCs w:val="20"/>
                <w:lang w:eastAsia="en-IN"/>
              </w:rPr>
              <w:t>Pvr</w:t>
            </w:r>
            <w:proofErr w:type="spellEnd"/>
            <w:r w:rsidRPr="005F3664">
              <w:rPr>
                <w:rFonts w:ascii="Arial" w:eastAsia="Times New Roman" w:hAnsi="Arial" w:cs="Arial"/>
                <w:sz w:val="20"/>
                <w:szCs w:val="20"/>
                <w:lang w:eastAsia="en-IN"/>
              </w:rPr>
              <w:t xml:space="preserve"> loci; GWAS using new reference genome; MAS pyramiding of multiple disease resistance genes</w:t>
            </w:r>
          </w:p>
        </w:tc>
        <w:tc>
          <w:tcPr>
            <w:tcW w:w="2760" w:type="dxa"/>
          </w:tcPr>
          <w:p w14:paraId="308D5A2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Kim et al. (2018)</w:t>
            </w:r>
          </w:p>
        </w:tc>
      </w:tr>
    </w:tbl>
    <w:p w14:paraId="4847773D" w14:textId="4DF2FEFE" w:rsidR="0051097E" w:rsidRPr="005F3664" w:rsidRDefault="0051097E" w:rsidP="00E53B33">
      <w:pPr>
        <w:spacing w:line="240" w:lineRule="auto"/>
        <w:jc w:val="both"/>
        <w:rPr>
          <w:rFonts w:ascii="Arial" w:hAnsi="Arial" w:cs="Arial"/>
          <w:sz w:val="28"/>
          <w:szCs w:val="28"/>
        </w:rPr>
      </w:pPr>
    </w:p>
    <w:p w14:paraId="6ADCC627" w14:textId="3B356031" w:rsidR="003876C2" w:rsidRPr="005F3664" w:rsidRDefault="00EE50DD" w:rsidP="00E53B33">
      <w:pPr>
        <w:spacing w:after="120" w:line="240" w:lineRule="auto"/>
        <w:jc w:val="both"/>
        <w:rPr>
          <w:rFonts w:ascii="Arial" w:hAnsi="Arial" w:cs="Arial"/>
          <w:i/>
          <w:iCs/>
          <w:color w:val="000000" w:themeColor="text1"/>
          <w:sz w:val="20"/>
          <w:szCs w:val="20"/>
        </w:rPr>
      </w:pPr>
      <w:r w:rsidRPr="005F3664">
        <w:rPr>
          <w:rFonts w:ascii="Arial" w:hAnsi="Arial" w:cs="Arial"/>
          <w:i/>
          <w:iCs/>
          <w:color w:val="000000" w:themeColor="text1"/>
          <w:sz w:val="20"/>
          <w:szCs w:val="20"/>
        </w:rPr>
        <w:t>Table 1. Summary of representative conventional and molecular/genomic breeding achievements across eight major horticultural crops. MABC: marker-assisted backcrossing; GBS: genotyping-by-sequencing; GS: genomic selection; CRISPR: clustered regularly interspaced short palindromic repeats; CMS: cytoplasmic male sterility; TR4: Tropical Race 4</w:t>
      </w:r>
    </w:p>
    <w:p w14:paraId="196C0FD1" w14:textId="77777777" w:rsidR="00C233D8" w:rsidRPr="005F3664" w:rsidRDefault="00C233D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5. Genome Editing Technologies</w:t>
      </w:r>
    </w:p>
    <w:p w14:paraId="61A77C39" w14:textId="77777777" w:rsidR="00C233D8" w:rsidRPr="005F3664" w:rsidRDefault="00C233D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5.1 First-Generation Tools: ZFNs and TALENs</w:t>
      </w:r>
    </w:p>
    <w:p w14:paraId="7155727E" w14:textId="77777777"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Zinc finger nucleases (ZFNs) constituted the first generation of programmable genome editing technologies. These systems combined modular zinc finger DNA-binding domains with the non-specific </w:t>
      </w:r>
      <w:proofErr w:type="spellStart"/>
      <w:r w:rsidRPr="005F3664">
        <w:rPr>
          <w:rFonts w:ascii="Arial" w:hAnsi="Arial" w:cs="Arial"/>
          <w:color w:val="000000" w:themeColor="text1"/>
          <w:sz w:val="20"/>
          <w:szCs w:val="20"/>
        </w:rPr>
        <w:t>FokI</w:t>
      </w:r>
      <w:proofErr w:type="spellEnd"/>
      <w:r w:rsidRPr="005F3664">
        <w:rPr>
          <w:rFonts w:ascii="Arial" w:hAnsi="Arial" w:cs="Arial"/>
          <w:color w:val="000000" w:themeColor="text1"/>
          <w:sz w:val="20"/>
          <w:szCs w:val="20"/>
        </w:rPr>
        <w:t xml:space="preserve"> endonuclease to induce targeted double-strand breaks (DSBs) at predefined genomic loci. Although ZFNs provided proof of concept for targeted genome modification in plants, their widespread adoption was constrained by technical challenges, including context-dependent DNA recognition specificity of zinc finger modules and the complexity of designing functional nuclease pairs with sufficient targeting accuracy.</w:t>
      </w:r>
    </w:p>
    <w:p w14:paraId="4D9C07F4" w14:textId="4CC91D2F"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Transcription activator-like effector nucleases (TALENs) addressed several limitations of ZFNs by leveraging the simpler one-to-one correspondence between TALE repeat variable </w:t>
      </w:r>
      <w:proofErr w:type="spellStart"/>
      <w:r w:rsidRPr="005F3664">
        <w:rPr>
          <w:rFonts w:ascii="Arial" w:hAnsi="Arial" w:cs="Arial"/>
          <w:color w:val="000000" w:themeColor="text1"/>
          <w:sz w:val="20"/>
          <w:szCs w:val="20"/>
        </w:rPr>
        <w:t>diresidues</w:t>
      </w:r>
      <w:proofErr w:type="spellEnd"/>
      <w:r w:rsidRPr="005F3664">
        <w:rPr>
          <w:rFonts w:ascii="Arial" w:hAnsi="Arial" w:cs="Arial"/>
          <w:color w:val="000000" w:themeColor="text1"/>
          <w:sz w:val="20"/>
          <w:szCs w:val="20"/>
        </w:rPr>
        <w:t xml:space="preserve"> (RVDs) and individual nucleotide bases. This modular architecture enabled more predictable targeting of virtually any genomic sequence (Cermak et al., 2011). TALEN-mediated genome editing was successfully demonstrated in tomato, potato, and grapevine. However, the </w:t>
      </w:r>
      <w:proofErr w:type="spellStart"/>
      <w:r w:rsidRPr="005F3664">
        <w:rPr>
          <w:rFonts w:ascii="Arial" w:hAnsi="Arial" w:cs="Arial"/>
          <w:color w:val="000000" w:themeColor="text1"/>
          <w:sz w:val="20"/>
          <w:szCs w:val="20"/>
        </w:rPr>
        <w:t>labor-intensive</w:t>
      </w:r>
      <w:proofErr w:type="spellEnd"/>
      <w:r w:rsidRPr="005F3664">
        <w:rPr>
          <w:rFonts w:ascii="Arial" w:hAnsi="Arial" w:cs="Arial"/>
          <w:color w:val="000000" w:themeColor="text1"/>
          <w:sz w:val="20"/>
          <w:szCs w:val="20"/>
        </w:rPr>
        <w:t xml:space="preserve"> construction of repetitive TALE arrays ultimately limited scalability, and TALENs were rapidly superseded by the greater simplicity, flexibility, and cost-effectiveness of CRISPR-based systems.</w:t>
      </w:r>
    </w:p>
    <w:p w14:paraId="75E9F3AE" w14:textId="77777777" w:rsidR="00C233D8" w:rsidRPr="005F3664" w:rsidRDefault="00C233D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5.2 CRISPR/Cas9</w:t>
      </w:r>
    </w:p>
    <w:p w14:paraId="2B364476" w14:textId="102EA524"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The CRISPR/Cas9 system, derived from the Type II adaptive immune mechanism of </w:t>
      </w:r>
      <w:r w:rsidRPr="005F3664">
        <w:rPr>
          <w:rFonts w:ascii="Arial" w:hAnsi="Arial" w:cs="Arial"/>
          <w:i/>
          <w:iCs/>
          <w:color w:val="000000" w:themeColor="text1"/>
          <w:sz w:val="20"/>
          <w:szCs w:val="20"/>
        </w:rPr>
        <w:t>Streptococcus pyogenes</w:t>
      </w:r>
      <w:r w:rsidRPr="005F3664">
        <w:rPr>
          <w:rFonts w:ascii="Arial" w:hAnsi="Arial" w:cs="Arial"/>
          <w:color w:val="000000" w:themeColor="text1"/>
          <w:sz w:val="20"/>
          <w:szCs w:val="20"/>
        </w:rPr>
        <w:t>, has fundamentally transformed plant genome editing since its first application in plant cells in 2013. The system employs a single guide RNA (sgRNA), comprising a 20-nucleotide spacer sequence complementary to the target DNA and a conserved scaffold that recruits the Cas9 nuclease. Upon recognition of a protospacer adjacent motif (PAM; 5′-NGG-3′ for SpCas9), Cas9 induces a blunt-ended DSB three base pairs upstream of the PAM site.</w:t>
      </w:r>
      <w:r w:rsidR="00BD32E2" w:rsidRPr="005F3664">
        <w:rPr>
          <w:rFonts w:ascii="Arial" w:hAnsi="Arial" w:cs="Arial"/>
          <w:color w:val="000000" w:themeColor="text1"/>
          <w:sz w:val="20"/>
          <w:szCs w:val="20"/>
        </w:rPr>
        <w:t xml:space="preserve"> (Sruthi et al., 2026).</w:t>
      </w:r>
    </w:p>
    <w:p w14:paraId="5BED2C38" w14:textId="77777777"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Subsequent repair through the error-prone non-homologous end joining (NHEJ) pathway generates small insertions or deletions (indels), frequently resulting in frameshift mutations and gene knockouts. This mechanism is widely exploited to disrupt susceptibility genes, negative regulatory elements, or </w:t>
      </w:r>
      <w:r w:rsidRPr="005F3664">
        <w:rPr>
          <w:rFonts w:ascii="Arial" w:hAnsi="Arial" w:cs="Arial"/>
          <w:color w:val="000000" w:themeColor="text1"/>
          <w:sz w:val="20"/>
          <w:szCs w:val="20"/>
        </w:rPr>
        <w:lastRenderedPageBreak/>
        <w:t>undesirable quality determinants. Alternatively, homology-directed repair (HDR) using a supplied donor template permits precise sequence replacement; however, HDR efficiency in plant cells remains substantially lower than NHEJ-mediated repair (</w:t>
      </w:r>
      <w:proofErr w:type="spellStart"/>
      <w:r w:rsidRPr="005F3664">
        <w:rPr>
          <w:rFonts w:ascii="Arial" w:hAnsi="Arial" w:cs="Arial"/>
          <w:color w:val="000000" w:themeColor="text1"/>
          <w:sz w:val="20"/>
          <w:szCs w:val="20"/>
        </w:rPr>
        <w:t>Doudna</w:t>
      </w:r>
      <w:proofErr w:type="spellEnd"/>
      <w:r w:rsidRPr="005F3664">
        <w:rPr>
          <w:rFonts w:ascii="Arial" w:hAnsi="Arial" w:cs="Arial"/>
          <w:color w:val="000000" w:themeColor="text1"/>
          <w:sz w:val="20"/>
          <w:szCs w:val="20"/>
        </w:rPr>
        <w:t xml:space="preserve"> and </w:t>
      </w:r>
      <w:proofErr w:type="spellStart"/>
      <w:r w:rsidRPr="005F3664">
        <w:rPr>
          <w:rFonts w:ascii="Arial" w:hAnsi="Arial" w:cs="Arial"/>
          <w:color w:val="000000" w:themeColor="text1"/>
          <w:sz w:val="20"/>
          <w:szCs w:val="20"/>
        </w:rPr>
        <w:t>Charpentier</w:t>
      </w:r>
      <w:proofErr w:type="spellEnd"/>
      <w:r w:rsidRPr="005F3664">
        <w:rPr>
          <w:rFonts w:ascii="Arial" w:hAnsi="Arial" w:cs="Arial"/>
          <w:color w:val="000000" w:themeColor="text1"/>
          <w:sz w:val="20"/>
          <w:szCs w:val="20"/>
        </w:rPr>
        <w:t>, 2012).</w:t>
      </w:r>
    </w:p>
    <w:p w14:paraId="3872D80B" w14:textId="0766DD70"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Continuous refinement of CRISPR technologies has expanded their versatility. Engineered SpCas9 variants with relaxed PAM requirements (SpCas9-NG, </w:t>
      </w:r>
      <w:proofErr w:type="spellStart"/>
      <w:r w:rsidRPr="005F3664">
        <w:rPr>
          <w:rFonts w:ascii="Arial" w:hAnsi="Arial" w:cs="Arial"/>
          <w:color w:val="000000" w:themeColor="text1"/>
          <w:sz w:val="20"/>
          <w:szCs w:val="20"/>
        </w:rPr>
        <w:t>SpRY</w:t>
      </w:r>
      <w:proofErr w:type="spellEnd"/>
      <w:r w:rsidRPr="005F3664">
        <w:rPr>
          <w:rFonts w:ascii="Arial" w:hAnsi="Arial" w:cs="Arial"/>
          <w:color w:val="000000" w:themeColor="text1"/>
          <w:sz w:val="20"/>
          <w:szCs w:val="20"/>
        </w:rPr>
        <w:t>), enhanced specificity (eSpCas9, HiFi Cas9), and compact orthologues (SaCas9, CjCas9) have broadened targetable genomic regions and improved editing fidelity in horticultural crops (</w:t>
      </w:r>
      <w:proofErr w:type="spellStart"/>
      <w:r w:rsidRPr="005F3664">
        <w:rPr>
          <w:rFonts w:ascii="Arial" w:hAnsi="Arial" w:cs="Arial"/>
          <w:color w:val="000000" w:themeColor="text1"/>
          <w:sz w:val="20"/>
          <w:szCs w:val="20"/>
        </w:rPr>
        <w:t>Bortesi</w:t>
      </w:r>
      <w:proofErr w:type="spellEnd"/>
      <w:r w:rsidRPr="005F3664">
        <w:rPr>
          <w:rFonts w:ascii="Arial" w:hAnsi="Arial" w:cs="Arial"/>
          <w:color w:val="000000" w:themeColor="text1"/>
          <w:sz w:val="20"/>
          <w:szCs w:val="20"/>
        </w:rPr>
        <w:t xml:space="preserve"> and Fischer, 2015).</w:t>
      </w:r>
    </w:p>
    <w:p w14:paraId="28D6E687" w14:textId="77777777" w:rsidR="00C233D8" w:rsidRPr="005F3664" w:rsidRDefault="00C233D8" w:rsidP="00E53B33">
      <w:pPr>
        <w:spacing w:after="120" w:line="240" w:lineRule="auto"/>
        <w:jc w:val="both"/>
        <w:rPr>
          <w:rFonts w:ascii="Arial" w:hAnsi="Arial" w:cs="Arial"/>
          <w:b/>
          <w:bCs/>
          <w:color w:val="000000" w:themeColor="text1"/>
          <w:sz w:val="24"/>
          <w:szCs w:val="24"/>
        </w:rPr>
      </w:pPr>
      <w:r w:rsidRPr="005F3664">
        <w:rPr>
          <w:rFonts w:ascii="Arial" w:hAnsi="Arial" w:cs="Arial"/>
          <w:b/>
          <w:bCs/>
          <w:color w:val="000000" w:themeColor="text1"/>
        </w:rPr>
        <w:t>5.3 Base Editing</w:t>
      </w:r>
    </w:p>
    <w:p w14:paraId="57569C4A" w14:textId="05AD3C3B"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Base editing technologies enable precise single-nucleotide substitutions without introducing DSBs, thereby substantially reducing risks associated with unintended insertions, deletions, or chromosomal rearrangements. Cytosine base editors (CBEs) consist of a cytidine deaminase fused to Cas9 </w:t>
      </w:r>
      <w:proofErr w:type="spellStart"/>
      <w:r w:rsidRPr="005F3664">
        <w:rPr>
          <w:rFonts w:ascii="Arial" w:hAnsi="Arial" w:cs="Arial"/>
          <w:color w:val="000000" w:themeColor="text1"/>
          <w:sz w:val="20"/>
          <w:szCs w:val="20"/>
        </w:rPr>
        <w:t>nickase</w:t>
      </w:r>
      <w:proofErr w:type="spellEnd"/>
      <w:r w:rsidRPr="005F3664">
        <w:rPr>
          <w:rFonts w:ascii="Arial" w:hAnsi="Arial" w:cs="Arial"/>
          <w:color w:val="000000" w:themeColor="text1"/>
          <w:sz w:val="20"/>
          <w:szCs w:val="20"/>
        </w:rPr>
        <w:t xml:space="preserve"> (nCas9) and </w:t>
      </w:r>
      <w:proofErr w:type="spellStart"/>
      <w:r w:rsidRPr="005F3664">
        <w:rPr>
          <w:rFonts w:ascii="Arial" w:hAnsi="Arial" w:cs="Arial"/>
          <w:color w:val="000000" w:themeColor="text1"/>
          <w:sz w:val="20"/>
          <w:szCs w:val="20"/>
        </w:rPr>
        <w:t>catalyze</w:t>
      </w:r>
      <w:proofErr w:type="spellEnd"/>
      <w:r w:rsidRPr="005F3664">
        <w:rPr>
          <w:rFonts w:ascii="Arial" w:hAnsi="Arial" w:cs="Arial"/>
          <w:color w:val="000000" w:themeColor="text1"/>
          <w:sz w:val="20"/>
          <w:szCs w:val="20"/>
        </w:rPr>
        <w:t xml:space="preserve"> the conversion of cytosine to uracil within a defined editing window (typically positions 4</w:t>
      </w:r>
      <w:r w:rsidR="00195BC2">
        <w:rPr>
          <w:rFonts w:ascii="Arial" w:hAnsi="Arial" w:cs="Arial"/>
          <w:color w:val="000000" w:themeColor="text1"/>
          <w:sz w:val="20"/>
          <w:szCs w:val="20"/>
        </w:rPr>
        <w:t>-</w:t>
      </w:r>
      <w:r w:rsidRPr="005F3664">
        <w:rPr>
          <w:rFonts w:ascii="Arial" w:hAnsi="Arial" w:cs="Arial"/>
          <w:color w:val="000000" w:themeColor="text1"/>
          <w:sz w:val="20"/>
          <w:szCs w:val="20"/>
        </w:rPr>
        <w:t>8 of the protospacer), ultimately resulting in C-to-T (or G-to-A) transitions after DNA replication (</w:t>
      </w:r>
      <w:proofErr w:type="spellStart"/>
      <w:r w:rsidRPr="005F3664">
        <w:rPr>
          <w:rFonts w:ascii="Arial" w:hAnsi="Arial" w:cs="Arial"/>
          <w:color w:val="000000" w:themeColor="text1"/>
          <w:sz w:val="20"/>
          <w:szCs w:val="20"/>
        </w:rPr>
        <w:t>Komor</w:t>
      </w:r>
      <w:proofErr w:type="spellEnd"/>
      <w:r w:rsidRPr="005F3664">
        <w:rPr>
          <w:rFonts w:ascii="Arial" w:hAnsi="Arial" w:cs="Arial"/>
          <w:color w:val="000000" w:themeColor="text1"/>
          <w:sz w:val="20"/>
          <w:szCs w:val="20"/>
        </w:rPr>
        <w:t xml:space="preserve"> et al., 2016).</w:t>
      </w:r>
    </w:p>
    <w:p w14:paraId="30B69528" w14:textId="3D894149"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Adenine base editors (ABEs), developed through directed evolution of an adenosine deaminase capable of acting on DNA and fused to nCas9, </w:t>
      </w:r>
      <w:proofErr w:type="spellStart"/>
      <w:r w:rsidRPr="005F3664">
        <w:rPr>
          <w:rFonts w:ascii="Arial" w:hAnsi="Arial" w:cs="Arial"/>
          <w:color w:val="000000" w:themeColor="text1"/>
          <w:sz w:val="20"/>
          <w:szCs w:val="20"/>
        </w:rPr>
        <w:t>catalyze</w:t>
      </w:r>
      <w:proofErr w:type="spellEnd"/>
      <w:r w:rsidRPr="005F3664">
        <w:rPr>
          <w:rFonts w:ascii="Arial" w:hAnsi="Arial" w:cs="Arial"/>
          <w:color w:val="000000" w:themeColor="text1"/>
          <w:sz w:val="20"/>
          <w:szCs w:val="20"/>
        </w:rPr>
        <w:t xml:space="preserve"> A-to-I conversions (interpreted as G during replication), thereby generating A-to-G (or T-to-C) transitions (</w:t>
      </w:r>
      <w:proofErr w:type="spellStart"/>
      <w:r w:rsidRPr="005F3664">
        <w:rPr>
          <w:rFonts w:ascii="Arial" w:hAnsi="Arial" w:cs="Arial"/>
          <w:color w:val="000000" w:themeColor="text1"/>
          <w:sz w:val="20"/>
          <w:szCs w:val="20"/>
        </w:rPr>
        <w:t>Gaudelli</w:t>
      </w:r>
      <w:proofErr w:type="spellEnd"/>
      <w:r w:rsidRPr="005F3664">
        <w:rPr>
          <w:rFonts w:ascii="Arial" w:hAnsi="Arial" w:cs="Arial"/>
          <w:color w:val="000000" w:themeColor="text1"/>
          <w:sz w:val="20"/>
          <w:szCs w:val="20"/>
        </w:rPr>
        <w:t xml:space="preserve"> et al., 2017). These tools facilitate targeted amino acid substitutions corresponding to naturally occurring </w:t>
      </w:r>
      <w:proofErr w:type="spellStart"/>
      <w:r w:rsidRPr="005F3664">
        <w:rPr>
          <w:rFonts w:ascii="Arial" w:hAnsi="Arial" w:cs="Arial"/>
          <w:color w:val="000000" w:themeColor="text1"/>
          <w:sz w:val="20"/>
          <w:szCs w:val="20"/>
        </w:rPr>
        <w:t>favorable</w:t>
      </w:r>
      <w:proofErr w:type="spellEnd"/>
      <w:r w:rsidRPr="005F3664">
        <w:rPr>
          <w:rFonts w:ascii="Arial" w:hAnsi="Arial" w:cs="Arial"/>
          <w:color w:val="000000" w:themeColor="text1"/>
          <w:sz w:val="20"/>
          <w:szCs w:val="20"/>
        </w:rPr>
        <w:t xml:space="preserve"> alleles</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a strategy often termed allele conversion</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allowing precise trait improvement without introducing foreign DNA sequences.</w:t>
      </w:r>
    </w:p>
    <w:p w14:paraId="6784E3F0" w14:textId="77777777"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In horticultural crops, base editing has been deployed to confer herbicide tolerance through targeted modification of the </w:t>
      </w:r>
      <w:r w:rsidRPr="003F46A2">
        <w:rPr>
          <w:rFonts w:ascii="Arial" w:hAnsi="Arial" w:cs="Arial"/>
          <w:i/>
          <w:iCs/>
          <w:color w:val="000000" w:themeColor="text1"/>
          <w:sz w:val="20"/>
          <w:szCs w:val="20"/>
        </w:rPr>
        <w:t>ALS</w:t>
      </w:r>
      <w:r w:rsidRPr="005F3664">
        <w:rPr>
          <w:rFonts w:ascii="Arial" w:hAnsi="Arial" w:cs="Arial"/>
          <w:color w:val="000000" w:themeColor="text1"/>
          <w:sz w:val="20"/>
          <w:szCs w:val="20"/>
        </w:rPr>
        <w:t xml:space="preserve"> gene, modify anthocyanin pigmentation via ANT1 editing in tomato (Li et al., 2018), and engineer specific amino acid substitutions associated with enhanced disease resistance. The absence of stable foreign DNA in most base-edited products carries important regulatory implications, with several jurisdictions classifying such crops as equivalent to conventionally bred varieties when no exogenous sequences remain in the final product.</w:t>
      </w:r>
    </w:p>
    <w:p w14:paraId="7F8E2EBB" w14:textId="55A31E3B" w:rsidR="00C233D8" w:rsidRPr="005F3664" w:rsidRDefault="00C233D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5.4 Prime Editing</w:t>
      </w:r>
    </w:p>
    <w:p w14:paraId="0CA3B88B" w14:textId="77777777"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Prime editing, introduced by Anzalone et al. (2019), further expands precision genome engineering capabilities by enabling all twelve possible base substitutions, as well as small insertions and deletions, without requiring DSBs or donor DNA templates. The system utilizes a prime editing guide RNA (</w:t>
      </w:r>
      <w:proofErr w:type="spellStart"/>
      <w:r w:rsidRPr="005F3664">
        <w:rPr>
          <w:rFonts w:ascii="Arial" w:hAnsi="Arial" w:cs="Arial"/>
          <w:color w:val="000000" w:themeColor="text1"/>
          <w:sz w:val="20"/>
          <w:szCs w:val="20"/>
        </w:rPr>
        <w:t>pegRNA</w:t>
      </w:r>
      <w:proofErr w:type="spellEnd"/>
      <w:r w:rsidRPr="005F3664">
        <w:rPr>
          <w:rFonts w:ascii="Arial" w:hAnsi="Arial" w:cs="Arial"/>
          <w:color w:val="000000" w:themeColor="text1"/>
          <w:sz w:val="20"/>
          <w:szCs w:val="20"/>
        </w:rPr>
        <w:t xml:space="preserve">) together with a Cas9 </w:t>
      </w:r>
      <w:proofErr w:type="spellStart"/>
      <w:r w:rsidRPr="005F3664">
        <w:rPr>
          <w:rFonts w:ascii="Arial" w:hAnsi="Arial" w:cs="Arial"/>
          <w:color w:val="000000" w:themeColor="text1"/>
          <w:sz w:val="20"/>
          <w:szCs w:val="20"/>
        </w:rPr>
        <w:t>nickase</w:t>
      </w:r>
      <w:proofErr w:type="spellEnd"/>
      <w:r w:rsidRPr="005F3664">
        <w:rPr>
          <w:rFonts w:ascii="Arial" w:hAnsi="Arial" w:cs="Arial"/>
          <w:color w:val="000000" w:themeColor="text1"/>
          <w:sz w:val="20"/>
          <w:szCs w:val="20"/>
        </w:rPr>
        <w:t xml:space="preserve"> fused to an engineered reverse transcriptase domain. This design reduces reliance on HDR pathways and mitigates off-target and large-scale genomic rearrangement risks associated with DSBs.</w:t>
      </w:r>
    </w:p>
    <w:p w14:paraId="0435207A" w14:textId="77CFD69B"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Lin et al. (2020) reported heritable prime editing events in wheat and rice at efficiencies up to 6.4%. Subsequent optimization of prime editing configurations</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 xml:space="preserve">including PE2, PE3, PE5, and </w:t>
      </w:r>
      <w:proofErr w:type="spellStart"/>
      <w:r w:rsidRPr="005F3664">
        <w:rPr>
          <w:rFonts w:ascii="Arial" w:hAnsi="Arial" w:cs="Arial"/>
          <w:color w:val="000000" w:themeColor="text1"/>
          <w:sz w:val="20"/>
          <w:szCs w:val="20"/>
        </w:rPr>
        <w:t>twinPE</w:t>
      </w:r>
      <w:proofErr w:type="spellEnd"/>
      <w:r w:rsidRPr="005F3664">
        <w:rPr>
          <w:rFonts w:ascii="Arial" w:hAnsi="Arial" w:cs="Arial"/>
          <w:color w:val="000000" w:themeColor="text1"/>
          <w:sz w:val="20"/>
          <w:szCs w:val="20"/>
        </w:rPr>
        <w:t xml:space="preserve"> systems</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has progressively enhanced editing efficiency. Emerging applications in horticultural crops, including tomato, demonstrate promising potential for precise modification of quality and agronomic traits.</w:t>
      </w:r>
    </w:p>
    <w:p w14:paraId="052BA098" w14:textId="77777777" w:rsidR="00C233D8" w:rsidRPr="005F3664" w:rsidRDefault="00C233D8" w:rsidP="00E53B33">
      <w:pPr>
        <w:spacing w:after="120" w:line="240" w:lineRule="auto"/>
        <w:jc w:val="both"/>
        <w:rPr>
          <w:rFonts w:ascii="Arial" w:hAnsi="Arial" w:cs="Arial"/>
          <w:b/>
          <w:bCs/>
          <w:color w:val="000000" w:themeColor="text1"/>
          <w:sz w:val="24"/>
          <w:szCs w:val="24"/>
        </w:rPr>
      </w:pPr>
      <w:r w:rsidRPr="005F3664">
        <w:rPr>
          <w:rFonts w:ascii="Arial" w:hAnsi="Arial" w:cs="Arial"/>
          <w:b/>
          <w:bCs/>
          <w:color w:val="000000" w:themeColor="text1"/>
        </w:rPr>
        <w:t>5.5 Applications Across Horticultural Crops</w:t>
      </w:r>
    </w:p>
    <w:p w14:paraId="75BCAA80" w14:textId="77777777"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Genome editing technologies have been applied across all major trait categories of commercial relevance in horticultural crops.</w:t>
      </w:r>
    </w:p>
    <w:p w14:paraId="61E5F50C" w14:textId="77777777" w:rsidR="00C233D8" w:rsidRPr="005F3664" w:rsidRDefault="00C233D8" w:rsidP="00E53B33">
      <w:pPr>
        <w:spacing w:after="120" w:line="240" w:lineRule="auto"/>
        <w:jc w:val="both"/>
        <w:rPr>
          <w:rFonts w:ascii="Arial" w:hAnsi="Arial" w:cs="Arial"/>
          <w:b/>
          <w:bCs/>
          <w:color w:val="000000" w:themeColor="text1"/>
          <w:sz w:val="20"/>
          <w:szCs w:val="20"/>
        </w:rPr>
      </w:pPr>
      <w:r w:rsidRPr="005F3664">
        <w:rPr>
          <w:rFonts w:ascii="Arial" w:hAnsi="Arial" w:cs="Arial"/>
          <w:b/>
          <w:bCs/>
          <w:color w:val="000000" w:themeColor="text1"/>
          <w:sz w:val="20"/>
          <w:szCs w:val="20"/>
        </w:rPr>
        <w:t>Fruit Quality and Shelf-Life</w:t>
      </w:r>
    </w:p>
    <w:p w14:paraId="0C564BBC" w14:textId="03E4B8FF"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In tomato, CRISPR/Cas9-mediated disruption of cell wall-modifying enzyme genes (</w:t>
      </w:r>
      <w:proofErr w:type="spellStart"/>
      <w:r w:rsidRPr="005F3664">
        <w:rPr>
          <w:rFonts w:ascii="Arial" w:hAnsi="Arial" w:cs="Arial"/>
          <w:i/>
          <w:iCs/>
          <w:color w:val="000000" w:themeColor="text1"/>
          <w:sz w:val="20"/>
          <w:szCs w:val="20"/>
        </w:rPr>
        <w:t>SlPL</w:t>
      </w:r>
      <w:proofErr w:type="spellEnd"/>
      <w:r w:rsidRPr="005F3664">
        <w:rPr>
          <w:rFonts w:ascii="Arial" w:hAnsi="Arial" w:cs="Arial"/>
          <w:color w:val="000000" w:themeColor="text1"/>
          <w:sz w:val="20"/>
          <w:szCs w:val="20"/>
        </w:rPr>
        <w:t xml:space="preserve">, </w:t>
      </w:r>
      <w:proofErr w:type="spellStart"/>
      <w:r w:rsidRPr="005F3664">
        <w:rPr>
          <w:rFonts w:ascii="Arial" w:hAnsi="Arial" w:cs="Arial"/>
          <w:i/>
          <w:iCs/>
          <w:color w:val="000000" w:themeColor="text1"/>
          <w:sz w:val="20"/>
          <w:szCs w:val="20"/>
        </w:rPr>
        <w:t>SlPG</w:t>
      </w:r>
      <w:proofErr w:type="spellEnd"/>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SlExp1</w:t>
      </w:r>
      <w:r w:rsidRPr="005F3664">
        <w:rPr>
          <w:rFonts w:ascii="Arial" w:hAnsi="Arial" w:cs="Arial"/>
          <w:color w:val="000000" w:themeColor="text1"/>
          <w:sz w:val="20"/>
          <w:szCs w:val="20"/>
        </w:rPr>
        <w:t xml:space="preserve">) significantly reduced pectin degradation and delayed fruit softening, thereby extending post-harvest shelf life without adversely affecting </w:t>
      </w:r>
      <w:proofErr w:type="spellStart"/>
      <w:r w:rsidRPr="005F3664">
        <w:rPr>
          <w:rFonts w:ascii="Arial" w:hAnsi="Arial" w:cs="Arial"/>
          <w:color w:val="000000" w:themeColor="text1"/>
          <w:sz w:val="20"/>
          <w:szCs w:val="20"/>
        </w:rPr>
        <w:t>flavor</w:t>
      </w:r>
      <w:proofErr w:type="spellEnd"/>
      <w:r w:rsidRPr="005F3664">
        <w:rPr>
          <w:rFonts w:ascii="Arial" w:hAnsi="Arial" w:cs="Arial"/>
          <w:color w:val="000000" w:themeColor="text1"/>
          <w:sz w:val="20"/>
          <w:szCs w:val="20"/>
        </w:rPr>
        <w:t xml:space="preserve"> attributes</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an outcome of high commercial significance for fresh-market supply chains (</w:t>
      </w:r>
      <w:proofErr w:type="spellStart"/>
      <w:r w:rsidRPr="005F3664">
        <w:rPr>
          <w:rFonts w:ascii="Arial" w:hAnsi="Arial" w:cs="Arial"/>
          <w:color w:val="000000" w:themeColor="text1"/>
          <w:sz w:val="20"/>
          <w:szCs w:val="20"/>
        </w:rPr>
        <w:t>Uluisik</w:t>
      </w:r>
      <w:proofErr w:type="spellEnd"/>
      <w:r w:rsidRPr="005F3664">
        <w:rPr>
          <w:rFonts w:ascii="Arial" w:hAnsi="Arial" w:cs="Arial"/>
          <w:color w:val="000000" w:themeColor="text1"/>
          <w:sz w:val="20"/>
          <w:szCs w:val="20"/>
        </w:rPr>
        <w:t xml:space="preserve"> et al., 2016).</w:t>
      </w:r>
    </w:p>
    <w:p w14:paraId="65A424C4" w14:textId="77777777" w:rsidR="00C233D8" w:rsidRPr="005F3664" w:rsidRDefault="00C233D8" w:rsidP="00E53B33">
      <w:pPr>
        <w:spacing w:after="120" w:line="240" w:lineRule="auto"/>
        <w:jc w:val="both"/>
        <w:rPr>
          <w:rFonts w:ascii="Arial" w:hAnsi="Arial" w:cs="Arial"/>
          <w:b/>
          <w:bCs/>
          <w:color w:val="000000" w:themeColor="text1"/>
          <w:sz w:val="20"/>
          <w:szCs w:val="20"/>
        </w:rPr>
      </w:pPr>
      <w:r w:rsidRPr="005F3664">
        <w:rPr>
          <w:rFonts w:ascii="Arial" w:hAnsi="Arial" w:cs="Arial"/>
          <w:b/>
          <w:bCs/>
          <w:color w:val="000000" w:themeColor="text1"/>
          <w:sz w:val="20"/>
          <w:szCs w:val="20"/>
        </w:rPr>
        <w:t>Disease Resistance</w:t>
      </w:r>
    </w:p>
    <w:p w14:paraId="1823FB97" w14:textId="55D73347"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Editing plant susceptibility (S) genes exploited by pathogens offers a durable, race-nonspecific resistance strategy. In citrus, targeted disruption of </w:t>
      </w:r>
      <w:r w:rsidRPr="005F3664">
        <w:rPr>
          <w:rFonts w:ascii="Arial" w:hAnsi="Arial" w:cs="Arial"/>
          <w:i/>
          <w:iCs/>
          <w:color w:val="000000" w:themeColor="text1"/>
          <w:sz w:val="20"/>
          <w:szCs w:val="20"/>
        </w:rPr>
        <w:t>CsLOB1</w:t>
      </w:r>
      <w:r w:rsidRPr="005F3664">
        <w:rPr>
          <w:rFonts w:ascii="Arial" w:hAnsi="Arial" w:cs="Arial"/>
          <w:color w:val="000000" w:themeColor="text1"/>
          <w:sz w:val="20"/>
          <w:szCs w:val="20"/>
        </w:rPr>
        <w:t xml:space="preserve"> confers resistance to </w:t>
      </w:r>
      <w:proofErr w:type="spellStart"/>
      <w:r w:rsidRPr="005F3664">
        <w:rPr>
          <w:rFonts w:ascii="Arial" w:hAnsi="Arial" w:cs="Arial"/>
          <w:i/>
          <w:iCs/>
          <w:color w:val="000000" w:themeColor="text1"/>
          <w:sz w:val="20"/>
          <w:szCs w:val="20"/>
        </w:rPr>
        <w:t>Xanthomonas</w:t>
      </w:r>
      <w:proofErr w:type="spellEnd"/>
      <w:r w:rsidRPr="005F3664">
        <w:rPr>
          <w:rFonts w:ascii="Arial" w:hAnsi="Arial" w:cs="Arial"/>
          <w:i/>
          <w:iCs/>
          <w:color w:val="000000" w:themeColor="text1"/>
          <w:sz w:val="20"/>
          <w:szCs w:val="20"/>
        </w:rPr>
        <w:t xml:space="preserve"> </w:t>
      </w:r>
      <w:proofErr w:type="spellStart"/>
      <w:r w:rsidRPr="005F3664">
        <w:rPr>
          <w:rFonts w:ascii="Arial" w:hAnsi="Arial" w:cs="Arial"/>
          <w:i/>
          <w:iCs/>
          <w:color w:val="000000" w:themeColor="text1"/>
          <w:sz w:val="20"/>
          <w:szCs w:val="20"/>
        </w:rPr>
        <w:t>citri</w:t>
      </w:r>
      <w:proofErr w:type="spellEnd"/>
      <w:r w:rsidRPr="005F3664">
        <w:rPr>
          <w:rFonts w:ascii="Arial" w:hAnsi="Arial" w:cs="Arial"/>
          <w:i/>
          <w:iCs/>
          <w:color w:val="000000" w:themeColor="text1"/>
          <w:sz w:val="20"/>
          <w:szCs w:val="20"/>
        </w:rPr>
        <w:t xml:space="preserve"> </w:t>
      </w:r>
      <w:proofErr w:type="spellStart"/>
      <w:r w:rsidRPr="005F3664">
        <w:rPr>
          <w:rFonts w:ascii="Arial" w:hAnsi="Arial" w:cs="Arial"/>
          <w:i/>
          <w:iCs/>
          <w:color w:val="000000" w:themeColor="text1"/>
          <w:sz w:val="20"/>
          <w:szCs w:val="20"/>
        </w:rPr>
        <w:t>citri</w:t>
      </w:r>
      <w:proofErr w:type="spellEnd"/>
      <w:r w:rsidRPr="005F3664">
        <w:rPr>
          <w:rFonts w:ascii="Arial" w:hAnsi="Arial" w:cs="Arial"/>
          <w:color w:val="000000" w:themeColor="text1"/>
          <w:sz w:val="20"/>
          <w:szCs w:val="20"/>
        </w:rPr>
        <w:t>-induced canker (</w:t>
      </w:r>
      <w:proofErr w:type="spellStart"/>
      <w:r w:rsidRPr="005F3664">
        <w:rPr>
          <w:rFonts w:ascii="Arial" w:hAnsi="Arial" w:cs="Arial"/>
          <w:color w:val="000000" w:themeColor="text1"/>
          <w:sz w:val="20"/>
          <w:szCs w:val="20"/>
        </w:rPr>
        <w:t>Jia</w:t>
      </w:r>
      <w:proofErr w:type="spellEnd"/>
      <w:r w:rsidRPr="005F3664">
        <w:rPr>
          <w:rFonts w:ascii="Arial" w:hAnsi="Arial" w:cs="Arial"/>
          <w:color w:val="000000" w:themeColor="text1"/>
          <w:sz w:val="20"/>
          <w:szCs w:val="20"/>
        </w:rPr>
        <w:t xml:space="preserve"> et al., 2017). Similarly, CRISPR-mediated editing of </w:t>
      </w:r>
      <w:r w:rsidRPr="005F3664">
        <w:rPr>
          <w:rFonts w:ascii="Arial" w:hAnsi="Arial" w:cs="Arial"/>
          <w:i/>
          <w:iCs/>
          <w:color w:val="000000" w:themeColor="text1"/>
          <w:sz w:val="20"/>
          <w:szCs w:val="20"/>
        </w:rPr>
        <w:t>VvMLO-7</w:t>
      </w:r>
      <w:r w:rsidRPr="005F3664">
        <w:rPr>
          <w:rFonts w:ascii="Arial" w:hAnsi="Arial" w:cs="Arial"/>
          <w:color w:val="000000" w:themeColor="text1"/>
          <w:sz w:val="20"/>
          <w:szCs w:val="20"/>
        </w:rPr>
        <w:t xml:space="preserve"> in grapevine provides broad-spectrum resistance to powdery mildew (</w:t>
      </w:r>
      <w:proofErr w:type="spellStart"/>
      <w:r w:rsidRPr="005F3664">
        <w:rPr>
          <w:rFonts w:ascii="Arial" w:hAnsi="Arial" w:cs="Arial"/>
          <w:color w:val="000000" w:themeColor="text1"/>
          <w:sz w:val="20"/>
          <w:szCs w:val="20"/>
        </w:rPr>
        <w:t>Malnoy</w:t>
      </w:r>
      <w:proofErr w:type="spellEnd"/>
      <w:r w:rsidRPr="005F3664">
        <w:rPr>
          <w:rFonts w:ascii="Arial" w:hAnsi="Arial" w:cs="Arial"/>
          <w:color w:val="000000" w:themeColor="text1"/>
          <w:sz w:val="20"/>
          <w:szCs w:val="20"/>
        </w:rPr>
        <w:t xml:space="preserve"> et al., 2016). These approaches reduce dependence on chemical control measures and enhance sustainability in perennial horticultural systems.</w:t>
      </w:r>
    </w:p>
    <w:p w14:paraId="377795B1" w14:textId="77777777" w:rsidR="00C233D8" w:rsidRPr="005F3664" w:rsidRDefault="00C233D8" w:rsidP="00E53B33">
      <w:pPr>
        <w:spacing w:after="120" w:line="240" w:lineRule="auto"/>
        <w:jc w:val="both"/>
        <w:rPr>
          <w:rFonts w:ascii="Arial" w:hAnsi="Arial" w:cs="Arial"/>
          <w:b/>
          <w:bCs/>
          <w:color w:val="000000" w:themeColor="text1"/>
          <w:sz w:val="20"/>
          <w:szCs w:val="20"/>
        </w:rPr>
      </w:pPr>
      <w:r w:rsidRPr="005F3664">
        <w:rPr>
          <w:rFonts w:ascii="Arial" w:hAnsi="Arial" w:cs="Arial"/>
          <w:b/>
          <w:bCs/>
          <w:color w:val="000000" w:themeColor="text1"/>
          <w:sz w:val="20"/>
          <w:szCs w:val="20"/>
        </w:rPr>
        <w:lastRenderedPageBreak/>
        <w:t>Nutritional Enhancement</w:t>
      </w:r>
    </w:p>
    <w:p w14:paraId="4D6EC2D3" w14:textId="4CB7C84F"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CRISPR-based editing of </w:t>
      </w:r>
      <w:r w:rsidRPr="005F3664">
        <w:rPr>
          <w:rFonts w:ascii="Arial" w:hAnsi="Arial" w:cs="Arial"/>
          <w:i/>
          <w:iCs/>
          <w:color w:val="000000" w:themeColor="text1"/>
          <w:sz w:val="20"/>
          <w:szCs w:val="20"/>
        </w:rPr>
        <w:t>SlGAD2</w:t>
      </w:r>
      <w:r w:rsidRPr="005F3664">
        <w:rPr>
          <w:rFonts w:ascii="Arial" w:hAnsi="Arial" w:cs="Arial"/>
          <w:color w:val="000000" w:themeColor="text1"/>
          <w:sz w:val="20"/>
          <w:szCs w:val="20"/>
        </w:rPr>
        <w:t xml:space="preserve"> and </w:t>
      </w:r>
      <w:r w:rsidRPr="005F3664">
        <w:rPr>
          <w:rFonts w:ascii="Arial" w:hAnsi="Arial" w:cs="Arial"/>
          <w:i/>
          <w:iCs/>
          <w:color w:val="000000" w:themeColor="text1"/>
          <w:sz w:val="20"/>
          <w:szCs w:val="20"/>
        </w:rPr>
        <w:t>SlGAD3</w:t>
      </w:r>
      <w:r w:rsidRPr="005F3664">
        <w:rPr>
          <w:rFonts w:ascii="Arial" w:hAnsi="Arial" w:cs="Arial"/>
          <w:color w:val="000000" w:themeColor="text1"/>
          <w:sz w:val="20"/>
          <w:szCs w:val="20"/>
        </w:rPr>
        <w:t xml:space="preserve"> in tomato increased γ-aminobutyric acid (GABA) accumulation approximately five-fold. The resulting Sicilian Rouge High GABA tomato received regulatory approval and entered commercial sale in Japan in 2021, representing the first officially approved CRISPR-edited food product globally (Nonaka et al., 2017).</w:t>
      </w:r>
    </w:p>
    <w:p w14:paraId="2D34F5F1" w14:textId="77777777" w:rsidR="00C233D8" w:rsidRPr="005F3664" w:rsidRDefault="00C233D8" w:rsidP="00E53B33">
      <w:pPr>
        <w:spacing w:after="120" w:line="240" w:lineRule="auto"/>
        <w:jc w:val="both"/>
        <w:rPr>
          <w:rFonts w:ascii="Arial" w:hAnsi="Arial" w:cs="Arial"/>
          <w:b/>
          <w:bCs/>
          <w:color w:val="000000" w:themeColor="text1"/>
          <w:sz w:val="20"/>
          <w:szCs w:val="20"/>
        </w:rPr>
      </w:pPr>
      <w:r w:rsidRPr="005F3664">
        <w:rPr>
          <w:rFonts w:ascii="Arial" w:hAnsi="Arial" w:cs="Arial"/>
          <w:b/>
          <w:bCs/>
          <w:color w:val="000000" w:themeColor="text1"/>
          <w:sz w:val="20"/>
          <w:szCs w:val="20"/>
        </w:rPr>
        <w:t>De Novo Domestication</w:t>
      </w:r>
    </w:p>
    <w:p w14:paraId="63CBEE7F" w14:textId="3EB687CA" w:rsidR="00C233D8" w:rsidRPr="005F3664" w:rsidRDefault="00C233D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A landmark study by </w:t>
      </w:r>
      <w:proofErr w:type="spellStart"/>
      <w:r w:rsidRPr="005F3664">
        <w:rPr>
          <w:rFonts w:ascii="Arial" w:hAnsi="Arial" w:cs="Arial"/>
          <w:color w:val="000000" w:themeColor="text1"/>
          <w:sz w:val="20"/>
          <w:szCs w:val="20"/>
        </w:rPr>
        <w:t>Zsogon</w:t>
      </w:r>
      <w:proofErr w:type="spellEnd"/>
      <w:r w:rsidRPr="005F3664">
        <w:rPr>
          <w:rFonts w:ascii="Arial" w:hAnsi="Arial" w:cs="Arial"/>
          <w:color w:val="000000" w:themeColor="text1"/>
          <w:sz w:val="20"/>
          <w:szCs w:val="20"/>
        </w:rPr>
        <w:t xml:space="preserve"> et al. (2018) demonstrated the transformative potential of multiplex CRISPR editing for de novo domestication. Simultaneous editing of six loci (</w:t>
      </w:r>
      <w:r w:rsidRPr="005F3664">
        <w:rPr>
          <w:rFonts w:ascii="Arial" w:hAnsi="Arial" w:cs="Arial"/>
          <w:i/>
          <w:iCs/>
          <w:color w:val="000000" w:themeColor="text1"/>
          <w:sz w:val="20"/>
          <w:szCs w:val="20"/>
        </w:rPr>
        <w:t>SP</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SP5G</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CLV3</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WUS</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LIN5</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MULT</w:t>
      </w:r>
      <w:r w:rsidRPr="005F3664">
        <w:rPr>
          <w:rFonts w:ascii="Arial" w:hAnsi="Arial" w:cs="Arial"/>
          <w:color w:val="000000" w:themeColor="text1"/>
          <w:sz w:val="20"/>
          <w:szCs w:val="20"/>
        </w:rPr>
        <w:t xml:space="preserve">) in the wild tomato species </w:t>
      </w:r>
      <w:proofErr w:type="spellStart"/>
      <w:r w:rsidRPr="005F3664">
        <w:rPr>
          <w:rFonts w:ascii="Arial" w:hAnsi="Arial" w:cs="Arial"/>
          <w:i/>
          <w:iCs/>
          <w:color w:val="000000" w:themeColor="text1"/>
          <w:sz w:val="20"/>
          <w:szCs w:val="20"/>
        </w:rPr>
        <w:t>Solanum</w:t>
      </w:r>
      <w:proofErr w:type="spellEnd"/>
      <w:r w:rsidRPr="005F3664">
        <w:rPr>
          <w:rFonts w:ascii="Arial" w:hAnsi="Arial" w:cs="Arial"/>
          <w:i/>
          <w:iCs/>
          <w:color w:val="000000" w:themeColor="text1"/>
          <w:sz w:val="20"/>
          <w:szCs w:val="20"/>
        </w:rPr>
        <w:t xml:space="preserve"> </w:t>
      </w:r>
      <w:proofErr w:type="spellStart"/>
      <w:r w:rsidRPr="005F3664">
        <w:rPr>
          <w:rFonts w:ascii="Arial" w:hAnsi="Arial" w:cs="Arial"/>
          <w:i/>
          <w:iCs/>
          <w:color w:val="000000" w:themeColor="text1"/>
          <w:sz w:val="20"/>
          <w:szCs w:val="20"/>
        </w:rPr>
        <w:t>pimpinellifolium</w:t>
      </w:r>
      <w:proofErr w:type="spellEnd"/>
      <w:r w:rsidRPr="005F3664">
        <w:rPr>
          <w:rFonts w:ascii="Arial" w:hAnsi="Arial" w:cs="Arial"/>
          <w:color w:val="000000" w:themeColor="text1"/>
          <w:sz w:val="20"/>
          <w:szCs w:val="20"/>
        </w:rPr>
        <w:t xml:space="preserve"> generated domestication-like phenotypes</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improved fruit size, architecture, and yield</w:t>
      </w:r>
      <w:r w:rsidR="005856F9" w:rsidRPr="005F3664">
        <w:rPr>
          <w:rFonts w:ascii="Arial" w:hAnsi="Arial" w:cs="Arial"/>
          <w:color w:val="000000" w:themeColor="text1"/>
          <w:sz w:val="20"/>
          <w:szCs w:val="20"/>
        </w:rPr>
        <w:t>-</w:t>
      </w:r>
      <w:r w:rsidRPr="005F3664">
        <w:rPr>
          <w:rFonts w:ascii="Arial" w:hAnsi="Arial" w:cs="Arial"/>
          <w:color w:val="000000" w:themeColor="text1"/>
          <w:sz w:val="20"/>
          <w:szCs w:val="20"/>
        </w:rPr>
        <w:t xml:space="preserve">while retaining superior disease resistance traits absent in modern commercial cultivars. This approach exemplifies how precision editing can unlock genetic diversity in wild crop relatives without the linkage drag associated with conventional </w:t>
      </w:r>
      <w:proofErr w:type="spellStart"/>
      <w:r w:rsidRPr="005F3664">
        <w:rPr>
          <w:rFonts w:ascii="Arial" w:hAnsi="Arial" w:cs="Arial"/>
          <w:color w:val="000000" w:themeColor="text1"/>
          <w:sz w:val="20"/>
          <w:szCs w:val="20"/>
        </w:rPr>
        <w:t>introgression</w:t>
      </w:r>
      <w:proofErr w:type="spellEnd"/>
      <w:r w:rsidRPr="005F3664">
        <w:rPr>
          <w:rFonts w:ascii="Arial" w:hAnsi="Arial" w:cs="Arial"/>
          <w:color w:val="000000" w:themeColor="text1"/>
          <w:sz w:val="20"/>
          <w:szCs w:val="20"/>
        </w:rPr>
        <w:t xml:space="preserve"> breeding.</w:t>
      </w:r>
    </w:p>
    <w:p w14:paraId="32413719" w14:textId="42640006" w:rsidR="003876C2" w:rsidRPr="005F3664" w:rsidRDefault="00EE50DD" w:rsidP="00E53B33">
      <w:pPr>
        <w:spacing w:before="240" w:after="80" w:line="240" w:lineRule="auto"/>
        <w:rPr>
          <w:rFonts w:ascii="Arial" w:hAnsi="Arial" w:cs="Arial"/>
        </w:rPr>
      </w:pPr>
      <w:r w:rsidRPr="005F3664">
        <w:rPr>
          <w:rFonts w:ascii="Arial" w:hAnsi="Arial" w:cs="Arial"/>
          <w:b/>
          <w:bCs/>
        </w:rPr>
        <w:t>Table 2. Genome Editing Applications in Horticultural Crops: Genes Targeted, Tools, and Outcomes</w:t>
      </w:r>
    </w:p>
    <w:tbl>
      <w:tblPr>
        <w:tblStyle w:val="TableGrid"/>
        <w:tblW w:w="9360" w:type="dxa"/>
        <w:tblLook w:val="0000" w:firstRow="0" w:lastRow="0" w:firstColumn="0" w:lastColumn="0" w:noHBand="0" w:noVBand="0"/>
      </w:tblPr>
      <w:tblGrid>
        <w:gridCol w:w="1295"/>
        <w:gridCol w:w="1572"/>
        <w:gridCol w:w="1573"/>
        <w:gridCol w:w="3272"/>
        <w:gridCol w:w="1648"/>
      </w:tblGrid>
      <w:tr w:rsidR="003876C2" w:rsidRPr="005F3664" w14:paraId="3A72FBF5" w14:textId="77777777" w:rsidTr="00831536">
        <w:tc>
          <w:tcPr>
            <w:tcW w:w="1199" w:type="dxa"/>
          </w:tcPr>
          <w:p w14:paraId="03E03C46"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Crop</w:t>
            </w:r>
          </w:p>
        </w:tc>
        <w:tc>
          <w:tcPr>
            <w:tcW w:w="1593" w:type="dxa"/>
          </w:tcPr>
          <w:p w14:paraId="4C7504FF"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Gene(s) Targeted</w:t>
            </w:r>
          </w:p>
        </w:tc>
        <w:tc>
          <w:tcPr>
            <w:tcW w:w="1367" w:type="dxa"/>
          </w:tcPr>
          <w:p w14:paraId="404D93FC"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Editing Tool</w:t>
            </w:r>
          </w:p>
        </w:tc>
        <w:tc>
          <w:tcPr>
            <w:tcW w:w="3491" w:type="dxa"/>
          </w:tcPr>
          <w:p w14:paraId="7B331338"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Trait / Biological Outcome</w:t>
            </w:r>
          </w:p>
        </w:tc>
        <w:tc>
          <w:tcPr>
            <w:tcW w:w="1710" w:type="dxa"/>
          </w:tcPr>
          <w:p w14:paraId="71754207" w14:textId="77777777" w:rsidR="003876C2" w:rsidRPr="005F3664" w:rsidRDefault="003876C2" w:rsidP="00E53B33">
            <w:pPr>
              <w:jc w:val="center"/>
              <w:rPr>
                <w:rFonts w:ascii="Arial" w:eastAsia="Times New Roman" w:hAnsi="Arial" w:cs="Arial"/>
                <w:color w:val="000000" w:themeColor="text1"/>
                <w:sz w:val="20"/>
                <w:szCs w:val="20"/>
                <w:lang w:eastAsia="en-IN"/>
              </w:rPr>
            </w:pPr>
            <w:r w:rsidRPr="005F3664">
              <w:rPr>
                <w:rFonts w:ascii="Arial" w:eastAsia="Times New Roman" w:hAnsi="Arial" w:cs="Arial"/>
                <w:b/>
                <w:bCs/>
                <w:color w:val="000000" w:themeColor="text1"/>
                <w:sz w:val="20"/>
                <w:szCs w:val="20"/>
                <w:lang w:eastAsia="en-IN"/>
              </w:rPr>
              <w:t>Reference</w:t>
            </w:r>
          </w:p>
        </w:tc>
      </w:tr>
      <w:tr w:rsidR="003876C2" w:rsidRPr="005F3664" w14:paraId="187F0D91" w14:textId="77777777" w:rsidTr="00831536">
        <w:tc>
          <w:tcPr>
            <w:tcW w:w="1199" w:type="dxa"/>
          </w:tcPr>
          <w:p w14:paraId="6838B1C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Tomato</w:t>
            </w:r>
          </w:p>
        </w:tc>
        <w:tc>
          <w:tcPr>
            <w:tcW w:w="1593" w:type="dxa"/>
          </w:tcPr>
          <w:p w14:paraId="62082B74" w14:textId="77777777" w:rsidR="003876C2" w:rsidRPr="00A73ABC" w:rsidRDefault="003876C2" w:rsidP="00E53B33">
            <w:pPr>
              <w:rPr>
                <w:rFonts w:ascii="Arial" w:eastAsia="Times New Roman" w:hAnsi="Arial" w:cs="Arial"/>
                <w:i/>
                <w:iCs/>
                <w:sz w:val="20"/>
                <w:szCs w:val="20"/>
                <w:lang w:eastAsia="en-IN"/>
              </w:rPr>
            </w:pPr>
            <w:proofErr w:type="spellStart"/>
            <w:r w:rsidRPr="00A73ABC">
              <w:rPr>
                <w:rFonts w:ascii="Arial" w:eastAsia="Times New Roman" w:hAnsi="Arial" w:cs="Arial"/>
                <w:i/>
                <w:iCs/>
                <w:sz w:val="20"/>
                <w:szCs w:val="20"/>
                <w:lang w:eastAsia="en-IN"/>
              </w:rPr>
              <w:t>SlPL</w:t>
            </w:r>
            <w:proofErr w:type="spellEnd"/>
            <w:r w:rsidRPr="00A73ABC">
              <w:rPr>
                <w:rFonts w:ascii="Arial" w:eastAsia="Times New Roman" w:hAnsi="Arial" w:cs="Arial"/>
                <w:i/>
                <w:iCs/>
                <w:sz w:val="20"/>
                <w:szCs w:val="20"/>
                <w:lang w:eastAsia="en-IN"/>
              </w:rPr>
              <w:t xml:space="preserve">, </w:t>
            </w:r>
            <w:proofErr w:type="spellStart"/>
            <w:r w:rsidRPr="00A73ABC">
              <w:rPr>
                <w:rFonts w:ascii="Arial" w:eastAsia="Times New Roman" w:hAnsi="Arial" w:cs="Arial"/>
                <w:i/>
                <w:iCs/>
                <w:sz w:val="20"/>
                <w:szCs w:val="20"/>
                <w:lang w:eastAsia="en-IN"/>
              </w:rPr>
              <w:t>SlPG</w:t>
            </w:r>
            <w:proofErr w:type="spellEnd"/>
            <w:r w:rsidRPr="00A73ABC">
              <w:rPr>
                <w:rFonts w:ascii="Arial" w:eastAsia="Times New Roman" w:hAnsi="Arial" w:cs="Arial"/>
                <w:i/>
                <w:iCs/>
                <w:sz w:val="20"/>
                <w:szCs w:val="20"/>
                <w:lang w:eastAsia="en-IN"/>
              </w:rPr>
              <w:t>, SlExp1</w:t>
            </w:r>
          </w:p>
        </w:tc>
        <w:tc>
          <w:tcPr>
            <w:tcW w:w="1367" w:type="dxa"/>
          </w:tcPr>
          <w:p w14:paraId="6E77E205"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w:t>
            </w:r>
          </w:p>
        </w:tc>
        <w:tc>
          <w:tcPr>
            <w:tcW w:w="3491" w:type="dxa"/>
          </w:tcPr>
          <w:p w14:paraId="0826D4B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Reduced pectin degradation; extended shelf-life; fruit firmness retained post-harvest; no transgene in final lines</w:t>
            </w:r>
          </w:p>
        </w:tc>
        <w:tc>
          <w:tcPr>
            <w:tcW w:w="1710" w:type="dxa"/>
          </w:tcPr>
          <w:p w14:paraId="54BAACAB" w14:textId="77777777" w:rsidR="003876C2" w:rsidRPr="005F3664" w:rsidRDefault="003876C2" w:rsidP="00E53B33">
            <w:pPr>
              <w:rPr>
                <w:rFonts w:ascii="Arial" w:eastAsia="Times New Roman" w:hAnsi="Arial" w:cs="Arial"/>
                <w:sz w:val="20"/>
                <w:szCs w:val="20"/>
                <w:lang w:eastAsia="en-IN"/>
              </w:rPr>
            </w:pPr>
            <w:proofErr w:type="spellStart"/>
            <w:r w:rsidRPr="005F3664">
              <w:rPr>
                <w:rFonts w:ascii="Arial" w:eastAsia="Times New Roman" w:hAnsi="Arial" w:cs="Arial"/>
                <w:sz w:val="20"/>
                <w:szCs w:val="20"/>
                <w:lang w:eastAsia="en-IN"/>
              </w:rPr>
              <w:t>Uluisik</w:t>
            </w:r>
            <w:proofErr w:type="spellEnd"/>
            <w:r w:rsidRPr="005F3664">
              <w:rPr>
                <w:rFonts w:ascii="Arial" w:eastAsia="Times New Roman" w:hAnsi="Arial" w:cs="Arial"/>
                <w:sz w:val="20"/>
                <w:szCs w:val="20"/>
                <w:lang w:eastAsia="en-IN"/>
              </w:rPr>
              <w:t xml:space="preserve"> et al. (2016)</w:t>
            </w:r>
          </w:p>
        </w:tc>
      </w:tr>
      <w:tr w:rsidR="003876C2" w:rsidRPr="005F3664" w14:paraId="7B675DEB" w14:textId="77777777" w:rsidTr="00831536">
        <w:tc>
          <w:tcPr>
            <w:tcW w:w="1199" w:type="dxa"/>
          </w:tcPr>
          <w:p w14:paraId="5D38274D"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Tomato</w:t>
            </w:r>
          </w:p>
        </w:tc>
        <w:tc>
          <w:tcPr>
            <w:tcW w:w="1593" w:type="dxa"/>
          </w:tcPr>
          <w:p w14:paraId="4E489495" w14:textId="77777777" w:rsidR="003876C2" w:rsidRPr="00A73ABC" w:rsidRDefault="003876C2" w:rsidP="00E53B33">
            <w:pPr>
              <w:rPr>
                <w:rFonts w:ascii="Arial" w:eastAsia="Times New Roman" w:hAnsi="Arial" w:cs="Arial"/>
                <w:i/>
                <w:iCs/>
                <w:sz w:val="20"/>
                <w:szCs w:val="20"/>
                <w:lang w:eastAsia="en-IN"/>
              </w:rPr>
            </w:pPr>
            <w:r w:rsidRPr="00A73ABC">
              <w:rPr>
                <w:rFonts w:ascii="Arial" w:eastAsia="Times New Roman" w:hAnsi="Arial" w:cs="Arial"/>
                <w:i/>
                <w:iCs/>
                <w:sz w:val="20"/>
                <w:szCs w:val="20"/>
                <w:lang w:eastAsia="en-IN"/>
              </w:rPr>
              <w:t>SP5G, SP, CLV3, WUS, LIN5, MULT</w:t>
            </w:r>
          </w:p>
        </w:tc>
        <w:tc>
          <w:tcPr>
            <w:tcW w:w="1367" w:type="dxa"/>
          </w:tcPr>
          <w:p w14:paraId="5178E947"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 (multiplex)</w:t>
            </w:r>
          </w:p>
        </w:tc>
        <w:tc>
          <w:tcPr>
            <w:tcW w:w="3491" w:type="dxa"/>
          </w:tcPr>
          <w:p w14:paraId="269A17C5"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De novo domestication of wild </w:t>
            </w:r>
            <w:r w:rsidRPr="00A73ABC">
              <w:rPr>
                <w:rFonts w:ascii="Arial" w:eastAsia="Times New Roman" w:hAnsi="Arial" w:cs="Arial"/>
                <w:i/>
                <w:iCs/>
                <w:sz w:val="20"/>
                <w:szCs w:val="20"/>
                <w:lang w:eastAsia="en-IN"/>
              </w:rPr>
              <w:t xml:space="preserve">S. </w:t>
            </w:r>
            <w:proofErr w:type="spellStart"/>
            <w:r w:rsidRPr="00A73ABC">
              <w:rPr>
                <w:rFonts w:ascii="Arial" w:eastAsia="Times New Roman" w:hAnsi="Arial" w:cs="Arial"/>
                <w:i/>
                <w:iCs/>
                <w:sz w:val="20"/>
                <w:szCs w:val="20"/>
                <w:lang w:eastAsia="en-IN"/>
              </w:rPr>
              <w:t>pimpinellifolium</w:t>
            </w:r>
            <w:proofErr w:type="spellEnd"/>
            <w:r w:rsidRPr="00A73ABC">
              <w:rPr>
                <w:rFonts w:ascii="Arial" w:eastAsia="Times New Roman" w:hAnsi="Arial" w:cs="Arial"/>
                <w:i/>
                <w:iCs/>
                <w:sz w:val="20"/>
                <w:szCs w:val="20"/>
                <w:lang w:eastAsia="en-IN"/>
              </w:rPr>
              <w:t>;</w:t>
            </w:r>
            <w:r w:rsidRPr="005F3664">
              <w:rPr>
                <w:rFonts w:ascii="Arial" w:eastAsia="Times New Roman" w:hAnsi="Arial" w:cs="Arial"/>
                <w:sz w:val="20"/>
                <w:szCs w:val="20"/>
                <w:lang w:eastAsia="en-IN"/>
              </w:rPr>
              <w:t xml:space="preserve"> improved yield, fruit size, lycopene while retaining disease resistance</w:t>
            </w:r>
          </w:p>
        </w:tc>
        <w:tc>
          <w:tcPr>
            <w:tcW w:w="1710" w:type="dxa"/>
          </w:tcPr>
          <w:p w14:paraId="008EA548" w14:textId="77777777" w:rsidR="003876C2" w:rsidRPr="005F3664" w:rsidRDefault="003876C2" w:rsidP="00E53B33">
            <w:pPr>
              <w:rPr>
                <w:rFonts w:ascii="Arial" w:eastAsia="Times New Roman" w:hAnsi="Arial" w:cs="Arial"/>
                <w:sz w:val="20"/>
                <w:szCs w:val="20"/>
                <w:lang w:eastAsia="en-IN"/>
              </w:rPr>
            </w:pPr>
            <w:proofErr w:type="spellStart"/>
            <w:r w:rsidRPr="005F3664">
              <w:rPr>
                <w:rFonts w:ascii="Arial" w:eastAsia="Times New Roman" w:hAnsi="Arial" w:cs="Arial"/>
                <w:sz w:val="20"/>
                <w:szCs w:val="20"/>
                <w:lang w:eastAsia="en-IN"/>
              </w:rPr>
              <w:t>Zsogon</w:t>
            </w:r>
            <w:proofErr w:type="spellEnd"/>
            <w:r w:rsidRPr="005F3664">
              <w:rPr>
                <w:rFonts w:ascii="Arial" w:eastAsia="Times New Roman" w:hAnsi="Arial" w:cs="Arial"/>
                <w:sz w:val="20"/>
                <w:szCs w:val="20"/>
                <w:lang w:eastAsia="en-IN"/>
              </w:rPr>
              <w:t xml:space="preserve"> et al. (2018)</w:t>
            </w:r>
          </w:p>
        </w:tc>
      </w:tr>
      <w:tr w:rsidR="003876C2" w:rsidRPr="005F3664" w14:paraId="214C59B0" w14:textId="77777777" w:rsidTr="00831536">
        <w:tc>
          <w:tcPr>
            <w:tcW w:w="1199" w:type="dxa"/>
          </w:tcPr>
          <w:p w14:paraId="478B0B5D"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Tomato</w:t>
            </w:r>
          </w:p>
        </w:tc>
        <w:tc>
          <w:tcPr>
            <w:tcW w:w="1593" w:type="dxa"/>
          </w:tcPr>
          <w:p w14:paraId="3C3FD211" w14:textId="77777777" w:rsidR="003876C2" w:rsidRPr="00A73ABC" w:rsidRDefault="003876C2" w:rsidP="00E53B33">
            <w:pPr>
              <w:rPr>
                <w:rFonts w:ascii="Arial" w:eastAsia="Times New Roman" w:hAnsi="Arial" w:cs="Arial"/>
                <w:i/>
                <w:iCs/>
                <w:sz w:val="20"/>
                <w:szCs w:val="20"/>
                <w:lang w:eastAsia="en-IN"/>
              </w:rPr>
            </w:pPr>
            <w:r w:rsidRPr="00A73ABC">
              <w:rPr>
                <w:rFonts w:ascii="Arial" w:eastAsia="Times New Roman" w:hAnsi="Arial" w:cs="Arial"/>
                <w:i/>
                <w:iCs/>
                <w:sz w:val="20"/>
                <w:szCs w:val="20"/>
                <w:lang w:eastAsia="en-IN"/>
              </w:rPr>
              <w:t>SlGAD2, SlGAD3</w:t>
            </w:r>
          </w:p>
        </w:tc>
        <w:tc>
          <w:tcPr>
            <w:tcW w:w="1367" w:type="dxa"/>
          </w:tcPr>
          <w:p w14:paraId="776AA380"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w:t>
            </w:r>
          </w:p>
        </w:tc>
        <w:tc>
          <w:tcPr>
            <w:tcW w:w="3491" w:type="dxa"/>
          </w:tcPr>
          <w:p w14:paraId="510F50B9"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~5-fold increase in GABA; first CRISPR food approved and sold commercially in Japan (Sicilian Rouge High GABA, 2021)</w:t>
            </w:r>
          </w:p>
        </w:tc>
        <w:tc>
          <w:tcPr>
            <w:tcW w:w="1710" w:type="dxa"/>
          </w:tcPr>
          <w:p w14:paraId="5398A059"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Nonaka et al. (2017)</w:t>
            </w:r>
          </w:p>
        </w:tc>
      </w:tr>
      <w:tr w:rsidR="003876C2" w:rsidRPr="005F3664" w14:paraId="3391F029" w14:textId="77777777" w:rsidTr="00831536">
        <w:tc>
          <w:tcPr>
            <w:tcW w:w="1199" w:type="dxa"/>
          </w:tcPr>
          <w:p w14:paraId="0919893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Tomato</w:t>
            </w:r>
          </w:p>
        </w:tc>
        <w:tc>
          <w:tcPr>
            <w:tcW w:w="1593" w:type="dxa"/>
          </w:tcPr>
          <w:p w14:paraId="33B28389" w14:textId="77777777" w:rsidR="003876C2" w:rsidRPr="00A73ABC" w:rsidRDefault="003876C2" w:rsidP="00E53B33">
            <w:pPr>
              <w:rPr>
                <w:rFonts w:ascii="Arial" w:eastAsia="Times New Roman" w:hAnsi="Arial" w:cs="Arial"/>
                <w:i/>
                <w:iCs/>
                <w:sz w:val="20"/>
                <w:szCs w:val="20"/>
                <w:lang w:eastAsia="en-IN"/>
              </w:rPr>
            </w:pPr>
            <w:r w:rsidRPr="00A73ABC">
              <w:rPr>
                <w:rFonts w:ascii="Arial" w:eastAsia="Times New Roman" w:hAnsi="Arial" w:cs="Arial"/>
                <w:i/>
                <w:iCs/>
                <w:sz w:val="20"/>
                <w:szCs w:val="20"/>
                <w:lang w:eastAsia="en-IN"/>
              </w:rPr>
              <w:t xml:space="preserve">ANT1 </w:t>
            </w:r>
            <w:r w:rsidRPr="00A73ABC">
              <w:rPr>
                <w:rFonts w:ascii="Arial" w:eastAsia="Times New Roman" w:hAnsi="Arial" w:cs="Arial"/>
                <w:sz w:val="20"/>
                <w:szCs w:val="20"/>
                <w:lang w:eastAsia="en-IN"/>
              </w:rPr>
              <w:t>(anthocyanin transporter)</w:t>
            </w:r>
          </w:p>
        </w:tc>
        <w:tc>
          <w:tcPr>
            <w:tcW w:w="1367" w:type="dxa"/>
          </w:tcPr>
          <w:p w14:paraId="626CF636"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Adenine base editor (ABE)</w:t>
            </w:r>
          </w:p>
        </w:tc>
        <w:tc>
          <w:tcPr>
            <w:tcW w:w="3491" w:type="dxa"/>
          </w:tcPr>
          <w:p w14:paraId="092E4E7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Purple-pigmented fruit; elevated anthocyanin levels; improved antioxidant profile without DSB or foreign DNA</w:t>
            </w:r>
          </w:p>
        </w:tc>
        <w:tc>
          <w:tcPr>
            <w:tcW w:w="1710" w:type="dxa"/>
          </w:tcPr>
          <w:p w14:paraId="5085AED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Li et al. (2018)</w:t>
            </w:r>
          </w:p>
        </w:tc>
      </w:tr>
      <w:tr w:rsidR="003876C2" w:rsidRPr="005F3664" w14:paraId="7461D810" w14:textId="77777777" w:rsidTr="00831536">
        <w:tc>
          <w:tcPr>
            <w:tcW w:w="1199" w:type="dxa"/>
          </w:tcPr>
          <w:p w14:paraId="00B71E41"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Potato</w:t>
            </w:r>
          </w:p>
        </w:tc>
        <w:tc>
          <w:tcPr>
            <w:tcW w:w="1593" w:type="dxa"/>
          </w:tcPr>
          <w:p w14:paraId="0C10506D" w14:textId="77777777" w:rsidR="003876C2" w:rsidRPr="00A73ABC" w:rsidRDefault="003876C2" w:rsidP="00E53B33">
            <w:pPr>
              <w:rPr>
                <w:rFonts w:ascii="Arial" w:eastAsia="Times New Roman" w:hAnsi="Arial" w:cs="Arial"/>
                <w:i/>
                <w:iCs/>
                <w:sz w:val="20"/>
                <w:szCs w:val="20"/>
                <w:lang w:eastAsia="en-IN"/>
              </w:rPr>
            </w:pPr>
            <w:r w:rsidRPr="00A73ABC">
              <w:rPr>
                <w:rFonts w:ascii="Arial" w:eastAsia="Times New Roman" w:hAnsi="Arial" w:cs="Arial"/>
                <w:i/>
                <w:iCs/>
                <w:sz w:val="20"/>
                <w:szCs w:val="20"/>
                <w:lang w:eastAsia="en-IN"/>
              </w:rPr>
              <w:t xml:space="preserve">GBSS </w:t>
            </w:r>
            <w:r w:rsidRPr="00A73ABC">
              <w:rPr>
                <w:rFonts w:ascii="Arial" w:eastAsia="Times New Roman" w:hAnsi="Arial" w:cs="Arial"/>
                <w:sz w:val="20"/>
                <w:szCs w:val="20"/>
                <w:lang w:eastAsia="en-IN"/>
              </w:rPr>
              <w:t>(granule-bound starch synthase)</w:t>
            </w:r>
          </w:p>
        </w:tc>
        <w:tc>
          <w:tcPr>
            <w:tcW w:w="1367" w:type="dxa"/>
          </w:tcPr>
          <w:p w14:paraId="68EA0A89"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 via protoplast</w:t>
            </w:r>
          </w:p>
        </w:tc>
        <w:tc>
          <w:tcPr>
            <w:tcW w:w="3491" w:type="dxa"/>
          </w:tcPr>
          <w:p w14:paraId="75A32429"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Complete amylose knockout; waxy starch phenotype; no stable transgene integration; regulatory non-GMO classification in EU</w:t>
            </w:r>
          </w:p>
        </w:tc>
        <w:tc>
          <w:tcPr>
            <w:tcW w:w="1710" w:type="dxa"/>
          </w:tcPr>
          <w:p w14:paraId="0EAF411E"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Andersson et al. (2017)</w:t>
            </w:r>
          </w:p>
        </w:tc>
      </w:tr>
      <w:tr w:rsidR="003876C2" w:rsidRPr="005F3664" w14:paraId="6DF6BD00" w14:textId="77777777" w:rsidTr="00831536">
        <w:tc>
          <w:tcPr>
            <w:tcW w:w="1199" w:type="dxa"/>
          </w:tcPr>
          <w:p w14:paraId="68AAD88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Potato</w:t>
            </w:r>
          </w:p>
        </w:tc>
        <w:tc>
          <w:tcPr>
            <w:tcW w:w="1593" w:type="dxa"/>
          </w:tcPr>
          <w:p w14:paraId="7D423AB6" w14:textId="77777777" w:rsidR="003876C2" w:rsidRPr="00A73ABC" w:rsidRDefault="003876C2" w:rsidP="00E53B33">
            <w:pPr>
              <w:rPr>
                <w:rFonts w:ascii="Arial" w:eastAsia="Times New Roman" w:hAnsi="Arial" w:cs="Arial"/>
                <w:i/>
                <w:iCs/>
                <w:sz w:val="20"/>
                <w:szCs w:val="20"/>
                <w:lang w:eastAsia="en-IN"/>
              </w:rPr>
            </w:pPr>
            <w:proofErr w:type="spellStart"/>
            <w:r w:rsidRPr="00A73ABC">
              <w:rPr>
                <w:rFonts w:ascii="Arial" w:eastAsia="Times New Roman" w:hAnsi="Arial" w:cs="Arial"/>
                <w:i/>
                <w:iCs/>
                <w:sz w:val="20"/>
                <w:szCs w:val="20"/>
                <w:lang w:eastAsia="en-IN"/>
              </w:rPr>
              <w:t>VInv</w:t>
            </w:r>
            <w:proofErr w:type="spellEnd"/>
            <w:r w:rsidRPr="00A73ABC">
              <w:rPr>
                <w:rFonts w:ascii="Arial" w:eastAsia="Times New Roman" w:hAnsi="Arial" w:cs="Arial"/>
                <w:i/>
                <w:iCs/>
                <w:sz w:val="20"/>
                <w:szCs w:val="20"/>
                <w:lang w:eastAsia="en-IN"/>
              </w:rPr>
              <w:t xml:space="preserve"> </w:t>
            </w:r>
            <w:r w:rsidRPr="00A73ABC">
              <w:rPr>
                <w:rFonts w:ascii="Arial" w:eastAsia="Times New Roman" w:hAnsi="Arial" w:cs="Arial"/>
                <w:sz w:val="20"/>
                <w:szCs w:val="20"/>
                <w:lang w:eastAsia="en-IN"/>
              </w:rPr>
              <w:t>(</w:t>
            </w:r>
            <w:proofErr w:type="spellStart"/>
            <w:r w:rsidRPr="00A73ABC">
              <w:rPr>
                <w:rFonts w:ascii="Arial" w:eastAsia="Times New Roman" w:hAnsi="Arial" w:cs="Arial"/>
                <w:sz w:val="20"/>
                <w:szCs w:val="20"/>
                <w:lang w:eastAsia="en-IN"/>
              </w:rPr>
              <w:t>vacuolar</w:t>
            </w:r>
            <w:proofErr w:type="spellEnd"/>
            <w:r w:rsidRPr="00A73ABC">
              <w:rPr>
                <w:rFonts w:ascii="Arial" w:eastAsia="Times New Roman" w:hAnsi="Arial" w:cs="Arial"/>
                <w:sz w:val="20"/>
                <w:szCs w:val="20"/>
                <w:lang w:eastAsia="en-IN"/>
              </w:rPr>
              <w:t xml:space="preserve"> </w:t>
            </w:r>
            <w:proofErr w:type="spellStart"/>
            <w:r w:rsidRPr="00A73ABC">
              <w:rPr>
                <w:rFonts w:ascii="Arial" w:eastAsia="Times New Roman" w:hAnsi="Arial" w:cs="Arial"/>
                <w:sz w:val="20"/>
                <w:szCs w:val="20"/>
                <w:lang w:eastAsia="en-IN"/>
              </w:rPr>
              <w:t>invertase</w:t>
            </w:r>
            <w:proofErr w:type="spellEnd"/>
            <w:r w:rsidRPr="00A73ABC">
              <w:rPr>
                <w:rFonts w:ascii="Arial" w:eastAsia="Times New Roman" w:hAnsi="Arial" w:cs="Arial"/>
                <w:sz w:val="20"/>
                <w:szCs w:val="20"/>
                <w:lang w:eastAsia="en-IN"/>
              </w:rPr>
              <w:t>)</w:t>
            </w:r>
          </w:p>
        </w:tc>
        <w:tc>
          <w:tcPr>
            <w:tcW w:w="1367" w:type="dxa"/>
          </w:tcPr>
          <w:p w14:paraId="70D35FB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w:t>
            </w:r>
          </w:p>
        </w:tc>
        <w:tc>
          <w:tcPr>
            <w:tcW w:w="3491" w:type="dxa"/>
          </w:tcPr>
          <w:p w14:paraId="780CA6CE"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Reduced cold-induced glucose accumulation; lower acrylamide potential in processed products; improved chip colour</w:t>
            </w:r>
          </w:p>
        </w:tc>
        <w:tc>
          <w:tcPr>
            <w:tcW w:w="1710" w:type="dxa"/>
          </w:tcPr>
          <w:p w14:paraId="18682240"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Gonzalez et al. (2020)</w:t>
            </w:r>
          </w:p>
        </w:tc>
      </w:tr>
      <w:tr w:rsidR="003876C2" w:rsidRPr="005F3664" w14:paraId="6EE71F30" w14:textId="77777777" w:rsidTr="00831536">
        <w:tc>
          <w:tcPr>
            <w:tcW w:w="1199" w:type="dxa"/>
          </w:tcPr>
          <w:p w14:paraId="2DBD9B58"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Banana</w:t>
            </w:r>
          </w:p>
        </w:tc>
        <w:tc>
          <w:tcPr>
            <w:tcW w:w="1593" w:type="dxa"/>
          </w:tcPr>
          <w:p w14:paraId="5DFD39A3" w14:textId="77777777" w:rsidR="003876C2" w:rsidRPr="00A73ABC" w:rsidRDefault="003876C2" w:rsidP="00E53B33">
            <w:pPr>
              <w:rPr>
                <w:rFonts w:ascii="Arial" w:eastAsia="Times New Roman" w:hAnsi="Arial" w:cs="Arial"/>
                <w:sz w:val="20"/>
                <w:szCs w:val="20"/>
                <w:lang w:eastAsia="en-IN"/>
              </w:rPr>
            </w:pPr>
            <w:r w:rsidRPr="00A73ABC">
              <w:rPr>
                <w:rFonts w:ascii="Arial" w:eastAsia="Times New Roman" w:hAnsi="Arial" w:cs="Arial"/>
                <w:i/>
                <w:iCs/>
                <w:sz w:val="20"/>
                <w:szCs w:val="20"/>
                <w:lang w:eastAsia="en-IN"/>
              </w:rPr>
              <w:t xml:space="preserve">RGA2 </w:t>
            </w:r>
            <w:r w:rsidRPr="00A73ABC">
              <w:rPr>
                <w:rFonts w:ascii="Arial" w:eastAsia="Times New Roman" w:hAnsi="Arial" w:cs="Arial"/>
                <w:sz w:val="20"/>
                <w:szCs w:val="20"/>
                <w:lang w:eastAsia="en-IN"/>
              </w:rPr>
              <w:t>(resistance gene analogue)</w:t>
            </w:r>
          </w:p>
        </w:tc>
        <w:tc>
          <w:tcPr>
            <w:tcW w:w="1367" w:type="dxa"/>
          </w:tcPr>
          <w:p w14:paraId="569904A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Agrobacterium + overexpression</w:t>
            </w:r>
          </w:p>
        </w:tc>
        <w:tc>
          <w:tcPr>
            <w:tcW w:w="3491" w:type="dxa"/>
          </w:tcPr>
          <w:p w14:paraId="475507E3"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Field resistance to </w:t>
            </w:r>
            <w:proofErr w:type="spellStart"/>
            <w:r w:rsidRPr="00A73ABC">
              <w:rPr>
                <w:rFonts w:ascii="Arial" w:eastAsia="Times New Roman" w:hAnsi="Arial" w:cs="Arial"/>
                <w:i/>
                <w:iCs/>
                <w:sz w:val="20"/>
                <w:szCs w:val="20"/>
                <w:lang w:eastAsia="en-IN"/>
              </w:rPr>
              <w:t>Fusarium</w:t>
            </w:r>
            <w:proofErr w:type="spellEnd"/>
            <w:r w:rsidRPr="00A73ABC">
              <w:rPr>
                <w:rFonts w:ascii="Arial" w:eastAsia="Times New Roman" w:hAnsi="Arial" w:cs="Arial"/>
                <w:i/>
                <w:iCs/>
                <w:sz w:val="20"/>
                <w:szCs w:val="20"/>
                <w:lang w:eastAsia="en-IN"/>
              </w:rPr>
              <w:t xml:space="preserve"> </w:t>
            </w:r>
            <w:proofErr w:type="spellStart"/>
            <w:r w:rsidRPr="00A73ABC">
              <w:rPr>
                <w:rFonts w:ascii="Arial" w:eastAsia="Times New Roman" w:hAnsi="Arial" w:cs="Arial"/>
                <w:i/>
                <w:iCs/>
                <w:sz w:val="20"/>
                <w:szCs w:val="20"/>
                <w:lang w:eastAsia="en-IN"/>
              </w:rPr>
              <w:t>oxysporum</w:t>
            </w:r>
            <w:proofErr w:type="spellEnd"/>
            <w:r w:rsidRPr="00A73ABC">
              <w:rPr>
                <w:rFonts w:ascii="Arial" w:eastAsia="Times New Roman" w:hAnsi="Arial" w:cs="Arial"/>
                <w:i/>
                <w:iCs/>
                <w:sz w:val="20"/>
                <w:szCs w:val="20"/>
                <w:lang w:eastAsia="en-IN"/>
              </w:rPr>
              <w:t xml:space="preserve"> </w:t>
            </w:r>
            <w:proofErr w:type="spellStart"/>
            <w:r w:rsidRPr="00A73ABC">
              <w:rPr>
                <w:rFonts w:ascii="Arial" w:eastAsia="Times New Roman" w:hAnsi="Arial" w:cs="Arial"/>
                <w:i/>
                <w:iCs/>
                <w:sz w:val="20"/>
                <w:szCs w:val="20"/>
                <w:lang w:eastAsia="en-IN"/>
              </w:rPr>
              <w:t>f.sp</w:t>
            </w:r>
            <w:proofErr w:type="spellEnd"/>
            <w:r w:rsidRPr="00A73ABC">
              <w:rPr>
                <w:rFonts w:ascii="Arial" w:eastAsia="Times New Roman" w:hAnsi="Arial" w:cs="Arial"/>
                <w:i/>
                <w:iCs/>
                <w:sz w:val="20"/>
                <w:szCs w:val="20"/>
                <w:lang w:eastAsia="en-IN"/>
              </w:rPr>
              <w:t xml:space="preserve">. </w:t>
            </w:r>
            <w:proofErr w:type="spellStart"/>
            <w:r w:rsidRPr="00A73ABC">
              <w:rPr>
                <w:rFonts w:ascii="Arial" w:eastAsia="Times New Roman" w:hAnsi="Arial" w:cs="Arial"/>
                <w:i/>
                <w:iCs/>
                <w:sz w:val="20"/>
                <w:szCs w:val="20"/>
                <w:lang w:eastAsia="en-IN"/>
              </w:rPr>
              <w:t>cubense</w:t>
            </w:r>
            <w:proofErr w:type="spellEnd"/>
            <w:r w:rsidRPr="005F3664">
              <w:rPr>
                <w:rFonts w:ascii="Arial" w:eastAsia="Times New Roman" w:hAnsi="Arial" w:cs="Arial"/>
                <w:sz w:val="20"/>
                <w:szCs w:val="20"/>
                <w:lang w:eastAsia="en-IN"/>
              </w:rPr>
              <w:t xml:space="preserve"> Tropical Race 4 over 5 seasons at infested site in Australia</w:t>
            </w:r>
          </w:p>
        </w:tc>
        <w:tc>
          <w:tcPr>
            <w:tcW w:w="1710" w:type="dxa"/>
          </w:tcPr>
          <w:p w14:paraId="241C5B4B"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Dale et al. (2017)</w:t>
            </w:r>
          </w:p>
        </w:tc>
      </w:tr>
      <w:tr w:rsidR="003876C2" w:rsidRPr="005F3664" w14:paraId="729240EB" w14:textId="77777777" w:rsidTr="00831536">
        <w:tc>
          <w:tcPr>
            <w:tcW w:w="1199" w:type="dxa"/>
          </w:tcPr>
          <w:p w14:paraId="33A47790"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Citrus</w:t>
            </w:r>
          </w:p>
        </w:tc>
        <w:tc>
          <w:tcPr>
            <w:tcW w:w="1593" w:type="dxa"/>
          </w:tcPr>
          <w:p w14:paraId="478BA45B" w14:textId="77777777" w:rsidR="003876C2" w:rsidRPr="00A73ABC" w:rsidRDefault="003876C2" w:rsidP="00E53B33">
            <w:pPr>
              <w:rPr>
                <w:rFonts w:ascii="Arial" w:eastAsia="Times New Roman" w:hAnsi="Arial" w:cs="Arial"/>
                <w:i/>
                <w:iCs/>
                <w:sz w:val="20"/>
                <w:szCs w:val="20"/>
                <w:lang w:eastAsia="en-IN"/>
              </w:rPr>
            </w:pPr>
            <w:r w:rsidRPr="00A73ABC">
              <w:rPr>
                <w:rFonts w:ascii="Arial" w:eastAsia="Times New Roman" w:hAnsi="Arial" w:cs="Arial"/>
                <w:i/>
                <w:iCs/>
                <w:sz w:val="20"/>
                <w:szCs w:val="20"/>
                <w:lang w:eastAsia="en-IN"/>
              </w:rPr>
              <w:t xml:space="preserve">CsLOB1 promoter </w:t>
            </w:r>
            <w:r w:rsidRPr="00A73ABC">
              <w:rPr>
                <w:rFonts w:ascii="Arial" w:eastAsia="Times New Roman" w:hAnsi="Arial" w:cs="Arial"/>
                <w:sz w:val="20"/>
                <w:szCs w:val="20"/>
                <w:lang w:eastAsia="en-IN"/>
              </w:rPr>
              <w:t>(susceptibility gene)</w:t>
            </w:r>
          </w:p>
        </w:tc>
        <w:tc>
          <w:tcPr>
            <w:tcW w:w="1367" w:type="dxa"/>
          </w:tcPr>
          <w:p w14:paraId="532D171E"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w:t>
            </w:r>
          </w:p>
        </w:tc>
        <w:tc>
          <w:tcPr>
            <w:tcW w:w="3491" w:type="dxa"/>
          </w:tcPr>
          <w:p w14:paraId="03DCAE7F"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Disruption of PthA4 effector binding site; resistance to </w:t>
            </w:r>
            <w:proofErr w:type="spellStart"/>
            <w:r w:rsidRPr="00EA7601">
              <w:rPr>
                <w:rFonts w:ascii="Arial" w:eastAsia="Times New Roman" w:hAnsi="Arial" w:cs="Arial"/>
                <w:i/>
                <w:iCs/>
                <w:sz w:val="20"/>
                <w:szCs w:val="20"/>
                <w:lang w:eastAsia="en-IN"/>
              </w:rPr>
              <w:t>Xanthomonas</w:t>
            </w:r>
            <w:proofErr w:type="spellEnd"/>
            <w:r w:rsidRPr="00EA7601">
              <w:rPr>
                <w:rFonts w:ascii="Arial" w:eastAsia="Times New Roman" w:hAnsi="Arial" w:cs="Arial"/>
                <w:i/>
                <w:iCs/>
                <w:sz w:val="20"/>
                <w:szCs w:val="20"/>
                <w:lang w:eastAsia="en-IN"/>
              </w:rPr>
              <w:t xml:space="preserve"> </w:t>
            </w:r>
            <w:proofErr w:type="spellStart"/>
            <w:r w:rsidRPr="00EA7601">
              <w:rPr>
                <w:rFonts w:ascii="Arial" w:eastAsia="Times New Roman" w:hAnsi="Arial" w:cs="Arial"/>
                <w:i/>
                <w:iCs/>
                <w:sz w:val="20"/>
                <w:szCs w:val="20"/>
                <w:lang w:eastAsia="en-IN"/>
              </w:rPr>
              <w:t>citri</w:t>
            </w:r>
            <w:proofErr w:type="spellEnd"/>
            <w:r w:rsidRPr="00EA7601">
              <w:rPr>
                <w:rFonts w:ascii="Arial" w:eastAsia="Times New Roman" w:hAnsi="Arial" w:cs="Arial"/>
                <w:i/>
                <w:iCs/>
                <w:sz w:val="20"/>
                <w:szCs w:val="20"/>
                <w:lang w:eastAsia="en-IN"/>
              </w:rPr>
              <w:t xml:space="preserve"> </w:t>
            </w:r>
            <w:proofErr w:type="spellStart"/>
            <w:r w:rsidRPr="00EA7601">
              <w:rPr>
                <w:rFonts w:ascii="Arial" w:eastAsia="Times New Roman" w:hAnsi="Arial" w:cs="Arial"/>
                <w:i/>
                <w:iCs/>
                <w:sz w:val="20"/>
                <w:szCs w:val="20"/>
                <w:lang w:eastAsia="en-IN"/>
              </w:rPr>
              <w:t>citri</w:t>
            </w:r>
            <w:proofErr w:type="spellEnd"/>
            <w:r w:rsidRPr="00EA7601">
              <w:rPr>
                <w:rFonts w:ascii="Arial" w:eastAsia="Times New Roman" w:hAnsi="Arial" w:cs="Arial"/>
                <w:i/>
                <w:iCs/>
                <w:sz w:val="20"/>
                <w:szCs w:val="20"/>
                <w:lang w:eastAsia="en-IN"/>
              </w:rPr>
              <w:t xml:space="preserve"> canker</w:t>
            </w:r>
            <w:r w:rsidRPr="005F3664">
              <w:rPr>
                <w:rFonts w:ascii="Arial" w:eastAsia="Times New Roman" w:hAnsi="Arial" w:cs="Arial"/>
                <w:sz w:val="20"/>
                <w:szCs w:val="20"/>
                <w:lang w:eastAsia="en-IN"/>
              </w:rPr>
              <w:t>; no exogenous DNA in final plants</w:t>
            </w:r>
          </w:p>
        </w:tc>
        <w:tc>
          <w:tcPr>
            <w:tcW w:w="1710" w:type="dxa"/>
          </w:tcPr>
          <w:p w14:paraId="441EF463"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Jia et al. (2017)</w:t>
            </w:r>
          </w:p>
        </w:tc>
      </w:tr>
      <w:tr w:rsidR="003876C2" w:rsidRPr="005F3664" w14:paraId="5A5B6F61" w14:textId="77777777" w:rsidTr="00E1451C">
        <w:trPr>
          <w:trHeight w:val="796"/>
        </w:trPr>
        <w:tc>
          <w:tcPr>
            <w:tcW w:w="1199" w:type="dxa"/>
          </w:tcPr>
          <w:p w14:paraId="6FD17818"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Grapevine</w:t>
            </w:r>
          </w:p>
        </w:tc>
        <w:tc>
          <w:tcPr>
            <w:tcW w:w="1593" w:type="dxa"/>
          </w:tcPr>
          <w:p w14:paraId="51F93351" w14:textId="77777777" w:rsidR="003876C2" w:rsidRPr="00A73ABC" w:rsidRDefault="003876C2" w:rsidP="00E53B33">
            <w:pPr>
              <w:rPr>
                <w:rFonts w:ascii="Arial" w:eastAsia="Times New Roman" w:hAnsi="Arial" w:cs="Arial"/>
                <w:i/>
                <w:iCs/>
                <w:sz w:val="20"/>
                <w:szCs w:val="20"/>
                <w:lang w:eastAsia="en-IN"/>
              </w:rPr>
            </w:pPr>
            <w:r w:rsidRPr="00A73ABC">
              <w:rPr>
                <w:rFonts w:ascii="Arial" w:eastAsia="Times New Roman" w:hAnsi="Arial" w:cs="Arial"/>
                <w:i/>
                <w:iCs/>
                <w:sz w:val="20"/>
                <w:szCs w:val="20"/>
                <w:lang w:eastAsia="en-IN"/>
              </w:rPr>
              <w:t>VvMLO-7, VvWRKY52</w:t>
            </w:r>
          </w:p>
        </w:tc>
        <w:tc>
          <w:tcPr>
            <w:tcW w:w="1367" w:type="dxa"/>
          </w:tcPr>
          <w:p w14:paraId="60329B57"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 RNP (DNA-free)</w:t>
            </w:r>
          </w:p>
        </w:tc>
        <w:tc>
          <w:tcPr>
            <w:tcW w:w="3491" w:type="dxa"/>
          </w:tcPr>
          <w:p w14:paraId="107E4E8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 xml:space="preserve">Resistance to </w:t>
            </w:r>
            <w:proofErr w:type="spellStart"/>
            <w:r w:rsidRPr="00EA7601">
              <w:rPr>
                <w:rFonts w:ascii="Arial" w:eastAsia="Times New Roman" w:hAnsi="Arial" w:cs="Arial"/>
                <w:i/>
                <w:iCs/>
                <w:sz w:val="20"/>
                <w:szCs w:val="20"/>
                <w:lang w:eastAsia="en-IN"/>
              </w:rPr>
              <w:t>Erysiphe</w:t>
            </w:r>
            <w:proofErr w:type="spellEnd"/>
            <w:r w:rsidRPr="00EA7601">
              <w:rPr>
                <w:rFonts w:ascii="Arial" w:eastAsia="Times New Roman" w:hAnsi="Arial" w:cs="Arial"/>
                <w:i/>
                <w:iCs/>
                <w:sz w:val="20"/>
                <w:szCs w:val="20"/>
                <w:lang w:eastAsia="en-IN"/>
              </w:rPr>
              <w:t xml:space="preserve"> </w:t>
            </w:r>
            <w:proofErr w:type="spellStart"/>
            <w:r w:rsidRPr="00EA7601">
              <w:rPr>
                <w:rFonts w:ascii="Arial" w:eastAsia="Times New Roman" w:hAnsi="Arial" w:cs="Arial"/>
                <w:i/>
                <w:iCs/>
                <w:sz w:val="20"/>
                <w:szCs w:val="20"/>
                <w:lang w:eastAsia="en-IN"/>
              </w:rPr>
              <w:t>necator</w:t>
            </w:r>
            <w:proofErr w:type="spellEnd"/>
            <w:r w:rsidRPr="005F3664">
              <w:rPr>
                <w:rFonts w:ascii="Arial" w:eastAsia="Times New Roman" w:hAnsi="Arial" w:cs="Arial"/>
                <w:sz w:val="20"/>
                <w:szCs w:val="20"/>
                <w:lang w:eastAsia="en-IN"/>
              </w:rPr>
              <w:t xml:space="preserve"> (powdery mildew) and </w:t>
            </w:r>
            <w:r w:rsidRPr="00EA7601">
              <w:rPr>
                <w:rFonts w:ascii="Arial" w:eastAsia="Times New Roman" w:hAnsi="Arial" w:cs="Arial"/>
                <w:i/>
                <w:iCs/>
                <w:sz w:val="20"/>
                <w:szCs w:val="20"/>
                <w:lang w:eastAsia="en-IN"/>
              </w:rPr>
              <w:t xml:space="preserve">Botrytis </w:t>
            </w:r>
            <w:proofErr w:type="spellStart"/>
            <w:r w:rsidRPr="00EA7601">
              <w:rPr>
                <w:rFonts w:ascii="Arial" w:eastAsia="Times New Roman" w:hAnsi="Arial" w:cs="Arial"/>
                <w:i/>
                <w:iCs/>
                <w:sz w:val="20"/>
                <w:szCs w:val="20"/>
                <w:lang w:eastAsia="en-IN"/>
              </w:rPr>
              <w:t>cinerea</w:t>
            </w:r>
            <w:proofErr w:type="spellEnd"/>
            <w:r w:rsidRPr="005F3664">
              <w:rPr>
                <w:rFonts w:ascii="Arial" w:eastAsia="Times New Roman" w:hAnsi="Arial" w:cs="Arial"/>
                <w:sz w:val="20"/>
                <w:szCs w:val="20"/>
                <w:lang w:eastAsia="en-IN"/>
              </w:rPr>
              <w:t>; regenerated from protoplast; no transgene detected</w:t>
            </w:r>
          </w:p>
        </w:tc>
        <w:tc>
          <w:tcPr>
            <w:tcW w:w="1710" w:type="dxa"/>
          </w:tcPr>
          <w:p w14:paraId="58980096" w14:textId="77777777" w:rsidR="003876C2" w:rsidRPr="005F3664" w:rsidRDefault="003876C2" w:rsidP="00E53B33">
            <w:pPr>
              <w:rPr>
                <w:rFonts w:ascii="Arial" w:eastAsia="Times New Roman" w:hAnsi="Arial" w:cs="Arial"/>
                <w:sz w:val="20"/>
                <w:szCs w:val="20"/>
                <w:lang w:eastAsia="en-IN"/>
              </w:rPr>
            </w:pPr>
            <w:proofErr w:type="spellStart"/>
            <w:r w:rsidRPr="005F3664">
              <w:rPr>
                <w:rFonts w:ascii="Arial" w:eastAsia="Times New Roman" w:hAnsi="Arial" w:cs="Arial"/>
                <w:sz w:val="20"/>
                <w:szCs w:val="20"/>
                <w:lang w:eastAsia="en-IN"/>
              </w:rPr>
              <w:t>Malnoy</w:t>
            </w:r>
            <w:proofErr w:type="spellEnd"/>
            <w:r w:rsidRPr="005F3664">
              <w:rPr>
                <w:rFonts w:ascii="Arial" w:eastAsia="Times New Roman" w:hAnsi="Arial" w:cs="Arial"/>
                <w:sz w:val="20"/>
                <w:szCs w:val="20"/>
                <w:lang w:eastAsia="en-IN"/>
              </w:rPr>
              <w:t xml:space="preserve"> et al. (2016)</w:t>
            </w:r>
          </w:p>
        </w:tc>
      </w:tr>
      <w:tr w:rsidR="003876C2" w:rsidRPr="005F3664" w14:paraId="37C49594" w14:textId="77777777" w:rsidTr="00831536">
        <w:tc>
          <w:tcPr>
            <w:tcW w:w="1199" w:type="dxa"/>
          </w:tcPr>
          <w:p w14:paraId="00CCC3DE"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Watermelon</w:t>
            </w:r>
          </w:p>
        </w:tc>
        <w:tc>
          <w:tcPr>
            <w:tcW w:w="1593" w:type="dxa"/>
          </w:tcPr>
          <w:p w14:paraId="4A82D724" w14:textId="77777777" w:rsidR="003876C2" w:rsidRPr="00A73ABC" w:rsidRDefault="003876C2" w:rsidP="00E53B33">
            <w:pPr>
              <w:rPr>
                <w:rFonts w:ascii="Arial" w:eastAsia="Times New Roman" w:hAnsi="Arial" w:cs="Arial"/>
                <w:i/>
                <w:iCs/>
                <w:sz w:val="20"/>
                <w:szCs w:val="20"/>
                <w:lang w:eastAsia="en-IN"/>
              </w:rPr>
            </w:pPr>
            <w:r w:rsidRPr="00A73ABC">
              <w:rPr>
                <w:rFonts w:ascii="Arial" w:eastAsia="Times New Roman" w:hAnsi="Arial" w:cs="Arial"/>
                <w:i/>
                <w:iCs/>
                <w:sz w:val="20"/>
                <w:szCs w:val="20"/>
                <w:lang w:eastAsia="en-IN"/>
              </w:rPr>
              <w:t xml:space="preserve">ClPSY1 </w:t>
            </w:r>
            <w:r w:rsidRPr="00A73ABC">
              <w:rPr>
                <w:rFonts w:ascii="Arial" w:eastAsia="Times New Roman" w:hAnsi="Arial" w:cs="Arial"/>
                <w:sz w:val="20"/>
                <w:szCs w:val="20"/>
                <w:lang w:eastAsia="en-IN"/>
              </w:rPr>
              <w:t>(phytoene synthase)</w:t>
            </w:r>
          </w:p>
        </w:tc>
        <w:tc>
          <w:tcPr>
            <w:tcW w:w="1367" w:type="dxa"/>
          </w:tcPr>
          <w:p w14:paraId="18846276"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w:t>
            </w:r>
          </w:p>
        </w:tc>
        <w:tc>
          <w:tcPr>
            <w:tcW w:w="3491" w:type="dxa"/>
          </w:tcPr>
          <w:p w14:paraId="29C21AC4"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Modified lycopene biosynthesis pathway; altered flesh colour; proof of concept for carotenoid pathway editing in cucurbits</w:t>
            </w:r>
          </w:p>
        </w:tc>
        <w:tc>
          <w:tcPr>
            <w:tcW w:w="1710" w:type="dxa"/>
          </w:tcPr>
          <w:p w14:paraId="16899923"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Tian et al. (2017)</w:t>
            </w:r>
          </w:p>
        </w:tc>
      </w:tr>
      <w:tr w:rsidR="003876C2" w:rsidRPr="005F3664" w14:paraId="63E129AF" w14:textId="77777777" w:rsidTr="00831536">
        <w:tc>
          <w:tcPr>
            <w:tcW w:w="1199" w:type="dxa"/>
          </w:tcPr>
          <w:p w14:paraId="0BAB1BA5"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lastRenderedPageBreak/>
              <w:t>Cucumber</w:t>
            </w:r>
          </w:p>
        </w:tc>
        <w:tc>
          <w:tcPr>
            <w:tcW w:w="1593" w:type="dxa"/>
          </w:tcPr>
          <w:p w14:paraId="3E504A5B" w14:textId="77777777" w:rsidR="003876C2" w:rsidRPr="00A73ABC" w:rsidRDefault="003876C2" w:rsidP="00E53B33">
            <w:pPr>
              <w:rPr>
                <w:rFonts w:ascii="Arial" w:eastAsia="Times New Roman" w:hAnsi="Arial" w:cs="Arial"/>
                <w:i/>
                <w:iCs/>
                <w:sz w:val="20"/>
                <w:szCs w:val="20"/>
                <w:lang w:eastAsia="en-IN"/>
              </w:rPr>
            </w:pPr>
            <w:r w:rsidRPr="00A73ABC">
              <w:rPr>
                <w:rFonts w:ascii="Arial" w:eastAsia="Times New Roman" w:hAnsi="Arial" w:cs="Arial"/>
                <w:i/>
                <w:iCs/>
                <w:sz w:val="20"/>
                <w:szCs w:val="20"/>
                <w:lang w:eastAsia="en-IN"/>
              </w:rPr>
              <w:t>CsGY3, CsBRC1</w:t>
            </w:r>
          </w:p>
        </w:tc>
        <w:tc>
          <w:tcPr>
            <w:tcW w:w="1367" w:type="dxa"/>
          </w:tcPr>
          <w:p w14:paraId="29414E7D"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CRISPR/Cas9</w:t>
            </w:r>
          </w:p>
        </w:tc>
        <w:tc>
          <w:tcPr>
            <w:tcW w:w="3491" w:type="dxa"/>
          </w:tcPr>
          <w:p w14:paraId="496CEB8C"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Modification of fruit shape (</w:t>
            </w:r>
            <w:proofErr w:type="spellStart"/>
            <w:r w:rsidRPr="005F3664">
              <w:rPr>
                <w:rFonts w:ascii="Arial" w:eastAsia="Times New Roman" w:hAnsi="Arial" w:cs="Arial"/>
                <w:sz w:val="20"/>
                <w:szCs w:val="20"/>
                <w:lang w:eastAsia="en-IN"/>
              </w:rPr>
              <w:t>gynoecious</w:t>
            </w:r>
            <w:proofErr w:type="spellEnd"/>
            <w:r w:rsidRPr="005F3664">
              <w:rPr>
                <w:rFonts w:ascii="Arial" w:eastAsia="Times New Roman" w:hAnsi="Arial" w:cs="Arial"/>
                <w:sz w:val="20"/>
                <w:szCs w:val="20"/>
                <w:lang w:eastAsia="en-IN"/>
              </w:rPr>
              <w:t xml:space="preserve"> trait) and lateral branching; non-transgenic lines regenerated from edited protoplasts</w:t>
            </w:r>
          </w:p>
        </w:tc>
        <w:tc>
          <w:tcPr>
            <w:tcW w:w="1710" w:type="dxa"/>
          </w:tcPr>
          <w:p w14:paraId="72954767" w14:textId="77777777" w:rsidR="003876C2" w:rsidRPr="005F3664" w:rsidRDefault="003876C2" w:rsidP="00E53B33">
            <w:pPr>
              <w:rPr>
                <w:rFonts w:ascii="Arial" w:eastAsia="Times New Roman" w:hAnsi="Arial" w:cs="Arial"/>
                <w:sz w:val="20"/>
                <w:szCs w:val="20"/>
                <w:lang w:eastAsia="en-IN"/>
              </w:rPr>
            </w:pPr>
            <w:r w:rsidRPr="005F3664">
              <w:rPr>
                <w:rFonts w:ascii="Arial" w:eastAsia="Times New Roman" w:hAnsi="Arial" w:cs="Arial"/>
                <w:sz w:val="20"/>
                <w:szCs w:val="20"/>
                <w:lang w:eastAsia="en-IN"/>
              </w:rPr>
              <w:t>Hu et al. (2017)</w:t>
            </w:r>
          </w:p>
        </w:tc>
      </w:tr>
    </w:tbl>
    <w:p w14:paraId="0991022E" w14:textId="27763E17" w:rsidR="003876C2" w:rsidRPr="005F3664" w:rsidRDefault="003876C2" w:rsidP="00E53B33">
      <w:pPr>
        <w:spacing w:after="120" w:line="240" w:lineRule="auto"/>
        <w:jc w:val="both"/>
        <w:rPr>
          <w:rFonts w:ascii="Arial" w:hAnsi="Arial" w:cs="Arial"/>
          <w:color w:val="000000" w:themeColor="text1"/>
          <w:sz w:val="28"/>
          <w:szCs w:val="28"/>
        </w:rPr>
      </w:pPr>
    </w:p>
    <w:p w14:paraId="7E38BE1C" w14:textId="1006EE6B" w:rsidR="00EE50DD" w:rsidRPr="005F3664" w:rsidRDefault="00EE50DD" w:rsidP="00E53B33">
      <w:pPr>
        <w:spacing w:after="120" w:line="240" w:lineRule="auto"/>
        <w:jc w:val="both"/>
        <w:rPr>
          <w:rFonts w:ascii="Arial" w:hAnsi="Arial" w:cs="Arial"/>
          <w:b/>
          <w:bCs/>
          <w:i/>
          <w:iCs/>
          <w:color w:val="000000" w:themeColor="text1"/>
          <w:sz w:val="20"/>
          <w:szCs w:val="20"/>
        </w:rPr>
      </w:pPr>
      <w:r w:rsidRPr="005F3664">
        <w:rPr>
          <w:rFonts w:ascii="Arial" w:hAnsi="Arial" w:cs="Arial"/>
          <w:i/>
          <w:iCs/>
          <w:color w:val="000000" w:themeColor="text1"/>
          <w:sz w:val="20"/>
          <w:szCs w:val="20"/>
        </w:rPr>
        <w:t>Table 2. Summary of peer-reviewed genome editing studies in horticultural crops, detailing target gene(s), editing system employed, biological outcome achieved, and primary reference. All entries represent published experimental studies; commercial deployment status varies by jurisdiction. CRISPR: clustered regularly interspaced short palindromic repeats; DSB: double-strand break; RNP: ribonucleoprotein; GABA: gamma-aminobutyric acid</w:t>
      </w:r>
      <w:r w:rsidRPr="005F3664">
        <w:rPr>
          <w:rFonts w:ascii="Arial" w:hAnsi="Arial" w:cs="Arial"/>
          <w:b/>
          <w:bCs/>
          <w:i/>
          <w:iCs/>
          <w:color w:val="000000" w:themeColor="text1"/>
          <w:sz w:val="20"/>
          <w:szCs w:val="20"/>
        </w:rPr>
        <w:t>.</w:t>
      </w:r>
    </w:p>
    <w:p w14:paraId="156D2C0A" w14:textId="77777777" w:rsidR="00F81250" w:rsidRPr="005F3664" w:rsidRDefault="00F81250" w:rsidP="00E53B33">
      <w:pPr>
        <w:spacing w:after="120" w:line="240" w:lineRule="auto"/>
        <w:jc w:val="both"/>
        <w:rPr>
          <w:rFonts w:ascii="Arial" w:hAnsi="Arial" w:cs="Arial"/>
          <w:b/>
          <w:bCs/>
          <w:color w:val="000000" w:themeColor="text1"/>
          <w:sz w:val="24"/>
          <w:szCs w:val="24"/>
        </w:rPr>
      </w:pPr>
    </w:p>
    <w:p w14:paraId="2C44609C" w14:textId="72AA96EE" w:rsidR="00F15F56" w:rsidRPr="005F3664" w:rsidRDefault="00F15F56"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6. Integration of Conventional and Modern Breeding Approaches</w:t>
      </w:r>
    </w:p>
    <w:p w14:paraId="563B13C4"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The most effective contemporary horticultural breeding programs are those that strategically integrate complementary tools drawn from conventional, molecular, and genomic methodologies across all stages of the breeding cycle. The objective of such integration is to maximize genetic gain per unit time and per unit cost. This objective is conceptually grounded in the fundamental quantitative genetics equation:</w:t>
      </w:r>
    </w:p>
    <w:p w14:paraId="337230E7" w14:textId="58F61316" w:rsidR="00F15F56" w:rsidRPr="005F3664" w:rsidRDefault="00B52971" w:rsidP="00E53B33">
      <w:pPr>
        <w:spacing w:after="120" w:line="240" w:lineRule="auto"/>
        <w:jc w:val="both"/>
        <w:rPr>
          <w:rFonts w:ascii="Arial" w:hAnsi="Arial" w:cs="Arial"/>
          <w:color w:val="000000" w:themeColor="text1"/>
          <w:sz w:val="20"/>
          <w:szCs w:val="20"/>
        </w:rPr>
      </w:pPr>
      <w:r w:rsidRPr="00B52971">
        <w:rPr>
          <w:rFonts w:ascii="Arial" w:hAnsi="Arial" w:cs="Arial"/>
          <w:color w:val="000000" w:themeColor="text1"/>
          <w:sz w:val="20"/>
          <w:szCs w:val="20"/>
        </w:rPr>
        <w:t>ΔG/year = (</w:t>
      </w:r>
      <w:proofErr w:type="spellStart"/>
      <w:r w:rsidRPr="00B52971">
        <w:rPr>
          <w:rFonts w:ascii="Arial" w:hAnsi="Arial" w:cs="Arial"/>
          <w:color w:val="000000" w:themeColor="text1"/>
          <w:sz w:val="20"/>
          <w:szCs w:val="20"/>
        </w:rPr>
        <w:t>i</w:t>
      </w:r>
      <w:proofErr w:type="spellEnd"/>
      <w:r w:rsidRPr="00B52971">
        <w:rPr>
          <w:rFonts w:ascii="Arial" w:hAnsi="Arial" w:cs="Arial"/>
          <w:color w:val="000000" w:themeColor="text1"/>
          <w:sz w:val="20"/>
          <w:szCs w:val="20"/>
        </w:rPr>
        <w:t xml:space="preserve"> × r × σₐ) / </w:t>
      </w:r>
      <w:proofErr w:type="gramStart"/>
      <w:r w:rsidRPr="00B52971">
        <w:rPr>
          <w:rFonts w:ascii="Arial" w:hAnsi="Arial" w:cs="Arial"/>
          <w:color w:val="000000" w:themeColor="text1"/>
          <w:sz w:val="20"/>
          <w:szCs w:val="20"/>
        </w:rPr>
        <w:t xml:space="preserve">L </w:t>
      </w:r>
      <w:r>
        <w:rPr>
          <w:rFonts w:ascii="Arial" w:hAnsi="Arial" w:cs="Arial"/>
          <w:color w:val="000000" w:themeColor="text1"/>
          <w:sz w:val="20"/>
          <w:szCs w:val="20"/>
        </w:rPr>
        <w:t xml:space="preserve"> </w:t>
      </w:r>
      <w:r w:rsidR="00F15F56" w:rsidRPr="005F3664">
        <w:rPr>
          <w:rFonts w:ascii="Arial" w:hAnsi="Arial" w:cs="Arial"/>
          <w:color w:val="000000" w:themeColor="text1"/>
          <w:sz w:val="20"/>
          <w:szCs w:val="20"/>
        </w:rPr>
        <w:t>Delta</w:t>
      </w:r>
      <w:proofErr w:type="gramEnd"/>
      <w:r w:rsidR="00F15F56" w:rsidRPr="005F3664">
        <w:rPr>
          <w:rFonts w:ascii="Arial" w:hAnsi="Arial" w:cs="Arial"/>
          <w:color w:val="000000" w:themeColor="text1"/>
          <w:sz w:val="20"/>
          <w:szCs w:val="20"/>
        </w:rPr>
        <w:t xml:space="preserve"> G/\text{year} = \</w:t>
      </w:r>
      <w:proofErr w:type="spellStart"/>
      <w:r w:rsidR="00F15F56" w:rsidRPr="005F3664">
        <w:rPr>
          <w:rFonts w:ascii="Arial" w:hAnsi="Arial" w:cs="Arial"/>
          <w:color w:val="000000" w:themeColor="text1"/>
          <w:sz w:val="20"/>
          <w:szCs w:val="20"/>
        </w:rPr>
        <w:t>frac</w:t>
      </w:r>
      <w:proofErr w:type="spellEnd"/>
      <w:r w:rsidR="00F15F56" w:rsidRPr="005F3664">
        <w:rPr>
          <w:rFonts w:ascii="Arial" w:hAnsi="Arial" w:cs="Arial"/>
          <w:color w:val="000000" w:themeColor="text1"/>
          <w:sz w:val="20"/>
          <w:szCs w:val="20"/>
        </w:rPr>
        <w:t>{</w:t>
      </w:r>
      <w:proofErr w:type="spellStart"/>
      <w:r w:rsidR="00F15F56" w:rsidRPr="005F3664">
        <w:rPr>
          <w:rFonts w:ascii="Arial" w:hAnsi="Arial" w:cs="Arial"/>
          <w:color w:val="000000" w:themeColor="text1"/>
          <w:sz w:val="20"/>
          <w:szCs w:val="20"/>
        </w:rPr>
        <w:t>i</w:t>
      </w:r>
      <w:proofErr w:type="spellEnd"/>
      <w:r w:rsidR="00F15F56" w:rsidRPr="005F3664">
        <w:rPr>
          <w:rFonts w:ascii="Arial" w:hAnsi="Arial" w:cs="Arial"/>
          <w:color w:val="000000" w:themeColor="text1"/>
          <w:sz w:val="20"/>
          <w:szCs w:val="20"/>
        </w:rPr>
        <w:t xml:space="preserve"> \times r \times \</w:t>
      </w:r>
      <w:proofErr w:type="spellStart"/>
      <w:r w:rsidR="00F15F56" w:rsidRPr="005F3664">
        <w:rPr>
          <w:rFonts w:ascii="Arial" w:hAnsi="Arial" w:cs="Arial"/>
          <w:color w:val="000000" w:themeColor="text1"/>
          <w:sz w:val="20"/>
          <w:szCs w:val="20"/>
        </w:rPr>
        <w:t>sigma_A</w:t>
      </w:r>
      <w:proofErr w:type="spellEnd"/>
      <w:r w:rsidR="00F15F56" w:rsidRPr="005F3664">
        <w:rPr>
          <w:rFonts w:ascii="Arial" w:hAnsi="Arial" w:cs="Arial"/>
          <w:color w:val="000000" w:themeColor="text1"/>
          <w:sz w:val="20"/>
          <w:szCs w:val="20"/>
        </w:rPr>
        <w:t>}{L}ΔG/year=</w:t>
      </w:r>
      <w:proofErr w:type="spellStart"/>
      <w:r w:rsidR="00F15F56" w:rsidRPr="005F3664">
        <w:rPr>
          <w:rFonts w:ascii="Arial" w:hAnsi="Arial" w:cs="Arial"/>
          <w:color w:val="000000" w:themeColor="text1"/>
          <w:sz w:val="20"/>
          <w:szCs w:val="20"/>
        </w:rPr>
        <w:t>Li×r×σA</w:t>
      </w:r>
      <w:proofErr w:type="spellEnd"/>
      <w:r w:rsidR="00F15F56" w:rsidRPr="005F3664">
        <w:rPr>
          <w:rFonts w:ascii="Arial" w:hAnsi="Arial" w:cs="Arial"/>
          <w:color w:val="000000" w:themeColor="text1"/>
          <w:sz w:val="20"/>
          <w:szCs w:val="20"/>
        </w:rPr>
        <w:t xml:space="preserve">​​ </w:t>
      </w:r>
    </w:p>
    <w:p w14:paraId="3ECADA92"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where </w:t>
      </w:r>
      <w:proofErr w:type="spellStart"/>
      <w:r w:rsidRPr="005F3664">
        <w:rPr>
          <w:rFonts w:ascii="Arial" w:hAnsi="Arial" w:cs="Arial"/>
          <w:i/>
          <w:iCs/>
          <w:color w:val="000000" w:themeColor="text1"/>
          <w:sz w:val="20"/>
          <w:szCs w:val="20"/>
        </w:rPr>
        <w:t>i</w:t>
      </w:r>
      <w:proofErr w:type="spellEnd"/>
      <w:r w:rsidRPr="005F3664">
        <w:rPr>
          <w:rFonts w:ascii="Arial" w:hAnsi="Arial" w:cs="Arial"/>
          <w:color w:val="000000" w:themeColor="text1"/>
          <w:sz w:val="20"/>
          <w:szCs w:val="20"/>
        </w:rPr>
        <w:t xml:space="preserve"> represents selection intensity, </w:t>
      </w:r>
      <w:r w:rsidRPr="005F3664">
        <w:rPr>
          <w:rFonts w:ascii="Arial" w:hAnsi="Arial" w:cs="Arial"/>
          <w:i/>
          <w:iCs/>
          <w:color w:val="000000" w:themeColor="text1"/>
          <w:sz w:val="20"/>
          <w:szCs w:val="20"/>
        </w:rPr>
        <w:t>r</w:t>
      </w:r>
      <w:r w:rsidRPr="005F3664">
        <w:rPr>
          <w:rFonts w:ascii="Arial" w:hAnsi="Arial" w:cs="Arial"/>
          <w:color w:val="000000" w:themeColor="text1"/>
          <w:sz w:val="20"/>
          <w:szCs w:val="20"/>
        </w:rPr>
        <w:t xml:space="preserve"> denotes selection accuracy, </w:t>
      </w:r>
      <w:r w:rsidRPr="005F3664">
        <w:rPr>
          <w:rFonts w:ascii="Arial" w:hAnsi="Arial" w:cs="Arial"/>
          <w:i/>
          <w:iCs/>
          <w:color w:val="000000" w:themeColor="text1"/>
          <w:sz w:val="20"/>
          <w:szCs w:val="20"/>
        </w:rPr>
        <w:t>σₐ</w:t>
      </w:r>
      <w:r w:rsidRPr="005F3664">
        <w:rPr>
          <w:rFonts w:ascii="Arial" w:hAnsi="Arial" w:cs="Arial"/>
          <w:color w:val="000000" w:themeColor="text1"/>
          <w:sz w:val="20"/>
          <w:szCs w:val="20"/>
        </w:rPr>
        <w:t xml:space="preserve"> is the additive genetic standard deviation, and </w:t>
      </w:r>
      <w:r w:rsidRPr="005F3664">
        <w:rPr>
          <w:rFonts w:ascii="Arial" w:hAnsi="Arial" w:cs="Arial"/>
          <w:i/>
          <w:iCs/>
          <w:color w:val="000000" w:themeColor="text1"/>
          <w:sz w:val="20"/>
          <w:szCs w:val="20"/>
        </w:rPr>
        <w:t>L</w:t>
      </w:r>
      <w:r w:rsidRPr="005F3664">
        <w:rPr>
          <w:rFonts w:ascii="Arial" w:hAnsi="Arial" w:cs="Arial"/>
          <w:color w:val="000000" w:themeColor="text1"/>
          <w:sz w:val="20"/>
          <w:szCs w:val="20"/>
        </w:rPr>
        <w:t xml:space="preserve"> is the generation interval.</w:t>
      </w:r>
    </w:p>
    <w:p w14:paraId="5393F170" w14:textId="5B73351A"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Integrated breeding strategies simultaneously act on each component of this equation. Selection accuracy (</w:t>
      </w:r>
      <w:r w:rsidRPr="005F3664">
        <w:rPr>
          <w:rFonts w:ascii="Arial" w:hAnsi="Arial" w:cs="Arial"/>
          <w:i/>
          <w:iCs/>
          <w:color w:val="000000" w:themeColor="text1"/>
          <w:sz w:val="20"/>
          <w:szCs w:val="20"/>
        </w:rPr>
        <w:t>r</w:t>
      </w:r>
      <w:r w:rsidRPr="005F3664">
        <w:rPr>
          <w:rFonts w:ascii="Arial" w:hAnsi="Arial" w:cs="Arial"/>
          <w:color w:val="000000" w:themeColor="text1"/>
          <w:sz w:val="20"/>
          <w:szCs w:val="20"/>
        </w:rPr>
        <w:t>) is enhanced through genomic selection (GS) and marker-assisted selection (MAS); generation interval (</w:t>
      </w:r>
      <w:r w:rsidRPr="005F3664">
        <w:rPr>
          <w:rFonts w:ascii="Arial" w:hAnsi="Arial" w:cs="Arial"/>
          <w:i/>
          <w:iCs/>
          <w:color w:val="000000" w:themeColor="text1"/>
          <w:sz w:val="20"/>
          <w:szCs w:val="20"/>
        </w:rPr>
        <w:t>L</w:t>
      </w:r>
      <w:r w:rsidRPr="005F3664">
        <w:rPr>
          <w:rFonts w:ascii="Arial" w:hAnsi="Arial" w:cs="Arial"/>
          <w:color w:val="000000" w:themeColor="text1"/>
          <w:sz w:val="20"/>
          <w:szCs w:val="20"/>
        </w:rPr>
        <w:t>) is reduced via speed breeding and early-cycle genomic selection; additive genetic variance (</w:t>
      </w:r>
      <w:r w:rsidRPr="005F3664">
        <w:rPr>
          <w:rFonts w:ascii="Arial" w:hAnsi="Arial" w:cs="Arial"/>
          <w:i/>
          <w:iCs/>
          <w:color w:val="000000" w:themeColor="text1"/>
          <w:sz w:val="20"/>
          <w:szCs w:val="20"/>
        </w:rPr>
        <w:t>σₐ</w:t>
      </w:r>
      <w:r w:rsidRPr="005F3664">
        <w:rPr>
          <w:rFonts w:ascii="Arial" w:hAnsi="Arial" w:cs="Arial"/>
          <w:color w:val="000000" w:themeColor="text1"/>
          <w:sz w:val="20"/>
          <w:szCs w:val="20"/>
        </w:rPr>
        <w:t>) is maintained or expanded through systematic germplasm diversification and pre-breeding; and selection intensity (</w:t>
      </w:r>
      <w:proofErr w:type="spellStart"/>
      <w:r w:rsidRPr="005F3664">
        <w:rPr>
          <w:rFonts w:ascii="Arial" w:hAnsi="Arial" w:cs="Arial"/>
          <w:i/>
          <w:iCs/>
          <w:color w:val="000000" w:themeColor="text1"/>
          <w:sz w:val="20"/>
          <w:szCs w:val="20"/>
        </w:rPr>
        <w:t>i</w:t>
      </w:r>
      <w:proofErr w:type="spellEnd"/>
      <w:r w:rsidRPr="005F3664">
        <w:rPr>
          <w:rFonts w:ascii="Arial" w:hAnsi="Arial" w:cs="Arial"/>
          <w:color w:val="000000" w:themeColor="text1"/>
          <w:sz w:val="20"/>
          <w:szCs w:val="20"/>
        </w:rPr>
        <w:t xml:space="preserve">) is increased through high-throughput phenotyping platforms that permit evaluation of larger population sizes. Collectively, these coordinated interventions deliver realistic three- to five-fold increases in annual genetic gain compared with conventional phenotypic selection alone (Watson et al., 2018; </w:t>
      </w:r>
      <w:proofErr w:type="spellStart"/>
      <w:r w:rsidRPr="005F3664">
        <w:rPr>
          <w:rFonts w:ascii="Arial" w:hAnsi="Arial" w:cs="Arial"/>
          <w:color w:val="000000" w:themeColor="text1"/>
          <w:sz w:val="20"/>
          <w:szCs w:val="20"/>
        </w:rPr>
        <w:t>Crossa</w:t>
      </w:r>
      <w:proofErr w:type="spellEnd"/>
      <w:r w:rsidRPr="005F3664">
        <w:rPr>
          <w:rFonts w:ascii="Arial" w:hAnsi="Arial" w:cs="Arial"/>
          <w:color w:val="000000" w:themeColor="text1"/>
          <w:sz w:val="20"/>
          <w:szCs w:val="20"/>
        </w:rPr>
        <w:t xml:space="preserve"> et al., 2017).</w:t>
      </w:r>
    </w:p>
    <w:p w14:paraId="6DA22EB3" w14:textId="77777777" w:rsidR="00F15F56" w:rsidRPr="005F3664" w:rsidRDefault="00F15F56"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6.1 Pre-Breeding as a Strategic Interface</w:t>
      </w:r>
    </w:p>
    <w:p w14:paraId="01E68124" w14:textId="1C51CE3C"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Pre-breeding</w:t>
      </w:r>
      <w:r w:rsidR="00CF2F22" w:rsidRPr="005F3664">
        <w:rPr>
          <w:rFonts w:ascii="Arial" w:hAnsi="Arial" w:cs="Arial"/>
          <w:color w:val="000000" w:themeColor="text1"/>
          <w:sz w:val="20"/>
          <w:szCs w:val="20"/>
        </w:rPr>
        <w:t>-</w:t>
      </w:r>
      <w:r w:rsidRPr="005F3664">
        <w:rPr>
          <w:rFonts w:ascii="Arial" w:hAnsi="Arial" w:cs="Arial"/>
          <w:color w:val="000000" w:themeColor="text1"/>
          <w:sz w:val="20"/>
          <w:szCs w:val="20"/>
        </w:rPr>
        <w:t>the systematic identification, characterization, and genetic adaptation of alleles from wild relatives and landraces into forms suitable for mainstream breeding</w:t>
      </w:r>
      <w:r w:rsidR="00CF2F22" w:rsidRPr="005F3664">
        <w:rPr>
          <w:rFonts w:ascii="Arial" w:hAnsi="Arial" w:cs="Arial"/>
          <w:color w:val="000000" w:themeColor="text1"/>
          <w:sz w:val="20"/>
          <w:szCs w:val="20"/>
        </w:rPr>
        <w:t>-</w:t>
      </w:r>
      <w:r w:rsidRPr="005F3664">
        <w:rPr>
          <w:rFonts w:ascii="Arial" w:hAnsi="Arial" w:cs="Arial"/>
          <w:color w:val="000000" w:themeColor="text1"/>
          <w:sz w:val="20"/>
          <w:szCs w:val="20"/>
        </w:rPr>
        <w:t xml:space="preserve">represents a critical interface between conventional and genomic methodologies. While conventional wide crosses historically facilitated access to exotic diversity, they were constrained by linkage drag and imprecise genome segment </w:t>
      </w:r>
      <w:proofErr w:type="spellStart"/>
      <w:r w:rsidRPr="005F3664">
        <w:rPr>
          <w:rFonts w:ascii="Arial" w:hAnsi="Arial" w:cs="Arial"/>
          <w:color w:val="000000" w:themeColor="text1"/>
          <w:sz w:val="20"/>
          <w:szCs w:val="20"/>
        </w:rPr>
        <w:t>introgression</w:t>
      </w:r>
      <w:proofErr w:type="spellEnd"/>
      <w:r w:rsidRPr="005F3664">
        <w:rPr>
          <w:rFonts w:ascii="Arial" w:hAnsi="Arial" w:cs="Arial"/>
          <w:color w:val="000000" w:themeColor="text1"/>
          <w:sz w:val="20"/>
          <w:szCs w:val="20"/>
        </w:rPr>
        <w:t>.</w:t>
      </w:r>
    </w:p>
    <w:p w14:paraId="02F4FC27"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Modern genomic tools, including genome-wide association studies (GWAS) and pan-genomic analyses, now enable precise identification of </w:t>
      </w:r>
      <w:proofErr w:type="spellStart"/>
      <w:r w:rsidRPr="005F3664">
        <w:rPr>
          <w:rFonts w:ascii="Arial" w:hAnsi="Arial" w:cs="Arial"/>
          <w:color w:val="000000" w:themeColor="text1"/>
          <w:sz w:val="20"/>
          <w:szCs w:val="20"/>
        </w:rPr>
        <w:t>favorable</w:t>
      </w:r>
      <w:proofErr w:type="spellEnd"/>
      <w:r w:rsidRPr="005F3664">
        <w:rPr>
          <w:rFonts w:ascii="Arial" w:hAnsi="Arial" w:cs="Arial"/>
          <w:color w:val="000000" w:themeColor="text1"/>
          <w:sz w:val="20"/>
          <w:szCs w:val="20"/>
        </w:rPr>
        <w:t xml:space="preserve"> alleles within pre-breeding populations. These alleles can be </w:t>
      </w:r>
      <w:proofErr w:type="spellStart"/>
      <w:r w:rsidRPr="005F3664">
        <w:rPr>
          <w:rFonts w:ascii="Arial" w:hAnsi="Arial" w:cs="Arial"/>
          <w:color w:val="000000" w:themeColor="text1"/>
          <w:sz w:val="20"/>
          <w:szCs w:val="20"/>
        </w:rPr>
        <w:t>introgressed</w:t>
      </w:r>
      <w:proofErr w:type="spellEnd"/>
      <w:r w:rsidRPr="005F3664">
        <w:rPr>
          <w:rFonts w:ascii="Arial" w:hAnsi="Arial" w:cs="Arial"/>
          <w:color w:val="000000" w:themeColor="text1"/>
          <w:sz w:val="20"/>
          <w:szCs w:val="20"/>
        </w:rPr>
        <w:t xml:space="preserve"> into elite germplasm through marker-assisted backcrossing (MABC) with greatly improved precision relative to traditional wide-cross approaches.</w:t>
      </w:r>
    </w:p>
    <w:p w14:paraId="6499ACBE" w14:textId="42535FE1"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Genome editing further strengthens this integration. Once beneficial alleles are identified through GWAS or pan-genomic analysis, precise sequence modifications can be introduced directly into elite backgrounds without extensive backcrossing. This strategy</w:t>
      </w:r>
      <w:r w:rsidR="00CF2F22" w:rsidRPr="005F3664">
        <w:rPr>
          <w:rFonts w:ascii="Arial" w:hAnsi="Arial" w:cs="Arial"/>
          <w:color w:val="000000" w:themeColor="text1"/>
          <w:sz w:val="20"/>
          <w:szCs w:val="20"/>
        </w:rPr>
        <w:t>-</w:t>
      </w:r>
      <w:r w:rsidRPr="005F3664">
        <w:rPr>
          <w:rFonts w:ascii="Arial" w:hAnsi="Arial" w:cs="Arial"/>
          <w:color w:val="000000" w:themeColor="text1"/>
          <w:sz w:val="20"/>
          <w:szCs w:val="20"/>
        </w:rPr>
        <w:t>sometimes described as genomic editing of elite germplasm</w:t>
      </w:r>
      <w:r w:rsidR="00CF2F22" w:rsidRPr="005F3664">
        <w:rPr>
          <w:rFonts w:ascii="Arial" w:hAnsi="Arial" w:cs="Arial"/>
          <w:color w:val="000000" w:themeColor="text1"/>
          <w:sz w:val="20"/>
          <w:szCs w:val="20"/>
        </w:rPr>
        <w:t>-</w:t>
      </w:r>
      <w:r w:rsidRPr="005F3664">
        <w:rPr>
          <w:rFonts w:ascii="Arial" w:hAnsi="Arial" w:cs="Arial"/>
          <w:color w:val="000000" w:themeColor="text1"/>
          <w:sz w:val="20"/>
          <w:szCs w:val="20"/>
        </w:rPr>
        <w:t>has the potential to compress conventional 10</w:t>
      </w:r>
      <w:r w:rsidR="00195BC2">
        <w:rPr>
          <w:rFonts w:ascii="Arial" w:hAnsi="Arial" w:cs="Arial"/>
          <w:color w:val="000000" w:themeColor="text1"/>
          <w:sz w:val="20"/>
          <w:szCs w:val="20"/>
        </w:rPr>
        <w:t>-</w:t>
      </w:r>
      <w:r w:rsidRPr="005F3664">
        <w:rPr>
          <w:rFonts w:ascii="Arial" w:hAnsi="Arial" w:cs="Arial"/>
          <w:color w:val="000000" w:themeColor="text1"/>
          <w:sz w:val="20"/>
          <w:szCs w:val="20"/>
        </w:rPr>
        <w:t>15-year backcross programs into a single transformation and selection cycle, substantially accelerating cultivar development.</w:t>
      </w:r>
    </w:p>
    <w:p w14:paraId="2F7DE7CD" w14:textId="77777777" w:rsidR="00F81250" w:rsidRPr="005F3664" w:rsidRDefault="00F81250" w:rsidP="00E53B33">
      <w:pPr>
        <w:spacing w:after="120" w:line="240" w:lineRule="auto"/>
        <w:jc w:val="both"/>
        <w:rPr>
          <w:rFonts w:ascii="Arial" w:hAnsi="Arial" w:cs="Arial"/>
          <w:b/>
          <w:bCs/>
          <w:color w:val="000000" w:themeColor="text1"/>
          <w:sz w:val="24"/>
          <w:szCs w:val="24"/>
        </w:rPr>
      </w:pPr>
    </w:p>
    <w:p w14:paraId="7684D386" w14:textId="64CD352D" w:rsidR="00F15F56" w:rsidRPr="005F3664" w:rsidRDefault="00F15F56"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6.2 Digital Breeding and Artificial Intelligence</w:t>
      </w:r>
    </w:p>
    <w:p w14:paraId="60B3B5E3"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Digital breeding platforms are emerging as foundational infrastructure for fully integrated breeding programs. These systems integrate genotypic and phenotypic databases, manage crossing schemes, execute genomic selection model training, generate genomic estimated breeding values (GEBVs), and interface with regulatory and variety registration frameworks.</w:t>
      </w:r>
    </w:p>
    <w:p w14:paraId="6955A931" w14:textId="287F9404"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lastRenderedPageBreak/>
        <w:t>Artificial intelligence (A</w:t>
      </w:r>
      <w:r w:rsidR="00696158">
        <w:rPr>
          <w:rFonts w:ascii="Arial" w:hAnsi="Arial" w:cs="Arial"/>
          <w:color w:val="000000" w:themeColor="text1"/>
          <w:sz w:val="20"/>
          <w:szCs w:val="20"/>
        </w:rPr>
        <w:t xml:space="preserve"> </w:t>
      </w:r>
      <w:r w:rsidRPr="005F3664">
        <w:rPr>
          <w:rFonts w:ascii="Arial" w:hAnsi="Arial" w:cs="Arial"/>
          <w:color w:val="000000" w:themeColor="text1"/>
          <w:sz w:val="20"/>
          <w:szCs w:val="20"/>
        </w:rPr>
        <w:t>I) and machine learning algorithms are increasingly embedded within these platforms. Applications include:</w:t>
      </w:r>
    </w:p>
    <w:p w14:paraId="1648B3F1" w14:textId="77777777" w:rsidR="00F15F56" w:rsidRPr="005F3664" w:rsidRDefault="00F15F56" w:rsidP="00B52971">
      <w:pPr>
        <w:numPr>
          <w:ilvl w:val="0"/>
          <w:numId w:val="5"/>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Automated phenotypic trait extraction from RGB, multispectral, hyperspectral, and thermal imagery</w:t>
      </w:r>
    </w:p>
    <w:p w14:paraId="7E2BD0AE" w14:textId="77777777" w:rsidR="00F15F56" w:rsidRPr="005F3664" w:rsidRDefault="00F15F56" w:rsidP="00B52971">
      <w:pPr>
        <w:numPr>
          <w:ilvl w:val="0"/>
          <w:numId w:val="5"/>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Optimization of genomic prediction models across multi-environment trials</w:t>
      </w:r>
    </w:p>
    <w:p w14:paraId="71F1A2E3" w14:textId="77777777" w:rsidR="00F15F56" w:rsidRPr="005F3664" w:rsidRDefault="00F15F56" w:rsidP="00B52971">
      <w:pPr>
        <w:numPr>
          <w:ilvl w:val="0"/>
          <w:numId w:val="5"/>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sgRNA design optimization for genome editing applications</w:t>
      </w:r>
    </w:p>
    <w:p w14:paraId="5E02CC15" w14:textId="77777777" w:rsidR="00F15F56" w:rsidRPr="005F3664" w:rsidRDefault="00F15F56" w:rsidP="00B52971">
      <w:pPr>
        <w:numPr>
          <w:ilvl w:val="0"/>
          <w:numId w:val="5"/>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Predictive </w:t>
      </w:r>
      <w:proofErr w:type="spellStart"/>
      <w:r w:rsidRPr="005F3664">
        <w:rPr>
          <w:rFonts w:ascii="Arial" w:hAnsi="Arial" w:cs="Arial"/>
          <w:color w:val="000000" w:themeColor="text1"/>
          <w:sz w:val="20"/>
          <w:szCs w:val="20"/>
        </w:rPr>
        <w:t>modeling</w:t>
      </w:r>
      <w:proofErr w:type="spellEnd"/>
      <w:r w:rsidRPr="005F3664">
        <w:rPr>
          <w:rFonts w:ascii="Arial" w:hAnsi="Arial" w:cs="Arial"/>
          <w:color w:val="000000" w:themeColor="text1"/>
          <w:sz w:val="20"/>
          <w:szCs w:val="20"/>
        </w:rPr>
        <w:t xml:space="preserve"> of genotype-by-environment (G×E) interactions</w:t>
      </w:r>
    </w:p>
    <w:p w14:paraId="2C5C37F1" w14:textId="77777777" w:rsidR="00F15F56" w:rsidRPr="005F3664" w:rsidRDefault="00F15F56" w:rsidP="00B52971">
      <w:pPr>
        <w:numPr>
          <w:ilvl w:val="0"/>
          <w:numId w:val="5"/>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Simulation-based crossing scheme optimization</w:t>
      </w:r>
    </w:p>
    <w:p w14:paraId="317AE48C" w14:textId="6DC9034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Deep learning approaches applied to high-resolution image datasets are now routinely used in well-resourced breeding programs for automated scoring of fruit quality parameters, disease severity, plant architecture, and canopy structure (</w:t>
      </w:r>
      <w:proofErr w:type="spellStart"/>
      <w:r w:rsidRPr="005F3664">
        <w:rPr>
          <w:rFonts w:ascii="Arial" w:hAnsi="Arial" w:cs="Arial"/>
          <w:color w:val="000000" w:themeColor="text1"/>
          <w:sz w:val="20"/>
          <w:szCs w:val="20"/>
        </w:rPr>
        <w:t>Araus</w:t>
      </w:r>
      <w:proofErr w:type="spellEnd"/>
      <w:r w:rsidRPr="005F3664">
        <w:rPr>
          <w:rFonts w:ascii="Arial" w:hAnsi="Arial" w:cs="Arial"/>
          <w:color w:val="000000" w:themeColor="text1"/>
          <w:sz w:val="20"/>
          <w:szCs w:val="20"/>
        </w:rPr>
        <w:t xml:space="preserve"> et al., 2018). These developments substantially increase efficiency, scalability, and data-driven decision-making throughout the breeding cycle.</w:t>
      </w:r>
    </w:p>
    <w:p w14:paraId="529E91FF" w14:textId="77777777" w:rsidR="00F15F56" w:rsidRPr="005F3664" w:rsidRDefault="00F15F56"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6.3 Toward a Unified Predictive Breeding Paradigm</w:t>
      </w:r>
    </w:p>
    <w:p w14:paraId="2853B3E3"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The convergence of conventional breeding, genomics, genome editing, speed breeding, high-throughput phenotyping, and AI-driven analytics is reshaping horticultural improvement into a predictive science. Rather than relying solely on phenotypic selection and generational advancement, integrated breeding programs increasingly operate through:</w:t>
      </w:r>
    </w:p>
    <w:p w14:paraId="2E28D38C" w14:textId="77777777" w:rsidR="00F15F56" w:rsidRPr="005F3664" w:rsidRDefault="00F15F56" w:rsidP="00E53B33">
      <w:pPr>
        <w:numPr>
          <w:ilvl w:val="0"/>
          <w:numId w:val="3"/>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Genome-informed parental selection</w:t>
      </w:r>
    </w:p>
    <w:p w14:paraId="6F4871A8" w14:textId="77777777" w:rsidR="00F15F56" w:rsidRPr="005F3664" w:rsidRDefault="00F15F56" w:rsidP="00E53B33">
      <w:pPr>
        <w:numPr>
          <w:ilvl w:val="0"/>
          <w:numId w:val="3"/>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Early-cycle genomic prediction</w:t>
      </w:r>
    </w:p>
    <w:p w14:paraId="493D2507" w14:textId="77777777" w:rsidR="00F15F56" w:rsidRPr="005F3664" w:rsidRDefault="00F15F56" w:rsidP="00E53B33">
      <w:pPr>
        <w:numPr>
          <w:ilvl w:val="0"/>
          <w:numId w:val="3"/>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Targeted allele modification via editing</w:t>
      </w:r>
    </w:p>
    <w:p w14:paraId="49C26611" w14:textId="77777777" w:rsidR="00F15F56" w:rsidRPr="005F3664" w:rsidRDefault="00F15F56" w:rsidP="00E53B33">
      <w:pPr>
        <w:numPr>
          <w:ilvl w:val="0"/>
          <w:numId w:val="3"/>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Accelerated generational turnover</w:t>
      </w:r>
    </w:p>
    <w:p w14:paraId="41D282ED" w14:textId="77777777" w:rsidR="00F15F56" w:rsidRPr="005F3664" w:rsidRDefault="00F15F56" w:rsidP="00E53B33">
      <w:pPr>
        <w:numPr>
          <w:ilvl w:val="0"/>
          <w:numId w:val="3"/>
        </w:num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Continuous model retraining using real-time </w:t>
      </w:r>
      <w:proofErr w:type="spellStart"/>
      <w:r w:rsidRPr="005F3664">
        <w:rPr>
          <w:rFonts w:ascii="Arial" w:hAnsi="Arial" w:cs="Arial"/>
          <w:color w:val="000000" w:themeColor="text1"/>
          <w:sz w:val="20"/>
          <w:szCs w:val="20"/>
        </w:rPr>
        <w:t>phenomic</w:t>
      </w:r>
      <w:proofErr w:type="spellEnd"/>
      <w:r w:rsidRPr="005F3664">
        <w:rPr>
          <w:rFonts w:ascii="Arial" w:hAnsi="Arial" w:cs="Arial"/>
          <w:color w:val="000000" w:themeColor="text1"/>
          <w:sz w:val="20"/>
          <w:szCs w:val="20"/>
        </w:rPr>
        <w:t xml:space="preserve"> data</w:t>
      </w:r>
    </w:p>
    <w:p w14:paraId="43F59564" w14:textId="77777777" w:rsidR="00F15F56" w:rsidRPr="005F3664" w:rsidRDefault="00F15F56"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This systems-level integration represents a paradigm shift from reactive selection to proactive, model-guided crop design. As climate instability, emerging pathogens, and shifting market preferences intensify selection pressures, such integrated frameworks will be essential for sustaining productivity, resilience, and nutritional quality in horticultural crops.</w:t>
      </w:r>
    </w:p>
    <w:p w14:paraId="509A0B9E" w14:textId="77777777" w:rsidR="00F15708" w:rsidRPr="005F3664" w:rsidRDefault="00F1570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7. Case Studies in Major Horticultural Crops (Compressed)</w:t>
      </w:r>
    </w:p>
    <w:p w14:paraId="1BBE809A" w14:textId="122836B1" w:rsidR="00F15708" w:rsidRPr="005F3664" w:rsidRDefault="00F1570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7.1 Tomato (</w:t>
      </w:r>
      <w:proofErr w:type="spellStart"/>
      <w:r w:rsidRPr="005F3664">
        <w:rPr>
          <w:rFonts w:ascii="Arial" w:hAnsi="Arial" w:cs="Arial"/>
          <w:b/>
          <w:bCs/>
          <w:i/>
          <w:iCs/>
          <w:color w:val="000000" w:themeColor="text1"/>
        </w:rPr>
        <w:t>Solanum</w:t>
      </w:r>
      <w:proofErr w:type="spellEnd"/>
      <w:r w:rsidRPr="005F3664">
        <w:rPr>
          <w:rFonts w:ascii="Arial" w:hAnsi="Arial" w:cs="Arial"/>
          <w:b/>
          <w:bCs/>
          <w:i/>
          <w:iCs/>
          <w:color w:val="000000" w:themeColor="text1"/>
        </w:rPr>
        <w:t xml:space="preserve"> </w:t>
      </w:r>
      <w:proofErr w:type="spellStart"/>
      <w:r w:rsidRPr="005F3664">
        <w:rPr>
          <w:rFonts w:ascii="Arial" w:hAnsi="Arial" w:cs="Arial"/>
          <w:b/>
          <w:bCs/>
          <w:i/>
          <w:iCs/>
          <w:color w:val="000000" w:themeColor="text1"/>
        </w:rPr>
        <w:t>lycopersicum</w:t>
      </w:r>
      <w:proofErr w:type="spellEnd"/>
      <w:r w:rsidRPr="005F3664">
        <w:rPr>
          <w:rFonts w:ascii="Arial" w:hAnsi="Arial" w:cs="Arial"/>
          <w:b/>
          <w:bCs/>
          <w:color w:val="000000" w:themeColor="text1"/>
        </w:rPr>
        <w:t>)</w:t>
      </w:r>
    </w:p>
    <w:p w14:paraId="6FEC9618" w14:textId="6D66628D"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Tomato (</w:t>
      </w:r>
      <w:proofErr w:type="spellStart"/>
      <w:r w:rsidRPr="005F3664">
        <w:rPr>
          <w:rFonts w:ascii="Arial" w:hAnsi="Arial" w:cs="Arial"/>
          <w:i/>
          <w:iCs/>
          <w:color w:val="000000" w:themeColor="text1"/>
          <w:sz w:val="20"/>
          <w:szCs w:val="20"/>
        </w:rPr>
        <w:t>Solanum</w:t>
      </w:r>
      <w:proofErr w:type="spellEnd"/>
      <w:r w:rsidRPr="005F3664">
        <w:rPr>
          <w:rFonts w:ascii="Arial" w:hAnsi="Arial" w:cs="Arial"/>
          <w:i/>
          <w:iCs/>
          <w:color w:val="000000" w:themeColor="text1"/>
          <w:sz w:val="20"/>
          <w:szCs w:val="20"/>
        </w:rPr>
        <w:t xml:space="preserve"> </w:t>
      </w:r>
      <w:proofErr w:type="spellStart"/>
      <w:r w:rsidRPr="005F3664">
        <w:rPr>
          <w:rFonts w:ascii="Arial" w:hAnsi="Arial" w:cs="Arial"/>
          <w:i/>
          <w:iCs/>
          <w:color w:val="000000" w:themeColor="text1"/>
          <w:sz w:val="20"/>
          <w:szCs w:val="20"/>
        </w:rPr>
        <w:t>lycopersicum</w:t>
      </w:r>
      <w:proofErr w:type="spellEnd"/>
      <w:r w:rsidRPr="005F3664">
        <w:rPr>
          <w:rFonts w:ascii="Arial" w:hAnsi="Arial" w:cs="Arial"/>
          <w:color w:val="000000" w:themeColor="text1"/>
          <w:sz w:val="20"/>
          <w:szCs w:val="20"/>
        </w:rPr>
        <w:t xml:space="preserve">) is the leading model horticultural crop due to its diploid 950 Mb genome, short generation cycle, high transformation efficiency, and global commercial importance. Conventional breeding </w:t>
      </w:r>
      <w:proofErr w:type="spellStart"/>
      <w:r w:rsidRPr="005F3664">
        <w:rPr>
          <w:rFonts w:ascii="Arial" w:hAnsi="Arial" w:cs="Arial"/>
          <w:color w:val="000000" w:themeColor="text1"/>
          <w:sz w:val="20"/>
          <w:szCs w:val="20"/>
        </w:rPr>
        <w:t>introgressed</w:t>
      </w:r>
      <w:proofErr w:type="spellEnd"/>
      <w:r w:rsidRPr="005F3664">
        <w:rPr>
          <w:rFonts w:ascii="Arial" w:hAnsi="Arial" w:cs="Arial"/>
          <w:color w:val="000000" w:themeColor="text1"/>
          <w:sz w:val="20"/>
          <w:szCs w:val="20"/>
        </w:rPr>
        <w:t xml:space="preserve"> resistance loci for TYLCV (</w:t>
      </w:r>
      <w:r w:rsidRPr="00B260D1">
        <w:rPr>
          <w:rFonts w:ascii="Arial" w:hAnsi="Arial" w:cs="Arial"/>
          <w:i/>
          <w:iCs/>
          <w:color w:val="000000" w:themeColor="text1"/>
          <w:sz w:val="20"/>
          <w:szCs w:val="20"/>
        </w:rPr>
        <w:t>Ty-1</w:t>
      </w:r>
      <w:r w:rsidRPr="005F3664">
        <w:rPr>
          <w:rFonts w:ascii="Arial" w:hAnsi="Arial" w:cs="Arial"/>
          <w:color w:val="000000" w:themeColor="text1"/>
          <w:sz w:val="20"/>
          <w:szCs w:val="20"/>
        </w:rPr>
        <w:t xml:space="preserve">, </w:t>
      </w:r>
      <w:r w:rsidR="00B260D1" w:rsidRPr="00B260D1">
        <w:rPr>
          <w:rFonts w:ascii="Arial" w:hAnsi="Arial" w:cs="Arial"/>
          <w:i/>
          <w:iCs/>
          <w:color w:val="000000" w:themeColor="text1"/>
          <w:sz w:val="20"/>
          <w:szCs w:val="20"/>
        </w:rPr>
        <w:t>Ty-3</w:t>
      </w:r>
      <w:r w:rsidRPr="005F3664">
        <w:rPr>
          <w:rFonts w:ascii="Arial" w:hAnsi="Arial" w:cs="Arial"/>
          <w:color w:val="000000" w:themeColor="text1"/>
          <w:sz w:val="20"/>
          <w:szCs w:val="20"/>
        </w:rPr>
        <w:t>), Fusarium wilt (</w:t>
      </w:r>
      <w:r w:rsidRPr="00B260D1">
        <w:rPr>
          <w:rFonts w:ascii="Arial" w:hAnsi="Arial" w:cs="Arial"/>
          <w:i/>
          <w:iCs/>
          <w:color w:val="000000" w:themeColor="text1"/>
          <w:sz w:val="20"/>
          <w:szCs w:val="20"/>
        </w:rPr>
        <w:t>I-2, I-3</w:t>
      </w:r>
      <w:r w:rsidRPr="005F3664">
        <w:rPr>
          <w:rFonts w:ascii="Arial" w:hAnsi="Arial" w:cs="Arial"/>
          <w:color w:val="000000" w:themeColor="text1"/>
          <w:sz w:val="20"/>
          <w:szCs w:val="20"/>
        </w:rPr>
        <w:t xml:space="preserve">), </w:t>
      </w:r>
      <w:proofErr w:type="spellStart"/>
      <w:r w:rsidRPr="005F3664">
        <w:rPr>
          <w:rFonts w:ascii="Arial" w:hAnsi="Arial" w:cs="Arial"/>
          <w:color w:val="000000" w:themeColor="text1"/>
          <w:sz w:val="20"/>
          <w:szCs w:val="20"/>
        </w:rPr>
        <w:t>Verticillium</w:t>
      </w:r>
      <w:proofErr w:type="spellEnd"/>
      <w:r w:rsidRPr="005F3664">
        <w:rPr>
          <w:rFonts w:ascii="Arial" w:hAnsi="Arial" w:cs="Arial"/>
          <w:color w:val="000000" w:themeColor="text1"/>
          <w:sz w:val="20"/>
          <w:szCs w:val="20"/>
        </w:rPr>
        <w:t xml:space="preserve"> wilt (</w:t>
      </w:r>
      <w:proofErr w:type="spellStart"/>
      <w:r w:rsidRPr="00B260D1">
        <w:rPr>
          <w:rFonts w:ascii="Arial" w:hAnsi="Arial" w:cs="Arial"/>
          <w:i/>
          <w:iCs/>
          <w:color w:val="000000" w:themeColor="text1"/>
          <w:sz w:val="20"/>
          <w:szCs w:val="20"/>
        </w:rPr>
        <w:t>Ve</w:t>
      </w:r>
      <w:proofErr w:type="spellEnd"/>
      <w:r w:rsidRPr="00B260D1">
        <w:rPr>
          <w:rFonts w:ascii="Arial" w:hAnsi="Arial" w:cs="Arial"/>
          <w:i/>
          <w:iCs/>
          <w:color w:val="000000" w:themeColor="text1"/>
          <w:sz w:val="20"/>
          <w:szCs w:val="20"/>
        </w:rPr>
        <w:t>),</w:t>
      </w:r>
      <w:r w:rsidRPr="005F3664">
        <w:rPr>
          <w:rFonts w:ascii="Arial" w:hAnsi="Arial" w:cs="Arial"/>
          <w:color w:val="000000" w:themeColor="text1"/>
          <w:sz w:val="20"/>
          <w:szCs w:val="20"/>
        </w:rPr>
        <w:t xml:space="preserve"> root-knot nematode (</w:t>
      </w:r>
      <w:r w:rsidRPr="00B260D1">
        <w:rPr>
          <w:rFonts w:ascii="Arial" w:hAnsi="Arial" w:cs="Arial"/>
          <w:i/>
          <w:iCs/>
          <w:color w:val="000000" w:themeColor="text1"/>
          <w:sz w:val="20"/>
          <w:szCs w:val="20"/>
        </w:rPr>
        <w:t>Mi-1</w:t>
      </w:r>
      <w:r w:rsidRPr="005F3664">
        <w:rPr>
          <w:rFonts w:ascii="Arial" w:hAnsi="Arial" w:cs="Arial"/>
          <w:color w:val="000000" w:themeColor="text1"/>
          <w:sz w:val="20"/>
          <w:szCs w:val="20"/>
        </w:rPr>
        <w:t xml:space="preserve">), and </w:t>
      </w:r>
      <w:proofErr w:type="spellStart"/>
      <w:r w:rsidRPr="005F3664">
        <w:rPr>
          <w:rFonts w:ascii="Arial" w:hAnsi="Arial" w:cs="Arial"/>
          <w:color w:val="000000" w:themeColor="text1"/>
          <w:sz w:val="20"/>
          <w:szCs w:val="20"/>
        </w:rPr>
        <w:t>tobamovirus</w:t>
      </w:r>
      <w:proofErr w:type="spellEnd"/>
      <w:r w:rsidRPr="005F3664">
        <w:rPr>
          <w:rFonts w:ascii="Arial" w:hAnsi="Arial" w:cs="Arial"/>
          <w:color w:val="000000" w:themeColor="text1"/>
          <w:sz w:val="20"/>
          <w:szCs w:val="20"/>
        </w:rPr>
        <w:t xml:space="preserve"> (</w:t>
      </w:r>
      <w:r w:rsidRPr="00A42469">
        <w:rPr>
          <w:rFonts w:ascii="Arial" w:hAnsi="Arial" w:cs="Arial"/>
          <w:i/>
          <w:iCs/>
          <w:color w:val="000000" w:themeColor="text1"/>
          <w:sz w:val="20"/>
          <w:szCs w:val="20"/>
        </w:rPr>
        <w:t>Tm-2a</w:t>
      </w:r>
      <w:r w:rsidRPr="005F3664">
        <w:rPr>
          <w:rFonts w:ascii="Arial" w:hAnsi="Arial" w:cs="Arial"/>
          <w:color w:val="000000" w:themeColor="text1"/>
          <w:sz w:val="20"/>
          <w:szCs w:val="20"/>
        </w:rPr>
        <w:t>), now routinely deployed through MAS in F1 hybrids.</w:t>
      </w:r>
    </w:p>
    <w:p w14:paraId="6246F760" w14:textId="3EBE6D33"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The 2012 reference genome enabled GWAS dissection of fruit metabolite variation, identifying SNP</w:t>
      </w:r>
      <w:r w:rsidR="00195BC2">
        <w:rPr>
          <w:rFonts w:ascii="Arial" w:hAnsi="Arial" w:cs="Arial"/>
          <w:color w:val="000000" w:themeColor="text1"/>
          <w:sz w:val="20"/>
          <w:szCs w:val="20"/>
        </w:rPr>
        <w:t>-</w:t>
      </w:r>
      <w:r w:rsidRPr="005F3664">
        <w:rPr>
          <w:rFonts w:ascii="Arial" w:hAnsi="Arial" w:cs="Arial"/>
          <w:color w:val="000000" w:themeColor="text1"/>
          <w:sz w:val="20"/>
          <w:szCs w:val="20"/>
        </w:rPr>
        <w:t xml:space="preserve">volatile associations to restore </w:t>
      </w:r>
      <w:proofErr w:type="spellStart"/>
      <w:r w:rsidRPr="005F3664">
        <w:rPr>
          <w:rFonts w:ascii="Arial" w:hAnsi="Arial" w:cs="Arial"/>
          <w:color w:val="000000" w:themeColor="text1"/>
          <w:sz w:val="20"/>
          <w:szCs w:val="20"/>
        </w:rPr>
        <w:t>flavor</w:t>
      </w:r>
      <w:proofErr w:type="spellEnd"/>
      <w:r w:rsidRPr="005F3664">
        <w:rPr>
          <w:rFonts w:ascii="Arial" w:hAnsi="Arial" w:cs="Arial"/>
          <w:color w:val="000000" w:themeColor="text1"/>
          <w:sz w:val="20"/>
          <w:szCs w:val="20"/>
        </w:rPr>
        <w:t xml:space="preserve"> traits reduced during shelf-life-focused breeding (</w:t>
      </w:r>
      <w:proofErr w:type="spellStart"/>
      <w:r w:rsidRPr="005F3664">
        <w:rPr>
          <w:rFonts w:ascii="Arial" w:hAnsi="Arial" w:cs="Arial"/>
          <w:color w:val="000000" w:themeColor="text1"/>
          <w:sz w:val="20"/>
          <w:szCs w:val="20"/>
        </w:rPr>
        <w:t>Tieman</w:t>
      </w:r>
      <w:proofErr w:type="spellEnd"/>
      <w:r w:rsidRPr="005F3664">
        <w:rPr>
          <w:rFonts w:ascii="Arial" w:hAnsi="Arial" w:cs="Arial"/>
          <w:color w:val="000000" w:themeColor="text1"/>
          <w:sz w:val="20"/>
          <w:szCs w:val="20"/>
        </w:rPr>
        <w:t xml:space="preserve"> et al., 2017). The tomato pan-genome revealed &gt;4,800 genes absent from the reference, including aroma and sugar-related loci (Gao et al., 2019).</w:t>
      </w:r>
    </w:p>
    <w:p w14:paraId="36C698CD" w14:textId="288E2377" w:rsidR="00E1451C"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CRISPR applications include shelf-life extension via </w:t>
      </w:r>
      <w:proofErr w:type="spellStart"/>
      <w:r w:rsidRPr="005F3664">
        <w:rPr>
          <w:rFonts w:ascii="Arial" w:hAnsi="Arial" w:cs="Arial"/>
          <w:i/>
          <w:iCs/>
          <w:color w:val="000000" w:themeColor="text1"/>
          <w:sz w:val="20"/>
          <w:szCs w:val="20"/>
        </w:rPr>
        <w:t>SlPL</w:t>
      </w:r>
      <w:proofErr w:type="spellEnd"/>
      <w:r w:rsidRPr="005F3664">
        <w:rPr>
          <w:rFonts w:ascii="Arial" w:hAnsi="Arial" w:cs="Arial"/>
          <w:i/>
          <w:iCs/>
          <w:color w:val="000000" w:themeColor="text1"/>
          <w:sz w:val="20"/>
          <w:szCs w:val="20"/>
        </w:rPr>
        <w:t>/</w:t>
      </w:r>
      <w:proofErr w:type="spellStart"/>
      <w:r w:rsidRPr="005F3664">
        <w:rPr>
          <w:rFonts w:ascii="Arial" w:hAnsi="Arial" w:cs="Arial"/>
          <w:i/>
          <w:iCs/>
          <w:color w:val="000000" w:themeColor="text1"/>
          <w:sz w:val="20"/>
          <w:szCs w:val="20"/>
        </w:rPr>
        <w:t>SlPG</w:t>
      </w:r>
      <w:proofErr w:type="spellEnd"/>
      <w:r w:rsidRPr="005F3664">
        <w:rPr>
          <w:rFonts w:ascii="Arial" w:hAnsi="Arial" w:cs="Arial"/>
          <w:color w:val="000000" w:themeColor="text1"/>
          <w:sz w:val="20"/>
          <w:szCs w:val="20"/>
        </w:rPr>
        <w:t xml:space="preserve"> editing (</w:t>
      </w:r>
      <w:proofErr w:type="spellStart"/>
      <w:r w:rsidRPr="005F3664">
        <w:rPr>
          <w:rFonts w:ascii="Arial" w:hAnsi="Arial" w:cs="Arial"/>
          <w:color w:val="000000" w:themeColor="text1"/>
          <w:sz w:val="20"/>
          <w:szCs w:val="20"/>
        </w:rPr>
        <w:t>Uluisik</w:t>
      </w:r>
      <w:proofErr w:type="spellEnd"/>
      <w:r w:rsidRPr="005F3664">
        <w:rPr>
          <w:rFonts w:ascii="Arial" w:hAnsi="Arial" w:cs="Arial"/>
          <w:color w:val="000000" w:themeColor="text1"/>
          <w:sz w:val="20"/>
          <w:szCs w:val="20"/>
        </w:rPr>
        <w:t xml:space="preserve"> et al., 2016), architectural modification through </w:t>
      </w:r>
      <w:r w:rsidRPr="005F3664">
        <w:rPr>
          <w:rFonts w:ascii="Arial" w:hAnsi="Arial" w:cs="Arial"/>
          <w:i/>
          <w:iCs/>
          <w:color w:val="000000" w:themeColor="text1"/>
          <w:sz w:val="20"/>
          <w:szCs w:val="20"/>
        </w:rPr>
        <w:t>SP/SP5G</w:t>
      </w:r>
      <w:r w:rsidRPr="005F3664">
        <w:rPr>
          <w:rFonts w:ascii="Arial" w:hAnsi="Arial" w:cs="Arial"/>
          <w:color w:val="000000" w:themeColor="text1"/>
          <w:sz w:val="20"/>
          <w:szCs w:val="20"/>
        </w:rPr>
        <w:t xml:space="preserve"> editing (</w:t>
      </w:r>
      <w:proofErr w:type="spellStart"/>
      <w:r w:rsidRPr="005F3664">
        <w:rPr>
          <w:rFonts w:ascii="Arial" w:hAnsi="Arial" w:cs="Arial"/>
          <w:color w:val="000000" w:themeColor="text1"/>
          <w:sz w:val="20"/>
          <w:szCs w:val="20"/>
        </w:rPr>
        <w:t>Soyk</w:t>
      </w:r>
      <w:proofErr w:type="spellEnd"/>
      <w:r w:rsidRPr="005F3664">
        <w:rPr>
          <w:rFonts w:ascii="Arial" w:hAnsi="Arial" w:cs="Arial"/>
          <w:color w:val="000000" w:themeColor="text1"/>
          <w:sz w:val="20"/>
          <w:szCs w:val="20"/>
        </w:rPr>
        <w:t xml:space="preserve"> et al., 2017), GABA enrichment via </w:t>
      </w:r>
      <w:r w:rsidRPr="005F3664">
        <w:rPr>
          <w:rFonts w:ascii="Arial" w:hAnsi="Arial" w:cs="Arial"/>
          <w:i/>
          <w:iCs/>
          <w:color w:val="000000" w:themeColor="text1"/>
          <w:sz w:val="20"/>
          <w:szCs w:val="20"/>
        </w:rPr>
        <w:t>GAD2/GAD3</w:t>
      </w:r>
      <w:r w:rsidRPr="005F3664">
        <w:rPr>
          <w:rFonts w:ascii="Arial" w:hAnsi="Arial" w:cs="Arial"/>
          <w:color w:val="000000" w:themeColor="text1"/>
          <w:sz w:val="20"/>
          <w:szCs w:val="20"/>
        </w:rPr>
        <w:t xml:space="preserve"> (Nonaka et al., 2017), and multiplex de novo domestication of </w:t>
      </w:r>
      <w:proofErr w:type="spellStart"/>
      <w:r w:rsidRPr="005F3664">
        <w:rPr>
          <w:rFonts w:ascii="Arial" w:hAnsi="Arial" w:cs="Arial"/>
          <w:i/>
          <w:iCs/>
          <w:color w:val="000000" w:themeColor="text1"/>
          <w:sz w:val="20"/>
          <w:szCs w:val="20"/>
        </w:rPr>
        <w:t>Solanum</w:t>
      </w:r>
      <w:proofErr w:type="spellEnd"/>
      <w:r w:rsidRPr="005F3664">
        <w:rPr>
          <w:rFonts w:ascii="Arial" w:hAnsi="Arial" w:cs="Arial"/>
          <w:i/>
          <w:iCs/>
          <w:color w:val="000000" w:themeColor="text1"/>
          <w:sz w:val="20"/>
          <w:szCs w:val="20"/>
        </w:rPr>
        <w:t xml:space="preserve"> </w:t>
      </w:r>
      <w:proofErr w:type="spellStart"/>
      <w:r w:rsidRPr="005F3664">
        <w:rPr>
          <w:rFonts w:ascii="Arial" w:hAnsi="Arial" w:cs="Arial"/>
          <w:i/>
          <w:iCs/>
          <w:color w:val="000000" w:themeColor="text1"/>
          <w:sz w:val="20"/>
          <w:szCs w:val="20"/>
        </w:rPr>
        <w:t>pimpinellifolium</w:t>
      </w:r>
      <w:proofErr w:type="spellEnd"/>
      <w:r w:rsidRPr="005F3664">
        <w:rPr>
          <w:rFonts w:ascii="Arial" w:hAnsi="Arial" w:cs="Arial"/>
          <w:color w:val="000000" w:themeColor="text1"/>
          <w:sz w:val="20"/>
          <w:szCs w:val="20"/>
        </w:rPr>
        <w:t xml:space="preserve"> (</w:t>
      </w:r>
      <w:proofErr w:type="spellStart"/>
      <w:r w:rsidRPr="005F3664">
        <w:rPr>
          <w:rFonts w:ascii="Arial" w:hAnsi="Arial" w:cs="Arial"/>
          <w:color w:val="000000" w:themeColor="text1"/>
          <w:sz w:val="20"/>
          <w:szCs w:val="20"/>
        </w:rPr>
        <w:t>Zsogon</w:t>
      </w:r>
      <w:proofErr w:type="spellEnd"/>
      <w:r w:rsidRPr="005F3664">
        <w:rPr>
          <w:rFonts w:ascii="Arial" w:hAnsi="Arial" w:cs="Arial"/>
          <w:color w:val="000000" w:themeColor="text1"/>
          <w:sz w:val="20"/>
          <w:szCs w:val="20"/>
        </w:rPr>
        <w:t xml:space="preserve"> et al., 2018).</w:t>
      </w:r>
    </w:p>
    <w:p w14:paraId="27AC8A15" w14:textId="296C31FE" w:rsidR="00F15708" w:rsidRPr="005F3664" w:rsidRDefault="00F1570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7.2 Potato (</w:t>
      </w:r>
      <w:r w:rsidRPr="005F3664">
        <w:rPr>
          <w:rFonts w:ascii="Arial" w:hAnsi="Arial" w:cs="Arial"/>
          <w:b/>
          <w:bCs/>
          <w:i/>
          <w:iCs/>
          <w:color w:val="000000" w:themeColor="text1"/>
        </w:rPr>
        <w:t>Solanum tuberosum</w:t>
      </w:r>
      <w:r w:rsidRPr="005F3664">
        <w:rPr>
          <w:rFonts w:ascii="Arial" w:hAnsi="Arial" w:cs="Arial"/>
          <w:b/>
          <w:bCs/>
          <w:color w:val="000000" w:themeColor="text1"/>
        </w:rPr>
        <w:t>)</w:t>
      </w:r>
    </w:p>
    <w:p w14:paraId="64D92011" w14:textId="63EA7D6E"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Potato (</w:t>
      </w:r>
      <w:r w:rsidRPr="005F3664">
        <w:rPr>
          <w:rFonts w:ascii="Arial" w:hAnsi="Arial" w:cs="Arial"/>
          <w:i/>
          <w:iCs/>
          <w:color w:val="000000" w:themeColor="text1"/>
          <w:sz w:val="20"/>
          <w:szCs w:val="20"/>
        </w:rPr>
        <w:t>Solanum tuberosum</w:t>
      </w:r>
      <w:r w:rsidRPr="005F3664">
        <w:rPr>
          <w:rFonts w:ascii="Arial" w:hAnsi="Arial" w:cs="Arial"/>
          <w:color w:val="000000" w:themeColor="text1"/>
          <w:sz w:val="20"/>
          <w:szCs w:val="20"/>
        </w:rPr>
        <w:t>) breeding is constrained by its autotetraploid genome (2n=4x=48), clonal propagation, and inbreeding depression, with 10</w:t>
      </w:r>
      <w:r w:rsidR="00195BC2">
        <w:rPr>
          <w:rFonts w:ascii="Arial" w:hAnsi="Arial" w:cs="Arial"/>
          <w:color w:val="000000" w:themeColor="text1"/>
          <w:sz w:val="20"/>
          <w:szCs w:val="20"/>
        </w:rPr>
        <w:t>-</w:t>
      </w:r>
      <w:r w:rsidRPr="005F3664">
        <w:rPr>
          <w:rFonts w:ascii="Arial" w:hAnsi="Arial" w:cs="Arial"/>
          <w:color w:val="000000" w:themeColor="text1"/>
          <w:sz w:val="20"/>
          <w:szCs w:val="20"/>
        </w:rPr>
        <w:t>15-year variety pipelines. Late blight (</w:t>
      </w:r>
      <w:proofErr w:type="spellStart"/>
      <w:r w:rsidRPr="005F3664">
        <w:rPr>
          <w:rFonts w:ascii="Arial" w:hAnsi="Arial" w:cs="Arial"/>
          <w:i/>
          <w:iCs/>
          <w:color w:val="000000" w:themeColor="text1"/>
          <w:sz w:val="20"/>
          <w:szCs w:val="20"/>
        </w:rPr>
        <w:t>Phytophthora</w:t>
      </w:r>
      <w:proofErr w:type="spellEnd"/>
      <w:r w:rsidRPr="005F3664">
        <w:rPr>
          <w:rFonts w:ascii="Arial" w:hAnsi="Arial" w:cs="Arial"/>
          <w:i/>
          <w:iCs/>
          <w:color w:val="000000" w:themeColor="text1"/>
          <w:sz w:val="20"/>
          <w:szCs w:val="20"/>
        </w:rPr>
        <w:t xml:space="preserve"> </w:t>
      </w:r>
      <w:proofErr w:type="spellStart"/>
      <w:r w:rsidRPr="005F3664">
        <w:rPr>
          <w:rFonts w:ascii="Arial" w:hAnsi="Arial" w:cs="Arial"/>
          <w:i/>
          <w:iCs/>
          <w:color w:val="000000" w:themeColor="text1"/>
          <w:sz w:val="20"/>
          <w:szCs w:val="20"/>
        </w:rPr>
        <w:t>infestans</w:t>
      </w:r>
      <w:proofErr w:type="spellEnd"/>
      <w:r w:rsidRPr="005F3664">
        <w:rPr>
          <w:rFonts w:ascii="Arial" w:hAnsi="Arial" w:cs="Arial"/>
          <w:color w:val="000000" w:themeColor="text1"/>
          <w:sz w:val="20"/>
          <w:szCs w:val="20"/>
        </w:rPr>
        <w:t>) causes ~EUR 1 billion annual losses in Europe.</w:t>
      </w:r>
    </w:p>
    <w:p w14:paraId="78B00D6E" w14:textId="77777777"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 xml:space="preserve">MAS stacking of </w:t>
      </w:r>
      <w:r w:rsidRPr="005F3664">
        <w:rPr>
          <w:rFonts w:ascii="Arial" w:hAnsi="Arial" w:cs="Arial"/>
          <w:i/>
          <w:iCs/>
          <w:color w:val="000000" w:themeColor="text1"/>
          <w:sz w:val="20"/>
          <w:szCs w:val="20"/>
        </w:rPr>
        <w:t>Rpi-blb1</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Rpi-blb2</w:t>
      </w:r>
      <w:r w:rsidRPr="005F3664">
        <w:rPr>
          <w:rFonts w:ascii="Arial" w:hAnsi="Arial" w:cs="Arial"/>
          <w:color w:val="000000" w:themeColor="text1"/>
          <w:sz w:val="20"/>
          <w:szCs w:val="20"/>
        </w:rPr>
        <w:t xml:space="preserve">, </w:t>
      </w:r>
      <w:r w:rsidRPr="005F3664">
        <w:rPr>
          <w:rFonts w:ascii="Arial" w:hAnsi="Arial" w:cs="Arial"/>
          <w:i/>
          <w:iCs/>
          <w:color w:val="000000" w:themeColor="text1"/>
          <w:sz w:val="20"/>
          <w:szCs w:val="20"/>
        </w:rPr>
        <w:t>Rpi-blb3</w:t>
      </w:r>
      <w:r w:rsidRPr="005F3664">
        <w:rPr>
          <w:rFonts w:ascii="Arial" w:hAnsi="Arial" w:cs="Arial"/>
          <w:color w:val="000000" w:themeColor="text1"/>
          <w:sz w:val="20"/>
          <w:szCs w:val="20"/>
        </w:rPr>
        <w:t xml:space="preserve">, and </w:t>
      </w:r>
      <w:r w:rsidRPr="005F3664">
        <w:rPr>
          <w:rFonts w:ascii="Arial" w:hAnsi="Arial" w:cs="Arial"/>
          <w:i/>
          <w:iCs/>
          <w:color w:val="000000" w:themeColor="text1"/>
          <w:sz w:val="20"/>
          <w:szCs w:val="20"/>
        </w:rPr>
        <w:t>Rpi-vnt1.1</w:t>
      </w:r>
      <w:r w:rsidRPr="005F3664">
        <w:rPr>
          <w:rFonts w:ascii="Arial" w:hAnsi="Arial" w:cs="Arial"/>
          <w:color w:val="000000" w:themeColor="text1"/>
          <w:sz w:val="20"/>
          <w:szCs w:val="20"/>
        </w:rPr>
        <w:t xml:space="preserve"> from wild </w:t>
      </w:r>
      <w:r w:rsidRPr="005F3664">
        <w:rPr>
          <w:rFonts w:ascii="Arial" w:hAnsi="Arial" w:cs="Arial"/>
          <w:i/>
          <w:iCs/>
          <w:color w:val="000000" w:themeColor="text1"/>
          <w:sz w:val="20"/>
          <w:szCs w:val="20"/>
        </w:rPr>
        <w:t>Solanum</w:t>
      </w:r>
      <w:r w:rsidRPr="005F3664">
        <w:rPr>
          <w:rFonts w:ascii="Arial" w:hAnsi="Arial" w:cs="Arial"/>
          <w:color w:val="000000" w:themeColor="text1"/>
          <w:sz w:val="20"/>
          <w:szCs w:val="20"/>
        </w:rPr>
        <w:t xml:space="preserve"> species enhances resistance durability (</w:t>
      </w:r>
      <w:proofErr w:type="spellStart"/>
      <w:r w:rsidRPr="005F3664">
        <w:rPr>
          <w:rFonts w:ascii="Arial" w:hAnsi="Arial" w:cs="Arial"/>
          <w:color w:val="000000" w:themeColor="text1"/>
          <w:sz w:val="20"/>
          <w:szCs w:val="20"/>
        </w:rPr>
        <w:t>Lindqvist-Kreuze</w:t>
      </w:r>
      <w:proofErr w:type="spellEnd"/>
      <w:r w:rsidRPr="005F3664">
        <w:rPr>
          <w:rFonts w:ascii="Arial" w:hAnsi="Arial" w:cs="Arial"/>
          <w:color w:val="000000" w:themeColor="text1"/>
          <w:sz w:val="20"/>
          <w:szCs w:val="20"/>
        </w:rPr>
        <w:t xml:space="preserve"> et al., 2020). Diploid breeding platforms using haploid induction represent a major paradigm shift (</w:t>
      </w:r>
      <w:proofErr w:type="spellStart"/>
      <w:r w:rsidRPr="005F3664">
        <w:rPr>
          <w:rFonts w:ascii="Arial" w:hAnsi="Arial" w:cs="Arial"/>
          <w:color w:val="000000" w:themeColor="text1"/>
          <w:sz w:val="20"/>
          <w:szCs w:val="20"/>
        </w:rPr>
        <w:t>Lindhout</w:t>
      </w:r>
      <w:proofErr w:type="spellEnd"/>
      <w:r w:rsidRPr="005F3664">
        <w:rPr>
          <w:rFonts w:ascii="Arial" w:hAnsi="Arial" w:cs="Arial"/>
          <w:color w:val="000000" w:themeColor="text1"/>
          <w:sz w:val="20"/>
          <w:szCs w:val="20"/>
        </w:rPr>
        <w:t xml:space="preserve"> et al., 2011).</w:t>
      </w:r>
    </w:p>
    <w:p w14:paraId="15002C53" w14:textId="77777777"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lastRenderedPageBreak/>
        <w:t xml:space="preserve">CRISPR applications include transgene-free waxy starch via </w:t>
      </w:r>
      <w:r w:rsidRPr="005F3664">
        <w:rPr>
          <w:rFonts w:ascii="Arial" w:hAnsi="Arial" w:cs="Arial"/>
          <w:i/>
          <w:iCs/>
          <w:color w:val="000000" w:themeColor="text1"/>
          <w:sz w:val="20"/>
          <w:szCs w:val="20"/>
        </w:rPr>
        <w:t>GBSS</w:t>
      </w:r>
      <w:r w:rsidRPr="005F3664">
        <w:rPr>
          <w:rFonts w:ascii="Arial" w:hAnsi="Arial" w:cs="Arial"/>
          <w:color w:val="000000" w:themeColor="text1"/>
          <w:sz w:val="20"/>
          <w:szCs w:val="20"/>
        </w:rPr>
        <w:t xml:space="preserve"> editing (Andersson et al., 2017), reduced acrylamide formation through </w:t>
      </w:r>
      <w:proofErr w:type="spellStart"/>
      <w:r w:rsidRPr="005F3664">
        <w:rPr>
          <w:rFonts w:ascii="Arial" w:hAnsi="Arial" w:cs="Arial"/>
          <w:i/>
          <w:iCs/>
          <w:color w:val="000000" w:themeColor="text1"/>
          <w:sz w:val="20"/>
          <w:szCs w:val="20"/>
        </w:rPr>
        <w:t>VInv</w:t>
      </w:r>
      <w:proofErr w:type="spellEnd"/>
      <w:r w:rsidRPr="005F3664">
        <w:rPr>
          <w:rFonts w:ascii="Arial" w:hAnsi="Arial" w:cs="Arial"/>
          <w:color w:val="000000" w:themeColor="text1"/>
          <w:sz w:val="20"/>
          <w:szCs w:val="20"/>
        </w:rPr>
        <w:t xml:space="preserve"> editing (Gonzalez et al., 2020), and browning reduction via polyphenol oxidase disruption.</w:t>
      </w:r>
    </w:p>
    <w:p w14:paraId="6C58B9BB" w14:textId="65ADECF6" w:rsidR="00F15708" w:rsidRPr="005F3664" w:rsidRDefault="00F1570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7.3 Banana (</w:t>
      </w:r>
      <w:r w:rsidRPr="005F3664">
        <w:rPr>
          <w:rFonts w:ascii="Arial" w:hAnsi="Arial" w:cs="Arial"/>
          <w:b/>
          <w:bCs/>
          <w:i/>
          <w:iCs/>
          <w:color w:val="000000" w:themeColor="text1"/>
        </w:rPr>
        <w:t>Musa</w:t>
      </w:r>
      <w:r w:rsidRPr="005F3664">
        <w:rPr>
          <w:rFonts w:ascii="Arial" w:hAnsi="Arial" w:cs="Arial"/>
          <w:b/>
          <w:bCs/>
          <w:color w:val="000000" w:themeColor="text1"/>
        </w:rPr>
        <w:t xml:space="preserve"> spp.) and Citrus (</w:t>
      </w:r>
      <w:r w:rsidRPr="005F3664">
        <w:rPr>
          <w:rFonts w:ascii="Arial" w:hAnsi="Arial" w:cs="Arial"/>
          <w:b/>
          <w:bCs/>
          <w:i/>
          <w:iCs/>
          <w:color w:val="000000" w:themeColor="text1"/>
        </w:rPr>
        <w:t>Citrus</w:t>
      </w:r>
      <w:r w:rsidRPr="005F3664">
        <w:rPr>
          <w:rFonts w:ascii="Arial" w:hAnsi="Arial" w:cs="Arial"/>
          <w:b/>
          <w:bCs/>
          <w:color w:val="000000" w:themeColor="text1"/>
        </w:rPr>
        <w:t xml:space="preserve"> spp.)</w:t>
      </w:r>
    </w:p>
    <w:p w14:paraId="2ABB5650" w14:textId="77777777"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Banana (</w:t>
      </w:r>
      <w:r w:rsidRPr="005F3664">
        <w:rPr>
          <w:rFonts w:ascii="Arial" w:hAnsi="Arial" w:cs="Arial"/>
          <w:i/>
          <w:iCs/>
          <w:color w:val="000000" w:themeColor="text1"/>
          <w:sz w:val="20"/>
          <w:szCs w:val="20"/>
        </w:rPr>
        <w:t>Musa</w:t>
      </w:r>
      <w:r w:rsidRPr="005F3664">
        <w:rPr>
          <w:rFonts w:ascii="Arial" w:hAnsi="Arial" w:cs="Arial"/>
          <w:color w:val="000000" w:themeColor="text1"/>
          <w:sz w:val="20"/>
          <w:szCs w:val="20"/>
        </w:rPr>
        <w:t xml:space="preserve"> spp.) faces severe threat from Fusarium </w:t>
      </w:r>
      <w:r w:rsidRPr="00A42469">
        <w:rPr>
          <w:rFonts w:ascii="Arial" w:hAnsi="Arial" w:cs="Arial"/>
          <w:color w:val="000000" w:themeColor="text1"/>
          <w:sz w:val="20"/>
          <w:szCs w:val="20"/>
        </w:rPr>
        <w:t>TR4.</w:t>
      </w:r>
      <w:r w:rsidRPr="005F3664">
        <w:rPr>
          <w:rFonts w:ascii="Arial" w:hAnsi="Arial" w:cs="Arial"/>
          <w:color w:val="000000" w:themeColor="text1"/>
          <w:sz w:val="20"/>
          <w:szCs w:val="20"/>
        </w:rPr>
        <w:t xml:space="preserve"> Sterile triploid Cavendish prevents conventional improvement. Tetraploid hybrids (e.g., NARITA, FHIA-01) offer partial resistance but limited market acceptance. Transgenic Cavendish expressing </w:t>
      </w:r>
      <w:r w:rsidRPr="005F3664">
        <w:rPr>
          <w:rFonts w:ascii="Arial" w:hAnsi="Arial" w:cs="Arial"/>
          <w:i/>
          <w:iCs/>
          <w:color w:val="000000" w:themeColor="text1"/>
          <w:sz w:val="20"/>
          <w:szCs w:val="20"/>
        </w:rPr>
        <w:t>RGA2</w:t>
      </w:r>
      <w:r w:rsidRPr="005F3664">
        <w:rPr>
          <w:rFonts w:ascii="Arial" w:hAnsi="Arial" w:cs="Arial"/>
          <w:color w:val="000000" w:themeColor="text1"/>
          <w:sz w:val="20"/>
          <w:szCs w:val="20"/>
        </w:rPr>
        <w:t xml:space="preserve"> demonstrated five-year TR4 resistance (Dale et al., 2017), while CRISPR disruption of susceptibility genes is under development.</w:t>
      </w:r>
    </w:p>
    <w:p w14:paraId="6FEB0A56" w14:textId="6B78CF64"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Citrus (</w:t>
      </w:r>
      <w:r w:rsidRPr="005F3664">
        <w:rPr>
          <w:rFonts w:ascii="Arial" w:hAnsi="Arial" w:cs="Arial"/>
          <w:i/>
          <w:iCs/>
          <w:color w:val="000000" w:themeColor="text1"/>
          <w:sz w:val="20"/>
          <w:szCs w:val="20"/>
        </w:rPr>
        <w:t>Citrus</w:t>
      </w:r>
      <w:r w:rsidRPr="005F3664">
        <w:rPr>
          <w:rFonts w:ascii="Arial" w:hAnsi="Arial" w:cs="Arial"/>
          <w:color w:val="000000" w:themeColor="text1"/>
          <w:sz w:val="20"/>
          <w:szCs w:val="20"/>
        </w:rPr>
        <w:t xml:space="preserve"> spp.) production has declined &gt;85% in Florida due to </w:t>
      </w:r>
      <w:proofErr w:type="spellStart"/>
      <w:r w:rsidRPr="005F3664">
        <w:rPr>
          <w:rFonts w:ascii="Arial" w:hAnsi="Arial" w:cs="Arial"/>
          <w:color w:val="000000" w:themeColor="text1"/>
          <w:sz w:val="20"/>
          <w:szCs w:val="20"/>
        </w:rPr>
        <w:t>Huanglongbing</w:t>
      </w:r>
      <w:proofErr w:type="spellEnd"/>
      <w:r w:rsidRPr="005F3664">
        <w:rPr>
          <w:rFonts w:ascii="Arial" w:hAnsi="Arial" w:cs="Arial"/>
          <w:color w:val="000000" w:themeColor="text1"/>
          <w:sz w:val="20"/>
          <w:szCs w:val="20"/>
        </w:rPr>
        <w:t xml:space="preserve"> (</w:t>
      </w:r>
      <w:proofErr w:type="spellStart"/>
      <w:r w:rsidRPr="005F3664">
        <w:rPr>
          <w:rFonts w:ascii="Arial" w:hAnsi="Arial" w:cs="Arial"/>
          <w:i/>
          <w:iCs/>
          <w:color w:val="000000" w:themeColor="text1"/>
          <w:sz w:val="20"/>
          <w:szCs w:val="20"/>
        </w:rPr>
        <w:t>Candidatus</w:t>
      </w:r>
      <w:proofErr w:type="spellEnd"/>
      <w:r w:rsidRPr="005F3664">
        <w:rPr>
          <w:rFonts w:ascii="Arial" w:hAnsi="Arial" w:cs="Arial"/>
          <w:i/>
          <w:iCs/>
          <w:color w:val="000000" w:themeColor="text1"/>
          <w:sz w:val="20"/>
          <w:szCs w:val="20"/>
        </w:rPr>
        <w:t xml:space="preserve"> </w:t>
      </w:r>
      <w:proofErr w:type="spellStart"/>
      <w:r w:rsidRPr="005F3664">
        <w:rPr>
          <w:rFonts w:ascii="Arial" w:hAnsi="Arial" w:cs="Arial"/>
          <w:i/>
          <w:iCs/>
          <w:color w:val="000000" w:themeColor="text1"/>
          <w:sz w:val="20"/>
          <w:szCs w:val="20"/>
        </w:rPr>
        <w:t>Liberibacter</w:t>
      </w:r>
      <w:proofErr w:type="spellEnd"/>
      <w:r w:rsidRPr="005F3664">
        <w:rPr>
          <w:rFonts w:ascii="Arial" w:hAnsi="Arial" w:cs="Arial"/>
          <w:i/>
          <w:iCs/>
          <w:color w:val="000000" w:themeColor="text1"/>
          <w:sz w:val="20"/>
          <w:szCs w:val="20"/>
        </w:rPr>
        <w:t xml:space="preserve"> </w:t>
      </w:r>
      <w:proofErr w:type="spellStart"/>
      <w:r w:rsidRPr="005F3664">
        <w:rPr>
          <w:rFonts w:ascii="Arial" w:hAnsi="Arial" w:cs="Arial"/>
          <w:i/>
          <w:iCs/>
          <w:color w:val="000000" w:themeColor="text1"/>
          <w:sz w:val="20"/>
          <w:szCs w:val="20"/>
        </w:rPr>
        <w:t>asiaticus</w:t>
      </w:r>
      <w:proofErr w:type="spellEnd"/>
      <w:r w:rsidRPr="005F3664">
        <w:rPr>
          <w:rFonts w:ascii="Arial" w:hAnsi="Arial" w:cs="Arial"/>
          <w:color w:val="000000" w:themeColor="text1"/>
          <w:sz w:val="20"/>
          <w:szCs w:val="20"/>
        </w:rPr>
        <w:t xml:space="preserve">). Long juvenile phases limit conventional breeding. CRISPR editing of </w:t>
      </w:r>
      <w:r w:rsidRPr="005F3664">
        <w:rPr>
          <w:rFonts w:ascii="Arial" w:hAnsi="Arial" w:cs="Arial"/>
          <w:i/>
          <w:iCs/>
          <w:color w:val="000000" w:themeColor="text1"/>
          <w:sz w:val="20"/>
          <w:szCs w:val="20"/>
        </w:rPr>
        <w:t>CsLOB1</w:t>
      </w:r>
      <w:r w:rsidRPr="005F3664">
        <w:rPr>
          <w:rFonts w:ascii="Arial" w:hAnsi="Arial" w:cs="Arial"/>
          <w:color w:val="000000" w:themeColor="text1"/>
          <w:sz w:val="20"/>
          <w:szCs w:val="20"/>
        </w:rPr>
        <w:t xml:space="preserve"> confers canker resistance (Jia et al., 2017), with HLB-targeted editing strategies emerging.</w:t>
      </w:r>
    </w:p>
    <w:p w14:paraId="14B91B27" w14:textId="698C3361" w:rsidR="00F15708" w:rsidRPr="005F3664" w:rsidRDefault="00F15708" w:rsidP="00E53B33">
      <w:pPr>
        <w:spacing w:after="120" w:line="240" w:lineRule="auto"/>
        <w:jc w:val="both"/>
        <w:rPr>
          <w:rFonts w:ascii="Arial" w:hAnsi="Arial" w:cs="Arial"/>
          <w:b/>
          <w:bCs/>
          <w:color w:val="000000" w:themeColor="text1"/>
        </w:rPr>
      </w:pPr>
      <w:r w:rsidRPr="005F3664">
        <w:rPr>
          <w:rFonts w:ascii="Arial" w:hAnsi="Arial" w:cs="Arial"/>
          <w:b/>
          <w:bCs/>
          <w:color w:val="000000" w:themeColor="text1"/>
        </w:rPr>
        <w:t>7.4 Mango (</w:t>
      </w:r>
      <w:proofErr w:type="spellStart"/>
      <w:r w:rsidRPr="005F3664">
        <w:rPr>
          <w:rFonts w:ascii="Arial" w:hAnsi="Arial" w:cs="Arial"/>
          <w:b/>
          <w:bCs/>
          <w:i/>
          <w:iCs/>
          <w:color w:val="000000" w:themeColor="text1"/>
        </w:rPr>
        <w:t>Mangifera</w:t>
      </w:r>
      <w:proofErr w:type="spellEnd"/>
      <w:r w:rsidRPr="005F3664">
        <w:rPr>
          <w:rFonts w:ascii="Arial" w:hAnsi="Arial" w:cs="Arial"/>
          <w:b/>
          <w:bCs/>
          <w:i/>
          <w:iCs/>
          <w:color w:val="000000" w:themeColor="text1"/>
        </w:rPr>
        <w:t xml:space="preserve"> </w:t>
      </w:r>
      <w:proofErr w:type="spellStart"/>
      <w:r w:rsidRPr="005F3664">
        <w:rPr>
          <w:rFonts w:ascii="Arial" w:hAnsi="Arial" w:cs="Arial"/>
          <w:b/>
          <w:bCs/>
          <w:i/>
          <w:iCs/>
          <w:color w:val="000000" w:themeColor="text1"/>
        </w:rPr>
        <w:t>indica</w:t>
      </w:r>
      <w:proofErr w:type="spellEnd"/>
      <w:r w:rsidRPr="005F3664">
        <w:rPr>
          <w:rFonts w:ascii="Arial" w:hAnsi="Arial" w:cs="Arial"/>
          <w:b/>
          <w:bCs/>
          <w:color w:val="000000" w:themeColor="text1"/>
        </w:rPr>
        <w:t>), Grapevine (</w:t>
      </w:r>
      <w:proofErr w:type="spellStart"/>
      <w:r w:rsidRPr="005F3664">
        <w:rPr>
          <w:rFonts w:ascii="Arial" w:hAnsi="Arial" w:cs="Arial"/>
          <w:b/>
          <w:bCs/>
          <w:i/>
          <w:iCs/>
          <w:color w:val="000000" w:themeColor="text1"/>
        </w:rPr>
        <w:t>Vitis</w:t>
      </w:r>
      <w:proofErr w:type="spellEnd"/>
      <w:r w:rsidRPr="005F3664">
        <w:rPr>
          <w:rFonts w:ascii="Arial" w:hAnsi="Arial" w:cs="Arial"/>
          <w:b/>
          <w:bCs/>
          <w:i/>
          <w:iCs/>
          <w:color w:val="000000" w:themeColor="text1"/>
        </w:rPr>
        <w:t xml:space="preserve"> vinifera</w:t>
      </w:r>
      <w:r w:rsidRPr="005F3664">
        <w:rPr>
          <w:rFonts w:ascii="Arial" w:hAnsi="Arial" w:cs="Arial"/>
          <w:b/>
          <w:bCs/>
          <w:color w:val="000000" w:themeColor="text1"/>
        </w:rPr>
        <w:t>), and Strawberry (</w:t>
      </w:r>
      <w:proofErr w:type="spellStart"/>
      <w:r w:rsidRPr="005F3664">
        <w:rPr>
          <w:rFonts w:ascii="Arial" w:hAnsi="Arial" w:cs="Arial"/>
          <w:b/>
          <w:bCs/>
          <w:i/>
          <w:iCs/>
          <w:color w:val="000000" w:themeColor="text1"/>
        </w:rPr>
        <w:t>Fragaria</w:t>
      </w:r>
      <w:proofErr w:type="spellEnd"/>
      <w:r w:rsidRPr="005F3664">
        <w:rPr>
          <w:rFonts w:ascii="Arial" w:hAnsi="Arial" w:cs="Arial"/>
          <w:b/>
          <w:bCs/>
          <w:i/>
          <w:iCs/>
          <w:color w:val="000000" w:themeColor="text1"/>
        </w:rPr>
        <w:t xml:space="preserve"> × </w:t>
      </w:r>
      <w:proofErr w:type="spellStart"/>
      <w:r w:rsidRPr="005F3664">
        <w:rPr>
          <w:rFonts w:ascii="Arial" w:hAnsi="Arial" w:cs="Arial"/>
          <w:b/>
          <w:bCs/>
          <w:i/>
          <w:iCs/>
          <w:color w:val="000000" w:themeColor="text1"/>
        </w:rPr>
        <w:t>ananassa</w:t>
      </w:r>
      <w:proofErr w:type="spellEnd"/>
      <w:r w:rsidRPr="005F3664">
        <w:rPr>
          <w:rFonts w:ascii="Arial" w:hAnsi="Arial" w:cs="Arial"/>
          <w:b/>
          <w:bCs/>
          <w:color w:val="000000" w:themeColor="text1"/>
        </w:rPr>
        <w:t>)</w:t>
      </w:r>
    </w:p>
    <w:p w14:paraId="42741DB8" w14:textId="272C49BD"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Mango (</w:t>
      </w:r>
      <w:proofErr w:type="spellStart"/>
      <w:r w:rsidRPr="005F3664">
        <w:rPr>
          <w:rFonts w:ascii="Arial" w:hAnsi="Arial" w:cs="Arial"/>
          <w:i/>
          <w:iCs/>
          <w:color w:val="000000" w:themeColor="text1"/>
          <w:sz w:val="20"/>
          <w:szCs w:val="20"/>
        </w:rPr>
        <w:t>Mangifera</w:t>
      </w:r>
      <w:proofErr w:type="spellEnd"/>
      <w:r w:rsidRPr="005F3664">
        <w:rPr>
          <w:rFonts w:ascii="Arial" w:hAnsi="Arial" w:cs="Arial"/>
          <w:i/>
          <w:iCs/>
          <w:color w:val="000000" w:themeColor="text1"/>
          <w:sz w:val="20"/>
          <w:szCs w:val="20"/>
        </w:rPr>
        <w:t xml:space="preserve"> </w:t>
      </w:r>
      <w:proofErr w:type="spellStart"/>
      <w:r w:rsidRPr="005F3664">
        <w:rPr>
          <w:rFonts w:ascii="Arial" w:hAnsi="Arial" w:cs="Arial"/>
          <w:i/>
          <w:iCs/>
          <w:color w:val="000000" w:themeColor="text1"/>
          <w:sz w:val="20"/>
          <w:szCs w:val="20"/>
        </w:rPr>
        <w:t>indica</w:t>
      </w:r>
      <w:proofErr w:type="spellEnd"/>
      <w:r w:rsidRPr="005F3664">
        <w:rPr>
          <w:rFonts w:ascii="Arial" w:hAnsi="Arial" w:cs="Arial"/>
          <w:color w:val="000000" w:themeColor="text1"/>
          <w:sz w:val="20"/>
          <w:szCs w:val="20"/>
        </w:rPr>
        <w:t>) breeding is limited by a 5</w:t>
      </w:r>
      <w:r w:rsidR="00195BC2">
        <w:rPr>
          <w:rFonts w:ascii="Arial" w:hAnsi="Arial" w:cs="Arial"/>
          <w:color w:val="000000" w:themeColor="text1"/>
          <w:sz w:val="20"/>
          <w:szCs w:val="20"/>
        </w:rPr>
        <w:t>-</w:t>
      </w:r>
      <w:r w:rsidRPr="005F3664">
        <w:rPr>
          <w:rFonts w:ascii="Arial" w:hAnsi="Arial" w:cs="Arial"/>
          <w:color w:val="000000" w:themeColor="text1"/>
          <w:sz w:val="20"/>
          <w:szCs w:val="20"/>
        </w:rPr>
        <w:t>8-year juvenile phase and high heterozygosity. Recent advances include genome assemblies (Alphonso, Tommy Atkins), SSR/SNP marker panels, and QTL mapping for yield and disease traits (Singh et al., 2021). Genome editing remains technically constrained.</w:t>
      </w:r>
    </w:p>
    <w:p w14:paraId="7BA4E8B8" w14:textId="7B0329D3" w:rsidR="00F15708"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In grapevine (</w:t>
      </w:r>
      <w:proofErr w:type="spellStart"/>
      <w:r w:rsidRPr="005F3664">
        <w:rPr>
          <w:rFonts w:ascii="Arial" w:hAnsi="Arial" w:cs="Arial"/>
          <w:i/>
          <w:iCs/>
          <w:color w:val="000000" w:themeColor="text1"/>
          <w:sz w:val="20"/>
          <w:szCs w:val="20"/>
        </w:rPr>
        <w:t>Vitis</w:t>
      </w:r>
      <w:proofErr w:type="spellEnd"/>
      <w:r w:rsidRPr="005F3664">
        <w:rPr>
          <w:rFonts w:ascii="Arial" w:hAnsi="Arial" w:cs="Arial"/>
          <w:i/>
          <w:iCs/>
          <w:color w:val="000000" w:themeColor="text1"/>
          <w:sz w:val="20"/>
          <w:szCs w:val="20"/>
        </w:rPr>
        <w:t xml:space="preserve"> </w:t>
      </w:r>
      <w:proofErr w:type="spellStart"/>
      <w:r w:rsidRPr="005F3664">
        <w:rPr>
          <w:rFonts w:ascii="Arial" w:hAnsi="Arial" w:cs="Arial"/>
          <w:i/>
          <w:iCs/>
          <w:color w:val="000000" w:themeColor="text1"/>
          <w:sz w:val="20"/>
          <w:szCs w:val="20"/>
        </w:rPr>
        <w:t>vinifera</w:t>
      </w:r>
      <w:proofErr w:type="spellEnd"/>
      <w:r w:rsidRPr="005F3664">
        <w:rPr>
          <w:rFonts w:ascii="Arial" w:hAnsi="Arial" w:cs="Arial"/>
          <w:color w:val="000000" w:themeColor="text1"/>
          <w:sz w:val="20"/>
          <w:szCs w:val="20"/>
        </w:rPr>
        <w:t xml:space="preserve">), MAS targeting </w:t>
      </w:r>
      <w:r w:rsidRPr="005F3664">
        <w:rPr>
          <w:rFonts w:ascii="Arial" w:hAnsi="Arial" w:cs="Arial"/>
          <w:i/>
          <w:iCs/>
          <w:color w:val="000000" w:themeColor="text1"/>
          <w:sz w:val="20"/>
          <w:szCs w:val="20"/>
        </w:rPr>
        <w:t>Rpv1</w:t>
      </w:r>
      <w:r w:rsidR="00195BC2">
        <w:rPr>
          <w:rFonts w:ascii="Arial" w:hAnsi="Arial" w:cs="Arial"/>
          <w:i/>
          <w:iCs/>
          <w:color w:val="000000" w:themeColor="text1"/>
          <w:sz w:val="20"/>
          <w:szCs w:val="20"/>
        </w:rPr>
        <w:t>-</w:t>
      </w:r>
      <w:r w:rsidRPr="005F3664">
        <w:rPr>
          <w:rFonts w:ascii="Arial" w:hAnsi="Arial" w:cs="Arial"/>
          <w:i/>
          <w:iCs/>
          <w:color w:val="000000" w:themeColor="text1"/>
          <w:sz w:val="20"/>
          <w:szCs w:val="20"/>
        </w:rPr>
        <w:t>Rpv29</w:t>
      </w:r>
      <w:r w:rsidRPr="005F3664">
        <w:rPr>
          <w:rFonts w:ascii="Arial" w:hAnsi="Arial" w:cs="Arial"/>
          <w:color w:val="000000" w:themeColor="text1"/>
          <w:sz w:val="20"/>
          <w:szCs w:val="20"/>
        </w:rPr>
        <w:t xml:space="preserve"> QTLs supports mildew resistance breeding. DNA-free CRISPR RNP editing of </w:t>
      </w:r>
      <w:r w:rsidRPr="005F3664">
        <w:rPr>
          <w:rFonts w:ascii="Arial" w:hAnsi="Arial" w:cs="Arial"/>
          <w:i/>
          <w:iCs/>
          <w:color w:val="000000" w:themeColor="text1"/>
          <w:sz w:val="20"/>
          <w:szCs w:val="20"/>
        </w:rPr>
        <w:t>VvMLO-7</w:t>
      </w:r>
      <w:r w:rsidRPr="005F3664">
        <w:rPr>
          <w:rFonts w:ascii="Arial" w:hAnsi="Arial" w:cs="Arial"/>
          <w:color w:val="000000" w:themeColor="text1"/>
          <w:sz w:val="20"/>
          <w:szCs w:val="20"/>
        </w:rPr>
        <w:t xml:space="preserve"> and </w:t>
      </w:r>
      <w:r w:rsidRPr="005F3664">
        <w:rPr>
          <w:rFonts w:ascii="Arial" w:hAnsi="Arial" w:cs="Arial"/>
          <w:i/>
          <w:iCs/>
          <w:color w:val="000000" w:themeColor="text1"/>
          <w:sz w:val="20"/>
          <w:szCs w:val="20"/>
        </w:rPr>
        <w:t>VvWRKY52</w:t>
      </w:r>
      <w:r w:rsidRPr="005F3664">
        <w:rPr>
          <w:rFonts w:ascii="Arial" w:hAnsi="Arial" w:cs="Arial"/>
          <w:color w:val="000000" w:themeColor="text1"/>
          <w:sz w:val="20"/>
          <w:szCs w:val="20"/>
        </w:rPr>
        <w:t xml:space="preserve"> generated transgene-free edited plants with strong regulatory implications (</w:t>
      </w:r>
      <w:proofErr w:type="spellStart"/>
      <w:r w:rsidRPr="005F3664">
        <w:rPr>
          <w:rFonts w:ascii="Arial" w:hAnsi="Arial" w:cs="Arial"/>
          <w:color w:val="000000" w:themeColor="text1"/>
          <w:sz w:val="20"/>
          <w:szCs w:val="20"/>
        </w:rPr>
        <w:t>Malnoy</w:t>
      </w:r>
      <w:proofErr w:type="spellEnd"/>
      <w:r w:rsidRPr="005F3664">
        <w:rPr>
          <w:rFonts w:ascii="Arial" w:hAnsi="Arial" w:cs="Arial"/>
          <w:color w:val="000000" w:themeColor="text1"/>
          <w:sz w:val="20"/>
          <w:szCs w:val="20"/>
        </w:rPr>
        <w:t xml:space="preserve"> et al., 2016).</w:t>
      </w:r>
    </w:p>
    <w:p w14:paraId="74F529A7" w14:textId="17F6C401" w:rsidR="00EE50DD" w:rsidRPr="005F3664" w:rsidRDefault="00F15708" w:rsidP="00E53B33">
      <w:pPr>
        <w:spacing w:after="120" w:line="240" w:lineRule="auto"/>
        <w:jc w:val="both"/>
        <w:rPr>
          <w:rFonts w:ascii="Arial" w:hAnsi="Arial" w:cs="Arial"/>
          <w:color w:val="000000" w:themeColor="text1"/>
          <w:sz w:val="20"/>
          <w:szCs w:val="20"/>
        </w:rPr>
      </w:pPr>
      <w:r w:rsidRPr="005F3664">
        <w:rPr>
          <w:rFonts w:ascii="Arial" w:hAnsi="Arial" w:cs="Arial"/>
          <w:color w:val="000000" w:themeColor="text1"/>
          <w:sz w:val="20"/>
          <w:szCs w:val="20"/>
        </w:rPr>
        <w:t>In octoploid strawberry (</w:t>
      </w:r>
      <w:proofErr w:type="spellStart"/>
      <w:r w:rsidRPr="005F3664">
        <w:rPr>
          <w:rFonts w:ascii="Arial" w:hAnsi="Arial" w:cs="Arial"/>
          <w:i/>
          <w:iCs/>
          <w:color w:val="000000" w:themeColor="text1"/>
          <w:sz w:val="20"/>
          <w:szCs w:val="20"/>
        </w:rPr>
        <w:t>Fragaria</w:t>
      </w:r>
      <w:proofErr w:type="spellEnd"/>
      <w:r w:rsidRPr="005F3664">
        <w:rPr>
          <w:rFonts w:ascii="Arial" w:hAnsi="Arial" w:cs="Arial"/>
          <w:i/>
          <w:iCs/>
          <w:color w:val="000000" w:themeColor="text1"/>
          <w:sz w:val="20"/>
          <w:szCs w:val="20"/>
        </w:rPr>
        <w:t xml:space="preserve"> × </w:t>
      </w:r>
      <w:proofErr w:type="spellStart"/>
      <w:r w:rsidRPr="005F3664">
        <w:rPr>
          <w:rFonts w:ascii="Arial" w:hAnsi="Arial" w:cs="Arial"/>
          <w:i/>
          <w:iCs/>
          <w:color w:val="000000" w:themeColor="text1"/>
          <w:sz w:val="20"/>
          <w:szCs w:val="20"/>
        </w:rPr>
        <w:t>ananassa</w:t>
      </w:r>
      <w:proofErr w:type="spellEnd"/>
      <w:r w:rsidRPr="005F3664">
        <w:rPr>
          <w:rFonts w:ascii="Arial" w:hAnsi="Arial" w:cs="Arial"/>
          <w:color w:val="000000" w:themeColor="text1"/>
          <w:sz w:val="20"/>
          <w:szCs w:val="20"/>
        </w:rPr>
        <w:t>), genomic selection achieves prediction accuracies of 0.60</w:t>
      </w:r>
      <w:r w:rsidR="00195BC2">
        <w:rPr>
          <w:rFonts w:ascii="Arial" w:hAnsi="Arial" w:cs="Arial"/>
          <w:color w:val="000000" w:themeColor="text1"/>
          <w:sz w:val="20"/>
          <w:szCs w:val="20"/>
        </w:rPr>
        <w:t>-</w:t>
      </w:r>
      <w:r w:rsidRPr="005F3664">
        <w:rPr>
          <w:rFonts w:ascii="Arial" w:hAnsi="Arial" w:cs="Arial"/>
          <w:color w:val="000000" w:themeColor="text1"/>
          <w:sz w:val="20"/>
          <w:szCs w:val="20"/>
        </w:rPr>
        <w:t xml:space="preserve">0.80 for firmness, </w:t>
      </w:r>
      <w:proofErr w:type="spellStart"/>
      <w:r w:rsidRPr="005F3664">
        <w:rPr>
          <w:rFonts w:ascii="Arial" w:hAnsi="Arial" w:cs="Arial"/>
          <w:color w:val="000000" w:themeColor="text1"/>
          <w:sz w:val="20"/>
          <w:szCs w:val="20"/>
        </w:rPr>
        <w:t>color</w:t>
      </w:r>
      <w:proofErr w:type="spellEnd"/>
      <w:r w:rsidRPr="005F3664">
        <w:rPr>
          <w:rFonts w:ascii="Arial" w:hAnsi="Arial" w:cs="Arial"/>
          <w:color w:val="000000" w:themeColor="text1"/>
          <w:sz w:val="20"/>
          <w:szCs w:val="20"/>
        </w:rPr>
        <w:t>, and disease resistance, demonstrating feasibility of GS in complex polyploids (Whitaker et al., 2020).</w:t>
      </w:r>
    </w:p>
    <w:p w14:paraId="2800B622" w14:textId="1A41A4AC" w:rsidR="00B529D9" w:rsidRPr="005F3664" w:rsidRDefault="00B529D9" w:rsidP="00E53B33">
      <w:pPr>
        <w:spacing w:line="240" w:lineRule="auto"/>
        <w:jc w:val="both"/>
        <w:rPr>
          <w:rFonts w:ascii="Arial" w:hAnsi="Arial" w:cs="Arial"/>
          <w:b/>
          <w:bCs/>
        </w:rPr>
      </w:pPr>
      <w:r w:rsidRPr="005F3664">
        <w:rPr>
          <w:rFonts w:ascii="Arial" w:hAnsi="Arial" w:cs="Arial"/>
          <w:b/>
          <w:bCs/>
        </w:rPr>
        <w:t>8. Challenges and Research Gaps</w:t>
      </w:r>
    </w:p>
    <w:p w14:paraId="19F7640F" w14:textId="20B05EED" w:rsidR="00040BE1" w:rsidRPr="00040BE1" w:rsidRDefault="00040BE1" w:rsidP="00040BE1">
      <w:pPr>
        <w:spacing w:line="240" w:lineRule="auto"/>
        <w:jc w:val="both"/>
        <w:rPr>
          <w:rFonts w:ascii="Arial" w:hAnsi="Arial" w:cs="Arial"/>
          <w:sz w:val="20"/>
          <w:szCs w:val="20"/>
        </w:rPr>
      </w:pPr>
      <w:r w:rsidRPr="00040BE1">
        <w:rPr>
          <w:rFonts w:ascii="Arial" w:hAnsi="Arial" w:cs="Arial"/>
          <w:sz w:val="20"/>
          <w:szCs w:val="20"/>
        </w:rPr>
        <w:t>Despite rapid technological progress, important biological, technical, regulatory, and socioeconomic challenges remain.</w:t>
      </w:r>
    </w:p>
    <w:p w14:paraId="4D3F70E3" w14:textId="7FF6232C" w:rsidR="00040BE1" w:rsidRPr="00040BE1" w:rsidRDefault="00040BE1" w:rsidP="00040BE1">
      <w:pPr>
        <w:spacing w:line="240" w:lineRule="auto"/>
        <w:jc w:val="both"/>
        <w:rPr>
          <w:rFonts w:ascii="Arial" w:hAnsi="Arial" w:cs="Arial"/>
          <w:sz w:val="20"/>
          <w:szCs w:val="20"/>
        </w:rPr>
      </w:pPr>
      <w:r w:rsidRPr="00040BE1">
        <w:rPr>
          <w:rFonts w:ascii="Arial" w:hAnsi="Arial" w:cs="Arial"/>
          <w:sz w:val="20"/>
          <w:szCs w:val="20"/>
        </w:rPr>
        <w:t xml:space="preserve">Polyploidy and high heterozygosity complicate breeding in crops such as potato, strawberry, and banana. These factors hinder accurate QTL mapping, GWAS interpretation, allele dosage estimation, and precise genome editing due to multiple </w:t>
      </w:r>
      <w:proofErr w:type="spellStart"/>
      <w:r w:rsidRPr="00040BE1">
        <w:rPr>
          <w:rFonts w:ascii="Arial" w:hAnsi="Arial" w:cs="Arial"/>
          <w:sz w:val="20"/>
          <w:szCs w:val="20"/>
        </w:rPr>
        <w:t>homeologous</w:t>
      </w:r>
      <w:proofErr w:type="spellEnd"/>
      <w:r w:rsidRPr="00040BE1">
        <w:rPr>
          <w:rFonts w:ascii="Arial" w:hAnsi="Arial" w:cs="Arial"/>
          <w:sz w:val="20"/>
          <w:szCs w:val="20"/>
        </w:rPr>
        <w:t xml:space="preserve"> loci. Although statistical models for polyploid GWAS and genomic selection are improving, they are still less developed than diploid frameworks.</w:t>
      </w:r>
    </w:p>
    <w:p w14:paraId="7E5283D4" w14:textId="71472E88" w:rsidR="00040BE1" w:rsidRPr="00040BE1" w:rsidRDefault="00040BE1" w:rsidP="00040BE1">
      <w:pPr>
        <w:spacing w:line="240" w:lineRule="auto"/>
        <w:jc w:val="both"/>
        <w:rPr>
          <w:rFonts w:ascii="Arial" w:hAnsi="Arial" w:cs="Arial"/>
          <w:sz w:val="20"/>
          <w:szCs w:val="20"/>
        </w:rPr>
      </w:pPr>
      <w:r w:rsidRPr="00040BE1">
        <w:rPr>
          <w:rFonts w:ascii="Arial" w:hAnsi="Arial" w:cs="Arial"/>
          <w:sz w:val="20"/>
          <w:szCs w:val="20"/>
        </w:rPr>
        <w:t>Genome-editing deployment is further limited by low transformation efficiency and strong genotype dependence in elite cultivars. While innovations such as morphogenic regulators, viral vectors, nanoparticle delivery, and improved Cas variants show promise, routine validation</w:t>
      </w:r>
      <w:r w:rsidR="00365EF5">
        <w:rPr>
          <w:rFonts w:ascii="Arial" w:hAnsi="Arial" w:cs="Arial"/>
          <w:sz w:val="20"/>
          <w:szCs w:val="20"/>
        </w:rPr>
        <w:t>-</w:t>
      </w:r>
      <w:r w:rsidRPr="00040BE1">
        <w:rPr>
          <w:rFonts w:ascii="Arial" w:hAnsi="Arial" w:cs="Arial"/>
          <w:sz w:val="20"/>
          <w:szCs w:val="20"/>
        </w:rPr>
        <w:t>especially in polyploid genomes</w:t>
      </w:r>
      <w:r w:rsidR="00365EF5">
        <w:rPr>
          <w:rFonts w:ascii="Arial" w:hAnsi="Arial" w:cs="Arial"/>
          <w:sz w:val="20"/>
          <w:szCs w:val="20"/>
        </w:rPr>
        <w:t>-</w:t>
      </w:r>
      <w:r w:rsidRPr="00040BE1">
        <w:rPr>
          <w:rFonts w:ascii="Arial" w:hAnsi="Arial" w:cs="Arial"/>
          <w:sz w:val="20"/>
          <w:szCs w:val="20"/>
        </w:rPr>
        <w:t>remains essential.</w:t>
      </w:r>
    </w:p>
    <w:p w14:paraId="7769D2D4" w14:textId="2CCE2A83" w:rsidR="00040BE1" w:rsidRPr="00040BE1" w:rsidRDefault="00040BE1" w:rsidP="00040BE1">
      <w:pPr>
        <w:spacing w:line="240" w:lineRule="auto"/>
        <w:jc w:val="both"/>
        <w:rPr>
          <w:rFonts w:ascii="Arial" w:hAnsi="Arial" w:cs="Arial"/>
          <w:sz w:val="20"/>
          <w:szCs w:val="20"/>
        </w:rPr>
      </w:pPr>
      <w:r w:rsidRPr="00040BE1">
        <w:rPr>
          <w:rFonts w:ascii="Arial" w:hAnsi="Arial" w:cs="Arial"/>
          <w:sz w:val="20"/>
          <w:szCs w:val="20"/>
        </w:rPr>
        <w:t>Regulatory divergence also constrains adoption. Countries such as the United States and Japan allow certain DNA-free edits, whereas the European Union currently regulates genome-edited crops under GMO legislation, though policy revisions are under discussion. Intellectual property barriers and variable consumer acceptance further influence deployment.</w:t>
      </w:r>
    </w:p>
    <w:p w14:paraId="66529C0D" w14:textId="31C9FBD0" w:rsidR="00F81250" w:rsidRPr="005F3664" w:rsidRDefault="00040BE1" w:rsidP="00040BE1">
      <w:pPr>
        <w:spacing w:line="240" w:lineRule="auto"/>
        <w:jc w:val="both"/>
        <w:rPr>
          <w:rFonts w:ascii="Arial" w:hAnsi="Arial" w:cs="Arial"/>
          <w:b/>
          <w:bCs/>
          <w:sz w:val="24"/>
          <w:szCs w:val="24"/>
        </w:rPr>
      </w:pPr>
      <w:r w:rsidRPr="00040BE1">
        <w:rPr>
          <w:rFonts w:ascii="Arial" w:hAnsi="Arial" w:cs="Arial"/>
          <w:sz w:val="20"/>
          <w:szCs w:val="20"/>
        </w:rPr>
        <w:t xml:space="preserve">Finally, a major equity gap exists: tropical and minor crops remain underrepresented in genomic resources. Greater international investment in reference genomes, pan-genomes, and functional annotation is necessary to ensure broader access to precision breeding </w:t>
      </w:r>
      <w:proofErr w:type="spellStart"/>
      <w:r w:rsidRPr="00040BE1">
        <w:rPr>
          <w:rFonts w:ascii="Arial" w:hAnsi="Arial" w:cs="Arial"/>
          <w:sz w:val="20"/>
          <w:szCs w:val="20"/>
        </w:rPr>
        <w:t>technologie</w:t>
      </w:r>
      <w:proofErr w:type="spellEnd"/>
    </w:p>
    <w:p w14:paraId="53DAFC57" w14:textId="34E23D33" w:rsidR="009768BC" w:rsidRPr="005F3664" w:rsidRDefault="009768BC" w:rsidP="00E53B33">
      <w:pPr>
        <w:spacing w:line="240" w:lineRule="auto"/>
        <w:jc w:val="both"/>
        <w:rPr>
          <w:rFonts w:ascii="Arial" w:hAnsi="Arial" w:cs="Arial"/>
          <w:b/>
          <w:bCs/>
        </w:rPr>
      </w:pPr>
      <w:r w:rsidRPr="005F3664">
        <w:rPr>
          <w:rFonts w:ascii="Arial" w:hAnsi="Arial" w:cs="Arial"/>
          <w:b/>
          <w:bCs/>
        </w:rPr>
        <w:t>9. Future Perspectives</w:t>
      </w:r>
    </w:p>
    <w:p w14:paraId="188B9F2F" w14:textId="77777777" w:rsidR="00B529D9" w:rsidRPr="005F3664" w:rsidRDefault="00B529D9" w:rsidP="00E53B33">
      <w:pPr>
        <w:spacing w:line="240" w:lineRule="auto"/>
        <w:jc w:val="both"/>
        <w:rPr>
          <w:rFonts w:ascii="Arial" w:hAnsi="Arial" w:cs="Arial"/>
          <w:sz w:val="20"/>
          <w:szCs w:val="20"/>
        </w:rPr>
      </w:pPr>
      <w:r w:rsidRPr="005F3664">
        <w:rPr>
          <w:rFonts w:ascii="Arial" w:hAnsi="Arial" w:cs="Arial"/>
          <w:sz w:val="20"/>
          <w:szCs w:val="20"/>
        </w:rPr>
        <w:t>The coming decade will likely see convergence of artificial intelligence, pan-genomics, synthetic biology, and precision editing into a fully integrated breeding ecosystem. AI and deep learning are accelerating multi-omics integration, automated phenotyping, breeding optimisation, and sgRNA design, thereby compressing breeding cycles and increasing genetic gain. Digital twin crop models integrating genomic, physiological, environmental, and management data are emerging as in silico platforms for optimising breeding strategies prior to field validation (</w:t>
      </w:r>
      <w:proofErr w:type="spellStart"/>
      <w:r w:rsidRPr="005F3664">
        <w:rPr>
          <w:rFonts w:ascii="Arial" w:hAnsi="Arial" w:cs="Arial"/>
          <w:sz w:val="20"/>
          <w:szCs w:val="20"/>
        </w:rPr>
        <w:t>Crossa</w:t>
      </w:r>
      <w:proofErr w:type="spellEnd"/>
      <w:r w:rsidRPr="005F3664">
        <w:rPr>
          <w:rFonts w:ascii="Arial" w:hAnsi="Arial" w:cs="Arial"/>
          <w:sz w:val="20"/>
          <w:szCs w:val="20"/>
        </w:rPr>
        <w:t xml:space="preserve"> et al., 2017).</w:t>
      </w:r>
    </w:p>
    <w:p w14:paraId="3F669A6D" w14:textId="77777777" w:rsidR="00B529D9" w:rsidRPr="005F3664" w:rsidRDefault="00B529D9" w:rsidP="00E53B33">
      <w:pPr>
        <w:spacing w:line="240" w:lineRule="auto"/>
        <w:jc w:val="both"/>
        <w:rPr>
          <w:rFonts w:ascii="Arial" w:hAnsi="Arial" w:cs="Arial"/>
          <w:sz w:val="20"/>
          <w:szCs w:val="20"/>
        </w:rPr>
      </w:pPr>
      <w:r w:rsidRPr="005F3664">
        <w:rPr>
          <w:rFonts w:ascii="Arial" w:hAnsi="Arial" w:cs="Arial"/>
          <w:sz w:val="20"/>
          <w:szCs w:val="20"/>
        </w:rPr>
        <w:t xml:space="preserve">Pan-genome breeding, enabled by population-scale long-read sequencing, will systematically exploit core and accessory genomic diversity. Structural variants and previously hidden resistance or quality </w:t>
      </w:r>
      <w:r w:rsidRPr="005F3664">
        <w:rPr>
          <w:rFonts w:ascii="Arial" w:hAnsi="Arial" w:cs="Arial"/>
          <w:sz w:val="20"/>
          <w:szCs w:val="20"/>
        </w:rPr>
        <w:lastRenderedPageBreak/>
        <w:t xml:space="preserve">alleles can be </w:t>
      </w:r>
      <w:proofErr w:type="spellStart"/>
      <w:r w:rsidRPr="005F3664">
        <w:rPr>
          <w:rFonts w:ascii="Arial" w:hAnsi="Arial" w:cs="Arial"/>
          <w:sz w:val="20"/>
          <w:szCs w:val="20"/>
        </w:rPr>
        <w:t>introgressed</w:t>
      </w:r>
      <w:proofErr w:type="spellEnd"/>
      <w:r w:rsidRPr="005F3664">
        <w:rPr>
          <w:rFonts w:ascii="Arial" w:hAnsi="Arial" w:cs="Arial"/>
          <w:sz w:val="20"/>
          <w:szCs w:val="20"/>
        </w:rPr>
        <w:t xml:space="preserve"> via MABC or directly installed through allele conversion using precision editing. The combination of GWAS-derived loci and targeted editing in elite backgrounds may represent the most transformative near-term application.</w:t>
      </w:r>
    </w:p>
    <w:p w14:paraId="5E3F24F5" w14:textId="1672B563" w:rsidR="00B529D9" w:rsidRPr="005F3664" w:rsidRDefault="00B529D9" w:rsidP="00E53B33">
      <w:pPr>
        <w:spacing w:line="240" w:lineRule="auto"/>
        <w:jc w:val="both"/>
        <w:rPr>
          <w:rFonts w:ascii="Arial" w:hAnsi="Arial" w:cs="Arial"/>
          <w:sz w:val="20"/>
          <w:szCs w:val="20"/>
        </w:rPr>
      </w:pPr>
      <w:r w:rsidRPr="005F3664">
        <w:rPr>
          <w:rFonts w:ascii="Arial" w:hAnsi="Arial" w:cs="Arial"/>
          <w:sz w:val="20"/>
          <w:szCs w:val="20"/>
        </w:rPr>
        <w:t>De novo domestication using multiplex CRISPR editing of domestication genes offers the potential to develop new horticultural crops from wild species within 5</w:t>
      </w:r>
      <w:r w:rsidR="00195BC2">
        <w:rPr>
          <w:rFonts w:ascii="Arial" w:hAnsi="Arial" w:cs="Arial"/>
          <w:sz w:val="20"/>
          <w:szCs w:val="20"/>
        </w:rPr>
        <w:t>-</w:t>
      </w:r>
      <w:r w:rsidRPr="005F3664">
        <w:rPr>
          <w:rFonts w:ascii="Arial" w:hAnsi="Arial" w:cs="Arial"/>
          <w:sz w:val="20"/>
          <w:szCs w:val="20"/>
        </w:rPr>
        <w:t>10 years (</w:t>
      </w:r>
      <w:proofErr w:type="spellStart"/>
      <w:r w:rsidRPr="005F3664">
        <w:rPr>
          <w:rFonts w:ascii="Arial" w:hAnsi="Arial" w:cs="Arial"/>
          <w:sz w:val="20"/>
          <w:szCs w:val="20"/>
        </w:rPr>
        <w:t>Fernie</w:t>
      </w:r>
      <w:proofErr w:type="spellEnd"/>
      <w:r w:rsidRPr="005F3664">
        <w:rPr>
          <w:rFonts w:ascii="Arial" w:hAnsi="Arial" w:cs="Arial"/>
          <w:sz w:val="20"/>
          <w:szCs w:val="20"/>
        </w:rPr>
        <w:t xml:space="preserve"> and Yan, 2019; </w:t>
      </w:r>
      <w:proofErr w:type="spellStart"/>
      <w:r w:rsidRPr="005F3664">
        <w:rPr>
          <w:rFonts w:ascii="Arial" w:hAnsi="Arial" w:cs="Arial"/>
          <w:sz w:val="20"/>
          <w:szCs w:val="20"/>
        </w:rPr>
        <w:t>Zsogon</w:t>
      </w:r>
      <w:proofErr w:type="spellEnd"/>
      <w:r w:rsidRPr="005F3664">
        <w:rPr>
          <w:rFonts w:ascii="Arial" w:hAnsi="Arial" w:cs="Arial"/>
          <w:sz w:val="20"/>
          <w:szCs w:val="20"/>
        </w:rPr>
        <w:t xml:space="preserve"> et al., 2018). Climate-resilient breeding</w:t>
      </w:r>
      <w:r w:rsidR="005856F9" w:rsidRPr="005F3664">
        <w:rPr>
          <w:rFonts w:ascii="Arial" w:hAnsi="Arial" w:cs="Arial"/>
          <w:sz w:val="20"/>
          <w:szCs w:val="20"/>
        </w:rPr>
        <w:t>-</w:t>
      </w:r>
      <w:r w:rsidRPr="005F3664">
        <w:rPr>
          <w:rFonts w:ascii="Arial" w:hAnsi="Arial" w:cs="Arial"/>
          <w:sz w:val="20"/>
          <w:szCs w:val="20"/>
        </w:rPr>
        <w:t>combining multiplex editing of stress-response regulators with genomic selection for polygenic tolerance</w:t>
      </w:r>
      <w:r w:rsidR="005856F9" w:rsidRPr="005F3664">
        <w:rPr>
          <w:rFonts w:ascii="Arial" w:hAnsi="Arial" w:cs="Arial"/>
          <w:sz w:val="20"/>
          <w:szCs w:val="20"/>
        </w:rPr>
        <w:t>-</w:t>
      </w:r>
      <w:r w:rsidRPr="005F3664">
        <w:rPr>
          <w:rFonts w:ascii="Arial" w:hAnsi="Arial" w:cs="Arial"/>
          <w:sz w:val="20"/>
          <w:szCs w:val="20"/>
        </w:rPr>
        <w:t>will be a central priority under accelerating climate change. Expansion of urban and protected agriculture will further drive demand for precision-engineered varieties optimised for compact growth, LED efficiency, and rapid production cycles.</w:t>
      </w:r>
    </w:p>
    <w:p w14:paraId="06BE9A07" w14:textId="77777777" w:rsidR="009768BC" w:rsidRPr="005F3664" w:rsidRDefault="009768BC" w:rsidP="00E53B33">
      <w:pPr>
        <w:spacing w:line="240" w:lineRule="auto"/>
        <w:jc w:val="both"/>
        <w:rPr>
          <w:rFonts w:ascii="Arial" w:hAnsi="Arial" w:cs="Arial"/>
          <w:b/>
          <w:bCs/>
          <w:sz w:val="24"/>
          <w:szCs w:val="24"/>
        </w:rPr>
      </w:pPr>
      <w:r w:rsidRPr="005F3664">
        <w:rPr>
          <w:rFonts w:ascii="Arial" w:hAnsi="Arial" w:cs="Arial"/>
          <w:b/>
          <w:bCs/>
        </w:rPr>
        <w:t>10. Conclusion</w:t>
      </w:r>
    </w:p>
    <w:p w14:paraId="00C54300" w14:textId="77777777" w:rsidR="00B529D9" w:rsidRPr="005F3664" w:rsidRDefault="00B529D9" w:rsidP="00E53B33">
      <w:pPr>
        <w:tabs>
          <w:tab w:val="left" w:pos="3737"/>
        </w:tabs>
        <w:spacing w:line="240" w:lineRule="auto"/>
        <w:jc w:val="both"/>
        <w:rPr>
          <w:rFonts w:ascii="Arial" w:hAnsi="Arial" w:cs="Arial"/>
          <w:sz w:val="20"/>
          <w:szCs w:val="20"/>
        </w:rPr>
      </w:pPr>
      <w:r w:rsidRPr="005F3664">
        <w:rPr>
          <w:rFonts w:ascii="Arial" w:hAnsi="Arial" w:cs="Arial"/>
          <w:sz w:val="20"/>
          <w:szCs w:val="20"/>
        </w:rPr>
        <w:t>Horticultural breeding has shifted from phenotypic selection to genome-informed precision improvement through MAS, genomic selection, multi-omics, and CRISPR editing. These tools complement conventional breeding, enabling faster, more accurate development of superior varieties.</w:t>
      </w:r>
    </w:p>
    <w:p w14:paraId="55DE06AA" w14:textId="6D7DBC6D" w:rsidR="00B529D9" w:rsidRDefault="00B529D9" w:rsidP="00E53B33">
      <w:pPr>
        <w:tabs>
          <w:tab w:val="left" w:pos="3737"/>
        </w:tabs>
        <w:spacing w:line="240" w:lineRule="auto"/>
        <w:jc w:val="both"/>
        <w:rPr>
          <w:rFonts w:ascii="Arial" w:hAnsi="Arial" w:cs="Arial"/>
          <w:sz w:val="20"/>
          <w:szCs w:val="20"/>
        </w:rPr>
      </w:pPr>
      <w:r w:rsidRPr="005F3664">
        <w:rPr>
          <w:rFonts w:ascii="Arial" w:hAnsi="Arial" w:cs="Arial"/>
          <w:sz w:val="20"/>
          <w:szCs w:val="20"/>
        </w:rPr>
        <w:t>Realising their full potential requires stronger genomic infrastructure, regulatory clarity, improved transformation systems, and public trust. Integrated breeding approaches will be central to producing resilient, nutritious, and high-performing horticultural crops for future food security.</w:t>
      </w:r>
    </w:p>
    <w:p w14:paraId="0BB296B7" w14:textId="5D4C9A5C" w:rsidR="00E96333" w:rsidRDefault="00E96333" w:rsidP="00E53B33">
      <w:pPr>
        <w:tabs>
          <w:tab w:val="left" w:pos="3737"/>
        </w:tabs>
        <w:spacing w:line="240" w:lineRule="auto"/>
        <w:jc w:val="both"/>
        <w:rPr>
          <w:rFonts w:ascii="Arial" w:hAnsi="Arial" w:cs="Arial"/>
          <w:sz w:val="20"/>
          <w:szCs w:val="20"/>
        </w:rPr>
      </w:pPr>
    </w:p>
    <w:p w14:paraId="3DA80060" w14:textId="77777777" w:rsidR="00E96333" w:rsidRPr="00CA3906" w:rsidRDefault="00E96333" w:rsidP="00E96333">
      <w:pPr>
        <w:rPr>
          <w:b/>
          <w:highlight w:val="yellow"/>
        </w:rPr>
      </w:pPr>
      <w:r w:rsidRPr="00CA3906">
        <w:rPr>
          <w:b/>
          <w:highlight w:val="yellow"/>
        </w:rPr>
        <w:t>Disclaimer (Artificial intelligence)</w:t>
      </w:r>
    </w:p>
    <w:p w14:paraId="7123433B" w14:textId="77777777" w:rsidR="00E96333" w:rsidRPr="00740879" w:rsidRDefault="00E96333" w:rsidP="00E96333">
      <w:pPr>
        <w:rPr>
          <w:highlight w:val="yellow"/>
        </w:rPr>
      </w:pPr>
      <w:r w:rsidRPr="00740879">
        <w:rPr>
          <w:highlight w:val="yellow"/>
        </w:rPr>
        <w:t>Author(s) hereby declare that NO generative AI technologies such as Large Language Models (</w:t>
      </w:r>
      <w:proofErr w:type="spellStart"/>
      <w:r w:rsidRPr="00740879">
        <w:rPr>
          <w:highlight w:val="yellow"/>
        </w:rPr>
        <w:t>ChatGPT</w:t>
      </w:r>
      <w:proofErr w:type="spellEnd"/>
      <w:r w:rsidRPr="00740879">
        <w:rPr>
          <w:highlight w:val="yellow"/>
        </w:rPr>
        <w:t xml:space="preserve">, COPILOT, etc.) and text-to-image generators have been used during the writing or editing of this manuscript. </w:t>
      </w:r>
    </w:p>
    <w:p w14:paraId="5ECA97E2" w14:textId="77777777" w:rsidR="00E96333" w:rsidRPr="005F3664" w:rsidRDefault="00E96333" w:rsidP="00E53B33">
      <w:pPr>
        <w:tabs>
          <w:tab w:val="left" w:pos="3737"/>
        </w:tabs>
        <w:spacing w:line="240" w:lineRule="auto"/>
        <w:jc w:val="both"/>
        <w:rPr>
          <w:rFonts w:ascii="Arial" w:hAnsi="Arial" w:cs="Arial"/>
          <w:sz w:val="20"/>
          <w:szCs w:val="20"/>
        </w:rPr>
      </w:pPr>
    </w:p>
    <w:p w14:paraId="3F6A2315" w14:textId="27C3542B" w:rsidR="005932AA" w:rsidRPr="005F3664" w:rsidRDefault="005932AA" w:rsidP="00E53B33">
      <w:pPr>
        <w:tabs>
          <w:tab w:val="left" w:pos="3737"/>
        </w:tabs>
        <w:spacing w:line="240" w:lineRule="auto"/>
        <w:jc w:val="both"/>
        <w:rPr>
          <w:rFonts w:ascii="Arial" w:hAnsi="Arial" w:cs="Arial"/>
          <w:b/>
          <w:bCs/>
        </w:rPr>
      </w:pPr>
      <w:r w:rsidRPr="005F3664">
        <w:rPr>
          <w:rFonts w:ascii="Arial" w:hAnsi="Arial" w:cs="Arial"/>
          <w:b/>
          <w:bCs/>
        </w:rPr>
        <w:t>References</w:t>
      </w:r>
    </w:p>
    <w:p w14:paraId="4D4B5A81" w14:textId="28574D2B"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Andersson, M., </w:t>
      </w:r>
      <w:proofErr w:type="spellStart"/>
      <w:r w:rsidRPr="00B25D7F">
        <w:rPr>
          <w:rFonts w:ascii="Arial" w:hAnsi="Arial" w:cs="Arial"/>
          <w:sz w:val="20"/>
          <w:szCs w:val="20"/>
        </w:rPr>
        <w:t>Turesson</w:t>
      </w:r>
      <w:proofErr w:type="spellEnd"/>
      <w:r w:rsidRPr="00B25D7F">
        <w:rPr>
          <w:rFonts w:ascii="Arial" w:hAnsi="Arial" w:cs="Arial"/>
          <w:sz w:val="20"/>
          <w:szCs w:val="20"/>
        </w:rPr>
        <w:t xml:space="preserve">, H., </w:t>
      </w:r>
      <w:proofErr w:type="spellStart"/>
      <w:r w:rsidRPr="00B25D7F">
        <w:rPr>
          <w:rFonts w:ascii="Arial" w:hAnsi="Arial" w:cs="Arial"/>
          <w:sz w:val="20"/>
          <w:szCs w:val="20"/>
        </w:rPr>
        <w:t>Nicolia</w:t>
      </w:r>
      <w:proofErr w:type="spellEnd"/>
      <w:r w:rsidRPr="00B25D7F">
        <w:rPr>
          <w:rFonts w:ascii="Arial" w:hAnsi="Arial" w:cs="Arial"/>
          <w:sz w:val="20"/>
          <w:szCs w:val="20"/>
        </w:rPr>
        <w:t xml:space="preserve">, A., </w:t>
      </w:r>
      <w:proofErr w:type="spellStart"/>
      <w:r w:rsidRPr="00B25D7F">
        <w:rPr>
          <w:rFonts w:ascii="Arial" w:hAnsi="Arial" w:cs="Arial"/>
          <w:sz w:val="20"/>
          <w:szCs w:val="20"/>
        </w:rPr>
        <w:t>Falt</w:t>
      </w:r>
      <w:proofErr w:type="spellEnd"/>
      <w:r w:rsidRPr="00B25D7F">
        <w:rPr>
          <w:rFonts w:ascii="Arial" w:hAnsi="Arial" w:cs="Arial"/>
          <w:sz w:val="20"/>
          <w:szCs w:val="20"/>
        </w:rPr>
        <w:t xml:space="preserve">, A. S., Samuelsson, M., &amp; </w:t>
      </w:r>
      <w:proofErr w:type="spellStart"/>
      <w:r w:rsidRPr="00B25D7F">
        <w:rPr>
          <w:rFonts w:ascii="Arial" w:hAnsi="Arial" w:cs="Arial"/>
          <w:sz w:val="20"/>
          <w:szCs w:val="20"/>
        </w:rPr>
        <w:t>Hofvander</w:t>
      </w:r>
      <w:proofErr w:type="spellEnd"/>
      <w:r w:rsidRPr="00B25D7F">
        <w:rPr>
          <w:rFonts w:ascii="Arial" w:hAnsi="Arial" w:cs="Arial"/>
          <w:sz w:val="20"/>
          <w:szCs w:val="20"/>
        </w:rPr>
        <w:t>, P. (2017). Efficient targeted multiallelic mutagenesis in tetraploid potato (</w:t>
      </w:r>
      <w:r w:rsidRPr="00B25D7F">
        <w:rPr>
          <w:rFonts w:ascii="Arial" w:hAnsi="Arial" w:cs="Arial"/>
          <w:i/>
          <w:iCs/>
          <w:sz w:val="20"/>
          <w:szCs w:val="20"/>
        </w:rPr>
        <w:t>Solanum tuberosum</w:t>
      </w:r>
      <w:r w:rsidRPr="00B25D7F">
        <w:rPr>
          <w:rFonts w:ascii="Arial" w:hAnsi="Arial" w:cs="Arial"/>
          <w:sz w:val="20"/>
          <w:szCs w:val="20"/>
        </w:rPr>
        <w:t xml:space="preserve">) by transient CRISPR-Cas9 expression in protoplasts. </w:t>
      </w:r>
      <w:r w:rsidRPr="00B25D7F">
        <w:rPr>
          <w:rFonts w:ascii="Arial" w:hAnsi="Arial" w:cs="Arial"/>
          <w:i/>
          <w:iCs/>
          <w:sz w:val="20"/>
          <w:szCs w:val="20"/>
        </w:rPr>
        <w:t>Plant Cell Reports, 36</w:t>
      </w:r>
      <w:r w:rsidRPr="00B25D7F">
        <w:rPr>
          <w:rFonts w:ascii="Arial" w:hAnsi="Arial" w:cs="Arial"/>
          <w:sz w:val="20"/>
          <w:szCs w:val="20"/>
        </w:rPr>
        <w:t>(1), 117</w:t>
      </w:r>
      <w:r w:rsidR="00195BC2">
        <w:rPr>
          <w:rFonts w:ascii="Arial" w:hAnsi="Arial" w:cs="Arial"/>
          <w:sz w:val="20"/>
          <w:szCs w:val="20"/>
        </w:rPr>
        <w:t>-</w:t>
      </w:r>
      <w:r w:rsidRPr="00B25D7F">
        <w:rPr>
          <w:rFonts w:ascii="Arial" w:hAnsi="Arial" w:cs="Arial"/>
          <w:sz w:val="20"/>
          <w:szCs w:val="20"/>
        </w:rPr>
        <w:t xml:space="preserve">128. </w:t>
      </w:r>
      <w:hyperlink r:id="rId8" w:tgtFrame="_new" w:history="1">
        <w:r w:rsidRPr="00B25D7F">
          <w:rPr>
            <w:rStyle w:val="Hyperlink"/>
            <w:rFonts w:ascii="Arial" w:hAnsi="Arial" w:cs="Arial"/>
            <w:sz w:val="20"/>
            <w:szCs w:val="20"/>
          </w:rPr>
          <w:t>https://doi.org/10.1007/s00299-016-2062-3</w:t>
        </w:r>
      </w:hyperlink>
    </w:p>
    <w:p w14:paraId="5EDBDC5B" w14:textId="022D040A"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Anzalone, A. V., Randolph, P. B., Davis, J. R., Sousa, A. A., </w:t>
      </w:r>
      <w:proofErr w:type="spellStart"/>
      <w:r w:rsidRPr="00B25D7F">
        <w:rPr>
          <w:rFonts w:ascii="Arial" w:hAnsi="Arial" w:cs="Arial"/>
          <w:sz w:val="20"/>
          <w:szCs w:val="20"/>
        </w:rPr>
        <w:t>Koblan</w:t>
      </w:r>
      <w:proofErr w:type="spellEnd"/>
      <w:r w:rsidRPr="00B25D7F">
        <w:rPr>
          <w:rFonts w:ascii="Arial" w:hAnsi="Arial" w:cs="Arial"/>
          <w:sz w:val="20"/>
          <w:szCs w:val="20"/>
        </w:rPr>
        <w:t xml:space="preserve">, L. W., Levy, J. M., Chen, P. J., Wilson, C., Newby, G. A., </w:t>
      </w:r>
      <w:proofErr w:type="spellStart"/>
      <w:r w:rsidRPr="00B25D7F">
        <w:rPr>
          <w:rFonts w:ascii="Arial" w:hAnsi="Arial" w:cs="Arial"/>
          <w:sz w:val="20"/>
          <w:szCs w:val="20"/>
        </w:rPr>
        <w:t>Raguram</w:t>
      </w:r>
      <w:proofErr w:type="spellEnd"/>
      <w:r w:rsidRPr="00B25D7F">
        <w:rPr>
          <w:rFonts w:ascii="Arial" w:hAnsi="Arial" w:cs="Arial"/>
          <w:sz w:val="20"/>
          <w:szCs w:val="20"/>
        </w:rPr>
        <w:t xml:space="preserve">, A., &amp; Liu, D. R. (2019). Search-and-replace genome editing without double-strand breaks or donor DNA. </w:t>
      </w:r>
      <w:r w:rsidRPr="00B25D7F">
        <w:rPr>
          <w:rFonts w:ascii="Arial" w:hAnsi="Arial" w:cs="Arial"/>
          <w:i/>
          <w:iCs/>
          <w:sz w:val="20"/>
          <w:szCs w:val="20"/>
        </w:rPr>
        <w:t>Nature, 576</w:t>
      </w:r>
      <w:r w:rsidRPr="00B25D7F">
        <w:rPr>
          <w:rFonts w:ascii="Arial" w:hAnsi="Arial" w:cs="Arial"/>
          <w:sz w:val="20"/>
          <w:szCs w:val="20"/>
        </w:rPr>
        <w:t>(7785), 149</w:t>
      </w:r>
      <w:r w:rsidR="00195BC2">
        <w:rPr>
          <w:rFonts w:ascii="Arial" w:hAnsi="Arial" w:cs="Arial"/>
          <w:sz w:val="20"/>
          <w:szCs w:val="20"/>
        </w:rPr>
        <w:t>-</w:t>
      </w:r>
      <w:r w:rsidRPr="00B25D7F">
        <w:rPr>
          <w:rFonts w:ascii="Arial" w:hAnsi="Arial" w:cs="Arial"/>
          <w:sz w:val="20"/>
          <w:szCs w:val="20"/>
        </w:rPr>
        <w:t xml:space="preserve">157. </w:t>
      </w:r>
      <w:hyperlink r:id="rId9" w:tgtFrame="_new" w:history="1">
        <w:r w:rsidRPr="00B25D7F">
          <w:rPr>
            <w:rStyle w:val="Hyperlink"/>
            <w:rFonts w:ascii="Arial" w:hAnsi="Arial" w:cs="Arial"/>
            <w:sz w:val="20"/>
            <w:szCs w:val="20"/>
          </w:rPr>
          <w:t>https://doi.org/10.1038/s41586-019-1711-4</w:t>
        </w:r>
      </w:hyperlink>
    </w:p>
    <w:p w14:paraId="33A17290" w14:textId="752F3057" w:rsidR="00B25D7F" w:rsidRPr="00B25D7F" w:rsidRDefault="00B25D7F" w:rsidP="00B25D7F">
      <w:pPr>
        <w:tabs>
          <w:tab w:val="left" w:pos="3737"/>
        </w:tabs>
        <w:spacing w:line="240" w:lineRule="auto"/>
        <w:ind w:left="482" w:hanging="482"/>
        <w:jc w:val="both"/>
        <w:rPr>
          <w:rFonts w:ascii="Arial" w:hAnsi="Arial" w:cs="Arial"/>
          <w:sz w:val="20"/>
          <w:szCs w:val="20"/>
        </w:rPr>
      </w:pPr>
      <w:r w:rsidRPr="004C0DDD">
        <w:rPr>
          <w:rFonts w:ascii="Arial" w:hAnsi="Arial" w:cs="Arial"/>
          <w:sz w:val="20"/>
          <w:szCs w:val="20"/>
          <w:lang w:val="da-DK"/>
        </w:rPr>
        <w:t xml:space="preserve">Anzalone, A. V., Koblan, L. W., &amp; Liu, D. R. (2020). </w:t>
      </w:r>
      <w:r w:rsidRPr="00B25D7F">
        <w:rPr>
          <w:rFonts w:ascii="Arial" w:hAnsi="Arial" w:cs="Arial"/>
          <w:sz w:val="20"/>
          <w:szCs w:val="20"/>
        </w:rPr>
        <w:t>Genome editing with CRISPR</w:t>
      </w:r>
      <w:r w:rsidR="00195BC2">
        <w:rPr>
          <w:rFonts w:ascii="Arial" w:hAnsi="Arial" w:cs="Arial"/>
          <w:sz w:val="20"/>
          <w:szCs w:val="20"/>
        </w:rPr>
        <w:t>-</w:t>
      </w:r>
      <w:r w:rsidRPr="00B25D7F">
        <w:rPr>
          <w:rFonts w:ascii="Arial" w:hAnsi="Arial" w:cs="Arial"/>
          <w:sz w:val="20"/>
          <w:szCs w:val="20"/>
        </w:rPr>
        <w:t xml:space="preserve">Cas nucleases, base editors, transposases and prime editors. </w:t>
      </w:r>
      <w:r w:rsidRPr="00B25D7F">
        <w:rPr>
          <w:rFonts w:ascii="Arial" w:hAnsi="Arial" w:cs="Arial"/>
          <w:i/>
          <w:iCs/>
          <w:sz w:val="20"/>
          <w:szCs w:val="20"/>
        </w:rPr>
        <w:t>Nature Biotechnology, 38</w:t>
      </w:r>
      <w:r w:rsidRPr="00B25D7F">
        <w:rPr>
          <w:rFonts w:ascii="Arial" w:hAnsi="Arial" w:cs="Arial"/>
          <w:sz w:val="20"/>
          <w:szCs w:val="20"/>
        </w:rPr>
        <w:t>(7), 824</w:t>
      </w:r>
      <w:r w:rsidR="00195BC2">
        <w:rPr>
          <w:rFonts w:ascii="Arial" w:hAnsi="Arial" w:cs="Arial"/>
          <w:sz w:val="20"/>
          <w:szCs w:val="20"/>
        </w:rPr>
        <w:t>-</w:t>
      </w:r>
      <w:r w:rsidRPr="00B25D7F">
        <w:rPr>
          <w:rFonts w:ascii="Arial" w:hAnsi="Arial" w:cs="Arial"/>
          <w:sz w:val="20"/>
          <w:szCs w:val="20"/>
        </w:rPr>
        <w:t xml:space="preserve">844. </w:t>
      </w:r>
      <w:hyperlink r:id="rId10" w:tgtFrame="_new" w:history="1">
        <w:r w:rsidRPr="00B25D7F">
          <w:rPr>
            <w:rStyle w:val="Hyperlink"/>
            <w:rFonts w:ascii="Arial" w:hAnsi="Arial" w:cs="Arial"/>
            <w:sz w:val="20"/>
            <w:szCs w:val="20"/>
          </w:rPr>
          <w:t>https://doi.org/10.1038/s41587-020-0561-9</w:t>
        </w:r>
      </w:hyperlink>
    </w:p>
    <w:p w14:paraId="53B4E08B" w14:textId="760FB300"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Araus</w:t>
      </w:r>
      <w:proofErr w:type="spellEnd"/>
      <w:r w:rsidRPr="00B25D7F">
        <w:rPr>
          <w:rFonts w:ascii="Arial" w:hAnsi="Arial" w:cs="Arial"/>
          <w:sz w:val="20"/>
          <w:szCs w:val="20"/>
        </w:rPr>
        <w:t xml:space="preserve">, J. L., Kefauver, S. C., Zaman-Allah, M., Olsen, M. S., &amp; Cairns, J. E. (2018). Translating high-throughput phenotyping into genetic gain. </w:t>
      </w:r>
      <w:r w:rsidRPr="00B25D7F">
        <w:rPr>
          <w:rFonts w:ascii="Arial" w:hAnsi="Arial" w:cs="Arial"/>
          <w:i/>
          <w:iCs/>
          <w:sz w:val="20"/>
          <w:szCs w:val="20"/>
        </w:rPr>
        <w:t>Trends in Plant Science, 23</w:t>
      </w:r>
      <w:r w:rsidRPr="00B25D7F">
        <w:rPr>
          <w:rFonts w:ascii="Arial" w:hAnsi="Arial" w:cs="Arial"/>
          <w:sz w:val="20"/>
          <w:szCs w:val="20"/>
        </w:rPr>
        <w:t>(5), 451</w:t>
      </w:r>
      <w:r w:rsidR="00195BC2">
        <w:rPr>
          <w:rFonts w:ascii="Arial" w:hAnsi="Arial" w:cs="Arial"/>
          <w:sz w:val="20"/>
          <w:szCs w:val="20"/>
        </w:rPr>
        <w:t>-</w:t>
      </w:r>
      <w:r w:rsidRPr="00B25D7F">
        <w:rPr>
          <w:rFonts w:ascii="Arial" w:hAnsi="Arial" w:cs="Arial"/>
          <w:sz w:val="20"/>
          <w:szCs w:val="20"/>
        </w:rPr>
        <w:t xml:space="preserve">466. </w:t>
      </w:r>
      <w:hyperlink r:id="rId11" w:tgtFrame="_new" w:history="1">
        <w:r w:rsidRPr="00B25D7F">
          <w:rPr>
            <w:rStyle w:val="Hyperlink"/>
            <w:rFonts w:ascii="Arial" w:hAnsi="Arial" w:cs="Arial"/>
            <w:sz w:val="20"/>
            <w:szCs w:val="20"/>
          </w:rPr>
          <w:t>https://doi.org/10.1016/j.tplants.2018.02.001</w:t>
        </w:r>
      </w:hyperlink>
    </w:p>
    <w:p w14:paraId="5D17135B" w14:textId="66C94FD7"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Bortesi</w:t>
      </w:r>
      <w:proofErr w:type="spellEnd"/>
      <w:r w:rsidRPr="00B25D7F">
        <w:rPr>
          <w:rFonts w:ascii="Arial" w:hAnsi="Arial" w:cs="Arial"/>
          <w:sz w:val="20"/>
          <w:szCs w:val="20"/>
        </w:rPr>
        <w:t xml:space="preserve">, L., &amp; Fischer, R. (2015). The CRISPR/Cas9 system for plant genome editing and beyond. </w:t>
      </w:r>
      <w:r w:rsidRPr="00B25D7F">
        <w:rPr>
          <w:rFonts w:ascii="Arial" w:hAnsi="Arial" w:cs="Arial"/>
          <w:i/>
          <w:iCs/>
          <w:sz w:val="20"/>
          <w:szCs w:val="20"/>
        </w:rPr>
        <w:t>Biotechnology Advances, 33</w:t>
      </w:r>
      <w:r w:rsidRPr="00B25D7F">
        <w:rPr>
          <w:rFonts w:ascii="Arial" w:hAnsi="Arial" w:cs="Arial"/>
          <w:sz w:val="20"/>
          <w:szCs w:val="20"/>
        </w:rPr>
        <w:t>(1), 41</w:t>
      </w:r>
      <w:r w:rsidR="00195BC2">
        <w:rPr>
          <w:rFonts w:ascii="Arial" w:hAnsi="Arial" w:cs="Arial"/>
          <w:sz w:val="20"/>
          <w:szCs w:val="20"/>
        </w:rPr>
        <w:t>-</w:t>
      </w:r>
      <w:r w:rsidRPr="00B25D7F">
        <w:rPr>
          <w:rFonts w:ascii="Arial" w:hAnsi="Arial" w:cs="Arial"/>
          <w:sz w:val="20"/>
          <w:szCs w:val="20"/>
        </w:rPr>
        <w:t xml:space="preserve">52. </w:t>
      </w:r>
      <w:hyperlink r:id="rId12" w:tgtFrame="_new" w:history="1">
        <w:r w:rsidRPr="00B25D7F">
          <w:rPr>
            <w:rStyle w:val="Hyperlink"/>
            <w:rFonts w:ascii="Arial" w:hAnsi="Arial" w:cs="Arial"/>
            <w:sz w:val="20"/>
            <w:szCs w:val="20"/>
          </w:rPr>
          <w:t>https://doi.org/10.1016/j.biotechadv.2014.12.006</w:t>
        </w:r>
      </w:hyperlink>
    </w:p>
    <w:p w14:paraId="594E623F"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Cermak, T., Doyle, E. L., Christian, M., Wang, L., Zhang, Y., Schmidt, C., Baller, J. A., </w:t>
      </w:r>
      <w:proofErr w:type="spellStart"/>
      <w:r w:rsidRPr="00B25D7F">
        <w:rPr>
          <w:rFonts w:ascii="Arial" w:hAnsi="Arial" w:cs="Arial"/>
          <w:sz w:val="20"/>
          <w:szCs w:val="20"/>
        </w:rPr>
        <w:t>Somia</w:t>
      </w:r>
      <w:proofErr w:type="spellEnd"/>
      <w:r w:rsidRPr="00B25D7F">
        <w:rPr>
          <w:rFonts w:ascii="Arial" w:hAnsi="Arial" w:cs="Arial"/>
          <w:sz w:val="20"/>
          <w:szCs w:val="20"/>
        </w:rPr>
        <w:t xml:space="preserve">, N. V., </w:t>
      </w:r>
      <w:proofErr w:type="spellStart"/>
      <w:r w:rsidRPr="00B25D7F">
        <w:rPr>
          <w:rFonts w:ascii="Arial" w:hAnsi="Arial" w:cs="Arial"/>
          <w:sz w:val="20"/>
          <w:szCs w:val="20"/>
        </w:rPr>
        <w:t>Bogdanove</w:t>
      </w:r>
      <w:proofErr w:type="spellEnd"/>
      <w:r w:rsidRPr="00B25D7F">
        <w:rPr>
          <w:rFonts w:ascii="Arial" w:hAnsi="Arial" w:cs="Arial"/>
          <w:sz w:val="20"/>
          <w:szCs w:val="20"/>
        </w:rPr>
        <w:t xml:space="preserve">, A. J., &amp; </w:t>
      </w:r>
      <w:proofErr w:type="spellStart"/>
      <w:r w:rsidRPr="00B25D7F">
        <w:rPr>
          <w:rFonts w:ascii="Arial" w:hAnsi="Arial" w:cs="Arial"/>
          <w:sz w:val="20"/>
          <w:szCs w:val="20"/>
        </w:rPr>
        <w:t>Voytas</w:t>
      </w:r>
      <w:proofErr w:type="spellEnd"/>
      <w:r w:rsidRPr="00B25D7F">
        <w:rPr>
          <w:rFonts w:ascii="Arial" w:hAnsi="Arial" w:cs="Arial"/>
          <w:sz w:val="20"/>
          <w:szCs w:val="20"/>
        </w:rPr>
        <w:t xml:space="preserve">, D. F. (2011). Efficient design and assembly of custom TALEN and other TAL effector-based constructs for DNA targeting. </w:t>
      </w:r>
      <w:r w:rsidRPr="00B25D7F">
        <w:rPr>
          <w:rFonts w:ascii="Arial" w:hAnsi="Arial" w:cs="Arial"/>
          <w:i/>
          <w:iCs/>
          <w:sz w:val="20"/>
          <w:szCs w:val="20"/>
        </w:rPr>
        <w:t>Nucleic Acids Research, 39</w:t>
      </w:r>
      <w:r w:rsidRPr="00B25D7F">
        <w:rPr>
          <w:rFonts w:ascii="Arial" w:hAnsi="Arial" w:cs="Arial"/>
          <w:sz w:val="20"/>
          <w:szCs w:val="20"/>
        </w:rPr>
        <w:t xml:space="preserve">(12), e82. </w:t>
      </w:r>
      <w:hyperlink r:id="rId13" w:tgtFrame="_new" w:history="1">
        <w:r w:rsidRPr="00B25D7F">
          <w:rPr>
            <w:rStyle w:val="Hyperlink"/>
            <w:rFonts w:ascii="Arial" w:hAnsi="Arial" w:cs="Arial"/>
            <w:sz w:val="20"/>
            <w:szCs w:val="20"/>
          </w:rPr>
          <w:t>https://doi.org/10.1093/nar/gkr218</w:t>
        </w:r>
      </w:hyperlink>
    </w:p>
    <w:p w14:paraId="2F1C0313" w14:textId="310C214D"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Crossa</w:t>
      </w:r>
      <w:proofErr w:type="spellEnd"/>
      <w:r w:rsidRPr="00B25D7F">
        <w:rPr>
          <w:rFonts w:ascii="Arial" w:hAnsi="Arial" w:cs="Arial"/>
          <w:sz w:val="20"/>
          <w:szCs w:val="20"/>
        </w:rPr>
        <w:t xml:space="preserve">, J., Pérez-Rodríguez, P., Cuevas, J., Montesinos-López, O., </w:t>
      </w:r>
      <w:proofErr w:type="spellStart"/>
      <w:r w:rsidRPr="00B25D7F">
        <w:rPr>
          <w:rFonts w:ascii="Arial" w:hAnsi="Arial" w:cs="Arial"/>
          <w:sz w:val="20"/>
          <w:szCs w:val="20"/>
        </w:rPr>
        <w:t>Jarquín</w:t>
      </w:r>
      <w:proofErr w:type="spellEnd"/>
      <w:r w:rsidRPr="00B25D7F">
        <w:rPr>
          <w:rFonts w:ascii="Arial" w:hAnsi="Arial" w:cs="Arial"/>
          <w:sz w:val="20"/>
          <w:szCs w:val="20"/>
        </w:rPr>
        <w:t xml:space="preserve">, D., de los Campos, G., </w:t>
      </w:r>
      <w:proofErr w:type="spellStart"/>
      <w:r w:rsidRPr="00B25D7F">
        <w:rPr>
          <w:rFonts w:ascii="Arial" w:hAnsi="Arial" w:cs="Arial"/>
          <w:sz w:val="20"/>
          <w:szCs w:val="20"/>
        </w:rPr>
        <w:t>Burgueño</w:t>
      </w:r>
      <w:proofErr w:type="spellEnd"/>
      <w:r w:rsidRPr="00B25D7F">
        <w:rPr>
          <w:rFonts w:ascii="Arial" w:hAnsi="Arial" w:cs="Arial"/>
          <w:sz w:val="20"/>
          <w:szCs w:val="20"/>
        </w:rPr>
        <w:t xml:space="preserve">, J., González-Camacho, J. M., Pérez-Elizalde, S., </w:t>
      </w:r>
      <w:proofErr w:type="spellStart"/>
      <w:r w:rsidRPr="00B25D7F">
        <w:rPr>
          <w:rFonts w:ascii="Arial" w:hAnsi="Arial" w:cs="Arial"/>
          <w:sz w:val="20"/>
          <w:szCs w:val="20"/>
        </w:rPr>
        <w:t>Beyene</w:t>
      </w:r>
      <w:proofErr w:type="spellEnd"/>
      <w:r w:rsidRPr="00B25D7F">
        <w:rPr>
          <w:rFonts w:ascii="Arial" w:hAnsi="Arial" w:cs="Arial"/>
          <w:sz w:val="20"/>
          <w:szCs w:val="20"/>
        </w:rPr>
        <w:t xml:space="preserve">, Y., </w:t>
      </w:r>
      <w:proofErr w:type="spellStart"/>
      <w:r w:rsidRPr="00B25D7F">
        <w:rPr>
          <w:rFonts w:ascii="Arial" w:hAnsi="Arial" w:cs="Arial"/>
          <w:sz w:val="20"/>
          <w:szCs w:val="20"/>
        </w:rPr>
        <w:t>Dreisigacker</w:t>
      </w:r>
      <w:proofErr w:type="spellEnd"/>
      <w:r w:rsidRPr="00B25D7F">
        <w:rPr>
          <w:rFonts w:ascii="Arial" w:hAnsi="Arial" w:cs="Arial"/>
          <w:sz w:val="20"/>
          <w:szCs w:val="20"/>
        </w:rPr>
        <w:t xml:space="preserve">, S., Singh, R., Zhang, X., Gowda, M., </w:t>
      </w:r>
      <w:proofErr w:type="spellStart"/>
      <w:r w:rsidRPr="00B25D7F">
        <w:rPr>
          <w:rFonts w:ascii="Arial" w:hAnsi="Arial" w:cs="Arial"/>
          <w:sz w:val="20"/>
          <w:szCs w:val="20"/>
        </w:rPr>
        <w:t>Roorkiwal</w:t>
      </w:r>
      <w:proofErr w:type="spellEnd"/>
      <w:r w:rsidRPr="00B25D7F">
        <w:rPr>
          <w:rFonts w:ascii="Arial" w:hAnsi="Arial" w:cs="Arial"/>
          <w:sz w:val="20"/>
          <w:szCs w:val="20"/>
        </w:rPr>
        <w:t xml:space="preserve">, M., </w:t>
      </w:r>
      <w:proofErr w:type="spellStart"/>
      <w:r w:rsidRPr="00B25D7F">
        <w:rPr>
          <w:rFonts w:ascii="Arial" w:hAnsi="Arial" w:cs="Arial"/>
          <w:sz w:val="20"/>
          <w:szCs w:val="20"/>
        </w:rPr>
        <w:t>Rutkoski</w:t>
      </w:r>
      <w:proofErr w:type="spellEnd"/>
      <w:r w:rsidRPr="00B25D7F">
        <w:rPr>
          <w:rFonts w:ascii="Arial" w:hAnsi="Arial" w:cs="Arial"/>
          <w:sz w:val="20"/>
          <w:szCs w:val="20"/>
        </w:rPr>
        <w:t xml:space="preserve">, J., &amp; Varshney, R. K. (2017). Genomic selection in plant breeding: Methods, models and perspectives. </w:t>
      </w:r>
      <w:r w:rsidRPr="00B25D7F">
        <w:rPr>
          <w:rFonts w:ascii="Arial" w:hAnsi="Arial" w:cs="Arial"/>
          <w:i/>
          <w:iCs/>
          <w:sz w:val="20"/>
          <w:szCs w:val="20"/>
        </w:rPr>
        <w:t>Trends in Plant Science, 22</w:t>
      </w:r>
      <w:r w:rsidRPr="00B25D7F">
        <w:rPr>
          <w:rFonts w:ascii="Arial" w:hAnsi="Arial" w:cs="Arial"/>
          <w:sz w:val="20"/>
          <w:szCs w:val="20"/>
        </w:rPr>
        <w:t>(11), 961</w:t>
      </w:r>
      <w:r w:rsidR="00195BC2">
        <w:rPr>
          <w:rFonts w:ascii="Arial" w:hAnsi="Arial" w:cs="Arial"/>
          <w:sz w:val="20"/>
          <w:szCs w:val="20"/>
        </w:rPr>
        <w:t>-</w:t>
      </w:r>
      <w:r w:rsidRPr="00B25D7F">
        <w:rPr>
          <w:rFonts w:ascii="Arial" w:hAnsi="Arial" w:cs="Arial"/>
          <w:sz w:val="20"/>
          <w:szCs w:val="20"/>
        </w:rPr>
        <w:t xml:space="preserve">975. </w:t>
      </w:r>
      <w:hyperlink r:id="rId14" w:tgtFrame="_new" w:history="1">
        <w:r w:rsidRPr="00B25D7F">
          <w:rPr>
            <w:rStyle w:val="Hyperlink"/>
            <w:rFonts w:ascii="Arial" w:hAnsi="Arial" w:cs="Arial"/>
            <w:sz w:val="20"/>
            <w:szCs w:val="20"/>
          </w:rPr>
          <w:t>https://doi.org/10.1016/j.tplants.2017.08.011</w:t>
        </w:r>
      </w:hyperlink>
    </w:p>
    <w:p w14:paraId="60AEB0DD"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lastRenderedPageBreak/>
        <w:t>Dale, J., James, A., Paul, J. Y., Khanna, H., Smith, M., Peraza-Echeverria, S., Garcia-</w:t>
      </w:r>
      <w:proofErr w:type="spellStart"/>
      <w:r w:rsidRPr="00B25D7F">
        <w:rPr>
          <w:rFonts w:ascii="Arial" w:hAnsi="Arial" w:cs="Arial"/>
          <w:sz w:val="20"/>
          <w:szCs w:val="20"/>
        </w:rPr>
        <w:t>Bastidas</w:t>
      </w:r>
      <w:proofErr w:type="spellEnd"/>
      <w:r w:rsidRPr="00B25D7F">
        <w:rPr>
          <w:rFonts w:ascii="Arial" w:hAnsi="Arial" w:cs="Arial"/>
          <w:sz w:val="20"/>
          <w:szCs w:val="20"/>
        </w:rPr>
        <w:t xml:space="preserve">, F., </w:t>
      </w:r>
      <w:proofErr w:type="spellStart"/>
      <w:r w:rsidRPr="00B25D7F">
        <w:rPr>
          <w:rFonts w:ascii="Arial" w:hAnsi="Arial" w:cs="Arial"/>
          <w:sz w:val="20"/>
          <w:szCs w:val="20"/>
        </w:rPr>
        <w:t>Kema</w:t>
      </w:r>
      <w:proofErr w:type="spellEnd"/>
      <w:r w:rsidRPr="00B25D7F">
        <w:rPr>
          <w:rFonts w:ascii="Arial" w:hAnsi="Arial" w:cs="Arial"/>
          <w:sz w:val="20"/>
          <w:szCs w:val="20"/>
        </w:rPr>
        <w:t xml:space="preserve">, G., Waterhouse, P., </w:t>
      </w:r>
      <w:proofErr w:type="spellStart"/>
      <w:r w:rsidRPr="00B25D7F">
        <w:rPr>
          <w:rFonts w:ascii="Arial" w:hAnsi="Arial" w:cs="Arial"/>
          <w:sz w:val="20"/>
          <w:szCs w:val="20"/>
        </w:rPr>
        <w:t>Mengersen</w:t>
      </w:r>
      <w:proofErr w:type="spellEnd"/>
      <w:r w:rsidRPr="00B25D7F">
        <w:rPr>
          <w:rFonts w:ascii="Arial" w:hAnsi="Arial" w:cs="Arial"/>
          <w:sz w:val="20"/>
          <w:szCs w:val="20"/>
        </w:rPr>
        <w:t xml:space="preserve">, K., &amp; Harding, R. (2017). Transgenic Cavendish bananas with resistance to Fusarium wilt tropical race 4. </w:t>
      </w:r>
      <w:r w:rsidRPr="00B25D7F">
        <w:rPr>
          <w:rFonts w:ascii="Arial" w:hAnsi="Arial" w:cs="Arial"/>
          <w:i/>
          <w:iCs/>
          <w:sz w:val="20"/>
          <w:szCs w:val="20"/>
        </w:rPr>
        <w:t>Nature Communications, 8</w:t>
      </w:r>
      <w:r w:rsidRPr="00B25D7F">
        <w:rPr>
          <w:rFonts w:ascii="Arial" w:hAnsi="Arial" w:cs="Arial"/>
          <w:sz w:val="20"/>
          <w:szCs w:val="20"/>
        </w:rPr>
        <w:t xml:space="preserve">(1), 1496. </w:t>
      </w:r>
      <w:hyperlink r:id="rId15" w:tgtFrame="_new" w:history="1">
        <w:r w:rsidRPr="00B25D7F">
          <w:rPr>
            <w:rStyle w:val="Hyperlink"/>
            <w:rFonts w:ascii="Arial" w:hAnsi="Arial" w:cs="Arial"/>
            <w:sz w:val="20"/>
            <w:szCs w:val="20"/>
          </w:rPr>
          <w:t>https://doi.org/10.1038/s41467-017-01670-6</w:t>
        </w:r>
      </w:hyperlink>
    </w:p>
    <w:p w14:paraId="28C3FAA2"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Doudna</w:t>
      </w:r>
      <w:proofErr w:type="spellEnd"/>
      <w:r w:rsidRPr="00B25D7F">
        <w:rPr>
          <w:rFonts w:ascii="Arial" w:hAnsi="Arial" w:cs="Arial"/>
          <w:sz w:val="20"/>
          <w:szCs w:val="20"/>
        </w:rPr>
        <w:t xml:space="preserve">, J. A., &amp; Charpentier, E. (2012). The new frontier of genome engineering with CRISPR-Cas9. </w:t>
      </w:r>
      <w:r w:rsidRPr="00B25D7F">
        <w:rPr>
          <w:rFonts w:ascii="Arial" w:hAnsi="Arial" w:cs="Arial"/>
          <w:i/>
          <w:iCs/>
          <w:sz w:val="20"/>
          <w:szCs w:val="20"/>
        </w:rPr>
        <w:t>Science, 346</w:t>
      </w:r>
      <w:r w:rsidRPr="00B25D7F">
        <w:rPr>
          <w:rFonts w:ascii="Arial" w:hAnsi="Arial" w:cs="Arial"/>
          <w:sz w:val="20"/>
          <w:szCs w:val="20"/>
        </w:rPr>
        <w:t xml:space="preserve">(6213), 1258096. </w:t>
      </w:r>
      <w:hyperlink r:id="rId16" w:tgtFrame="_new" w:history="1">
        <w:r w:rsidRPr="00B25D7F">
          <w:rPr>
            <w:rStyle w:val="Hyperlink"/>
            <w:rFonts w:ascii="Arial" w:hAnsi="Arial" w:cs="Arial"/>
            <w:sz w:val="20"/>
            <w:szCs w:val="20"/>
          </w:rPr>
          <w:t>https://doi.org/10.1126/science.1258096</w:t>
        </w:r>
      </w:hyperlink>
    </w:p>
    <w:p w14:paraId="2B77B847" w14:textId="23F6A744"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Ekesa</w:t>
      </w:r>
      <w:proofErr w:type="spellEnd"/>
      <w:r w:rsidRPr="00B25D7F">
        <w:rPr>
          <w:rFonts w:ascii="Arial" w:hAnsi="Arial" w:cs="Arial"/>
          <w:sz w:val="20"/>
          <w:szCs w:val="20"/>
        </w:rPr>
        <w:t xml:space="preserve">, B., Van den Bergh, I., </w:t>
      </w:r>
      <w:proofErr w:type="spellStart"/>
      <w:r w:rsidRPr="00B25D7F">
        <w:rPr>
          <w:rFonts w:ascii="Arial" w:hAnsi="Arial" w:cs="Arial"/>
          <w:sz w:val="20"/>
          <w:szCs w:val="20"/>
        </w:rPr>
        <w:t>Blomme</w:t>
      </w:r>
      <w:proofErr w:type="spellEnd"/>
      <w:r w:rsidRPr="00B25D7F">
        <w:rPr>
          <w:rFonts w:ascii="Arial" w:hAnsi="Arial" w:cs="Arial"/>
          <w:sz w:val="20"/>
          <w:szCs w:val="20"/>
        </w:rPr>
        <w:t xml:space="preserve">, G., &amp; De Langhe, E. (2020). Banana genetic diversity and its use in breeding. </w:t>
      </w:r>
      <w:proofErr w:type="spellStart"/>
      <w:r w:rsidRPr="00B25D7F">
        <w:rPr>
          <w:rFonts w:ascii="Arial" w:hAnsi="Arial" w:cs="Arial"/>
          <w:i/>
          <w:iCs/>
          <w:sz w:val="20"/>
          <w:szCs w:val="20"/>
        </w:rPr>
        <w:t>Acta</w:t>
      </w:r>
      <w:proofErr w:type="spellEnd"/>
      <w:r w:rsidRPr="00B25D7F">
        <w:rPr>
          <w:rFonts w:ascii="Arial" w:hAnsi="Arial" w:cs="Arial"/>
          <w:i/>
          <w:iCs/>
          <w:sz w:val="20"/>
          <w:szCs w:val="20"/>
        </w:rPr>
        <w:t xml:space="preserve"> </w:t>
      </w:r>
      <w:proofErr w:type="spellStart"/>
      <w:r w:rsidRPr="00B25D7F">
        <w:rPr>
          <w:rFonts w:ascii="Arial" w:hAnsi="Arial" w:cs="Arial"/>
          <w:i/>
          <w:iCs/>
          <w:sz w:val="20"/>
          <w:szCs w:val="20"/>
        </w:rPr>
        <w:t>Horticulturae</w:t>
      </w:r>
      <w:proofErr w:type="spellEnd"/>
      <w:r w:rsidRPr="00B25D7F">
        <w:rPr>
          <w:rFonts w:ascii="Arial" w:hAnsi="Arial" w:cs="Arial"/>
          <w:i/>
          <w:iCs/>
          <w:sz w:val="20"/>
          <w:szCs w:val="20"/>
        </w:rPr>
        <w:t>, 1272</w:t>
      </w:r>
      <w:r w:rsidRPr="00B25D7F">
        <w:rPr>
          <w:rFonts w:ascii="Arial" w:hAnsi="Arial" w:cs="Arial"/>
          <w:sz w:val="20"/>
          <w:szCs w:val="20"/>
        </w:rPr>
        <w:t>, 1</w:t>
      </w:r>
      <w:r w:rsidR="00195BC2">
        <w:rPr>
          <w:rFonts w:ascii="Arial" w:hAnsi="Arial" w:cs="Arial"/>
          <w:sz w:val="20"/>
          <w:szCs w:val="20"/>
        </w:rPr>
        <w:t>-</w:t>
      </w:r>
      <w:r w:rsidRPr="00B25D7F">
        <w:rPr>
          <w:rFonts w:ascii="Arial" w:hAnsi="Arial" w:cs="Arial"/>
          <w:sz w:val="20"/>
          <w:szCs w:val="20"/>
        </w:rPr>
        <w:t xml:space="preserve">12. </w:t>
      </w:r>
      <w:hyperlink r:id="rId17" w:tgtFrame="_new" w:history="1">
        <w:r w:rsidRPr="00B25D7F">
          <w:rPr>
            <w:rStyle w:val="Hyperlink"/>
            <w:rFonts w:ascii="Arial" w:hAnsi="Arial" w:cs="Arial"/>
            <w:sz w:val="20"/>
            <w:szCs w:val="20"/>
          </w:rPr>
          <w:t>https://doi.org/10.17660/ActaHortic.2020.1272.1</w:t>
        </w:r>
      </w:hyperlink>
    </w:p>
    <w:p w14:paraId="2AE5478C" w14:textId="4C5DCDC3"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Fernie</w:t>
      </w:r>
      <w:proofErr w:type="spellEnd"/>
      <w:r w:rsidRPr="00B25D7F">
        <w:rPr>
          <w:rFonts w:ascii="Arial" w:hAnsi="Arial" w:cs="Arial"/>
          <w:sz w:val="20"/>
          <w:szCs w:val="20"/>
        </w:rPr>
        <w:t xml:space="preserve">, A. R., &amp; Yan, J. (2019). De novo domestication: An alternative route toward new crops for the future. </w:t>
      </w:r>
      <w:r w:rsidRPr="00B25D7F">
        <w:rPr>
          <w:rFonts w:ascii="Arial" w:hAnsi="Arial" w:cs="Arial"/>
          <w:i/>
          <w:iCs/>
          <w:sz w:val="20"/>
          <w:szCs w:val="20"/>
        </w:rPr>
        <w:t>Molecular Plant, 12</w:t>
      </w:r>
      <w:r w:rsidRPr="00B25D7F">
        <w:rPr>
          <w:rFonts w:ascii="Arial" w:hAnsi="Arial" w:cs="Arial"/>
          <w:sz w:val="20"/>
          <w:szCs w:val="20"/>
        </w:rPr>
        <w:t>(5), 615</w:t>
      </w:r>
      <w:r w:rsidR="00195BC2">
        <w:rPr>
          <w:rFonts w:ascii="Arial" w:hAnsi="Arial" w:cs="Arial"/>
          <w:sz w:val="20"/>
          <w:szCs w:val="20"/>
        </w:rPr>
        <w:t>-</w:t>
      </w:r>
      <w:r w:rsidRPr="00B25D7F">
        <w:rPr>
          <w:rFonts w:ascii="Arial" w:hAnsi="Arial" w:cs="Arial"/>
          <w:sz w:val="20"/>
          <w:szCs w:val="20"/>
        </w:rPr>
        <w:t xml:space="preserve">631. </w:t>
      </w:r>
      <w:hyperlink r:id="rId18" w:tgtFrame="_new" w:history="1">
        <w:r w:rsidRPr="00B25D7F">
          <w:rPr>
            <w:rStyle w:val="Hyperlink"/>
            <w:rFonts w:ascii="Arial" w:hAnsi="Arial" w:cs="Arial"/>
            <w:sz w:val="20"/>
            <w:szCs w:val="20"/>
          </w:rPr>
          <w:t>https://doi.org/10.1016/j.molp.2019.03.016</w:t>
        </w:r>
      </w:hyperlink>
    </w:p>
    <w:p w14:paraId="38F691D6" w14:textId="5F401037"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Foolad</w:t>
      </w:r>
      <w:proofErr w:type="spellEnd"/>
      <w:r w:rsidRPr="00B25D7F">
        <w:rPr>
          <w:rFonts w:ascii="Arial" w:hAnsi="Arial" w:cs="Arial"/>
          <w:sz w:val="20"/>
          <w:szCs w:val="20"/>
        </w:rPr>
        <w:t xml:space="preserve">, M. R., </w:t>
      </w:r>
      <w:proofErr w:type="spellStart"/>
      <w:r w:rsidRPr="00B25D7F">
        <w:rPr>
          <w:rFonts w:ascii="Arial" w:hAnsi="Arial" w:cs="Arial"/>
          <w:sz w:val="20"/>
          <w:szCs w:val="20"/>
        </w:rPr>
        <w:t>Merk</w:t>
      </w:r>
      <w:proofErr w:type="spellEnd"/>
      <w:r w:rsidRPr="00B25D7F">
        <w:rPr>
          <w:rFonts w:ascii="Arial" w:hAnsi="Arial" w:cs="Arial"/>
          <w:sz w:val="20"/>
          <w:szCs w:val="20"/>
        </w:rPr>
        <w:t xml:space="preserve">, H. L., &amp; Ashrafi, H. (2020). Genetics, genomics and breeding of late blight and early blight resistance in tomato. </w:t>
      </w:r>
      <w:r w:rsidRPr="00B25D7F">
        <w:rPr>
          <w:rFonts w:ascii="Arial" w:hAnsi="Arial" w:cs="Arial"/>
          <w:i/>
          <w:iCs/>
          <w:sz w:val="20"/>
          <w:szCs w:val="20"/>
        </w:rPr>
        <w:t>Critical Reviews in Plant Sciences, 27</w:t>
      </w:r>
      <w:r w:rsidRPr="00B25D7F">
        <w:rPr>
          <w:rFonts w:ascii="Arial" w:hAnsi="Arial" w:cs="Arial"/>
          <w:sz w:val="20"/>
          <w:szCs w:val="20"/>
        </w:rPr>
        <w:t>(6), 434</w:t>
      </w:r>
      <w:r w:rsidR="00195BC2">
        <w:rPr>
          <w:rFonts w:ascii="Arial" w:hAnsi="Arial" w:cs="Arial"/>
          <w:sz w:val="20"/>
          <w:szCs w:val="20"/>
        </w:rPr>
        <w:t>-</w:t>
      </w:r>
      <w:r w:rsidRPr="00B25D7F">
        <w:rPr>
          <w:rFonts w:ascii="Arial" w:hAnsi="Arial" w:cs="Arial"/>
          <w:sz w:val="20"/>
          <w:szCs w:val="20"/>
        </w:rPr>
        <w:t xml:space="preserve">473. </w:t>
      </w:r>
      <w:hyperlink r:id="rId19" w:tgtFrame="_new" w:history="1">
        <w:r w:rsidRPr="00B25D7F">
          <w:rPr>
            <w:rStyle w:val="Hyperlink"/>
            <w:rFonts w:ascii="Arial" w:hAnsi="Arial" w:cs="Arial"/>
            <w:sz w:val="20"/>
            <w:szCs w:val="20"/>
          </w:rPr>
          <w:t>https://doi.org/10.1080/07352680802364147</w:t>
        </w:r>
      </w:hyperlink>
    </w:p>
    <w:p w14:paraId="66459F9F" w14:textId="63C964F9" w:rsidR="00B25D7F" w:rsidRPr="004C0DDD" w:rsidRDefault="00B25D7F" w:rsidP="00B25D7F">
      <w:pPr>
        <w:tabs>
          <w:tab w:val="left" w:pos="3737"/>
        </w:tabs>
        <w:spacing w:line="240" w:lineRule="auto"/>
        <w:ind w:left="482" w:hanging="482"/>
        <w:jc w:val="both"/>
        <w:rPr>
          <w:rFonts w:ascii="Arial" w:hAnsi="Arial" w:cs="Arial"/>
          <w:sz w:val="20"/>
          <w:szCs w:val="20"/>
          <w:lang w:val="sv-SE"/>
        </w:rPr>
      </w:pPr>
      <w:r w:rsidRPr="00B25D7F">
        <w:rPr>
          <w:rFonts w:ascii="Arial" w:hAnsi="Arial" w:cs="Arial"/>
          <w:sz w:val="20"/>
          <w:szCs w:val="20"/>
        </w:rPr>
        <w:t xml:space="preserve">Gao, L., </w:t>
      </w:r>
      <w:proofErr w:type="spellStart"/>
      <w:r w:rsidRPr="00B25D7F">
        <w:rPr>
          <w:rFonts w:ascii="Arial" w:hAnsi="Arial" w:cs="Arial"/>
          <w:sz w:val="20"/>
          <w:szCs w:val="20"/>
        </w:rPr>
        <w:t>Gonda</w:t>
      </w:r>
      <w:proofErr w:type="spellEnd"/>
      <w:r w:rsidRPr="00B25D7F">
        <w:rPr>
          <w:rFonts w:ascii="Arial" w:hAnsi="Arial" w:cs="Arial"/>
          <w:sz w:val="20"/>
          <w:szCs w:val="20"/>
        </w:rPr>
        <w:t xml:space="preserve">, I., Sun, H., Ma, Q., Bao, K., </w:t>
      </w:r>
      <w:proofErr w:type="spellStart"/>
      <w:r w:rsidRPr="00B25D7F">
        <w:rPr>
          <w:rFonts w:ascii="Arial" w:hAnsi="Arial" w:cs="Arial"/>
          <w:sz w:val="20"/>
          <w:szCs w:val="20"/>
        </w:rPr>
        <w:t>Tieman</w:t>
      </w:r>
      <w:proofErr w:type="spellEnd"/>
      <w:r w:rsidRPr="00B25D7F">
        <w:rPr>
          <w:rFonts w:ascii="Arial" w:hAnsi="Arial" w:cs="Arial"/>
          <w:sz w:val="20"/>
          <w:szCs w:val="20"/>
        </w:rPr>
        <w:t xml:space="preserve">, D. M., </w:t>
      </w:r>
      <w:proofErr w:type="spellStart"/>
      <w:r w:rsidRPr="00B25D7F">
        <w:rPr>
          <w:rFonts w:ascii="Arial" w:hAnsi="Arial" w:cs="Arial"/>
          <w:sz w:val="20"/>
          <w:szCs w:val="20"/>
        </w:rPr>
        <w:t>Burzynski</w:t>
      </w:r>
      <w:proofErr w:type="spellEnd"/>
      <w:r w:rsidRPr="00B25D7F">
        <w:rPr>
          <w:rFonts w:ascii="Arial" w:hAnsi="Arial" w:cs="Arial"/>
          <w:sz w:val="20"/>
          <w:szCs w:val="20"/>
        </w:rPr>
        <w:t xml:space="preserve">-Chang, E. A., Fish, T. L., Stromberg, K. A., Sacks, G. L., </w:t>
      </w:r>
      <w:proofErr w:type="spellStart"/>
      <w:r w:rsidRPr="00B25D7F">
        <w:rPr>
          <w:rFonts w:ascii="Arial" w:hAnsi="Arial" w:cs="Arial"/>
          <w:sz w:val="20"/>
          <w:szCs w:val="20"/>
        </w:rPr>
        <w:t>Thannhauser</w:t>
      </w:r>
      <w:proofErr w:type="spellEnd"/>
      <w:r w:rsidRPr="00B25D7F">
        <w:rPr>
          <w:rFonts w:ascii="Arial" w:hAnsi="Arial" w:cs="Arial"/>
          <w:sz w:val="20"/>
          <w:szCs w:val="20"/>
        </w:rPr>
        <w:t xml:space="preserve">, T. W., </w:t>
      </w:r>
      <w:proofErr w:type="spellStart"/>
      <w:r w:rsidRPr="00B25D7F">
        <w:rPr>
          <w:rFonts w:ascii="Arial" w:hAnsi="Arial" w:cs="Arial"/>
          <w:sz w:val="20"/>
          <w:szCs w:val="20"/>
        </w:rPr>
        <w:t>Foolad</w:t>
      </w:r>
      <w:proofErr w:type="spellEnd"/>
      <w:r w:rsidRPr="00B25D7F">
        <w:rPr>
          <w:rFonts w:ascii="Arial" w:hAnsi="Arial" w:cs="Arial"/>
          <w:sz w:val="20"/>
          <w:szCs w:val="20"/>
        </w:rPr>
        <w:t xml:space="preserve">, M. R., Diez, M. J., Blanca, J., </w:t>
      </w:r>
      <w:proofErr w:type="spellStart"/>
      <w:r w:rsidRPr="00B25D7F">
        <w:rPr>
          <w:rFonts w:ascii="Arial" w:hAnsi="Arial" w:cs="Arial"/>
          <w:sz w:val="20"/>
          <w:szCs w:val="20"/>
        </w:rPr>
        <w:t>Cañizares</w:t>
      </w:r>
      <w:proofErr w:type="spellEnd"/>
      <w:r w:rsidRPr="00B25D7F">
        <w:rPr>
          <w:rFonts w:ascii="Arial" w:hAnsi="Arial" w:cs="Arial"/>
          <w:sz w:val="20"/>
          <w:szCs w:val="20"/>
        </w:rPr>
        <w:t xml:space="preserve">, J., Xu, Y., van der </w:t>
      </w:r>
      <w:proofErr w:type="spellStart"/>
      <w:r w:rsidRPr="00B25D7F">
        <w:rPr>
          <w:rFonts w:ascii="Arial" w:hAnsi="Arial" w:cs="Arial"/>
          <w:sz w:val="20"/>
          <w:szCs w:val="20"/>
        </w:rPr>
        <w:t>Knaap</w:t>
      </w:r>
      <w:proofErr w:type="spellEnd"/>
      <w:r w:rsidRPr="00B25D7F">
        <w:rPr>
          <w:rFonts w:ascii="Arial" w:hAnsi="Arial" w:cs="Arial"/>
          <w:sz w:val="20"/>
          <w:szCs w:val="20"/>
        </w:rPr>
        <w:t xml:space="preserve">, E., Huang, S., Klee, H. J., &amp; Fei, Z. (2019). The tomato pan-genome uncovers new genes and a rare allele regulating fruit </w:t>
      </w:r>
      <w:proofErr w:type="spellStart"/>
      <w:r w:rsidRPr="00B25D7F">
        <w:rPr>
          <w:rFonts w:ascii="Arial" w:hAnsi="Arial" w:cs="Arial"/>
          <w:sz w:val="20"/>
          <w:szCs w:val="20"/>
        </w:rPr>
        <w:t>flavor</w:t>
      </w:r>
      <w:proofErr w:type="spellEnd"/>
      <w:r w:rsidRPr="00B25D7F">
        <w:rPr>
          <w:rFonts w:ascii="Arial" w:hAnsi="Arial" w:cs="Arial"/>
          <w:sz w:val="20"/>
          <w:szCs w:val="20"/>
        </w:rPr>
        <w:t xml:space="preserve">. </w:t>
      </w:r>
      <w:r w:rsidRPr="004C0DDD">
        <w:rPr>
          <w:rFonts w:ascii="Arial" w:hAnsi="Arial" w:cs="Arial"/>
          <w:i/>
          <w:iCs/>
          <w:sz w:val="20"/>
          <w:szCs w:val="20"/>
          <w:lang w:val="sv-SE"/>
        </w:rPr>
        <w:t>Nature Genetics, 51</w:t>
      </w:r>
      <w:r w:rsidRPr="004C0DDD">
        <w:rPr>
          <w:rFonts w:ascii="Arial" w:hAnsi="Arial" w:cs="Arial"/>
          <w:sz w:val="20"/>
          <w:szCs w:val="20"/>
          <w:lang w:val="sv-SE"/>
        </w:rPr>
        <w:t>(6), 1044</w:t>
      </w:r>
      <w:r w:rsidR="00195BC2">
        <w:rPr>
          <w:rFonts w:ascii="Arial" w:hAnsi="Arial" w:cs="Arial"/>
          <w:sz w:val="20"/>
          <w:szCs w:val="20"/>
          <w:lang w:val="sv-SE"/>
        </w:rPr>
        <w:t>-</w:t>
      </w:r>
      <w:r w:rsidRPr="004C0DDD">
        <w:rPr>
          <w:rFonts w:ascii="Arial" w:hAnsi="Arial" w:cs="Arial"/>
          <w:sz w:val="20"/>
          <w:szCs w:val="20"/>
          <w:lang w:val="sv-SE"/>
        </w:rPr>
        <w:t xml:space="preserve">1051. </w:t>
      </w:r>
      <w:hyperlink r:id="rId20" w:tgtFrame="_new" w:history="1">
        <w:r w:rsidRPr="004C0DDD">
          <w:rPr>
            <w:rStyle w:val="Hyperlink"/>
            <w:rFonts w:ascii="Arial" w:hAnsi="Arial" w:cs="Arial"/>
            <w:sz w:val="20"/>
            <w:szCs w:val="20"/>
            <w:lang w:val="sv-SE"/>
          </w:rPr>
          <w:t>https://doi.org/10.1038/s41588-019-0410-2</w:t>
        </w:r>
      </w:hyperlink>
    </w:p>
    <w:p w14:paraId="180991A6" w14:textId="144FC676" w:rsidR="00B25D7F" w:rsidRPr="004C0DDD" w:rsidRDefault="00B25D7F" w:rsidP="00B25D7F">
      <w:pPr>
        <w:tabs>
          <w:tab w:val="left" w:pos="3737"/>
        </w:tabs>
        <w:spacing w:line="240" w:lineRule="auto"/>
        <w:ind w:left="482" w:hanging="482"/>
        <w:jc w:val="both"/>
        <w:rPr>
          <w:rFonts w:ascii="Arial" w:hAnsi="Arial" w:cs="Arial"/>
          <w:sz w:val="20"/>
          <w:szCs w:val="20"/>
          <w:lang w:val="sv-SE"/>
        </w:rPr>
      </w:pPr>
      <w:r w:rsidRPr="004C0DDD">
        <w:rPr>
          <w:rFonts w:ascii="Arial" w:hAnsi="Arial" w:cs="Arial"/>
          <w:sz w:val="20"/>
          <w:szCs w:val="20"/>
          <w:lang w:val="sv-SE"/>
        </w:rPr>
        <w:t xml:space="preserve">Gaudelli, N. M., Komor, A. C., Rees, H. A., Packer, M. S., Badran, A. H., Bryson, D. I., &amp; Liu, D. R. (2017). </w:t>
      </w:r>
      <w:r w:rsidRPr="00B25D7F">
        <w:rPr>
          <w:rFonts w:ascii="Arial" w:hAnsi="Arial" w:cs="Arial"/>
          <w:sz w:val="20"/>
          <w:szCs w:val="20"/>
        </w:rPr>
        <w:t xml:space="preserve">Programmable base editing of A·T to G·C in genomic DNA without DNA cleavage. </w:t>
      </w:r>
      <w:r w:rsidRPr="004C0DDD">
        <w:rPr>
          <w:rFonts w:ascii="Arial" w:hAnsi="Arial" w:cs="Arial"/>
          <w:i/>
          <w:iCs/>
          <w:sz w:val="20"/>
          <w:szCs w:val="20"/>
          <w:lang w:val="sv-SE"/>
        </w:rPr>
        <w:t>Nature, 551</w:t>
      </w:r>
      <w:r w:rsidRPr="004C0DDD">
        <w:rPr>
          <w:rFonts w:ascii="Arial" w:hAnsi="Arial" w:cs="Arial"/>
          <w:sz w:val="20"/>
          <w:szCs w:val="20"/>
          <w:lang w:val="sv-SE"/>
        </w:rPr>
        <w:t>(7681), 464</w:t>
      </w:r>
      <w:r w:rsidR="00195BC2">
        <w:rPr>
          <w:rFonts w:ascii="Arial" w:hAnsi="Arial" w:cs="Arial"/>
          <w:sz w:val="20"/>
          <w:szCs w:val="20"/>
          <w:lang w:val="sv-SE"/>
        </w:rPr>
        <w:t>-</w:t>
      </w:r>
      <w:r w:rsidRPr="004C0DDD">
        <w:rPr>
          <w:rFonts w:ascii="Arial" w:hAnsi="Arial" w:cs="Arial"/>
          <w:sz w:val="20"/>
          <w:szCs w:val="20"/>
          <w:lang w:val="sv-SE"/>
        </w:rPr>
        <w:t xml:space="preserve">471. </w:t>
      </w:r>
      <w:hyperlink r:id="rId21" w:tgtFrame="_new" w:history="1">
        <w:r w:rsidRPr="004C0DDD">
          <w:rPr>
            <w:rStyle w:val="Hyperlink"/>
            <w:rFonts w:ascii="Arial" w:hAnsi="Arial" w:cs="Arial"/>
            <w:sz w:val="20"/>
            <w:szCs w:val="20"/>
            <w:lang w:val="sv-SE"/>
          </w:rPr>
          <w:t>https://doi.org/10.1038/nature24644</w:t>
        </w:r>
      </w:hyperlink>
    </w:p>
    <w:p w14:paraId="42253C96"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r w:rsidRPr="004C0DDD">
        <w:rPr>
          <w:rFonts w:ascii="Arial" w:hAnsi="Arial" w:cs="Arial"/>
          <w:sz w:val="20"/>
          <w:szCs w:val="20"/>
          <w:lang w:val="sv-SE"/>
        </w:rPr>
        <w:t xml:space="preserve">González, M. N., Massa, G. A., Andersson, M., Turesson, H., Olsson, N., Falt, A. S., Storani, L., Décima Oneto, C. A., Hofvander, P., &amp; Feingold, S. E. (2020). </w:t>
      </w:r>
      <w:r w:rsidRPr="00B25D7F">
        <w:rPr>
          <w:rFonts w:ascii="Arial" w:hAnsi="Arial" w:cs="Arial"/>
          <w:sz w:val="20"/>
          <w:szCs w:val="20"/>
        </w:rPr>
        <w:t xml:space="preserve">Reduced enzymatic browning in potato tubers by specific editing of a polyphenol oxidase gene via ribonucleoprotein complexes delivery of the CRISPR/Cas9 system. </w:t>
      </w:r>
      <w:r w:rsidRPr="00B25D7F">
        <w:rPr>
          <w:rFonts w:ascii="Arial" w:hAnsi="Arial" w:cs="Arial"/>
          <w:i/>
          <w:iCs/>
          <w:sz w:val="20"/>
          <w:szCs w:val="20"/>
        </w:rPr>
        <w:t>Frontiers in Plant Science, 10</w:t>
      </w:r>
      <w:r w:rsidRPr="00B25D7F">
        <w:rPr>
          <w:rFonts w:ascii="Arial" w:hAnsi="Arial" w:cs="Arial"/>
          <w:sz w:val="20"/>
          <w:szCs w:val="20"/>
        </w:rPr>
        <w:t xml:space="preserve">, 1649. </w:t>
      </w:r>
      <w:hyperlink r:id="rId22" w:tgtFrame="_new" w:history="1">
        <w:r w:rsidRPr="00B25D7F">
          <w:rPr>
            <w:rStyle w:val="Hyperlink"/>
            <w:rFonts w:ascii="Arial" w:hAnsi="Arial" w:cs="Arial"/>
            <w:sz w:val="20"/>
            <w:szCs w:val="20"/>
          </w:rPr>
          <w:t>https://doi.org/10.3389/fpls.2019.01649</w:t>
        </w:r>
      </w:hyperlink>
    </w:p>
    <w:p w14:paraId="29921192" w14:textId="0D7C83BC" w:rsidR="00B25D7F" w:rsidRPr="004C0DDD" w:rsidRDefault="00B25D7F" w:rsidP="00B25D7F">
      <w:pPr>
        <w:tabs>
          <w:tab w:val="left" w:pos="3737"/>
        </w:tabs>
        <w:spacing w:line="240" w:lineRule="auto"/>
        <w:ind w:left="482" w:hanging="482"/>
        <w:jc w:val="both"/>
        <w:rPr>
          <w:rFonts w:ascii="Arial" w:hAnsi="Arial" w:cs="Arial"/>
          <w:sz w:val="20"/>
          <w:szCs w:val="20"/>
          <w:lang w:val="sv-SE"/>
        </w:rPr>
      </w:pPr>
      <w:r w:rsidRPr="00B25D7F">
        <w:rPr>
          <w:rFonts w:ascii="Arial" w:hAnsi="Arial" w:cs="Arial"/>
          <w:sz w:val="20"/>
          <w:szCs w:val="20"/>
        </w:rPr>
        <w:t xml:space="preserve">Hospital, F. (2005). Selection in backcross programmes. </w:t>
      </w:r>
      <w:r w:rsidRPr="00B25D7F">
        <w:rPr>
          <w:rFonts w:ascii="Arial" w:hAnsi="Arial" w:cs="Arial"/>
          <w:i/>
          <w:iCs/>
          <w:sz w:val="20"/>
          <w:szCs w:val="20"/>
        </w:rPr>
        <w:t>Philosophical Transactions of the Royal Society B: Biological Sciences, 360</w:t>
      </w:r>
      <w:r w:rsidRPr="00B25D7F">
        <w:rPr>
          <w:rFonts w:ascii="Arial" w:hAnsi="Arial" w:cs="Arial"/>
          <w:sz w:val="20"/>
          <w:szCs w:val="20"/>
        </w:rPr>
        <w:t>(1459), 1503</w:t>
      </w:r>
      <w:r w:rsidR="00195BC2">
        <w:rPr>
          <w:rFonts w:ascii="Arial" w:hAnsi="Arial" w:cs="Arial"/>
          <w:sz w:val="20"/>
          <w:szCs w:val="20"/>
        </w:rPr>
        <w:t>-</w:t>
      </w:r>
      <w:r w:rsidRPr="00B25D7F">
        <w:rPr>
          <w:rFonts w:ascii="Arial" w:hAnsi="Arial" w:cs="Arial"/>
          <w:sz w:val="20"/>
          <w:szCs w:val="20"/>
        </w:rPr>
        <w:t xml:space="preserve">1511. </w:t>
      </w:r>
      <w:hyperlink r:id="rId23" w:tgtFrame="_new" w:history="1">
        <w:r w:rsidRPr="004C0DDD">
          <w:rPr>
            <w:rStyle w:val="Hyperlink"/>
            <w:rFonts w:ascii="Arial" w:hAnsi="Arial" w:cs="Arial"/>
            <w:sz w:val="20"/>
            <w:szCs w:val="20"/>
            <w:lang w:val="sv-SE"/>
          </w:rPr>
          <w:t>https://doi.org/10.1098/rstb.2005.1670</w:t>
        </w:r>
      </w:hyperlink>
    </w:p>
    <w:p w14:paraId="63B8E807" w14:textId="1839B684" w:rsidR="00B25D7F" w:rsidRPr="00B25D7F" w:rsidRDefault="00B25D7F" w:rsidP="00B25D7F">
      <w:pPr>
        <w:tabs>
          <w:tab w:val="left" w:pos="3737"/>
        </w:tabs>
        <w:spacing w:line="240" w:lineRule="auto"/>
        <w:ind w:left="482" w:hanging="482"/>
        <w:jc w:val="both"/>
        <w:rPr>
          <w:rFonts w:ascii="Arial" w:hAnsi="Arial" w:cs="Arial"/>
          <w:sz w:val="20"/>
          <w:szCs w:val="20"/>
        </w:rPr>
      </w:pPr>
      <w:r w:rsidRPr="004C0DDD">
        <w:rPr>
          <w:rFonts w:ascii="Arial" w:hAnsi="Arial" w:cs="Arial"/>
          <w:sz w:val="20"/>
          <w:szCs w:val="20"/>
          <w:lang w:val="sv-SE"/>
        </w:rPr>
        <w:t xml:space="preserve">Hu, B., Li, D., Liu, X., Qi, J., Liao, D., Wu, S., Chen, H., Jin, Y., &amp; Liu, J. (2017). </w:t>
      </w:r>
      <w:r w:rsidRPr="00B25D7F">
        <w:rPr>
          <w:rFonts w:ascii="Arial" w:hAnsi="Arial" w:cs="Arial"/>
          <w:sz w:val="20"/>
          <w:szCs w:val="20"/>
        </w:rPr>
        <w:t xml:space="preserve">Engineering non-transgenic </w:t>
      </w:r>
      <w:proofErr w:type="spellStart"/>
      <w:r w:rsidRPr="00B25D7F">
        <w:rPr>
          <w:rFonts w:ascii="Arial" w:hAnsi="Arial" w:cs="Arial"/>
          <w:sz w:val="20"/>
          <w:szCs w:val="20"/>
        </w:rPr>
        <w:t>gynoecious</w:t>
      </w:r>
      <w:proofErr w:type="spellEnd"/>
      <w:r w:rsidRPr="00B25D7F">
        <w:rPr>
          <w:rFonts w:ascii="Arial" w:hAnsi="Arial" w:cs="Arial"/>
          <w:sz w:val="20"/>
          <w:szCs w:val="20"/>
        </w:rPr>
        <w:t xml:space="preserve"> cucumber using an improved transformation protocol and homologous recombination-based gene editing. </w:t>
      </w:r>
      <w:r w:rsidRPr="00B25D7F">
        <w:rPr>
          <w:rFonts w:ascii="Arial" w:hAnsi="Arial" w:cs="Arial"/>
          <w:i/>
          <w:iCs/>
          <w:sz w:val="20"/>
          <w:szCs w:val="20"/>
        </w:rPr>
        <w:t>Molecular Plant, 10</w:t>
      </w:r>
      <w:r w:rsidRPr="00B25D7F">
        <w:rPr>
          <w:rFonts w:ascii="Arial" w:hAnsi="Arial" w:cs="Arial"/>
          <w:sz w:val="20"/>
          <w:szCs w:val="20"/>
        </w:rPr>
        <w:t>(12), 1575</w:t>
      </w:r>
      <w:r w:rsidR="00195BC2">
        <w:rPr>
          <w:rFonts w:ascii="Arial" w:hAnsi="Arial" w:cs="Arial"/>
          <w:sz w:val="20"/>
          <w:szCs w:val="20"/>
        </w:rPr>
        <w:t>-</w:t>
      </w:r>
      <w:r w:rsidRPr="00B25D7F">
        <w:rPr>
          <w:rFonts w:ascii="Arial" w:hAnsi="Arial" w:cs="Arial"/>
          <w:sz w:val="20"/>
          <w:szCs w:val="20"/>
        </w:rPr>
        <w:t xml:space="preserve">1578. </w:t>
      </w:r>
      <w:hyperlink r:id="rId24" w:tgtFrame="_new" w:history="1">
        <w:r w:rsidRPr="00B25D7F">
          <w:rPr>
            <w:rStyle w:val="Hyperlink"/>
            <w:rFonts w:ascii="Arial" w:hAnsi="Arial" w:cs="Arial"/>
            <w:sz w:val="20"/>
            <w:szCs w:val="20"/>
          </w:rPr>
          <w:t>https://doi.org/10.1016/j.molp.2017.10.007</w:t>
        </w:r>
      </w:hyperlink>
    </w:p>
    <w:p w14:paraId="47AA3427" w14:textId="49BFC54D"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Huang, X., &amp; Han, B. (2014). Natural variations and genome-wide association studies in crop plants. </w:t>
      </w:r>
      <w:r w:rsidRPr="00B25D7F">
        <w:rPr>
          <w:rFonts w:ascii="Arial" w:hAnsi="Arial" w:cs="Arial"/>
          <w:i/>
          <w:iCs/>
          <w:sz w:val="20"/>
          <w:szCs w:val="20"/>
        </w:rPr>
        <w:t>Annual Review of Plant Biology, 65</w:t>
      </w:r>
      <w:r w:rsidRPr="00B25D7F">
        <w:rPr>
          <w:rFonts w:ascii="Arial" w:hAnsi="Arial" w:cs="Arial"/>
          <w:sz w:val="20"/>
          <w:szCs w:val="20"/>
        </w:rPr>
        <w:t>, 531</w:t>
      </w:r>
      <w:r w:rsidR="00195BC2">
        <w:rPr>
          <w:rFonts w:ascii="Arial" w:hAnsi="Arial" w:cs="Arial"/>
          <w:sz w:val="20"/>
          <w:szCs w:val="20"/>
        </w:rPr>
        <w:t>-</w:t>
      </w:r>
      <w:r w:rsidRPr="00B25D7F">
        <w:rPr>
          <w:rFonts w:ascii="Arial" w:hAnsi="Arial" w:cs="Arial"/>
          <w:sz w:val="20"/>
          <w:szCs w:val="20"/>
        </w:rPr>
        <w:t xml:space="preserve">551. </w:t>
      </w:r>
      <w:hyperlink r:id="rId25" w:tgtFrame="_new" w:history="1">
        <w:r w:rsidRPr="00B25D7F">
          <w:rPr>
            <w:rStyle w:val="Hyperlink"/>
            <w:rFonts w:ascii="Arial" w:hAnsi="Arial" w:cs="Arial"/>
            <w:sz w:val="20"/>
            <w:szCs w:val="20"/>
          </w:rPr>
          <w:t>https://doi.org/10.1146/annurev-arplant-050213-035715</w:t>
        </w:r>
      </w:hyperlink>
    </w:p>
    <w:p w14:paraId="450D2E77" w14:textId="09019E22"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Ji, Y., Scott, J. W., Schuster, D. J., &amp; Maxwell, D. P. (2007). Molecular mapping of Ty-4, a new tomato yellow leaf curl virus resistance locus on chromosome 3 of tomato. </w:t>
      </w:r>
      <w:r w:rsidRPr="00B25D7F">
        <w:rPr>
          <w:rFonts w:ascii="Arial" w:hAnsi="Arial" w:cs="Arial"/>
          <w:i/>
          <w:iCs/>
          <w:sz w:val="20"/>
          <w:szCs w:val="20"/>
        </w:rPr>
        <w:t>Journal of the American Society for Horticultural Science, 132</w:t>
      </w:r>
      <w:r w:rsidRPr="00B25D7F">
        <w:rPr>
          <w:rFonts w:ascii="Arial" w:hAnsi="Arial" w:cs="Arial"/>
          <w:sz w:val="20"/>
          <w:szCs w:val="20"/>
        </w:rPr>
        <w:t>(6), 814</w:t>
      </w:r>
      <w:r w:rsidR="00195BC2">
        <w:rPr>
          <w:rFonts w:ascii="Arial" w:hAnsi="Arial" w:cs="Arial"/>
          <w:sz w:val="20"/>
          <w:szCs w:val="20"/>
        </w:rPr>
        <w:t>-</w:t>
      </w:r>
      <w:r w:rsidRPr="00B25D7F">
        <w:rPr>
          <w:rFonts w:ascii="Arial" w:hAnsi="Arial" w:cs="Arial"/>
          <w:sz w:val="20"/>
          <w:szCs w:val="20"/>
        </w:rPr>
        <w:t xml:space="preserve">819. </w:t>
      </w:r>
      <w:hyperlink r:id="rId26" w:tgtFrame="_new" w:history="1">
        <w:r w:rsidRPr="00B25D7F">
          <w:rPr>
            <w:rStyle w:val="Hyperlink"/>
            <w:rFonts w:ascii="Arial" w:hAnsi="Arial" w:cs="Arial"/>
            <w:sz w:val="20"/>
            <w:szCs w:val="20"/>
          </w:rPr>
          <w:t>https://doi.org/10.21273/JASHS.132.6.814</w:t>
        </w:r>
      </w:hyperlink>
    </w:p>
    <w:p w14:paraId="25BC73FB" w14:textId="3D0C0888"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Jia, H., </w:t>
      </w:r>
      <w:proofErr w:type="spellStart"/>
      <w:r w:rsidRPr="00B25D7F">
        <w:rPr>
          <w:rFonts w:ascii="Arial" w:hAnsi="Arial" w:cs="Arial"/>
          <w:sz w:val="20"/>
          <w:szCs w:val="20"/>
        </w:rPr>
        <w:t>Orbovic</w:t>
      </w:r>
      <w:proofErr w:type="spellEnd"/>
      <w:r w:rsidRPr="00B25D7F">
        <w:rPr>
          <w:rFonts w:ascii="Arial" w:hAnsi="Arial" w:cs="Arial"/>
          <w:sz w:val="20"/>
          <w:szCs w:val="20"/>
        </w:rPr>
        <w:t xml:space="preserve">, V., Jones, J. B., &amp; Wang, N. (2017). Modification of the PthA4 effector binding elements in type I </w:t>
      </w:r>
      <w:r w:rsidRPr="00B25D7F">
        <w:rPr>
          <w:rFonts w:ascii="Arial" w:hAnsi="Arial" w:cs="Arial"/>
          <w:i/>
          <w:iCs/>
          <w:sz w:val="20"/>
          <w:szCs w:val="20"/>
        </w:rPr>
        <w:t>CsLOB1</w:t>
      </w:r>
      <w:r w:rsidRPr="00B25D7F">
        <w:rPr>
          <w:rFonts w:ascii="Arial" w:hAnsi="Arial" w:cs="Arial"/>
          <w:sz w:val="20"/>
          <w:szCs w:val="20"/>
        </w:rPr>
        <w:t xml:space="preserve"> promoter using Cas9/sgRNA to produce transgenic Duncan grapefruit alleviating </w:t>
      </w:r>
      <w:r w:rsidRPr="00B25D7F">
        <w:rPr>
          <w:rFonts w:ascii="Arial" w:hAnsi="Arial" w:cs="Arial"/>
          <w:i/>
          <w:iCs/>
          <w:sz w:val="20"/>
          <w:szCs w:val="20"/>
        </w:rPr>
        <w:t>XccΔpthA4</w:t>
      </w:r>
      <w:r w:rsidRPr="00B25D7F">
        <w:rPr>
          <w:rFonts w:ascii="Arial" w:hAnsi="Arial" w:cs="Arial"/>
          <w:sz w:val="20"/>
          <w:szCs w:val="20"/>
        </w:rPr>
        <w:t xml:space="preserve">-elicited canker symptoms. </w:t>
      </w:r>
      <w:r w:rsidRPr="00B25D7F">
        <w:rPr>
          <w:rFonts w:ascii="Arial" w:hAnsi="Arial" w:cs="Arial"/>
          <w:i/>
          <w:iCs/>
          <w:sz w:val="20"/>
          <w:szCs w:val="20"/>
        </w:rPr>
        <w:t>Plant Biotechnology Journal, 14</w:t>
      </w:r>
      <w:r w:rsidRPr="00B25D7F">
        <w:rPr>
          <w:rFonts w:ascii="Arial" w:hAnsi="Arial" w:cs="Arial"/>
          <w:sz w:val="20"/>
          <w:szCs w:val="20"/>
        </w:rPr>
        <w:t>(5), 1291</w:t>
      </w:r>
      <w:r w:rsidR="00195BC2">
        <w:rPr>
          <w:rFonts w:ascii="Arial" w:hAnsi="Arial" w:cs="Arial"/>
          <w:sz w:val="20"/>
          <w:szCs w:val="20"/>
        </w:rPr>
        <w:t>-</w:t>
      </w:r>
      <w:r w:rsidRPr="00B25D7F">
        <w:rPr>
          <w:rFonts w:ascii="Arial" w:hAnsi="Arial" w:cs="Arial"/>
          <w:sz w:val="20"/>
          <w:szCs w:val="20"/>
        </w:rPr>
        <w:t xml:space="preserve">1301. </w:t>
      </w:r>
      <w:hyperlink r:id="rId27" w:tgtFrame="_new" w:history="1">
        <w:r w:rsidRPr="00B25D7F">
          <w:rPr>
            <w:rStyle w:val="Hyperlink"/>
            <w:rFonts w:ascii="Arial" w:hAnsi="Arial" w:cs="Arial"/>
            <w:sz w:val="20"/>
            <w:szCs w:val="20"/>
          </w:rPr>
          <w:t>https://doi.org/10.1111/pbi.12495</w:t>
        </w:r>
      </w:hyperlink>
    </w:p>
    <w:p w14:paraId="49BA3B7A"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Kim, S., Park, J., </w:t>
      </w:r>
      <w:proofErr w:type="spellStart"/>
      <w:r w:rsidRPr="00B25D7F">
        <w:rPr>
          <w:rFonts w:ascii="Arial" w:hAnsi="Arial" w:cs="Arial"/>
          <w:sz w:val="20"/>
          <w:szCs w:val="20"/>
        </w:rPr>
        <w:t>Yeom</w:t>
      </w:r>
      <w:proofErr w:type="spellEnd"/>
      <w:r w:rsidRPr="00B25D7F">
        <w:rPr>
          <w:rFonts w:ascii="Arial" w:hAnsi="Arial" w:cs="Arial"/>
          <w:sz w:val="20"/>
          <w:szCs w:val="20"/>
        </w:rPr>
        <w:t xml:space="preserve">, S. I., Kim, Y. M., </w:t>
      </w:r>
      <w:proofErr w:type="spellStart"/>
      <w:r w:rsidRPr="00B25D7F">
        <w:rPr>
          <w:rFonts w:ascii="Arial" w:hAnsi="Arial" w:cs="Arial"/>
          <w:sz w:val="20"/>
          <w:szCs w:val="20"/>
        </w:rPr>
        <w:t>Seo</w:t>
      </w:r>
      <w:proofErr w:type="spellEnd"/>
      <w:r w:rsidRPr="00B25D7F">
        <w:rPr>
          <w:rFonts w:ascii="Arial" w:hAnsi="Arial" w:cs="Arial"/>
          <w:sz w:val="20"/>
          <w:szCs w:val="20"/>
        </w:rPr>
        <w:t xml:space="preserve">, E., Kim, K. T., Kim, M. S., Lee, J. M., Cheong, K., Shin, H. S., Kim, S. B., Han, K., Lee, J., Park, M., Lee, H. A., Lee, H. Y., Lee, Y., Oh, S., &amp; Choi, D. (2018). New reference genome sequences of hot pepper reveal the massive evolution of plant disease-resistance genes by retroduplication. </w:t>
      </w:r>
      <w:r w:rsidRPr="00B25D7F">
        <w:rPr>
          <w:rFonts w:ascii="Arial" w:hAnsi="Arial" w:cs="Arial"/>
          <w:i/>
          <w:iCs/>
          <w:sz w:val="20"/>
          <w:szCs w:val="20"/>
        </w:rPr>
        <w:t>Genome Biology, 18</w:t>
      </w:r>
      <w:r w:rsidRPr="00B25D7F">
        <w:rPr>
          <w:rFonts w:ascii="Arial" w:hAnsi="Arial" w:cs="Arial"/>
          <w:sz w:val="20"/>
          <w:szCs w:val="20"/>
        </w:rPr>
        <w:t xml:space="preserve">(1), 210. </w:t>
      </w:r>
      <w:hyperlink r:id="rId28" w:tgtFrame="_new" w:history="1">
        <w:r w:rsidRPr="00B25D7F">
          <w:rPr>
            <w:rStyle w:val="Hyperlink"/>
            <w:rFonts w:ascii="Arial" w:hAnsi="Arial" w:cs="Arial"/>
            <w:sz w:val="20"/>
            <w:szCs w:val="20"/>
          </w:rPr>
          <w:t>https://doi.org/10.1186/s13059-017-1341-9</w:t>
        </w:r>
      </w:hyperlink>
    </w:p>
    <w:p w14:paraId="08888241" w14:textId="34721045"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Komor</w:t>
      </w:r>
      <w:proofErr w:type="spellEnd"/>
      <w:r w:rsidRPr="00B25D7F">
        <w:rPr>
          <w:rFonts w:ascii="Arial" w:hAnsi="Arial" w:cs="Arial"/>
          <w:sz w:val="20"/>
          <w:szCs w:val="20"/>
        </w:rPr>
        <w:t xml:space="preserve">, A. C., Kim, Y. B., Packer, M. S., </w:t>
      </w:r>
      <w:proofErr w:type="spellStart"/>
      <w:r w:rsidRPr="00B25D7F">
        <w:rPr>
          <w:rFonts w:ascii="Arial" w:hAnsi="Arial" w:cs="Arial"/>
          <w:sz w:val="20"/>
          <w:szCs w:val="20"/>
        </w:rPr>
        <w:t>Zuris</w:t>
      </w:r>
      <w:proofErr w:type="spellEnd"/>
      <w:r w:rsidRPr="00B25D7F">
        <w:rPr>
          <w:rFonts w:ascii="Arial" w:hAnsi="Arial" w:cs="Arial"/>
          <w:sz w:val="20"/>
          <w:szCs w:val="20"/>
        </w:rPr>
        <w:t xml:space="preserve">, J. A., &amp; Liu, D. R. (2016). Programmable editing of a target base in genomic DNA without double-stranded DNA cleavage. </w:t>
      </w:r>
      <w:r w:rsidRPr="00B25D7F">
        <w:rPr>
          <w:rFonts w:ascii="Arial" w:hAnsi="Arial" w:cs="Arial"/>
          <w:i/>
          <w:iCs/>
          <w:sz w:val="20"/>
          <w:szCs w:val="20"/>
        </w:rPr>
        <w:t>Nature, 533</w:t>
      </w:r>
      <w:r w:rsidRPr="00B25D7F">
        <w:rPr>
          <w:rFonts w:ascii="Arial" w:hAnsi="Arial" w:cs="Arial"/>
          <w:sz w:val="20"/>
          <w:szCs w:val="20"/>
        </w:rPr>
        <w:t>(7603), 420</w:t>
      </w:r>
      <w:r w:rsidR="00195BC2">
        <w:rPr>
          <w:rFonts w:ascii="Arial" w:hAnsi="Arial" w:cs="Arial"/>
          <w:sz w:val="20"/>
          <w:szCs w:val="20"/>
        </w:rPr>
        <w:t>-</w:t>
      </w:r>
      <w:r w:rsidRPr="00B25D7F">
        <w:rPr>
          <w:rFonts w:ascii="Arial" w:hAnsi="Arial" w:cs="Arial"/>
          <w:sz w:val="20"/>
          <w:szCs w:val="20"/>
        </w:rPr>
        <w:t xml:space="preserve">424. </w:t>
      </w:r>
      <w:hyperlink r:id="rId29" w:tgtFrame="_new" w:history="1">
        <w:r w:rsidRPr="00B25D7F">
          <w:rPr>
            <w:rStyle w:val="Hyperlink"/>
            <w:rFonts w:ascii="Arial" w:hAnsi="Arial" w:cs="Arial"/>
            <w:sz w:val="20"/>
            <w:szCs w:val="20"/>
          </w:rPr>
          <w:t>https://doi.org/10.1038/nature17946</w:t>
        </w:r>
      </w:hyperlink>
    </w:p>
    <w:p w14:paraId="77F99D4D"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lastRenderedPageBreak/>
        <w:t xml:space="preserve">Kumar, S., </w:t>
      </w:r>
      <w:proofErr w:type="spellStart"/>
      <w:r w:rsidRPr="00B25D7F">
        <w:rPr>
          <w:rFonts w:ascii="Arial" w:hAnsi="Arial" w:cs="Arial"/>
          <w:sz w:val="20"/>
          <w:szCs w:val="20"/>
        </w:rPr>
        <w:t>Chagné</w:t>
      </w:r>
      <w:proofErr w:type="spellEnd"/>
      <w:r w:rsidRPr="00B25D7F">
        <w:rPr>
          <w:rFonts w:ascii="Arial" w:hAnsi="Arial" w:cs="Arial"/>
          <w:sz w:val="20"/>
          <w:szCs w:val="20"/>
        </w:rPr>
        <w:t>, D., Bink, M. C., Volz, R. K., Whitworth, C., &amp; Carlisle, C. (2012). Genomic selection for fruit quality traits in apple (</w:t>
      </w:r>
      <w:proofErr w:type="spellStart"/>
      <w:r w:rsidRPr="00B25D7F">
        <w:rPr>
          <w:rFonts w:ascii="Arial" w:hAnsi="Arial" w:cs="Arial"/>
          <w:i/>
          <w:iCs/>
          <w:sz w:val="20"/>
          <w:szCs w:val="20"/>
        </w:rPr>
        <w:t>Malus</w:t>
      </w:r>
      <w:proofErr w:type="spellEnd"/>
      <w:r w:rsidRPr="00B25D7F">
        <w:rPr>
          <w:rFonts w:ascii="Arial" w:hAnsi="Arial" w:cs="Arial"/>
          <w:i/>
          <w:iCs/>
          <w:sz w:val="20"/>
          <w:szCs w:val="20"/>
        </w:rPr>
        <w:t xml:space="preserve"> × </w:t>
      </w:r>
      <w:proofErr w:type="spellStart"/>
      <w:r w:rsidRPr="00B25D7F">
        <w:rPr>
          <w:rFonts w:ascii="Arial" w:hAnsi="Arial" w:cs="Arial"/>
          <w:i/>
          <w:iCs/>
          <w:sz w:val="20"/>
          <w:szCs w:val="20"/>
        </w:rPr>
        <w:t>domestica</w:t>
      </w:r>
      <w:proofErr w:type="spellEnd"/>
      <w:r w:rsidRPr="00B25D7F">
        <w:rPr>
          <w:rFonts w:ascii="Arial" w:hAnsi="Arial" w:cs="Arial"/>
          <w:sz w:val="20"/>
          <w:szCs w:val="20"/>
        </w:rPr>
        <w:t xml:space="preserve"> </w:t>
      </w:r>
      <w:proofErr w:type="spellStart"/>
      <w:r w:rsidRPr="00B25D7F">
        <w:rPr>
          <w:rFonts w:ascii="Arial" w:hAnsi="Arial" w:cs="Arial"/>
          <w:sz w:val="20"/>
          <w:szCs w:val="20"/>
        </w:rPr>
        <w:t>Borkh</w:t>
      </w:r>
      <w:proofErr w:type="spellEnd"/>
      <w:r w:rsidRPr="00B25D7F">
        <w:rPr>
          <w:rFonts w:ascii="Arial" w:hAnsi="Arial" w:cs="Arial"/>
          <w:sz w:val="20"/>
          <w:szCs w:val="20"/>
        </w:rPr>
        <w:t xml:space="preserve">.). </w:t>
      </w:r>
      <w:r w:rsidRPr="00B25D7F">
        <w:rPr>
          <w:rFonts w:ascii="Arial" w:hAnsi="Arial" w:cs="Arial"/>
          <w:i/>
          <w:iCs/>
          <w:sz w:val="20"/>
          <w:szCs w:val="20"/>
        </w:rPr>
        <w:t>PLOS ONE, 7</w:t>
      </w:r>
      <w:r w:rsidRPr="00B25D7F">
        <w:rPr>
          <w:rFonts w:ascii="Arial" w:hAnsi="Arial" w:cs="Arial"/>
          <w:sz w:val="20"/>
          <w:szCs w:val="20"/>
        </w:rPr>
        <w:t xml:space="preserve">(5), e36674. </w:t>
      </w:r>
      <w:hyperlink r:id="rId30" w:tgtFrame="_new" w:history="1">
        <w:r w:rsidRPr="00B25D7F">
          <w:rPr>
            <w:rStyle w:val="Hyperlink"/>
            <w:rFonts w:ascii="Arial" w:hAnsi="Arial" w:cs="Arial"/>
            <w:sz w:val="20"/>
            <w:szCs w:val="20"/>
          </w:rPr>
          <w:t>https://doi.org/10.1371/journal.pone.0036674</w:t>
        </w:r>
      </w:hyperlink>
    </w:p>
    <w:p w14:paraId="3E147AD3"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Li, C., </w:t>
      </w:r>
      <w:proofErr w:type="spellStart"/>
      <w:r w:rsidRPr="00B25D7F">
        <w:rPr>
          <w:rFonts w:ascii="Arial" w:hAnsi="Arial" w:cs="Arial"/>
          <w:sz w:val="20"/>
          <w:szCs w:val="20"/>
        </w:rPr>
        <w:t>Zong</w:t>
      </w:r>
      <w:proofErr w:type="spellEnd"/>
      <w:r w:rsidRPr="00B25D7F">
        <w:rPr>
          <w:rFonts w:ascii="Arial" w:hAnsi="Arial" w:cs="Arial"/>
          <w:sz w:val="20"/>
          <w:szCs w:val="20"/>
        </w:rPr>
        <w:t xml:space="preserve">, Y., Wang, Y., </w:t>
      </w:r>
      <w:proofErr w:type="spellStart"/>
      <w:r w:rsidRPr="00B25D7F">
        <w:rPr>
          <w:rFonts w:ascii="Arial" w:hAnsi="Arial" w:cs="Arial"/>
          <w:sz w:val="20"/>
          <w:szCs w:val="20"/>
        </w:rPr>
        <w:t>Jin</w:t>
      </w:r>
      <w:proofErr w:type="spellEnd"/>
      <w:r w:rsidRPr="00B25D7F">
        <w:rPr>
          <w:rFonts w:ascii="Arial" w:hAnsi="Arial" w:cs="Arial"/>
          <w:sz w:val="20"/>
          <w:szCs w:val="20"/>
        </w:rPr>
        <w:t xml:space="preserve">, S., Zhang, D., Song, Q., Zhang, R., &amp; Gao, C. (2018). Expanded base editing in rice and wheat using a Cas9-adenosine deaminase fusion. </w:t>
      </w:r>
      <w:r w:rsidRPr="00B25D7F">
        <w:rPr>
          <w:rFonts w:ascii="Arial" w:hAnsi="Arial" w:cs="Arial"/>
          <w:i/>
          <w:iCs/>
          <w:sz w:val="20"/>
          <w:szCs w:val="20"/>
        </w:rPr>
        <w:t>Genome Biology, 19</w:t>
      </w:r>
      <w:r w:rsidRPr="00B25D7F">
        <w:rPr>
          <w:rFonts w:ascii="Arial" w:hAnsi="Arial" w:cs="Arial"/>
          <w:sz w:val="20"/>
          <w:szCs w:val="20"/>
        </w:rPr>
        <w:t xml:space="preserve">(1), 59. </w:t>
      </w:r>
      <w:hyperlink r:id="rId31" w:tgtFrame="_new" w:history="1">
        <w:r w:rsidRPr="00B25D7F">
          <w:rPr>
            <w:rStyle w:val="Hyperlink"/>
            <w:rFonts w:ascii="Arial" w:hAnsi="Arial" w:cs="Arial"/>
            <w:sz w:val="20"/>
            <w:szCs w:val="20"/>
          </w:rPr>
          <w:t>https://doi.org/10.1186/s13059-018-1443-z</w:t>
        </w:r>
      </w:hyperlink>
    </w:p>
    <w:p w14:paraId="32B8C134" w14:textId="29FD9F53"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Lin, Q., </w:t>
      </w:r>
      <w:proofErr w:type="spellStart"/>
      <w:r w:rsidRPr="00B25D7F">
        <w:rPr>
          <w:rFonts w:ascii="Arial" w:hAnsi="Arial" w:cs="Arial"/>
          <w:sz w:val="20"/>
          <w:szCs w:val="20"/>
        </w:rPr>
        <w:t>Zong</w:t>
      </w:r>
      <w:proofErr w:type="spellEnd"/>
      <w:r w:rsidRPr="00B25D7F">
        <w:rPr>
          <w:rFonts w:ascii="Arial" w:hAnsi="Arial" w:cs="Arial"/>
          <w:sz w:val="20"/>
          <w:szCs w:val="20"/>
        </w:rPr>
        <w:t xml:space="preserve">, Y., </w:t>
      </w:r>
      <w:proofErr w:type="spellStart"/>
      <w:r w:rsidRPr="00B25D7F">
        <w:rPr>
          <w:rFonts w:ascii="Arial" w:hAnsi="Arial" w:cs="Arial"/>
          <w:sz w:val="20"/>
          <w:szCs w:val="20"/>
        </w:rPr>
        <w:t>Xue</w:t>
      </w:r>
      <w:proofErr w:type="spellEnd"/>
      <w:r w:rsidRPr="00B25D7F">
        <w:rPr>
          <w:rFonts w:ascii="Arial" w:hAnsi="Arial" w:cs="Arial"/>
          <w:sz w:val="20"/>
          <w:szCs w:val="20"/>
        </w:rPr>
        <w:t xml:space="preserve">, C., Wang, S., </w:t>
      </w:r>
      <w:proofErr w:type="spellStart"/>
      <w:r w:rsidRPr="00B25D7F">
        <w:rPr>
          <w:rFonts w:ascii="Arial" w:hAnsi="Arial" w:cs="Arial"/>
          <w:sz w:val="20"/>
          <w:szCs w:val="20"/>
        </w:rPr>
        <w:t>Jin</w:t>
      </w:r>
      <w:proofErr w:type="spellEnd"/>
      <w:r w:rsidRPr="00B25D7F">
        <w:rPr>
          <w:rFonts w:ascii="Arial" w:hAnsi="Arial" w:cs="Arial"/>
          <w:sz w:val="20"/>
          <w:szCs w:val="20"/>
        </w:rPr>
        <w:t xml:space="preserve">, S., Zhu, Z., Wang, Y., Anzalone, A. V., </w:t>
      </w:r>
      <w:proofErr w:type="spellStart"/>
      <w:r w:rsidRPr="00B25D7F">
        <w:rPr>
          <w:rFonts w:ascii="Arial" w:hAnsi="Arial" w:cs="Arial"/>
          <w:sz w:val="20"/>
          <w:szCs w:val="20"/>
        </w:rPr>
        <w:t>Raguram</w:t>
      </w:r>
      <w:proofErr w:type="spellEnd"/>
      <w:r w:rsidRPr="00B25D7F">
        <w:rPr>
          <w:rFonts w:ascii="Arial" w:hAnsi="Arial" w:cs="Arial"/>
          <w:sz w:val="20"/>
          <w:szCs w:val="20"/>
        </w:rPr>
        <w:t xml:space="preserve">, A., Doman, J. L., Liu, D. R., &amp; Gao, C. (2020). Prime genome editing in rice and wheat. </w:t>
      </w:r>
      <w:r w:rsidRPr="00B25D7F">
        <w:rPr>
          <w:rFonts w:ascii="Arial" w:hAnsi="Arial" w:cs="Arial"/>
          <w:i/>
          <w:iCs/>
          <w:sz w:val="20"/>
          <w:szCs w:val="20"/>
        </w:rPr>
        <w:t>Nature Biotechnology, 38</w:t>
      </w:r>
      <w:r w:rsidRPr="00B25D7F">
        <w:rPr>
          <w:rFonts w:ascii="Arial" w:hAnsi="Arial" w:cs="Arial"/>
          <w:sz w:val="20"/>
          <w:szCs w:val="20"/>
        </w:rPr>
        <w:t>(5), 582</w:t>
      </w:r>
      <w:r w:rsidR="00195BC2">
        <w:rPr>
          <w:rFonts w:ascii="Arial" w:hAnsi="Arial" w:cs="Arial"/>
          <w:sz w:val="20"/>
          <w:szCs w:val="20"/>
        </w:rPr>
        <w:t>-</w:t>
      </w:r>
      <w:r w:rsidRPr="00B25D7F">
        <w:rPr>
          <w:rFonts w:ascii="Arial" w:hAnsi="Arial" w:cs="Arial"/>
          <w:sz w:val="20"/>
          <w:szCs w:val="20"/>
        </w:rPr>
        <w:t xml:space="preserve">585. </w:t>
      </w:r>
      <w:hyperlink r:id="rId32" w:tgtFrame="_new" w:history="1">
        <w:r w:rsidRPr="00B25D7F">
          <w:rPr>
            <w:rStyle w:val="Hyperlink"/>
            <w:rFonts w:ascii="Arial" w:hAnsi="Arial" w:cs="Arial"/>
            <w:sz w:val="20"/>
            <w:szCs w:val="20"/>
          </w:rPr>
          <w:t>https://doi.org/10.1038/s41587-020-0455-x</w:t>
        </w:r>
      </w:hyperlink>
    </w:p>
    <w:p w14:paraId="74D8A57B" w14:textId="0808A8A0"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Lindqvist-Kreuze</w:t>
      </w:r>
      <w:proofErr w:type="spellEnd"/>
      <w:r w:rsidRPr="00B25D7F">
        <w:rPr>
          <w:rFonts w:ascii="Arial" w:hAnsi="Arial" w:cs="Arial"/>
          <w:sz w:val="20"/>
          <w:szCs w:val="20"/>
        </w:rPr>
        <w:t xml:space="preserve">, H., </w:t>
      </w:r>
      <w:proofErr w:type="spellStart"/>
      <w:r w:rsidRPr="00B25D7F">
        <w:rPr>
          <w:rFonts w:ascii="Arial" w:hAnsi="Arial" w:cs="Arial"/>
          <w:sz w:val="20"/>
          <w:szCs w:val="20"/>
        </w:rPr>
        <w:t>Gastelo</w:t>
      </w:r>
      <w:proofErr w:type="spellEnd"/>
      <w:r w:rsidRPr="00B25D7F">
        <w:rPr>
          <w:rFonts w:ascii="Arial" w:hAnsi="Arial" w:cs="Arial"/>
          <w:sz w:val="20"/>
          <w:szCs w:val="20"/>
        </w:rPr>
        <w:t xml:space="preserve">, M., Perez, W., Forbes, G. A., de </w:t>
      </w:r>
      <w:proofErr w:type="spellStart"/>
      <w:r w:rsidRPr="00B25D7F">
        <w:rPr>
          <w:rFonts w:ascii="Arial" w:hAnsi="Arial" w:cs="Arial"/>
          <w:sz w:val="20"/>
          <w:szCs w:val="20"/>
        </w:rPr>
        <w:t>Boeck</w:t>
      </w:r>
      <w:proofErr w:type="spellEnd"/>
      <w:r w:rsidRPr="00B25D7F">
        <w:rPr>
          <w:rFonts w:ascii="Arial" w:hAnsi="Arial" w:cs="Arial"/>
          <w:sz w:val="20"/>
          <w:szCs w:val="20"/>
        </w:rPr>
        <w:t xml:space="preserve">, B., </w:t>
      </w:r>
      <w:proofErr w:type="spellStart"/>
      <w:r w:rsidRPr="00B25D7F">
        <w:rPr>
          <w:rFonts w:ascii="Arial" w:hAnsi="Arial" w:cs="Arial"/>
          <w:sz w:val="20"/>
          <w:szCs w:val="20"/>
        </w:rPr>
        <w:t>Bonierbale</w:t>
      </w:r>
      <w:proofErr w:type="spellEnd"/>
      <w:r w:rsidRPr="00B25D7F">
        <w:rPr>
          <w:rFonts w:ascii="Arial" w:hAnsi="Arial" w:cs="Arial"/>
          <w:sz w:val="20"/>
          <w:szCs w:val="20"/>
        </w:rPr>
        <w:t xml:space="preserve">, M., &amp; </w:t>
      </w:r>
      <w:proofErr w:type="spellStart"/>
      <w:r w:rsidRPr="00B25D7F">
        <w:rPr>
          <w:rFonts w:ascii="Arial" w:hAnsi="Arial" w:cs="Arial"/>
          <w:sz w:val="20"/>
          <w:szCs w:val="20"/>
        </w:rPr>
        <w:t>Ghislain</w:t>
      </w:r>
      <w:proofErr w:type="spellEnd"/>
      <w:r w:rsidRPr="00B25D7F">
        <w:rPr>
          <w:rFonts w:ascii="Arial" w:hAnsi="Arial" w:cs="Arial"/>
          <w:sz w:val="20"/>
          <w:szCs w:val="20"/>
        </w:rPr>
        <w:t xml:space="preserve">, M. (2020). Phenotypic stability and genome-wide association study of late blight resistance in potato genotypes evaluated under diverse environments. </w:t>
      </w:r>
      <w:r w:rsidRPr="00B25D7F">
        <w:rPr>
          <w:rFonts w:ascii="Arial" w:hAnsi="Arial" w:cs="Arial"/>
          <w:i/>
          <w:iCs/>
          <w:sz w:val="20"/>
          <w:szCs w:val="20"/>
        </w:rPr>
        <w:t>Phytopathology, 104</w:t>
      </w:r>
      <w:r w:rsidRPr="00B25D7F">
        <w:rPr>
          <w:rFonts w:ascii="Arial" w:hAnsi="Arial" w:cs="Arial"/>
          <w:sz w:val="20"/>
          <w:szCs w:val="20"/>
        </w:rPr>
        <w:t>(6), 624</w:t>
      </w:r>
      <w:r w:rsidR="00195BC2">
        <w:rPr>
          <w:rFonts w:ascii="Arial" w:hAnsi="Arial" w:cs="Arial"/>
          <w:sz w:val="20"/>
          <w:szCs w:val="20"/>
        </w:rPr>
        <w:t>-</w:t>
      </w:r>
      <w:r w:rsidRPr="00B25D7F">
        <w:rPr>
          <w:rFonts w:ascii="Arial" w:hAnsi="Arial" w:cs="Arial"/>
          <w:sz w:val="20"/>
          <w:szCs w:val="20"/>
        </w:rPr>
        <w:t xml:space="preserve">633. </w:t>
      </w:r>
      <w:hyperlink r:id="rId33" w:tgtFrame="_new" w:history="1">
        <w:r w:rsidRPr="00B25D7F">
          <w:rPr>
            <w:rStyle w:val="Hyperlink"/>
            <w:rFonts w:ascii="Arial" w:hAnsi="Arial" w:cs="Arial"/>
            <w:sz w:val="20"/>
            <w:szCs w:val="20"/>
          </w:rPr>
          <w:t>https://doi.org/10.1094/PHYTO-03-13-0073-R</w:t>
        </w:r>
      </w:hyperlink>
    </w:p>
    <w:p w14:paraId="3651455D" w14:textId="767CA0A4" w:rsidR="00B25D7F" w:rsidRPr="00B25D7F" w:rsidRDefault="00B25D7F" w:rsidP="00B25D7F">
      <w:pPr>
        <w:tabs>
          <w:tab w:val="left" w:pos="3737"/>
        </w:tabs>
        <w:spacing w:line="240" w:lineRule="auto"/>
        <w:ind w:left="482" w:hanging="482"/>
        <w:jc w:val="both"/>
        <w:rPr>
          <w:rFonts w:ascii="Arial" w:hAnsi="Arial" w:cs="Arial"/>
          <w:sz w:val="20"/>
          <w:szCs w:val="20"/>
        </w:rPr>
      </w:pPr>
      <w:r w:rsidRPr="00B25D7F">
        <w:rPr>
          <w:rFonts w:ascii="Arial" w:hAnsi="Arial" w:cs="Arial"/>
          <w:sz w:val="20"/>
          <w:szCs w:val="20"/>
        </w:rPr>
        <w:t xml:space="preserve">Lucht, J. M. (2015). Public acceptance of plant biotechnology and GM crops. </w:t>
      </w:r>
      <w:r w:rsidRPr="00B25D7F">
        <w:rPr>
          <w:rFonts w:ascii="Arial" w:hAnsi="Arial" w:cs="Arial"/>
          <w:i/>
          <w:iCs/>
          <w:sz w:val="20"/>
          <w:szCs w:val="20"/>
        </w:rPr>
        <w:t>Viruses, 7</w:t>
      </w:r>
      <w:r w:rsidRPr="00B25D7F">
        <w:rPr>
          <w:rFonts w:ascii="Arial" w:hAnsi="Arial" w:cs="Arial"/>
          <w:sz w:val="20"/>
          <w:szCs w:val="20"/>
        </w:rPr>
        <w:t>(8), 4254</w:t>
      </w:r>
      <w:r w:rsidR="00195BC2">
        <w:rPr>
          <w:rFonts w:ascii="Arial" w:hAnsi="Arial" w:cs="Arial"/>
          <w:sz w:val="20"/>
          <w:szCs w:val="20"/>
        </w:rPr>
        <w:t>-</w:t>
      </w:r>
      <w:r w:rsidRPr="00B25D7F">
        <w:rPr>
          <w:rFonts w:ascii="Arial" w:hAnsi="Arial" w:cs="Arial"/>
          <w:sz w:val="20"/>
          <w:szCs w:val="20"/>
        </w:rPr>
        <w:t xml:space="preserve">4281. </w:t>
      </w:r>
      <w:hyperlink r:id="rId34" w:tgtFrame="_new" w:history="1">
        <w:r w:rsidRPr="00B25D7F">
          <w:rPr>
            <w:rStyle w:val="Hyperlink"/>
            <w:rFonts w:ascii="Arial" w:hAnsi="Arial" w:cs="Arial"/>
            <w:sz w:val="20"/>
            <w:szCs w:val="20"/>
          </w:rPr>
          <w:t>https://doi.org/10.3390/v7082819</w:t>
        </w:r>
      </w:hyperlink>
    </w:p>
    <w:p w14:paraId="66DEC6FE" w14:textId="77777777"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Malnoy</w:t>
      </w:r>
      <w:proofErr w:type="spellEnd"/>
      <w:r w:rsidRPr="00B25D7F">
        <w:rPr>
          <w:rFonts w:ascii="Arial" w:hAnsi="Arial" w:cs="Arial"/>
          <w:sz w:val="20"/>
          <w:szCs w:val="20"/>
        </w:rPr>
        <w:t xml:space="preserve">, M., Viola, R., Jung, M. H., Koo, O. J., Kim, S., Kim, J. S., Velasco, R., &amp; Nagamangala </w:t>
      </w:r>
      <w:proofErr w:type="spellStart"/>
      <w:r w:rsidRPr="00B25D7F">
        <w:rPr>
          <w:rFonts w:ascii="Arial" w:hAnsi="Arial" w:cs="Arial"/>
          <w:sz w:val="20"/>
          <w:szCs w:val="20"/>
        </w:rPr>
        <w:t>Kanchiswamy</w:t>
      </w:r>
      <w:proofErr w:type="spellEnd"/>
      <w:r w:rsidRPr="00B25D7F">
        <w:rPr>
          <w:rFonts w:ascii="Arial" w:hAnsi="Arial" w:cs="Arial"/>
          <w:sz w:val="20"/>
          <w:szCs w:val="20"/>
        </w:rPr>
        <w:t xml:space="preserve">, C. (2016). DNA-free genetically edited grapevine and apple protoplasts using CRISPR/Cas9 ribonucleoproteins. </w:t>
      </w:r>
      <w:r w:rsidRPr="00B25D7F">
        <w:rPr>
          <w:rFonts w:ascii="Arial" w:hAnsi="Arial" w:cs="Arial"/>
          <w:i/>
          <w:iCs/>
          <w:sz w:val="20"/>
          <w:szCs w:val="20"/>
        </w:rPr>
        <w:t>Frontiers in Plant Science, 7</w:t>
      </w:r>
      <w:r w:rsidRPr="00B25D7F">
        <w:rPr>
          <w:rFonts w:ascii="Arial" w:hAnsi="Arial" w:cs="Arial"/>
          <w:sz w:val="20"/>
          <w:szCs w:val="20"/>
        </w:rPr>
        <w:t xml:space="preserve">, 1904. </w:t>
      </w:r>
      <w:hyperlink r:id="rId35" w:tgtFrame="_new" w:history="1">
        <w:r w:rsidRPr="00B25D7F">
          <w:rPr>
            <w:rStyle w:val="Hyperlink"/>
            <w:rFonts w:ascii="Arial" w:hAnsi="Arial" w:cs="Arial"/>
            <w:sz w:val="20"/>
            <w:szCs w:val="20"/>
          </w:rPr>
          <w:t>https://doi.org/10.3389/fpls.2016.01904</w:t>
        </w:r>
      </w:hyperlink>
    </w:p>
    <w:p w14:paraId="0B84DFAF" w14:textId="71896045" w:rsidR="00B25D7F" w:rsidRPr="00B25D7F" w:rsidRDefault="00B25D7F" w:rsidP="00B25D7F">
      <w:pPr>
        <w:tabs>
          <w:tab w:val="left" w:pos="3737"/>
        </w:tabs>
        <w:spacing w:line="240" w:lineRule="auto"/>
        <w:ind w:left="482" w:hanging="482"/>
        <w:jc w:val="both"/>
        <w:rPr>
          <w:rFonts w:ascii="Arial" w:hAnsi="Arial" w:cs="Arial"/>
          <w:sz w:val="20"/>
          <w:szCs w:val="20"/>
        </w:rPr>
      </w:pPr>
      <w:proofErr w:type="spellStart"/>
      <w:r w:rsidRPr="00B25D7F">
        <w:rPr>
          <w:rFonts w:ascii="Arial" w:hAnsi="Arial" w:cs="Arial"/>
          <w:sz w:val="20"/>
          <w:szCs w:val="20"/>
        </w:rPr>
        <w:t>Meuwissen</w:t>
      </w:r>
      <w:proofErr w:type="spellEnd"/>
      <w:r w:rsidRPr="00B25D7F">
        <w:rPr>
          <w:rFonts w:ascii="Arial" w:hAnsi="Arial" w:cs="Arial"/>
          <w:sz w:val="20"/>
          <w:szCs w:val="20"/>
        </w:rPr>
        <w:t xml:space="preserve">, T. H., Hayes, B. J., &amp; Goddard, M. E. (2001). Prediction of total genetic value using genome-wide dense marker maps. </w:t>
      </w:r>
      <w:r w:rsidRPr="00B25D7F">
        <w:rPr>
          <w:rFonts w:ascii="Arial" w:hAnsi="Arial" w:cs="Arial"/>
          <w:i/>
          <w:iCs/>
          <w:sz w:val="20"/>
          <w:szCs w:val="20"/>
        </w:rPr>
        <w:t>Genetics, 157</w:t>
      </w:r>
      <w:r w:rsidRPr="00B25D7F">
        <w:rPr>
          <w:rFonts w:ascii="Arial" w:hAnsi="Arial" w:cs="Arial"/>
          <w:sz w:val="20"/>
          <w:szCs w:val="20"/>
        </w:rPr>
        <w:t>(4), 1819</w:t>
      </w:r>
      <w:r w:rsidR="00195BC2">
        <w:rPr>
          <w:rFonts w:ascii="Arial" w:hAnsi="Arial" w:cs="Arial"/>
          <w:sz w:val="20"/>
          <w:szCs w:val="20"/>
        </w:rPr>
        <w:t>-</w:t>
      </w:r>
      <w:r w:rsidRPr="00B25D7F">
        <w:rPr>
          <w:rFonts w:ascii="Arial" w:hAnsi="Arial" w:cs="Arial"/>
          <w:sz w:val="20"/>
          <w:szCs w:val="20"/>
        </w:rPr>
        <w:t xml:space="preserve">1829. </w:t>
      </w:r>
      <w:hyperlink r:id="rId36" w:tgtFrame="_new" w:history="1">
        <w:r w:rsidRPr="00B25D7F">
          <w:rPr>
            <w:rStyle w:val="Hyperlink"/>
            <w:rFonts w:ascii="Arial" w:hAnsi="Arial" w:cs="Arial"/>
            <w:sz w:val="20"/>
            <w:szCs w:val="20"/>
          </w:rPr>
          <w:t>https://doi.org/10.1093/genetics/157.4.1819</w:t>
        </w:r>
      </w:hyperlink>
    </w:p>
    <w:p w14:paraId="3A20AD25" w14:textId="77777777"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Nonaka, S., Arai, C., Takayama, M., </w:t>
      </w:r>
      <w:proofErr w:type="spellStart"/>
      <w:r w:rsidRPr="005F3664">
        <w:rPr>
          <w:rFonts w:ascii="Arial" w:hAnsi="Arial" w:cs="Arial"/>
          <w:sz w:val="20"/>
          <w:szCs w:val="20"/>
        </w:rPr>
        <w:t>Matsukura</w:t>
      </w:r>
      <w:proofErr w:type="spellEnd"/>
      <w:r w:rsidRPr="005F3664">
        <w:rPr>
          <w:rFonts w:ascii="Arial" w:hAnsi="Arial" w:cs="Arial"/>
          <w:sz w:val="20"/>
          <w:szCs w:val="20"/>
        </w:rPr>
        <w:t xml:space="preserve">, C., &amp; </w:t>
      </w:r>
      <w:proofErr w:type="spellStart"/>
      <w:r w:rsidRPr="005F3664">
        <w:rPr>
          <w:rFonts w:ascii="Arial" w:hAnsi="Arial" w:cs="Arial"/>
          <w:sz w:val="20"/>
          <w:szCs w:val="20"/>
        </w:rPr>
        <w:t>Ezura</w:t>
      </w:r>
      <w:proofErr w:type="spellEnd"/>
      <w:r w:rsidRPr="005F3664">
        <w:rPr>
          <w:rFonts w:ascii="Arial" w:hAnsi="Arial" w:cs="Arial"/>
          <w:sz w:val="20"/>
          <w:szCs w:val="20"/>
        </w:rPr>
        <w:t xml:space="preserve">, H. (2017). Efficient increase of gamma-aminobutyric acid (GABA) content in tomato fruits by targeted mutagenesis. </w:t>
      </w:r>
      <w:r w:rsidRPr="005F3664">
        <w:rPr>
          <w:rFonts w:ascii="Arial" w:hAnsi="Arial" w:cs="Arial"/>
          <w:i/>
          <w:iCs/>
          <w:sz w:val="20"/>
          <w:szCs w:val="20"/>
        </w:rPr>
        <w:t>Scientific Reports, 7</w:t>
      </w:r>
      <w:r w:rsidRPr="005F3664">
        <w:rPr>
          <w:rFonts w:ascii="Arial" w:hAnsi="Arial" w:cs="Arial"/>
          <w:sz w:val="20"/>
          <w:szCs w:val="20"/>
        </w:rPr>
        <w:t xml:space="preserve">(1), 7805. </w:t>
      </w:r>
      <w:hyperlink r:id="rId37" w:tgtFrame="_new" w:history="1">
        <w:r w:rsidRPr="005F3664">
          <w:rPr>
            <w:rStyle w:val="Hyperlink"/>
            <w:rFonts w:ascii="Arial" w:hAnsi="Arial" w:cs="Arial"/>
            <w:sz w:val="20"/>
            <w:szCs w:val="20"/>
          </w:rPr>
          <w:t>https://doi.org/10.1038/s41598-017-06400-y</w:t>
        </w:r>
      </w:hyperlink>
    </w:p>
    <w:p w14:paraId="129F3D4F" w14:textId="1A1E450E" w:rsidR="005F3664" w:rsidRPr="005F3664" w:rsidRDefault="005F3664" w:rsidP="005F3664">
      <w:pPr>
        <w:tabs>
          <w:tab w:val="left" w:pos="3737"/>
        </w:tabs>
        <w:spacing w:line="240" w:lineRule="auto"/>
        <w:ind w:left="482" w:hanging="482"/>
        <w:jc w:val="both"/>
        <w:rPr>
          <w:rFonts w:ascii="Arial" w:hAnsi="Arial" w:cs="Arial"/>
          <w:sz w:val="20"/>
          <w:szCs w:val="20"/>
        </w:rPr>
      </w:pPr>
      <w:proofErr w:type="spellStart"/>
      <w:r w:rsidRPr="005F3664">
        <w:rPr>
          <w:rFonts w:ascii="Arial" w:hAnsi="Arial" w:cs="Arial"/>
          <w:sz w:val="20"/>
          <w:szCs w:val="20"/>
        </w:rPr>
        <w:t>Scheben</w:t>
      </w:r>
      <w:proofErr w:type="spellEnd"/>
      <w:r w:rsidRPr="005F3664">
        <w:rPr>
          <w:rFonts w:ascii="Arial" w:hAnsi="Arial" w:cs="Arial"/>
          <w:sz w:val="20"/>
          <w:szCs w:val="20"/>
        </w:rPr>
        <w:t xml:space="preserve">, A., Wolter, F., Batley, J., </w:t>
      </w:r>
      <w:proofErr w:type="spellStart"/>
      <w:r w:rsidRPr="005F3664">
        <w:rPr>
          <w:rFonts w:ascii="Arial" w:hAnsi="Arial" w:cs="Arial"/>
          <w:sz w:val="20"/>
          <w:szCs w:val="20"/>
        </w:rPr>
        <w:t>Puchta</w:t>
      </w:r>
      <w:proofErr w:type="spellEnd"/>
      <w:r w:rsidRPr="005F3664">
        <w:rPr>
          <w:rFonts w:ascii="Arial" w:hAnsi="Arial" w:cs="Arial"/>
          <w:sz w:val="20"/>
          <w:szCs w:val="20"/>
        </w:rPr>
        <w:t xml:space="preserve">, H., &amp; Edwards, D. (2017). Towards CRISPR/Cas crops: Bringing together genomics and genome editing. </w:t>
      </w:r>
      <w:r w:rsidRPr="005F3664">
        <w:rPr>
          <w:rFonts w:ascii="Arial" w:hAnsi="Arial" w:cs="Arial"/>
          <w:i/>
          <w:iCs/>
          <w:sz w:val="20"/>
          <w:szCs w:val="20"/>
        </w:rPr>
        <w:t xml:space="preserve">New </w:t>
      </w:r>
      <w:proofErr w:type="spellStart"/>
      <w:r w:rsidRPr="005F3664">
        <w:rPr>
          <w:rFonts w:ascii="Arial" w:hAnsi="Arial" w:cs="Arial"/>
          <w:i/>
          <w:iCs/>
          <w:sz w:val="20"/>
          <w:szCs w:val="20"/>
        </w:rPr>
        <w:t>Phytologist</w:t>
      </w:r>
      <w:proofErr w:type="spellEnd"/>
      <w:r w:rsidRPr="005F3664">
        <w:rPr>
          <w:rFonts w:ascii="Arial" w:hAnsi="Arial" w:cs="Arial"/>
          <w:i/>
          <w:iCs/>
          <w:sz w:val="20"/>
          <w:szCs w:val="20"/>
        </w:rPr>
        <w:t>, 216</w:t>
      </w:r>
      <w:r w:rsidRPr="005F3664">
        <w:rPr>
          <w:rFonts w:ascii="Arial" w:hAnsi="Arial" w:cs="Arial"/>
          <w:sz w:val="20"/>
          <w:szCs w:val="20"/>
        </w:rPr>
        <w:t>(3), 682</w:t>
      </w:r>
      <w:r w:rsidR="00195BC2">
        <w:rPr>
          <w:rFonts w:ascii="Arial" w:hAnsi="Arial" w:cs="Arial"/>
          <w:sz w:val="20"/>
          <w:szCs w:val="20"/>
        </w:rPr>
        <w:t>-</w:t>
      </w:r>
      <w:r w:rsidRPr="005F3664">
        <w:rPr>
          <w:rFonts w:ascii="Arial" w:hAnsi="Arial" w:cs="Arial"/>
          <w:sz w:val="20"/>
          <w:szCs w:val="20"/>
        </w:rPr>
        <w:t xml:space="preserve">698. </w:t>
      </w:r>
      <w:hyperlink r:id="rId38" w:tgtFrame="_new" w:history="1">
        <w:r w:rsidRPr="005F3664">
          <w:rPr>
            <w:rStyle w:val="Hyperlink"/>
            <w:rFonts w:ascii="Arial" w:hAnsi="Arial" w:cs="Arial"/>
            <w:sz w:val="20"/>
            <w:szCs w:val="20"/>
          </w:rPr>
          <w:t>https://doi.org/10.1111/nph.14702</w:t>
        </w:r>
      </w:hyperlink>
    </w:p>
    <w:p w14:paraId="01FFC383" w14:textId="795439E7" w:rsidR="005F3664" w:rsidRPr="005F3664" w:rsidRDefault="005F3664" w:rsidP="005F3664">
      <w:pPr>
        <w:tabs>
          <w:tab w:val="left" w:pos="3737"/>
        </w:tabs>
        <w:spacing w:line="240" w:lineRule="auto"/>
        <w:ind w:left="482" w:hanging="482"/>
        <w:jc w:val="both"/>
        <w:rPr>
          <w:rFonts w:ascii="Arial" w:hAnsi="Arial" w:cs="Arial"/>
          <w:sz w:val="20"/>
          <w:szCs w:val="20"/>
        </w:rPr>
      </w:pPr>
      <w:proofErr w:type="spellStart"/>
      <w:r w:rsidRPr="005F3664">
        <w:rPr>
          <w:rFonts w:ascii="Arial" w:hAnsi="Arial" w:cs="Arial"/>
          <w:sz w:val="20"/>
          <w:szCs w:val="20"/>
        </w:rPr>
        <w:t>Soyk</w:t>
      </w:r>
      <w:proofErr w:type="spellEnd"/>
      <w:r w:rsidRPr="005F3664">
        <w:rPr>
          <w:rFonts w:ascii="Arial" w:hAnsi="Arial" w:cs="Arial"/>
          <w:sz w:val="20"/>
          <w:szCs w:val="20"/>
        </w:rPr>
        <w:t xml:space="preserve">, S., Müller, N. A., Park, S. J., </w:t>
      </w:r>
      <w:proofErr w:type="spellStart"/>
      <w:r w:rsidRPr="005F3664">
        <w:rPr>
          <w:rFonts w:ascii="Arial" w:hAnsi="Arial" w:cs="Arial"/>
          <w:sz w:val="20"/>
          <w:szCs w:val="20"/>
        </w:rPr>
        <w:t>Schmalenbach</w:t>
      </w:r>
      <w:proofErr w:type="spellEnd"/>
      <w:r w:rsidRPr="005F3664">
        <w:rPr>
          <w:rFonts w:ascii="Arial" w:hAnsi="Arial" w:cs="Arial"/>
          <w:sz w:val="20"/>
          <w:szCs w:val="20"/>
        </w:rPr>
        <w:t xml:space="preserve">, I., Jiang, K., </w:t>
      </w:r>
      <w:proofErr w:type="spellStart"/>
      <w:r w:rsidRPr="005F3664">
        <w:rPr>
          <w:rFonts w:ascii="Arial" w:hAnsi="Arial" w:cs="Arial"/>
          <w:sz w:val="20"/>
          <w:szCs w:val="20"/>
        </w:rPr>
        <w:t>Hayama</w:t>
      </w:r>
      <w:proofErr w:type="spellEnd"/>
      <w:r w:rsidRPr="005F3664">
        <w:rPr>
          <w:rFonts w:ascii="Arial" w:hAnsi="Arial" w:cs="Arial"/>
          <w:sz w:val="20"/>
          <w:szCs w:val="20"/>
        </w:rPr>
        <w:t xml:space="preserve">, R., Zhang, L., Van Eck, J., Jiménez-Gómez, J. M., &amp; Lippman, Z. B. (2017). Variation in the flowering gene </w:t>
      </w:r>
      <w:r w:rsidRPr="005F3664">
        <w:rPr>
          <w:rFonts w:ascii="Arial" w:hAnsi="Arial" w:cs="Arial"/>
          <w:i/>
          <w:iCs/>
          <w:sz w:val="20"/>
          <w:szCs w:val="20"/>
        </w:rPr>
        <w:t>SELF PRUNING 5G</w:t>
      </w:r>
      <w:r w:rsidRPr="005F3664">
        <w:rPr>
          <w:rFonts w:ascii="Arial" w:hAnsi="Arial" w:cs="Arial"/>
          <w:sz w:val="20"/>
          <w:szCs w:val="20"/>
        </w:rPr>
        <w:t xml:space="preserve"> promotes day-neutrality and early yield in tomato. </w:t>
      </w:r>
      <w:r w:rsidRPr="005F3664">
        <w:rPr>
          <w:rFonts w:ascii="Arial" w:hAnsi="Arial" w:cs="Arial"/>
          <w:i/>
          <w:iCs/>
          <w:sz w:val="20"/>
          <w:szCs w:val="20"/>
        </w:rPr>
        <w:t>Nature Genetics, 49</w:t>
      </w:r>
      <w:r w:rsidRPr="005F3664">
        <w:rPr>
          <w:rFonts w:ascii="Arial" w:hAnsi="Arial" w:cs="Arial"/>
          <w:sz w:val="20"/>
          <w:szCs w:val="20"/>
        </w:rPr>
        <w:t>(1), 162</w:t>
      </w:r>
      <w:r w:rsidR="00195BC2">
        <w:rPr>
          <w:rFonts w:ascii="Arial" w:hAnsi="Arial" w:cs="Arial"/>
          <w:sz w:val="20"/>
          <w:szCs w:val="20"/>
        </w:rPr>
        <w:t>-</w:t>
      </w:r>
      <w:r w:rsidRPr="005F3664">
        <w:rPr>
          <w:rFonts w:ascii="Arial" w:hAnsi="Arial" w:cs="Arial"/>
          <w:sz w:val="20"/>
          <w:szCs w:val="20"/>
        </w:rPr>
        <w:t xml:space="preserve">168. </w:t>
      </w:r>
      <w:hyperlink r:id="rId39" w:tgtFrame="_new" w:history="1">
        <w:r w:rsidRPr="005F3664">
          <w:rPr>
            <w:rStyle w:val="Hyperlink"/>
            <w:rFonts w:ascii="Arial" w:hAnsi="Arial" w:cs="Arial"/>
            <w:sz w:val="20"/>
            <w:szCs w:val="20"/>
          </w:rPr>
          <w:t>https://doi.org/10.1038/ng.3733</w:t>
        </w:r>
      </w:hyperlink>
    </w:p>
    <w:p w14:paraId="4BFC3AD3" w14:textId="77777777"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Sruthi, T., </w:t>
      </w:r>
      <w:proofErr w:type="spellStart"/>
      <w:r w:rsidRPr="005F3664">
        <w:rPr>
          <w:rFonts w:ascii="Arial" w:hAnsi="Arial" w:cs="Arial"/>
          <w:sz w:val="20"/>
          <w:szCs w:val="20"/>
        </w:rPr>
        <w:t>Wayal</w:t>
      </w:r>
      <w:proofErr w:type="spellEnd"/>
      <w:r w:rsidRPr="005F3664">
        <w:rPr>
          <w:rFonts w:ascii="Arial" w:hAnsi="Arial" w:cs="Arial"/>
          <w:sz w:val="20"/>
          <w:szCs w:val="20"/>
        </w:rPr>
        <w:t xml:space="preserve">, Y. V., </w:t>
      </w:r>
      <w:proofErr w:type="spellStart"/>
      <w:r w:rsidRPr="005F3664">
        <w:rPr>
          <w:rFonts w:ascii="Arial" w:hAnsi="Arial" w:cs="Arial"/>
          <w:sz w:val="20"/>
          <w:szCs w:val="20"/>
        </w:rPr>
        <w:t>Khatana</w:t>
      </w:r>
      <w:proofErr w:type="spellEnd"/>
      <w:r w:rsidRPr="005F3664">
        <w:rPr>
          <w:rFonts w:ascii="Arial" w:hAnsi="Arial" w:cs="Arial"/>
          <w:sz w:val="20"/>
          <w:szCs w:val="20"/>
        </w:rPr>
        <w:t xml:space="preserve">, J. P., </w:t>
      </w:r>
      <w:proofErr w:type="spellStart"/>
      <w:r w:rsidRPr="005F3664">
        <w:rPr>
          <w:rFonts w:ascii="Arial" w:hAnsi="Arial" w:cs="Arial"/>
          <w:sz w:val="20"/>
          <w:szCs w:val="20"/>
        </w:rPr>
        <w:t>Sravya</w:t>
      </w:r>
      <w:proofErr w:type="spellEnd"/>
      <w:r w:rsidRPr="005F3664">
        <w:rPr>
          <w:rFonts w:ascii="Arial" w:hAnsi="Arial" w:cs="Arial"/>
          <w:sz w:val="20"/>
          <w:szCs w:val="20"/>
        </w:rPr>
        <w:t xml:space="preserve">, N., Laxmi, P. S., </w:t>
      </w:r>
      <w:proofErr w:type="spellStart"/>
      <w:r w:rsidRPr="005F3664">
        <w:rPr>
          <w:rFonts w:ascii="Arial" w:hAnsi="Arial" w:cs="Arial"/>
          <w:sz w:val="20"/>
          <w:szCs w:val="20"/>
        </w:rPr>
        <w:t>Muradi</w:t>
      </w:r>
      <w:proofErr w:type="spellEnd"/>
      <w:r w:rsidRPr="005F3664">
        <w:rPr>
          <w:rFonts w:ascii="Arial" w:hAnsi="Arial" w:cs="Arial"/>
          <w:sz w:val="20"/>
          <w:szCs w:val="20"/>
        </w:rPr>
        <w:t xml:space="preserve">, K. B., </w:t>
      </w:r>
      <w:proofErr w:type="spellStart"/>
      <w:r w:rsidRPr="005F3664">
        <w:rPr>
          <w:rFonts w:ascii="Arial" w:hAnsi="Arial" w:cs="Arial"/>
          <w:sz w:val="20"/>
          <w:szCs w:val="20"/>
        </w:rPr>
        <w:t>Teja</w:t>
      </w:r>
      <w:proofErr w:type="spellEnd"/>
      <w:r w:rsidRPr="005F3664">
        <w:rPr>
          <w:rFonts w:ascii="Arial" w:hAnsi="Arial" w:cs="Arial"/>
          <w:sz w:val="20"/>
          <w:szCs w:val="20"/>
        </w:rPr>
        <w:t xml:space="preserve">, V. S., </w:t>
      </w:r>
      <w:proofErr w:type="spellStart"/>
      <w:r w:rsidRPr="005F3664">
        <w:rPr>
          <w:rFonts w:ascii="Arial" w:hAnsi="Arial" w:cs="Arial"/>
          <w:sz w:val="20"/>
          <w:szCs w:val="20"/>
        </w:rPr>
        <w:t>Babarao</w:t>
      </w:r>
      <w:proofErr w:type="spellEnd"/>
      <w:r w:rsidRPr="005F3664">
        <w:rPr>
          <w:rFonts w:ascii="Arial" w:hAnsi="Arial" w:cs="Arial"/>
          <w:sz w:val="20"/>
          <w:szCs w:val="20"/>
        </w:rPr>
        <w:t xml:space="preserve">, D. S., Keshavrao, C. B., &amp; </w:t>
      </w:r>
      <w:proofErr w:type="spellStart"/>
      <w:r w:rsidRPr="005F3664">
        <w:rPr>
          <w:rFonts w:ascii="Arial" w:hAnsi="Arial" w:cs="Arial"/>
          <w:sz w:val="20"/>
          <w:szCs w:val="20"/>
        </w:rPr>
        <w:t>Totawar</w:t>
      </w:r>
      <w:proofErr w:type="spellEnd"/>
      <w:r w:rsidRPr="005F3664">
        <w:rPr>
          <w:rFonts w:ascii="Arial" w:hAnsi="Arial" w:cs="Arial"/>
          <w:sz w:val="20"/>
          <w:szCs w:val="20"/>
        </w:rPr>
        <w:t xml:space="preserve">, H. M. (2026). CRISPR-mediated RNA editing: Mechanisms, agricultural applications, and therapeutic development. </w:t>
      </w:r>
      <w:hyperlink r:id="rId40" w:tgtFrame="_new" w:history="1">
        <w:r w:rsidRPr="005F3664">
          <w:rPr>
            <w:rStyle w:val="Hyperlink"/>
            <w:rFonts w:ascii="Arial" w:hAnsi="Arial" w:cs="Arial"/>
            <w:sz w:val="20"/>
            <w:szCs w:val="20"/>
          </w:rPr>
          <w:t>https://doi.org/10.33545/2664844X.2026.v8.i2a.1161</w:t>
        </w:r>
      </w:hyperlink>
    </w:p>
    <w:p w14:paraId="2669A060" w14:textId="02082078"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Takagi, H., Abe, A., Yoshida, K., </w:t>
      </w:r>
      <w:proofErr w:type="spellStart"/>
      <w:r w:rsidRPr="005F3664">
        <w:rPr>
          <w:rFonts w:ascii="Arial" w:hAnsi="Arial" w:cs="Arial"/>
          <w:sz w:val="20"/>
          <w:szCs w:val="20"/>
        </w:rPr>
        <w:t>Kosugi</w:t>
      </w:r>
      <w:proofErr w:type="spellEnd"/>
      <w:r w:rsidRPr="005F3664">
        <w:rPr>
          <w:rFonts w:ascii="Arial" w:hAnsi="Arial" w:cs="Arial"/>
          <w:sz w:val="20"/>
          <w:szCs w:val="20"/>
        </w:rPr>
        <w:t xml:space="preserve">, S., </w:t>
      </w:r>
      <w:proofErr w:type="spellStart"/>
      <w:r w:rsidRPr="005F3664">
        <w:rPr>
          <w:rFonts w:ascii="Arial" w:hAnsi="Arial" w:cs="Arial"/>
          <w:sz w:val="20"/>
          <w:szCs w:val="20"/>
        </w:rPr>
        <w:t>Natsume</w:t>
      </w:r>
      <w:proofErr w:type="spellEnd"/>
      <w:r w:rsidRPr="005F3664">
        <w:rPr>
          <w:rFonts w:ascii="Arial" w:hAnsi="Arial" w:cs="Arial"/>
          <w:sz w:val="20"/>
          <w:szCs w:val="20"/>
        </w:rPr>
        <w:t xml:space="preserve">, S., Mitsuoka, C., </w:t>
      </w:r>
      <w:proofErr w:type="spellStart"/>
      <w:r w:rsidRPr="005F3664">
        <w:rPr>
          <w:rFonts w:ascii="Arial" w:hAnsi="Arial" w:cs="Arial"/>
          <w:sz w:val="20"/>
          <w:szCs w:val="20"/>
        </w:rPr>
        <w:t>Uemura</w:t>
      </w:r>
      <w:proofErr w:type="spellEnd"/>
      <w:r w:rsidRPr="005F3664">
        <w:rPr>
          <w:rFonts w:ascii="Arial" w:hAnsi="Arial" w:cs="Arial"/>
          <w:sz w:val="20"/>
          <w:szCs w:val="20"/>
        </w:rPr>
        <w:t xml:space="preserve">, A., </w:t>
      </w:r>
      <w:proofErr w:type="spellStart"/>
      <w:r w:rsidRPr="005F3664">
        <w:rPr>
          <w:rFonts w:ascii="Arial" w:hAnsi="Arial" w:cs="Arial"/>
          <w:sz w:val="20"/>
          <w:szCs w:val="20"/>
        </w:rPr>
        <w:t>Utsushi</w:t>
      </w:r>
      <w:proofErr w:type="spellEnd"/>
      <w:r w:rsidRPr="005F3664">
        <w:rPr>
          <w:rFonts w:ascii="Arial" w:hAnsi="Arial" w:cs="Arial"/>
          <w:sz w:val="20"/>
          <w:szCs w:val="20"/>
        </w:rPr>
        <w:t xml:space="preserve">, H., </w:t>
      </w:r>
      <w:proofErr w:type="spellStart"/>
      <w:r w:rsidRPr="005F3664">
        <w:rPr>
          <w:rFonts w:ascii="Arial" w:hAnsi="Arial" w:cs="Arial"/>
          <w:sz w:val="20"/>
          <w:szCs w:val="20"/>
        </w:rPr>
        <w:t>Tamiru</w:t>
      </w:r>
      <w:proofErr w:type="spellEnd"/>
      <w:r w:rsidRPr="005F3664">
        <w:rPr>
          <w:rFonts w:ascii="Arial" w:hAnsi="Arial" w:cs="Arial"/>
          <w:sz w:val="20"/>
          <w:szCs w:val="20"/>
        </w:rPr>
        <w:t xml:space="preserve">, M., </w:t>
      </w:r>
      <w:proofErr w:type="spellStart"/>
      <w:r w:rsidRPr="005F3664">
        <w:rPr>
          <w:rFonts w:ascii="Arial" w:hAnsi="Arial" w:cs="Arial"/>
          <w:sz w:val="20"/>
          <w:szCs w:val="20"/>
        </w:rPr>
        <w:t>Takuno</w:t>
      </w:r>
      <w:proofErr w:type="spellEnd"/>
      <w:r w:rsidRPr="005F3664">
        <w:rPr>
          <w:rFonts w:ascii="Arial" w:hAnsi="Arial" w:cs="Arial"/>
          <w:sz w:val="20"/>
          <w:szCs w:val="20"/>
        </w:rPr>
        <w:t xml:space="preserve">, S., </w:t>
      </w:r>
      <w:proofErr w:type="spellStart"/>
      <w:r w:rsidRPr="005F3664">
        <w:rPr>
          <w:rFonts w:ascii="Arial" w:hAnsi="Arial" w:cs="Arial"/>
          <w:sz w:val="20"/>
          <w:szCs w:val="20"/>
        </w:rPr>
        <w:t>Innan</w:t>
      </w:r>
      <w:proofErr w:type="spellEnd"/>
      <w:r w:rsidRPr="005F3664">
        <w:rPr>
          <w:rFonts w:ascii="Arial" w:hAnsi="Arial" w:cs="Arial"/>
          <w:sz w:val="20"/>
          <w:szCs w:val="20"/>
        </w:rPr>
        <w:t xml:space="preserve">, H., Cano, L. M., </w:t>
      </w:r>
      <w:proofErr w:type="spellStart"/>
      <w:r w:rsidRPr="005F3664">
        <w:rPr>
          <w:rFonts w:ascii="Arial" w:hAnsi="Arial" w:cs="Arial"/>
          <w:sz w:val="20"/>
          <w:szCs w:val="20"/>
        </w:rPr>
        <w:t>Kamoun</w:t>
      </w:r>
      <w:proofErr w:type="spellEnd"/>
      <w:r w:rsidRPr="005F3664">
        <w:rPr>
          <w:rFonts w:ascii="Arial" w:hAnsi="Arial" w:cs="Arial"/>
          <w:sz w:val="20"/>
          <w:szCs w:val="20"/>
        </w:rPr>
        <w:t>, S., &amp; Terauchi, R. (2013). QTL-</w:t>
      </w:r>
      <w:proofErr w:type="spellStart"/>
      <w:r w:rsidRPr="005F3664">
        <w:rPr>
          <w:rFonts w:ascii="Arial" w:hAnsi="Arial" w:cs="Arial"/>
          <w:sz w:val="20"/>
          <w:szCs w:val="20"/>
        </w:rPr>
        <w:t>seq</w:t>
      </w:r>
      <w:proofErr w:type="spellEnd"/>
      <w:r w:rsidRPr="005F3664">
        <w:rPr>
          <w:rFonts w:ascii="Arial" w:hAnsi="Arial" w:cs="Arial"/>
          <w:sz w:val="20"/>
          <w:szCs w:val="20"/>
        </w:rPr>
        <w:t xml:space="preserve">: Rapid mapping of quantitative trait loci in rice by whole genome resequencing of DNA from two bulked populations. </w:t>
      </w:r>
      <w:r w:rsidRPr="005F3664">
        <w:rPr>
          <w:rFonts w:ascii="Arial" w:hAnsi="Arial" w:cs="Arial"/>
          <w:i/>
          <w:iCs/>
          <w:sz w:val="20"/>
          <w:szCs w:val="20"/>
        </w:rPr>
        <w:t>The Plant Journal, 74</w:t>
      </w:r>
      <w:r w:rsidRPr="005F3664">
        <w:rPr>
          <w:rFonts w:ascii="Arial" w:hAnsi="Arial" w:cs="Arial"/>
          <w:sz w:val="20"/>
          <w:szCs w:val="20"/>
        </w:rPr>
        <w:t>(1), 174</w:t>
      </w:r>
      <w:r w:rsidR="00195BC2">
        <w:rPr>
          <w:rFonts w:ascii="Arial" w:hAnsi="Arial" w:cs="Arial"/>
          <w:sz w:val="20"/>
          <w:szCs w:val="20"/>
        </w:rPr>
        <w:t>-</w:t>
      </w:r>
      <w:r w:rsidRPr="005F3664">
        <w:rPr>
          <w:rFonts w:ascii="Arial" w:hAnsi="Arial" w:cs="Arial"/>
          <w:sz w:val="20"/>
          <w:szCs w:val="20"/>
        </w:rPr>
        <w:t xml:space="preserve">183. </w:t>
      </w:r>
      <w:hyperlink r:id="rId41" w:tgtFrame="_new" w:history="1">
        <w:r w:rsidRPr="005F3664">
          <w:rPr>
            <w:rStyle w:val="Hyperlink"/>
            <w:rFonts w:ascii="Arial" w:hAnsi="Arial" w:cs="Arial"/>
            <w:sz w:val="20"/>
            <w:szCs w:val="20"/>
          </w:rPr>
          <w:t>https://doi.org/10.1111/tpj.12105</w:t>
        </w:r>
      </w:hyperlink>
    </w:p>
    <w:p w14:paraId="3D3A46B0" w14:textId="794A6D11"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Tian, S., Jiang, L., Gao, Q., Zhang, J., </w:t>
      </w:r>
      <w:proofErr w:type="spellStart"/>
      <w:r w:rsidRPr="005F3664">
        <w:rPr>
          <w:rFonts w:ascii="Arial" w:hAnsi="Arial" w:cs="Arial"/>
          <w:sz w:val="20"/>
          <w:szCs w:val="20"/>
        </w:rPr>
        <w:t>Zong</w:t>
      </w:r>
      <w:proofErr w:type="spellEnd"/>
      <w:r w:rsidRPr="005F3664">
        <w:rPr>
          <w:rFonts w:ascii="Arial" w:hAnsi="Arial" w:cs="Arial"/>
          <w:sz w:val="20"/>
          <w:szCs w:val="20"/>
        </w:rPr>
        <w:t xml:space="preserve">, M., Zhang, H., Ren, Y., Guo, S., Gong, G., Liu, F., &amp; Xu, Y. (2017). Efficient CRISPR/Cas9-based gene knockout in watermelon. </w:t>
      </w:r>
      <w:r w:rsidRPr="005F3664">
        <w:rPr>
          <w:rFonts w:ascii="Arial" w:hAnsi="Arial" w:cs="Arial"/>
          <w:i/>
          <w:iCs/>
          <w:sz w:val="20"/>
          <w:szCs w:val="20"/>
        </w:rPr>
        <w:t>Plant Cell Reports, 36</w:t>
      </w:r>
      <w:r w:rsidRPr="005F3664">
        <w:rPr>
          <w:rFonts w:ascii="Arial" w:hAnsi="Arial" w:cs="Arial"/>
          <w:sz w:val="20"/>
          <w:szCs w:val="20"/>
        </w:rPr>
        <w:t>(3), 399</w:t>
      </w:r>
      <w:r w:rsidR="00195BC2">
        <w:rPr>
          <w:rFonts w:ascii="Arial" w:hAnsi="Arial" w:cs="Arial"/>
          <w:sz w:val="20"/>
          <w:szCs w:val="20"/>
        </w:rPr>
        <w:t>-</w:t>
      </w:r>
      <w:r w:rsidRPr="005F3664">
        <w:rPr>
          <w:rFonts w:ascii="Arial" w:hAnsi="Arial" w:cs="Arial"/>
          <w:sz w:val="20"/>
          <w:szCs w:val="20"/>
        </w:rPr>
        <w:t xml:space="preserve">406. </w:t>
      </w:r>
      <w:hyperlink r:id="rId42" w:tgtFrame="_new" w:history="1">
        <w:r w:rsidRPr="005F3664">
          <w:rPr>
            <w:rStyle w:val="Hyperlink"/>
            <w:rFonts w:ascii="Arial" w:hAnsi="Arial" w:cs="Arial"/>
            <w:sz w:val="20"/>
            <w:szCs w:val="20"/>
          </w:rPr>
          <w:t>https://doi.org/10.1007/s00299-016-2089-5</w:t>
        </w:r>
      </w:hyperlink>
    </w:p>
    <w:p w14:paraId="7FB6902C" w14:textId="3DF6010B" w:rsidR="005F3664" w:rsidRPr="005F3664" w:rsidRDefault="005F3664" w:rsidP="005F3664">
      <w:pPr>
        <w:tabs>
          <w:tab w:val="left" w:pos="3737"/>
        </w:tabs>
        <w:spacing w:line="240" w:lineRule="auto"/>
        <w:ind w:left="482" w:hanging="482"/>
        <w:jc w:val="both"/>
        <w:rPr>
          <w:rFonts w:ascii="Arial" w:hAnsi="Arial" w:cs="Arial"/>
          <w:sz w:val="20"/>
          <w:szCs w:val="20"/>
        </w:rPr>
      </w:pPr>
      <w:proofErr w:type="spellStart"/>
      <w:r w:rsidRPr="005F3664">
        <w:rPr>
          <w:rFonts w:ascii="Arial" w:hAnsi="Arial" w:cs="Arial"/>
          <w:sz w:val="20"/>
          <w:szCs w:val="20"/>
        </w:rPr>
        <w:t>Tieman</w:t>
      </w:r>
      <w:proofErr w:type="spellEnd"/>
      <w:r w:rsidRPr="005F3664">
        <w:rPr>
          <w:rFonts w:ascii="Arial" w:hAnsi="Arial" w:cs="Arial"/>
          <w:sz w:val="20"/>
          <w:szCs w:val="20"/>
        </w:rPr>
        <w:t xml:space="preserve">, D., Zhu, G., </w:t>
      </w:r>
      <w:proofErr w:type="spellStart"/>
      <w:r w:rsidRPr="005F3664">
        <w:rPr>
          <w:rFonts w:ascii="Arial" w:hAnsi="Arial" w:cs="Arial"/>
          <w:sz w:val="20"/>
          <w:szCs w:val="20"/>
        </w:rPr>
        <w:t>Resende</w:t>
      </w:r>
      <w:proofErr w:type="spellEnd"/>
      <w:r w:rsidRPr="005F3664">
        <w:rPr>
          <w:rFonts w:ascii="Arial" w:hAnsi="Arial" w:cs="Arial"/>
          <w:sz w:val="20"/>
          <w:szCs w:val="20"/>
        </w:rPr>
        <w:t xml:space="preserve">, M. F., Lin, T., Nguyen, C., </w:t>
      </w:r>
      <w:proofErr w:type="spellStart"/>
      <w:r w:rsidRPr="005F3664">
        <w:rPr>
          <w:rFonts w:ascii="Arial" w:hAnsi="Arial" w:cs="Arial"/>
          <w:sz w:val="20"/>
          <w:szCs w:val="20"/>
        </w:rPr>
        <w:t>Bies</w:t>
      </w:r>
      <w:proofErr w:type="spellEnd"/>
      <w:r w:rsidRPr="005F3664">
        <w:rPr>
          <w:rFonts w:ascii="Arial" w:hAnsi="Arial" w:cs="Arial"/>
          <w:sz w:val="20"/>
          <w:szCs w:val="20"/>
        </w:rPr>
        <w:t xml:space="preserve">, D., Rambla, J. L., Beltran, K. S., Taylor, M., Zhang, B., Ikeda, H., Liu, Z., Fisher, J., Zemach, I., Monforte, A., Zamir, D., </w:t>
      </w:r>
      <w:proofErr w:type="spellStart"/>
      <w:r w:rsidRPr="005F3664">
        <w:rPr>
          <w:rFonts w:ascii="Arial" w:hAnsi="Arial" w:cs="Arial"/>
          <w:sz w:val="20"/>
          <w:szCs w:val="20"/>
        </w:rPr>
        <w:t>Granell</w:t>
      </w:r>
      <w:proofErr w:type="spellEnd"/>
      <w:r w:rsidRPr="005F3664">
        <w:rPr>
          <w:rFonts w:ascii="Arial" w:hAnsi="Arial" w:cs="Arial"/>
          <w:sz w:val="20"/>
          <w:szCs w:val="20"/>
        </w:rPr>
        <w:t xml:space="preserve">, A., Kirst, M., Huang, S., &amp; Klee, H. (2017). A chemical genetic roadmap to improved tomato </w:t>
      </w:r>
      <w:proofErr w:type="spellStart"/>
      <w:r w:rsidRPr="005F3664">
        <w:rPr>
          <w:rFonts w:ascii="Arial" w:hAnsi="Arial" w:cs="Arial"/>
          <w:sz w:val="20"/>
          <w:szCs w:val="20"/>
        </w:rPr>
        <w:t>flavor</w:t>
      </w:r>
      <w:proofErr w:type="spellEnd"/>
      <w:r w:rsidRPr="005F3664">
        <w:rPr>
          <w:rFonts w:ascii="Arial" w:hAnsi="Arial" w:cs="Arial"/>
          <w:sz w:val="20"/>
          <w:szCs w:val="20"/>
        </w:rPr>
        <w:t xml:space="preserve">. </w:t>
      </w:r>
      <w:r w:rsidRPr="005F3664">
        <w:rPr>
          <w:rFonts w:ascii="Arial" w:hAnsi="Arial" w:cs="Arial"/>
          <w:i/>
          <w:iCs/>
          <w:sz w:val="20"/>
          <w:szCs w:val="20"/>
        </w:rPr>
        <w:t>Science, 355</w:t>
      </w:r>
      <w:r w:rsidRPr="005F3664">
        <w:rPr>
          <w:rFonts w:ascii="Arial" w:hAnsi="Arial" w:cs="Arial"/>
          <w:sz w:val="20"/>
          <w:szCs w:val="20"/>
        </w:rPr>
        <w:t>(6323), 391</w:t>
      </w:r>
      <w:r w:rsidR="00195BC2">
        <w:rPr>
          <w:rFonts w:ascii="Arial" w:hAnsi="Arial" w:cs="Arial"/>
          <w:sz w:val="20"/>
          <w:szCs w:val="20"/>
        </w:rPr>
        <w:t>-</w:t>
      </w:r>
      <w:r w:rsidRPr="005F3664">
        <w:rPr>
          <w:rFonts w:ascii="Arial" w:hAnsi="Arial" w:cs="Arial"/>
          <w:sz w:val="20"/>
          <w:szCs w:val="20"/>
        </w:rPr>
        <w:t xml:space="preserve">394. </w:t>
      </w:r>
      <w:hyperlink r:id="rId43" w:tgtFrame="_new" w:history="1">
        <w:r w:rsidRPr="005F3664">
          <w:rPr>
            <w:rStyle w:val="Hyperlink"/>
            <w:rFonts w:ascii="Arial" w:hAnsi="Arial" w:cs="Arial"/>
            <w:sz w:val="20"/>
            <w:szCs w:val="20"/>
          </w:rPr>
          <w:t>https://doi.org/10.1126/science.aal1556</w:t>
        </w:r>
      </w:hyperlink>
    </w:p>
    <w:p w14:paraId="19C5D7B5" w14:textId="1BE0DBE3" w:rsidR="005F3664" w:rsidRPr="005F3664" w:rsidRDefault="005F3664" w:rsidP="005F3664">
      <w:pPr>
        <w:tabs>
          <w:tab w:val="left" w:pos="3737"/>
        </w:tabs>
        <w:spacing w:line="240" w:lineRule="auto"/>
        <w:ind w:left="482" w:hanging="482"/>
        <w:jc w:val="both"/>
        <w:rPr>
          <w:rFonts w:ascii="Arial" w:hAnsi="Arial" w:cs="Arial"/>
          <w:sz w:val="20"/>
          <w:szCs w:val="20"/>
        </w:rPr>
      </w:pPr>
      <w:proofErr w:type="spellStart"/>
      <w:r w:rsidRPr="005F3664">
        <w:rPr>
          <w:rFonts w:ascii="Arial" w:hAnsi="Arial" w:cs="Arial"/>
          <w:sz w:val="20"/>
          <w:szCs w:val="20"/>
        </w:rPr>
        <w:t>Uluisik</w:t>
      </w:r>
      <w:proofErr w:type="spellEnd"/>
      <w:r w:rsidRPr="005F3664">
        <w:rPr>
          <w:rFonts w:ascii="Arial" w:hAnsi="Arial" w:cs="Arial"/>
          <w:sz w:val="20"/>
          <w:szCs w:val="20"/>
        </w:rPr>
        <w:t xml:space="preserve">, S., Chapman, N. H., Smith, R., Poole, M., Adams, G., Gillis, R. B., Tucker, G. A., Seymour, G. B., &amp; Bhatt, S. M. (2016). Genetic improvement of tomato by targeted control of fruit softening. </w:t>
      </w:r>
      <w:r w:rsidRPr="005F3664">
        <w:rPr>
          <w:rFonts w:ascii="Arial" w:hAnsi="Arial" w:cs="Arial"/>
          <w:i/>
          <w:iCs/>
          <w:sz w:val="20"/>
          <w:szCs w:val="20"/>
        </w:rPr>
        <w:t>Nature Biotechnology, 34</w:t>
      </w:r>
      <w:r w:rsidRPr="005F3664">
        <w:rPr>
          <w:rFonts w:ascii="Arial" w:hAnsi="Arial" w:cs="Arial"/>
          <w:sz w:val="20"/>
          <w:szCs w:val="20"/>
        </w:rPr>
        <w:t>(9), 950</w:t>
      </w:r>
      <w:r w:rsidR="00195BC2">
        <w:rPr>
          <w:rFonts w:ascii="Arial" w:hAnsi="Arial" w:cs="Arial"/>
          <w:sz w:val="20"/>
          <w:szCs w:val="20"/>
        </w:rPr>
        <w:t>-</w:t>
      </w:r>
      <w:r w:rsidRPr="005F3664">
        <w:rPr>
          <w:rFonts w:ascii="Arial" w:hAnsi="Arial" w:cs="Arial"/>
          <w:sz w:val="20"/>
          <w:szCs w:val="20"/>
        </w:rPr>
        <w:t xml:space="preserve">952. </w:t>
      </w:r>
      <w:hyperlink r:id="rId44" w:tgtFrame="_new" w:history="1">
        <w:r w:rsidRPr="005F3664">
          <w:rPr>
            <w:rStyle w:val="Hyperlink"/>
            <w:rFonts w:ascii="Arial" w:hAnsi="Arial" w:cs="Arial"/>
            <w:sz w:val="20"/>
            <w:szCs w:val="20"/>
          </w:rPr>
          <w:t>https://doi.org/10.1038/nbt.3611</w:t>
        </w:r>
      </w:hyperlink>
    </w:p>
    <w:p w14:paraId="55F0E7A3" w14:textId="77777777"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lastRenderedPageBreak/>
        <w:t xml:space="preserve">Varshney, R. K., </w:t>
      </w:r>
      <w:proofErr w:type="spellStart"/>
      <w:r w:rsidRPr="005F3664">
        <w:rPr>
          <w:rFonts w:ascii="Arial" w:hAnsi="Arial" w:cs="Arial"/>
          <w:sz w:val="20"/>
          <w:szCs w:val="20"/>
        </w:rPr>
        <w:t>Roorkiwal</w:t>
      </w:r>
      <w:proofErr w:type="spellEnd"/>
      <w:r w:rsidRPr="005F3664">
        <w:rPr>
          <w:rFonts w:ascii="Arial" w:hAnsi="Arial" w:cs="Arial"/>
          <w:sz w:val="20"/>
          <w:szCs w:val="20"/>
        </w:rPr>
        <w:t xml:space="preserve">, M., &amp; Sorrells, M. E. (Eds.). (2018). </w:t>
      </w:r>
      <w:r w:rsidRPr="005F3664">
        <w:rPr>
          <w:rFonts w:ascii="Arial" w:hAnsi="Arial" w:cs="Arial"/>
          <w:i/>
          <w:iCs/>
          <w:sz w:val="20"/>
          <w:szCs w:val="20"/>
        </w:rPr>
        <w:t>Genomic selection for crop improvement</w:t>
      </w:r>
      <w:r w:rsidRPr="005F3664">
        <w:rPr>
          <w:rFonts w:ascii="Arial" w:hAnsi="Arial" w:cs="Arial"/>
          <w:sz w:val="20"/>
          <w:szCs w:val="20"/>
        </w:rPr>
        <w:t xml:space="preserve">. Springer. </w:t>
      </w:r>
      <w:hyperlink r:id="rId45" w:tgtFrame="_new" w:history="1">
        <w:r w:rsidRPr="005F3664">
          <w:rPr>
            <w:rStyle w:val="Hyperlink"/>
            <w:rFonts w:ascii="Arial" w:hAnsi="Arial" w:cs="Arial"/>
            <w:sz w:val="20"/>
            <w:szCs w:val="20"/>
          </w:rPr>
          <w:t>https://doi.org/10.1007/978-3-319-63170-7</w:t>
        </w:r>
      </w:hyperlink>
    </w:p>
    <w:p w14:paraId="15F32A7D" w14:textId="3593A78B" w:rsidR="005F3664" w:rsidRPr="004C0DDD" w:rsidRDefault="005F3664" w:rsidP="005F3664">
      <w:pPr>
        <w:tabs>
          <w:tab w:val="left" w:pos="3737"/>
        </w:tabs>
        <w:spacing w:line="240" w:lineRule="auto"/>
        <w:ind w:left="482" w:hanging="482"/>
        <w:jc w:val="both"/>
        <w:rPr>
          <w:rFonts w:ascii="Arial" w:hAnsi="Arial" w:cs="Arial"/>
          <w:sz w:val="20"/>
          <w:szCs w:val="20"/>
          <w:lang w:val="sv-SE"/>
        </w:rPr>
      </w:pPr>
      <w:r w:rsidRPr="005F3664">
        <w:rPr>
          <w:rFonts w:ascii="Arial" w:hAnsi="Arial" w:cs="Arial"/>
          <w:sz w:val="20"/>
          <w:szCs w:val="20"/>
        </w:rPr>
        <w:t xml:space="preserve">Watson, A., Ghosh, S., Williams, M. J., Cuddy, W. S., Simmonds, J., Rey, M. D., Hatta, M. A. M., Hinchliffe, A., Steed, A., Reynolds, D., Adamski, N. M., Breakspear, A., </w:t>
      </w:r>
      <w:proofErr w:type="spellStart"/>
      <w:r w:rsidRPr="005F3664">
        <w:rPr>
          <w:rFonts w:ascii="Arial" w:hAnsi="Arial" w:cs="Arial"/>
          <w:sz w:val="20"/>
          <w:szCs w:val="20"/>
        </w:rPr>
        <w:t>Korolev</w:t>
      </w:r>
      <w:proofErr w:type="spellEnd"/>
      <w:r w:rsidRPr="005F3664">
        <w:rPr>
          <w:rFonts w:ascii="Arial" w:hAnsi="Arial" w:cs="Arial"/>
          <w:sz w:val="20"/>
          <w:szCs w:val="20"/>
        </w:rPr>
        <w:t xml:space="preserve">, A., Rayner, T., Dixon, L. E., Riaz, A., Martin, W., Ryan, M., Edwards, D., &amp; Hickey, L. T. (2018). Speed breeding is a powerful tool to accelerate crop research and breeding. </w:t>
      </w:r>
      <w:r w:rsidRPr="004C0DDD">
        <w:rPr>
          <w:rFonts w:ascii="Arial" w:hAnsi="Arial" w:cs="Arial"/>
          <w:i/>
          <w:iCs/>
          <w:sz w:val="20"/>
          <w:szCs w:val="20"/>
          <w:lang w:val="sv-SE"/>
        </w:rPr>
        <w:t>Nature Plants, 4</w:t>
      </w:r>
      <w:r w:rsidRPr="004C0DDD">
        <w:rPr>
          <w:rFonts w:ascii="Arial" w:hAnsi="Arial" w:cs="Arial"/>
          <w:sz w:val="20"/>
          <w:szCs w:val="20"/>
          <w:lang w:val="sv-SE"/>
        </w:rPr>
        <w:t>(1), 23</w:t>
      </w:r>
      <w:r w:rsidR="00195BC2">
        <w:rPr>
          <w:rFonts w:ascii="Arial" w:hAnsi="Arial" w:cs="Arial"/>
          <w:sz w:val="20"/>
          <w:szCs w:val="20"/>
          <w:lang w:val="sv-SE"/>
        </w:rPr>
        <w:t>-</w:t>
      </w:r>
      <w:r w:rsidRPr="004C0DDD">
        <w:rPr>
          <w:rFonts w:ascii="Arial" w:hAnsi="Arial" w:cs="Arial"/>
          <w:sz w:val="20"/>
          <w:szCs w:val="20"/>
          <w:lang w:val="sv-SE"/>
        </w:rPr>
        <w:t xml:space="preserve">29. </w:t>
      </w:r>
      <w:hyperlink r:id="rId46" w:tgtFrame="_new" w:history="1">
        <w:r w:rsidRPr="004C0DDD">
          <w:rPr>
            <w:rStyle w:val="Hyperlink"/>
            <w:rFonts w:ascii="Arial" w:hAnsi="Arial" w:cs="Arial"/>
            <w:sz w:val="20"/>
            <w:szCs w:val="20"/>
            <w:lang w:val="sv-SE"/>
          </w:rPr>
          <w:t>https://doi.org/10.1038/s41477-017-0083-8</w:t>
        </w:r>
      </w:hyperlink>
    </w:p>
    <w:p w14:paraId="2CB1C1D2" w14:textId="77777777" w:rsidR="005F3664" w:rsidRPr="005F3664" w:rsidRDefault="005F3664" w:rsidP="005F3664">
      <w:pPr>
        <w:tabs>
          <w:tab w:val="left" w:pos="3737"/>
        </w:tabs>
        <w:spacing w:line="240" w:lineRule="auto"/>
        <w:ind w:left="482" w:hanging="482"/>
        <w:jc w:val="both"/>
        <w:rPr>
          <w:rFonts w:ascii="Arial" w:hAnsi="Arial" w:cs="Arial"/>
          <w:sz w:val="20"/>
          <w:szCs w:val="20"/>
        </w:rPr>
      </w:pPr>
      <w:r w:rsidRPr="004C0DDD">
        <w:rPr>
          <w:rFonts w:ascii="Arial" w:hAnsi="Arial" w:cs="Arial"/>
          <w:sz w:val="20"/>
          <w:szCs w:val="20"/>
          <w:lang w:val="sv-SE"/>
        </w:rPr>
        <w:t xml:space="preserve">Whitaker, V. M., Knapp, S. J., Hardigan, M. A., Edger, P. P., Slovin, J. P., Bassil, N. V., Hummer, K. E., Dhingra, A., Lee, S., Jung, S., Main, D., Barbey, C. R., Verma, S., &amp; Feldmann, M. J. (2020). </w:t>
      </w:r>
      <w:r w:rsidRPr="005F3664">
        <w:rPr>
          <w:rFonts w:ascii="Arial" w:hAnsi="Arial" w:cs="Arial"/>
          <w:sz w:val="20"/>
          <w:szCs w:val="20"/>
        </w:rPr>
        <w:t xml:space="preserve">A roadmap for research in octoploid strawberry. </w:t>
      </w:r>
      <w:r w:rsidRPr="005F3664">
        <w:rPr>
          <w:rFonts w:ascii="Arial" w:hAnsi="Arial" w:cs="Arial"/>
          <w:i/>
          <w:iCs/>
          <w:sz w:val="20"/>
          <w:szCs w:val="20"/>
        </w:rPr>
        <w:t>Horticulture Research, 7</w:t>
      </w:r>
      <w:r w:rsidRPr="005F3664">
        <w:rPr>
          <w:rFonts w:ascii="Arial" w:hAnsi="Arial" w:cs="Arial"/>
          <w:sz w:val="20"/>
          <w:szCs w:val="20"/>
        </w:rPr>
        <w:t xml:space="preserve">(1), 33. </w:t>
      </w:r>
      <w:hyperlink r:id="rId47" w:tgtFrame="_new" w:history="1">
        <w:r w:rsidRPr="005F3664">
          <w:rPr>
            <w:rStyle w:val="Hyperlink"/>
            <w:rFonts w:ascii="Arial" w:hAnsi="Arial" w:cs="Arial"/>
            <w:sz w:val="20"/>
            <w:szCs w:val="20"/>
          </w:rPr>
          <w:t>https://doi.org/10.1038/s41438-020-0252-2</w:t>
        </w:r>
      </w:hyperlink>
    </w:p>
    <w:p w14:paraId="3A6568E9" w14:textId="38F80A66" w:rsidR="005F3664" w:rsidRPr="005F3664" w:rsidRDefault="005F3664" w:rsidP="005F3664">
      <w:pPr>
        <w:tabs>
          <w:tab w:val="left" w:pos="3737"/>
        </w:tabs>
        <w:spacing w:line="240" w:lineRule="auto"/>
        <w:ind w:left="482" w:hanging="482"/>
        <w:jc w:val="both"/>
        <w:rPr>
          <w:rFonts w:ascii="Arial" w:hAnsi="Arial" w:cs="Arial"/>
          <w:sz w:val="20"/>
          <w:szCs w:val="20"/>
        </w:rPr>
      </w:pPr>
      <w:r w:rsidRPr="005F3664">
        <w:rPr>
          <w:rFonts w:ascii="Arial" w:hAnsi="Arial" w:cs="Arial"/>
          <w:sz w:val="20"/>
          <w:szCs w:val="20"/>
        </w:rPr>
        <w:t xml:space="preserve">Xu, Y., &amp; Crouch, J. H. (2008). Marker-assisted selection in plant breeding: From publications to practice. </w:t>
      </w:r>
      <w:r w:rsidRPr="005F3664">
        <w:rPr>
          <w:rFonts w:ascii="Arial" w:hAnsi="Arial" w:cs="Arial"/>
          <w:i/>
          <w:iCs/>
          <w:sz w:val="20"/>
          <w:szCs w:val="20"/>
        </w:rPr>
        <w:t>Crop Science, 48</w:t>
      </w:r>
      <w:r w:rsidRPr="005F3664">
        <w:rPr>
          <w:rFonts w:ascii="Arial" w:hAnsi="Arial" w:cs="Arial"/>
          <w:sz w:val="20"/>
          <w:szCs w:val="20"/>
        </w:rPr>
        <w:t>(2), 391</w:t>
      </w:r>
      <w:r w:rsidR="00195BC2">
        <w:rPr>
          <w:rFonts w:ascii="Arial" w:hAnsi="Arial" w:cs="Arial"/>
          <w:sz w:val="20"/>
          <w:szCs w:val="20"/>
        </w:rPr>
        <w:t>-</w:t>
      </w:r>
      <w:r w:rsidRPr="005F3664">
        <w:rPr>
          <w:rFonts w:ascii="Arial" w:hAnsi="Arial" w:cs="Arial"/>
          <w:sz w:val="20"/>
          <w:szCs w:val="20"/>
        </w:rPr>
        <w:t xml:space="preserve">407. </w:t>
      </w:r>
      <w:hyperlink r:id="rId48" w:tgtFrame="_new" w:history="1">
        <w:r w:rsidRPr="005F3664">
          <w:rPr>
            <w:rStyle w:val="Hyperlink"/>
            <w:rFonts w:ascii="Arial" w:hAnsi="Arial" w:cs="Arial"/>
            <w:sz w:val="20"/>
            <w:szCs w:val="20"/>
          </w:rPr>
          <w:t>https://doi.org/10.2135/cropsci2007.04.0191</w:t>
        </w:r>
      </w:hyperlink>
    </w:p>
    <w:p w14:paraId="5F768164" w14:textId="704505FE" w:rsidR="005F3664" w:rsidRPr="005F3664" w:rsidRDefault="005F3664" w:rsidP="005F3664">
      <w:pPr>
        <w:tabs>
          <w:tab w:val="left" w:pos="3737"/>
        </w:tabs>
        <w:spacing w:line="240" w:lineRule="auto"/>
        <w:ind w:left="482" w:hanging="482"/>
        <w:jc w:val="both"/>
        <w:rPr>
          <w:rFonts w:ascii="Arial" w:hAnsi="Arial" w:cs="Arial"/>
          <w:sz w:val="20"/>
          <w:szCs w:val="20"/>
        </w:rPr>
      </w:pPr>
      <w:proofErr w:type="spellStart"/>
      <w:r w:rsidRPr="005F3664">
        <w:rPr>
          <w:rFonts w:ascii="Arial" w:hAnsi="Arial" w:cs="Arial"/>
          <w:sz w:val="20"/>
          <w:szCs w:val="20"/>
        </w:rPr>
        <w:t>Zsögön</w:t>
      </w:r>
      <w:proofErr w:type="spellEnd"/>
      <w:r w:rsidRPr="005F3664">
        <w:rPr>
          <w:rFonts w:ascii="Arial" w:hAnsi="Arial" w:cs="Arial"/>
          <w:sz w:val="20"/>
          <w:szCs w:val="20"/>
        </w:rPr>
        <w:t xml:space="preserve">, A., </w:t>
      </w:r>
      <w:proofErr w:type="spellStart"/>
      <w:r w:rsidRPr="005F3664">
        <w:rPr>
          <w:rFonts w:ascii="Arial" w:hAnsi="Arial" w:cs="Arial"/>
          <w:sz w:val="20"/>
          <w:szCs w:val="20"/>
        </w:rPr>
        <w:t>Čermák</w:t>
      </w:r>
      <w:proofErr w:type="spellEnd"/>
      <w:r w:rsidRPr="005F3664">
        <w:rPr>
          <w:rFonts w:ascii="Arial" w:hAnsi="Arial" w:cs="Arial"/>
          <w:sz w:val="20"/>
          <w:szCs w:val="20"/>
        </w:rPr>
        <w:t xml:space="preserve">, T., Naves, E. R., </w:t>
      </w:r>
      <w:proofErr w:type="spellStart"/>
      <w:r w:rsidRPr="005F3664">
        <w:rPr>
          <w:rFonts w:ascii="Arial" w:hAnsi="Arial" w:cs="Arial"/>
          <w:sz w:val="20"/>
          <w:szCs w:val="20"/>
        </w:rPr>
        <w:t>Notini</w:t>
      </w:r>
      <w:proofErr w:type="spellEnd"/>
      <w:r w:rsidRPr="005F3664">
        <w:rPr>
          <w:rFonts w:ascii="Arial" w:hAnsi="Arial" w:cs="Arial"/>
          <w:sz w:val="20"/>
          <w:szCs w:val="20"/>
        </w:rPr>
        <w:t xml:space="preserve">, M. M., </w:t>
      </w:r>
      <w:proofErr w:type="spellStart"/>
      <w:r w:rsidRPr="005F3664">
        <w:rPr>
          <w:rFonts w:ascii="Arial" w:hAnsi="Arial" w:cs="Arial"/>
          <w:sz w:val="20"/>
          <w:szCs w:val="20"/>
        </w:rPr>
        <w:t>Edel</w:t>
      </w:r>
      <w:proofErr w:type="spellEnd"/>
      <w:r w:rsidRPr="005F3664">
        <w:rPr>
          <w:rFonts w:ascii="Arial" w:hAnsi="Arial" w:cs="Arial"/>
          <w:sz w:val="20"/>
          <w:szCs w:val="20"/>
        </w:rPr>
        <w:t xml:space="preserve">, K. H., </w:t>
      </w:r>
      <w:proofErr w:type="spellStart"/>
      <w:r w:rsidRPr="005F3664">
        <w:rPr>
          <w:rFonts w:ascii="Arial" w:hAnsi="Arial" w:cs="Arial"/>
          <w:sz w:val="20"/>
          <w:szCs w:val="20"/>
        </w:rPr>
        <w:t>Weinl</w:t>
      </w:r>
      <w:proofErr w:type="spellEnd"/>
      <w:r w:rsidRPr="005F3664">
        <w:rPr>
          <w:rFonts w:ascii="Arial" w:hAnsi="Arial" w:cs="Arial"/>
          <w:sz w:val="20"/>
          <w:szCs w:val="20"/>
        </w:rPr>
        <w:t xml:space="preserve">, S., </w:t>
      </w:r>
      <w:proofErr w:type="spellStart"/>
      <w:r w:rsidRPr="005F3664">
        <w:rPr>
          <w:rFonts w:ascii="Arial" w:hAnsi="Arial" w:cs="Arial"/>
          <w:sz w:val="20"/>
          <w:szCs w:val="20"/>
        </w:rPr>
        <w:t>Freschi</w:t>
      </w:r>
      <w:proofErr w:type="spellEnd"/>
      <w:r w:rsidRPr="005F3664">
        <w:rPr>
          <w:rFonts w:ascii="Arial" w:hAnsi="Arial" w:cs="Arial"/>
          <w:sz w:val="20"/>
          <w:szCs w:val="20"/>
        </w:rPr>
        <w:t xml:space="preserve">, L., </w:t>
      </w:r>
      <w:proofErr w:type="spellStart"/>
      <w:r w:rsidRPr="005F3664">
        <w:rPr>
          <w:rFonts w:ascii="Arial" w:hAnsi="Arial" w:cs="Arial"/>
          <w:sz w:val="20"/>
          <w:szCs w:val="20"/>
        </w:rPr>
        <w:t>Voytas</w:t>
      </w:r>
      <w:proofErr w:type="spellEnd"/>
      <w:r w:rsidRPr="005F3664">
        <w:rPr>
          <w:rFonts w:ascii="Arial" w:hAnsi="Arial" w:cs="Arial"/>
          <w:sz w:val="20"/>
          <w:szCs w:val="20"/>
        </w:rPr>
        <w:t xml:space="preserve">, D. F., </w:t>
      </w:r>
      <w:proofErr w:type="spellStart"/>
      <w:r w:rsidRPr="005F3664">
        <w:rPr>
          <w:rFonts w:ascii="Arial" w:hAnsi="Arial" w:cs="Arial"/>
          <w:sz w:val="20"/>
          <w:szCs w:val="20"/>
        </w:rPr>
        <w:t>Kudla</w:t>
      </w:r>
      <w:proofErr w:type="spellEnd"/>
      <w:r w:rsidRPr="005F3664">
        <w:rPr>
          <w:rFonts w:ascii="Arial" w:hAnsi="Arial" w:cs="Arial"/>
          <w:sz w:val="20"/>
          <w:szCs w:val="20"/>
        </w:rPr>
        <w:t xml:space="preserve">, J., &amp; Peres, L. E. P. (2018). De novo domestication of wild tomato using genome editing. </w:t>
      </w:r>
      <w:r w:rsidRPr="005F3664">
        <w:rPr>
          <w:rFonts w:ascii="Arial" w:hAnsi="Arial" w:cs="Arial"/>
          <w:i/>
          <w:iCs/>
          <w:sz w:val="20"/>
          <w:szCs w:val="20"/>
        </w:rPr>
        <w:t>Nature Biotechnology, 36</w:t>
      </w:r>
      <w:r w:rsidRPr="005F3664">
        <w:rPr>
          <w:rFonts w:ascii="Arial" w:hAnsi="Arial" w:cs="Arial"/>
          <w:sz w:val="20"/>
          <w:szCs w:val="20"/>
        </w:rPr>
        <w:t>(12), 1211</w:t>
      </w:r>
      <w:r w:rsidR="00195BC2">
        <w:rPr>
          <w:rFonts w:ascii="Arial" w:hAnsi="Arial" w:cs="Arial"/>
          <w:sz w:val="20"/>
          <w:szCs w:val="20"/>
        </w:rPr>
        <w:t>-</w:t>
      </w:r>
      <w:r w:rsidRPr="005F3664">
        <w:rPr>
          <w:rFonts w:ascii="Arial" w:hAnsi="Arial" w:cs="Arial"/>
          <w:sz w:val="20"/>
          <w:szCs w:val="20"/>
        </w:rPr>
        <w:t xml:space="preserve">1216. </w:t>
      </w:r>
      <w:hyperlink r:id="rId49" w:tgtFrame="_new" w:history="1">
        <w:r w:rsidRPr="005F3664">
          <w:rPr>
            <w:rStyle w:val="Hyperlink"/>
            <w:rFonts w:ascii="Arial" w:hAnsi="Arial" w:cs="Arial"/>
            <w:sz w:val="20"/>
            <w:szCs w:val="20"/>
          </w:rPr>
          <w:t>https://doi.org/10.1038/nbt.4272</w:t>
        </w:r>
      </w:hyperlink>
    </w:p>
    <w:p w14:paraId="41B2821F" w14:textId="77777777" w:rsidR="00B529D9" w:rsidRPr="005F3664" w:rsidRDefault="00B529D9" w:rsidP="00E53B33">
      <w:pPr>
        <w:tabs>
          <w:tab w:val="left" w:pos="3737"/>
        </w:tabs>
        <w:spacing w:line="240" w:lineRule="auto"/>
        <w:ind w:left="482" w:hanging="482"/>
        <w:jc w:val="both"/>
        <w:rPr>
          <w:rFonts w:ascii="Arial" w:hAnsi="Arial" w:cs="Arial"/>
          <w:vanish/>
        </w:rPr>
      </w:pPr>
      <w:r w:rsidRPr="005F3664">
        <w:rPr>
          <w:rFonts w:ascii="Arial" w:hAnsi="Arial" w:cs="Arial"/>
          <w:vanish/>
        </w:rPr>
        <w:t>Bottom of Form</w:t>
      </w:r>
    </w:p>
    <w:p w14:paraId="262E0E0F" w14:textId="77777777" w:rsidR="00A12FC2" w:rsidRPr="005F3664" w:rsidRDefault="00A12FC2" w:rsidP="00E53B33">
      <w:pPr>
        <w:tabs>
          <w:tab w:val="left" w:pos="3737"/>
        </w:tabs>
        <w:spacing w:line="240" w:lineRule="auto"/>
        <w:ind w:left="482" w:hanging="482"/>
        <w:jc w:val="both"/>
        <w:rPr>
          <w:rFonts w:ascii="Arial" w:hAnsi="Arial" w:cs="Arial"/>
        </w:rPr>
      </w:pPr>
    </w:p>
    <w:sectPr w:rsidR="00A12FC2" w:rsidRPr="005F3664">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D4F38B1" w16cex:dateUtc="2026-03-01T16:4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54AD" w14:textId="77777777" w:rsidR="00822BBC" w:rsidRDefault="00822BBC" w:rsidP="00392B28">
      <w:pPr>
        <w:spacing w:after="0" w:line="240" w:lineRule="auto"/>
      </w:pPr>
      <w:r>
        <w:separator/>
      </w:r>
    </w:p>
  </w:endnote>
  <w:endnote w:type="continuationSeparator" w:id="0">
    <w:p w14:paraId="3FBFF687" w14:textId="77777777" w:rsidR="00822BBC" w:rsidRDefault="00822BBC" w:rsidP="00392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B05FA" w14:textId="77777777" w:rsidR="00392B28" w:rsidRDefault="00392B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F38B7" w14:textId="77777777" w:rsidR="00392B28" w:rsidRDefault="00392B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B3627" w14:textId="77777777" w:rsidR="00392B28" w:rsidRDefault="00392B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A8D16" w14:textId="77777777" w:rsidR="00822BBC" w:rsidRDefault="00822BBC" w:rsidP="00392B28">
      <w:pPr>
        <w:spacing w:after="0" w:line="240" w:lineRule="auto"/>
      </w:pPr>
      <w:r>
        <w:separator/>
      </w:r>
    </w:p>
  </w:footnote>
  <w:footnote w:type="continuationSeparator" w:id="0">
    <w:p w14:paraId="160CDFC8" w14:textId="77777777" w:rsidR="00822BBC" w:rsidRDefault="00822BBC" w:rsidP="00392B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5E72E" w14:textId="3A4D9C63" w:rsidR="00392B28" w:rsidRDefault="00822BBC">
    <w:pPr>
      <w:pStyle w:val="Header"/>
    </w:pPr>
    <w:r>
      <w:rPr>
        <w:noProof/>
      </w:rPr>
      <w:pict w14:anchorId="3A7875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4738470" o:spid="_x0000_s2050" type="#_x0000_t136" style="position:absolute;margin-left:0;margin-top:0;width:535.3pt;height:100.9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1A06E" w14:textId="6EAB7925" w:rsidR="00392B28" w:rsidRDefault="00822BBC">
    <w:pPr>
      <w:pStyle w:val="Header"/>
    </w:pPr>
    <w:r>
      <w:rPr>
        <w:noProof/>
      </w:rPr>
      <w:pict w14:anchorId="3F5D0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4738471" o:spid="_x0000_s2051" type="#_x0000_t136" style="position:absolute;margin-left:0;margin-top:0;width:535.3pt;height:100.9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0040C" w14:textId="50603511" w:rsidR="00392B28" w:rsidRDefault="00822BBC">
    <w:pPr>
      <w:pStyle w:val="Header"/>
    </w:pPr>
    <w:r>
      <w:rPr>
        <w:noProof/>
      </w:rPr>
      <w:pict w14:anchorId="1BF2E5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4738469" o:spid="_x0000_s2049" type="#_x0000_t136" style="position:absolute;margin-left:0;margin-top:0;width:535.3pt;height:100.9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039C6"/>
    <w:multiLevelType w:val="hybridMultilevel"/>
    <w:tmpl w:val="7112291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2425C9A"/>
    <w:multiLevelType w:val="multilevel"/>
    <w:tmpl w:val="7EF4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7A6A24"/>
    <w:multiLevelType w:val="multilevel"/>
    <w:tmpl w:val="4632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CF4CB0"/>
    <w:multiLevelType w:val="multilevel"/>
    <w:tmpl w:val="77568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9926D3"/>
    <w:multiLevelType w:val="multilevel"/>
    <w:tmpl w:val="32A2F96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051"/>
    <w:rsid w:val="00030B51"/>
    <w:rsid w:val="00040BE1"/>
    <w:rsid w:val="000961C9"/>
    <w:rsid w:val="000E5045"/>
    <w:rsid w:val="001213FE"/>
    <w:rsid w:val="00194143"/>
    <w:rsid w:val="00195BC2"/>
    <w:rsid w:val="00230FDE"/>
    <w:rsid w:val="00262034"/>
    <w:rsid w:val="00292E1A"/>
    <w:rsid w:val="002D02E4"/>
    <w:rsid w:val="00345E27"/>
    <w:rsid w:val="00351C6D"/>
    <w:rsid w:val="00365EF5"/>
    <w:rsid w:val="003876C2"/>
    <w:rsid w:val="00392B28"/>
    <w:rsid w:val="003C59B7"/>
    <w:rsid w:val="003F46A2"/>
    <w:rsid w:val="004616A5"/>
    <w:rsid w:val="004C0DDD"/>
    <w:rsid w:val="004C1AB0"/>
    <w:rsid w:val="0051097E"/>
    <w:rsid w:val="00514D20"/>
    <w:rsid w:val="00537D60"/>
    <w:rsid w:val="00545E80"/>
    <w:rsid w:val="005856F9"/>
    <w:rsid w:val="005932AA"/>
    <w:rsid w:val="005A1A74"/>
    <w:rsid w:val="005B3010"/>
    <w:rsid w:val="005F3664"/>
    <w:rsid w:val="00612FF4"/>
    <w:rsid w:val="006164C4"/>
    <w:rsid w:val="006424A2"/>
    <w:rsid w:val="006769A4"/>
    <w:rsid w:val="00696158"/>
    <w:rsid w:val="006A341C"/>
    <w:rsid w:val="00782273"/>
    <w:rsid w:val="00822BBC"/>
    <w:rsid w:val="00831536"/>
    <w:rsid w:val="00902BA2"/>
    <w:rsid w:val="009768BC"/>
    <w:rsid w:val="00980AE4"/>
    <w:rsid w:val="00991B3B"/>
    <w:rsid w:val="009B6472"/>
    <w:rsid w:val="009C34BF"/>
    <w:rsid w:val="009C7D0F"/>
    <w:rsid w:val="009E67CB"/>
    <w:rsid w:val="00A12FC2"/>
    <w:rsid w:val="00A255F6"/>
    <w:rsid w:val="00A42469"/>
    <w:rsid w:val="00A73ABC"/>
    <w:rsid w:val="00A76E55"/>
    <w:rsid w:val="00AF6115"/>
    <w:rsid w:val="00B25D7F"/>
    <w:rsid w:val="00B260D1"/>
    <w:rsid w:val="00B52971"/>
    <w:rsid w:val="00B529D9"/>
    <w:rsid w:val="00B64137"/>
    <w:rsid w:val="00B7231A"/>
    <w:rsid w:val="00B9058F"/>
    <w:rsid w:val="00B92BEE"/>
    <w:rsid w:val="00BA458F"/>
    <w:rsid w:val="00BD32E2"/>
    <w:rsid w:val="00C11235"/>
    <w:rsid w:val="00C14FAC"/>
    <w:rsid w:val="00C233D8"/>
    <w:rsid w:val="00C815FE"/>
    <w:rsid w:val="00C879D9"/>
    <w:rsid w:val="00CE4171"/>
    <w:rsid w:val="00CF2DBB"/>
    <w:rsid w:val="00CF2F22"/>
    <w:rsid w:val="00D63F5A"/>
    <w:rsid w:val="00D86DE1"/>
    <w:rsid w:val="00DC19BE"/>
    <w:rsid w:val="00DF5667"/>
    <w:rsid w:val="00E1451C"/>
    <w:rsid w:val="00E53B33"/>
    <w:rsid w:val="00E96333"/>
    <w:rsid w:val="00EA7601"/>
    <w:rsid w:val="00EB5012"/>
    <w:rsid w:val="00EB63C4"/>
    <w:rsid w:val="00ED70A4"/>
    <w:rsid w:val="00EE50DD"/>
    <w:rsid w:val="00F15708"/>
    <w:rsid w:val="00F15F56"/>
    <w:rsid w:val="00F66459"/>
    <w:rsid w:val="00F7344F"/>
    <w:rsid w:val="00F81250"/>
    <w:rsid w:val="00F82BCB"/>
    <w:rsid w:val="00F90021"/>
    <w:rsid w:val="00F9373E"/>
    <w:rsid w:val="00FA5051"/>
    <w:rsid w:val="00FB7E67"/>
    <w:rsid w:val="00FF05C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8F849A7"/>
  <w15:chartTrackingRefBased/>
  <w15:docId w15:val="{6E9845D2-B7FF-4646-932D-02372AE20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051"/>
    <w:pPr>
      <w:ind w:left="720"/>
      <w:contextualSpacing/>
    </w:pPr>
  </w:style>
  <w:style w:type="table" w:styleId="TableGridLight">
    <w:name w:val="Grid Table Light"/>
    <w:basedOn w:val="TableNormal"/>
    <w:uiPriority w:val="40"/>
    <w:rsid w:val="003876C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387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B6472"/>
    <w:rPr>
      <w:color w:val="0563C1" w:themeColor="hyperlink"/>
      <w:u w:val="single"/>
    </w:rPr>
  </w:style>
  <w:style w:type="character" w:customStyle="1" w:styleId="UnresolvedMention">
    <w:name w:val="Unresolved Mention"/>
    <w:basedOn w:val="DefaultParagraphFont"/>
    <w:uiPriority w:val="99"/>
    <w:semiHidden/>
    <w:unhideWhenUsed/>
    <w:rsid w:val="009B6472"/>
    <w:rPr>
      <w:color w:val="605E5C"/>
      <w:shd w:val="clear" w:color="auto" w:fill="E1DFDD"/>
    </w:rPr>
  </w:style>
  <w:style w:type="paragraph" w:styleId="Header">
    <w:name w:val="header"/>
    <w:basedOn w:val="Normal"/>
    <w:link w:val="HeaderChar"/>
    <w:uiPriority w:val="99"/>
    <w:unhideWhenUsed/>
    <w:rsid w:val="00392B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2B28"/>
  </w:style>
  <w:style w:type="paragraph" w:styleId="Footer">
    <w:name w:val="footer"/>
    <w:basedOn w:val="Normal"/>
    <w:link w:val="FooterChar"/>
    <w:uiPriority w:val="99"/>
    <w:unhideWhenUsed/>
    <w:rsid w:val="00392B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2B28"/>
  </w:style>
  <w:style w:type="character" w:styleId="CommentReference">
    <w:name w:val="annotation reference"/>
    <w:basedOn w:val="DefaultParagraphFont"/>
    <w:uiPriority w:val="99"/>
    <w:semiHidden/>
    <w:unhideWhenUsed/>
    <w:rsid w:val="00FF05CD"/>
    <w:rPr>
      <w:sz w:val="16"/>
      <w:szCs w:val="16"/>
    </w:rPr>
  </w:style>
  <w:style w:type="paragraph" w:styleId="CommentText">
    <w:name w:val="annotation text"/>
    <w:basedOn w:val="Normal"/>
    <w:link w:val="CommentTextChar"/>
    <w:uiPriority w:val="99"/>
    <w:semiHidden/>
    <w:unhideWhenUsed/>
    <w:rsid w:val="00FF05CD"/>
    <w:pPr>
      <w:spacing w:line="240" w:lineRule="auto"/>
    </w:pPr>
    <w:rPr>
      <w:sz w:val="20"/>
      <w:szCs w:val="20"/>
    </w:rPr>
  </w:style>
  <w:style w:type="character" w:customStyle="1" w:styleId="CommentTextChar">
    <w:name w:val="Comment Text Char"/>
    <w:basedOn w:val="DefaultParagraphFont"/>
    <w:link w:val="CommentText"/>
    <w:uiPriority w:val="99"/>
    <w:semiHidden/>
    <w:rsid w:val="00FF05CD"/>
    <w:rPr>
      <w:sz w:val="20"/>
      <w:szCs w:val="20"/>
    </w:rPr>
  </w:style>
  <w:style w:type="paragraph" w:styleId="CommentSubject">
    <w:name w:val="annotation subject"/>
    <w:basedOn w:val="CommentText"/>
    <w:next w:val="CommentText"/>
    <w:link w:val="CommentSubjectChar"/>
    <w:uiPriority w:val="99"/>
    <w:semiHidden/>
    <w:unhideWhenUsed/>
    <w:rsid w:val="00FF05CD"/>
    <w:rPr>
      <w:b/>
      <w:bCs/>
    </w:rPr>
  </w:style>
  <w:style w:type="character" w:customStyle="1" w:styleId="CommentSubjectChar">
    <w:name w:val="Comment Subject Char"/>
    <w:basedOn w:val="CommentTextChar"/>
    <w:link w:val="CommentSubject"/>
    <w:uiPriority w:val="99"/>
    <w:semiHidden/>
    <w:rsid w:val="00FF05CD"/>
    <w:rPr>
      <w:b/>
      <w:bCs/>
      <w:sz w:val="20"/>
      <w:szCs w:val="20"/>
    </w:rPr>
  </w:style>
  <w:style w:type="paragraph" w:styleId="BalloonText">
    <w:name w:val="Balloon Text"/>
    <w:basedOn w:val="Normal"/>
    <w:link w:val="BalloonTextChar"/>
    <w:uiPriority w:val="99"/>
    <w:semiHidden/>
    <w:unhideWhenUsed/>
    <w:rsid w:val="006164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4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4210">
      <w:bodyDiv w:val="1"/>
      <w:marLeft w:val="0"/>
      <w:marRight w:val="0"/>
      <w:marTop w:val="0"/>
      <w:marBottom w:val="0"/>
      <w:divBdr>
        <w:top w:val="none" w:sz="0" w:space="0" w:color="auto"/>
        <w:left w:val="none" w:sz="0" w:space="0" w:color="auto"/>
        <w:bottom w:val="none" w:sz="0" w:space="0" w:color="auto"/>
        <w:right w:val="none" w:sz="0" w:space="0" w:color="auto"/>
      </w:divBdr>
    </w:div>
    <w:div w:id="40638794">
      <w:bodyDiv w:val="1"/>
      <w:marLeft w:val="0"/>
      <w:marRight w:val="0"/>
      <w:marTop w:val="0"/>
      <w:marBottom w:val="0"/>
      <w:divBdr>
        <w:top w:val="none" w:sz="0" w:space="0" w:color="auto"/>
        <w:left w:val="none" w:sz="0" w:space="0" w:color="auto"/>
        <w:bottom w:val="none" w:sz="0" w:space="0" w:color="auto"/>
        <w:right w:val="none" w:sz="0" w:space="0" w:color="auto"/>
      </w:divBdr>
    </w:div>
    <w:div w:id="47611331">
      <w:bodyDiv w:val="1"/>
      <w:marLeft w:val="0"/>
      <w:marRight w:val="0"/>
      <w:marTop w:val="0"/>
      <w:marBottom w:val="0"/>
      <w:divBdr>
        <w:top w:val="none" w:sz="0" w:space="0" w:color="auto"/>
        <w:left w:val="none" w:sz="0" w:space="0" w:color="auto"/>
        <w:bottom w:val="none" w:sz="0" w:space="0" w:color="auto"/>
        <w:right w:val="none" w:sz="0" w:space="0" w:color="auto"/>
      </w:divBdr>
    </w:div>
    <w:div w:id="84302740">
      <w:bodyDiv w:val="1"/>
      <w:marLeft w:val="0"/>
      <w:marRight w:val="0"/>
      <w:marTop w:val="0"/>
      <w:marBottom w:val="0"/>
      <w:divBdr>
        <w:top w:val="none" w:sz="0" w:space="0" w:color="auto"/>
        <w:left w:val="none" w:sz="0" w:space="0" w:color="auto"/>
        <w:bottom w:val="none" w:sz="0" w:space="0" w:color="auto"/>
        <w:right w:val="none" w:sz="0" w:space="0" w:color="auto"/>
      </w:divBdr>
    </w:div>
    <w:div w:id="177086772">
      <w:bodyDiv w:val="1"/>
      <w:marLeft w:val="0"/>
      <w:marRight w:val="0"/>
      <w:marTop w:val="0"/>
      <w:marBottom w:val="0"/>
      <w:divBdr>
        <w:top w:val="none" w:sz="0" w:space="0" w:color="auto"/>
        <w:left w:val="none" w:sz="0" w:space="0" w:color="auto"/>
        <w:bottom w:val="none" w:sz="0" w:space="0" w:color="auto"/>
        <w:right w:val="none" w:sz="0" w:space="0" w:color="auto"/>
      </w:divBdr>
    </w:div>
    <w:div w:id="184709598">
      <w:bodyDiv w:val="1"/>
      <w:marLeft w:val="0"/>
      <w:marRight w:val="0"/>
      <w:marTop w:val="0"/>
      <w:marBottom w:val="0"/>
      <w:divBdr>
        <w:top w:val="none" w:sz="0" w:space="0" w:color="auto"/>
        <w:left w:val="none" w:sz="0" w:space="0" w:color="auto"/>
        <w:bottom w:val="none" w:sz="0" w:space="0" w:color="auto"/>
        <w:right w:val="none" w:sz="0" w:space="0" w:color="auto"/>
      </w:divBdr>
    </w:div>
    <w:div w:id="431899470">
      <w:bodyDiv w:val="1"/>
      <w:marLeft w:val="0"/>
      <w:marRight w:val="0"/>
      <w:marTop w:val="0"/>
      <w:marBottom w:val="0"/>
      <w:divBdr>
        <w:top w:val="none" w:sz="0" w:space="0" w:color="auto"/>
        <w:left w:val="none" w:sz="0" w:space="0" w:color="auto"/>
        <w:bottom w:val="none" w:sz="0" w:space="0" w:color="auto"/>
        <w:right w:val="none" w:sz="0" w:space="0" w:color="auto"/>
      </w:divBdr>
    </w:div>
    <w:div w:id="442769528">
      <w:bodyDiv w:val="1"/>
      <w:marLeft w:val="0"/>
      <w:marRight w:val="0"/>
      <w:marTop w:val="0"/>
      <w:marBottom w:val="0"/>
      <w:divBdr>
        <w:top w:val="none" w:sz="0" w:space="0" w:color="auto"/>
        <w:left w:val="none" w:sz="0" w:space="0" w:color="auto"/>
        <w:bottom w:val="none" w:sz="0" w:space="0" w:color="auto"/>
        <w:right w:val="none" w:sz="0" w:space="0" w:color="auto"/>
      </w:divBdr>
    </w:div>
    <w:div w:id="527567907">
      <w:bodyDiv w:val="1"/>
      <w:marLeft w:val="0"/>
      <w:marRight w:val="0"/>
      <w:marTop w:val="0"/>
      <w:marBottom w:val="0"/>
      <w:divBdr>
        <w:top w:val="none" w:sz="0" w:space="0" w:color="auto"/>
        <w:left w:val="none" w:sz="0" w:space="0" w:color="auto"/>
        <w:bottom w:val="none" w:sz="0" w:space="0" w:color="auto"/>
        <w:right w:val="none" w:sz="0" w:space="0" w:color="auto"/>
      </w:divBdr>
      <w:divsChild>
        <w:div w:id="1467091632">
          <w:marLeft w:val="0"/>
          <w:marRight w:val="0"/>
          <w:marTop w:val="0"/>
          <w:marBottom w:val="0"/>
          <w:divBdr>
            <w:top w:val="none" w:sz="0" w:space="0" w:color="auto"/>
            <w:left w:val="none" w:sz="0" w:space="0" w:color="auto"/>
            <w:bottom w:val="none" w:sz="0" w:space="0" w:color="auto"/>
            <w:right w:val="none" w:sz="0" w:space="0" w:color="auto"/>
          </w:divBdr>
          <w:divsChild>
            <w:div w:id="1556356430">
              <w:marLeft w:val="0"/>
              <w:marRight w:val="0"/>
              <w:marTop w:val="0"/>
              <w:marBottom w:val="0"/>
              <w:divBdr>
                <w:top w:val="none" w:sz="0" w:space="0" w:color="auto"/>
                <w:left w:val="none" w:sz="0" w:space="0" w:color="auto"/>
                <w:bottom w:val="none" w:sz="0" w:space="0" w:color="auto"/>
                <w:right w:val="none" w:sz="0" w:space="0" w:color="auto"/>
              </w:divBdr>
              <w:divsChild>
                <w:div w:id="1715084162">
                  <w:marLeft w:val="0"/>
                  <w:marRight w:val="0"/>
                  <w:marTop w:val="0"/>
                  <w:marBottom w:val="0"/>
                  <w:divBdr>
                    <w:top w:val="none" w:sz="0" w:space="0" w:color="auto"/>
                    <w:left w:val="none" w:sz="0" w:space="0" w:color="auto"/>
                    <w:bottom w:val="none" w:sz="0" w:space="0" w:color="auto"/>
                    <w:right w:val="none" w:sz="0" w:space="0" w:color="auto"/>
                  </w:divBdr>
                  <w:divsChild>
                    <w:div w:id="522282114">
                      <w:marLeft w:val="0"/>
                      <w:marRight w:val="0"/>
                      <w:marTop w:val="0"/>
                      <w:marBottom w:val="0"/>
                      <w:divBdr>
                        <w:top w:val="none" w:sz="0" w:space="0" w:color="auto"/>
                        <w:left w:val="none" w:sz="0" w:space="0" w:color="auto"/>
                        <w:bottom w:val="none" w:sz="0" w:space="0" w:color="auto"/>
                        <w:right w:val="none" w:sz="0" w:space="0" w:color="auto"/>
                      </w:divBdr>
                      <w:divsChild>
                        <w:div w:id="660231255">
                          <w:marLeft w:val="0"/>
                          <w:marRight w:val="0"/>
                          <w:marTop w:val="0"/>
                          <w:marBottom w:val="0"/>
                          <w:divBdr>
                            <w:top w:val="none" w:sz="0" w:space="0" w:color="auto"/>
                            <w:left w:val="none" w:sz="0" w:space="0" w:color="auto"/>
                            <w:bottom w:val="none" w:sz="0" w:space="0" w:color="auto"/>
                            <w:right w:val="none" w:sz="0" w:space="0" w:color="auto"/>
                          </w:divBdr>
                          <w:divsChild>
                            <w:div w:id="1387342215">
                              <w:marLeft w:val="0"/>
                              <w:marRight w:val="0"/>
                              <w:marTop w:val="0"/>
                              <w:marBottom w:val="0"/>
                              <w:divBdr>
                                <w:top w:val="none" w:sz="0" w:space="0" w:color="auto"/>
                                <w:left w:val="none" w:sz="0" w:space="0" w:color="auto"/>
                                <w:bottom w:val="none" w:sz="0" w:space="0" w:color="auto"/>
                                <w:right w:val="none" w:sz="0" w:space="0" w:color="auto"/>
                              </w:divBdr>
                              <w:divsChild>
                                <w:div w:id="1436746891">
                                  <w:marLeft w:val="0"/>
                                  <w:marRight w:val="0"/>
                                  <w:marTop w:val="0"/>
                                  <w:marBottom w:val="0"/>
                                  <w:divBdr>
                                    <w:top w:val="none" w:sz="0" w:space="0" w:color="auto"/>
                                    <w:left w:val="none" w:sz="0" w:space="0" w:color="auto"/>
                                    <w:bottom w:val="none" w:sz="0" w:space="0" w:color="auto"/>
                                    <w:right w:val="none" w:sz="0" w:space="0" w:color="auto"/>
                                  </w:divBdr>
                                  <w:divsChild>
                                    <w:div w:id="833374760">
                                      <w:marLeft w:val="0"/>
                                      <w:marRight w:val="0"/>
                                      <w:marTop w:val="0"/>
                                      <w:marBottom w:val="0"/>
                                      <w:divBdr>
                                        <w:top w:val="none" w:sz="0" w:space="0" w:color="auto"/>
                                        <w:left w:val="none" w:sz="0" w:space="0" w:color="auto"/>
                                        <w:bottom w:val="none" w:sz="0" w:space="0" w:color="auto"/>
                                        <w:right w:val="none" w:sz="0" w:space="0" w:color="auto"/>
                                      </w:divBdr>
                                      <w:divsChild>
                                        <w:div w:id="1535196699">
                                          <w:marLeft w:val="0"/>
                                          <w:marRight w:val="0"/>
                                          <w:marTop w:val="0"/>
                                          <w:marBottom w:val="0"/>
                                          <w:divBdr>
                                            <w:top w:val="none" w:sz="0" w:space="0" w:color="auto"/>
                                            <w:left w:val="none" w:sz="0" w:space="0" w:color="auto"/>
                                            <w:bottom w:val="none" w:sz="0" w:space="0" w:color="auto"/>
                                            <w:right w:val="none" w:sz="0" w:space="0" w:color="auto"/>
                                          </w:divBdr>
                                          <w:divsChild>
                                            <w:div w:id="542596615">
                                              <w:marLeft w:val="0"/>
                                              <w:marRight w:val="0"/>
                                              <w:marTop w:val="0"/>
                                              <w:marBottom w:val="0"/>
                                              <w:divBdr>
                                                <w:top w:val="none" w:sz="0" w:space="0" w:color="auto"/>
                                                <w:left w:val="none" w:sz="0" w:space="0" w:color="auto"/>
                                                <w:bottom w:val="none" w:sz="0" w:space="0" w:color="auto"/>
                                                <w:right w:val="none" w:sz="0" w:space="0" w:color="auto"/>
                                              </w:divBdr>
                                              <w:divsChild>
                                                <w:div w:id="955327231">
                                                  <w:marLeft w:val="0"/>
                                                  <w:marRight w:val="0"/>
                                                  <w:marTop w:val="0"/>
                                                  <w:marBottom w:val="0"/>
                                                  <w:divBdr>
                                                    <w:top w:val="none" w:sz="0" w:space="0" w:color="auto"/>
                                                    <w:left w:val="none" w:sz="0" w:space="0" w:color="auto"/>
                                                    <w:bottom w:val="none" w:sz="0" w:space="0" w:color="auto"/>
                                                    <w:right w:val="none" w:sz="0" w:space="0" w:color="auto"/>
                                                  </w:divBdr>
                                                  <w:divsChild>
                                                    <w:div w:id="585305944">
                                                      <w:marLeft w:val="0"/>
                                                      <w:marRight w:val="0"/>
                                                      <w:marTop w:val="0"/>
                                                      <w:marBottom w:val="0"/>
                                                      <w:divBdr>
                                                        <w:top w:val="none" w:sz="0" w:space="0" w:color="auto"/>
                                                        <w:left w:val="none" w:sz="0" w:space="0" w:color="auto"/>
                                                        <w:bottom w:val="none" w:sz="0" w:space="0" w:color="auto"/>
                                                        <w:right w:val="none" w:sz="0" w:space="0" w:color="auto"/>
                                                      </w:divBdr>
                                                      <w:divsChild>
                                                        <w:div w:id="537427190">
                                                          <w:marLeft w:val="0"/>
                                                          <w:marRight w:val="0"/>
                                                          <w:marTop w:val="0"/>
                                                          <w:marBottom w:val="0"/>
                                                          <w:divBdr>
                                                            <w:top w:val="none" w:sz="0" w:space="0" w:color="auto"/>
                                                            <w:left w:val="none" w:sz="0" w:space="0" w:color="auto"/>
                                                            <w:bottom w:val="none" w:sz="0" w:space="0" w:color="auto"/>
                                                            <w:right w:val="none" w:sz="0" w:space="0" w:color="auto"/>
                                                          </w:divBdr>
                                                          <w:divsChild>
                                                            <w:div w:id="1942640390">
                                                              <w:marLeft w:val="0"/>
                                                              <w:marRight w:val="0"/>
                                                              <w:marTop w:val="0"/>
                                                              <w:marBottom w:val="0"/>
                                                              <w:divBdr>
                                                                <w:top w:val="none" w:sz="0" w:space="0" w:color="auto"/>
                                                                <w:left w:val="none" w:sz="0" w:space="0" w:color="auto"/>
                                                                <w:bottom w:val="none" w:sz="0" w:space="0" w:color="auto"/>
                                                                <w:right w:val="none" w:sz="0" w:space="0" w:color="auto"/>
                                                              </w:divBdr>
                                                              <w:divsChild>
                                                                <w:div w:id="37103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4001944">
                                      <w:marLeft w:val="0"/>
                                      <w:marRight w:val="0"/>
                                      <w:marTop w:val="0"/>
                                      <w:marBottom w:val="0"/>
                                      <w:divBdr>
                                        <w:top w:val="none" w:sz="0" w:space="0" w:color="auto"/>
                                        <w:left w:val="none" w:sz="0" w:space="0" w:color="auto"/>
                                        <w:bottom w:val="none" w:sz="0" w:space="0" w:color="auto"/>
                                        <w:right w:val="none" w:sz="0" w:space="0" w:color="auto"/>
                                      </w:divBdr>
                                      <w:divsChild>
                                        <w:div w:id="69738239">
                                          <w:marLeft w:val="0"/>
                                          <w:marRight w:val="0"/>
                                          <w:marTop w:val="0"/>
                                          <w:marBottom w:val="0"/>
                                          <w:divBdr>
                                            <w:top w:val="none" w:sz="0" w:space="0" w:color="auto"/>
                                            <w:left w:val="none" w:sz="0" w:space="0" w:color="auto"/>
                                            <w:bottom w:val="none" w:sz="0" w:space="0" w:color="auto"/>
                                            <w:right w:val="none" w:sz="0" w:space="0" w:color="auto"/>
                                          </w:divBdr>
                                          <w:divsChild>
                                            <w:div w:id="710423305">
                                              <w:marLeft w:val="0"/>
                                              <w:marRight w:val="0"/>
                                              <w:marTop w:val="0"/>
                                              <w:marBottom w:val="0"/>
                                              <w:divBdr>
                                                <w:top w:val="none" w:sz="0" w:space="0" w:color="auto"/>
                                                <w:left w:val="none" w:sz="0" w:space="0" w:color="auto"/>
                                                <w:bottom w:val="none" w:sz="0" w:space="0" w:color="auto"/>
                                                <w:right w:val="none" w:sz="0" w:space="0" w:color="auto"/>
                                              </w:divBdr>
                                              <w:divsChild>
                                                <w:div w:id="1933972049">
                                                  <w:marLeft w:val="0"/>
                                                  <w:marRight w:val="0"/>
                                                  <w:marTop w:val="0"/>
                                                  <w:marBottom w:val="0"/>
                                                  <w:divBdr>
                                                    <w:top w:val="none" w:sz="0" w:space="0" w:color="auto"/>
                                                    <w:left w:val="none" w:sz="0" w:space="0" w:color="auto"/>
                                                    <w:bottom w:val="none" w:sz="0" w:space="0" w:color="auto"/>
                                                    <w:right w:val="none" w:sz="0" w:space="0" w:color="auto"/>
                                                  </w:divBdr>
                                                  <w:divsChild>
                                                    <w:div w:id="1130316998">
                                                      <w:marLeft w:val="0"/>
                                                      <w:marRight w:val="0"/>
                                                      <w:marTop w:val="0"/>
                                                      <w:marBottom w:val="0"/>
                                                      <w:divBdr>
                                                        <w:top w:val="none" w:sz="0" w:space="0" w:color="auto"/>
                                                        <w:left w:val="none" w:sz="0" w:space="0" w:color="auto"/>
                                                        <w:bottom w:val="none" w:sz="0" w:space="0" w:color="auto"/>
                                                        <w:right w:val="none" w:sz="0" w:space="0" w:color="auto"/>
                                                      </w:divBdr>
                                                      <w:divsChild>
                                                        <w:div w:id="1051002635">
                                                          <w:marLeft w:val="0"/>
                                                          <w:marRight w:val="0"/>
                                                          <w:marTop w:val="0"/>
                                                          <w:marBottom w:val="0"/>
                                                          <w:divBdr>
                                                            <w:top w:val="none" w:sz="0" w:space="0" w:color="auto"/>
                                                            <w:left w:val="none" w:sz="0" w:space="0" w:color="auto"/>
                                                            <w:bottom w:val="none" w:sz="0" w:space="0" w:color="auto"/>
                                                            <w:right w:val="none" w:sz="0" w:space="0" w:color="auto"/>
                                                          </w:divBdr>
                                                          <w:divsChild>
                                                            <w:div w:id="2041120787">
                                                              <w:marLeft w:val="0"/>
                                                              <w:marRight w:val="0"/>
                                                              <w:marTop w:val="0"/>
                                                              <w:marBottom w:val="0"/>
                                                              <w:divBdr>
                                                                <w:top w:val="none" w:sz="0" w:space="0" w:color="auto"/>
                                                                <w:left w:val="none" w:sz="0" w:space="0" w:color="auto"/>
                                                                <w:bottom w:val="none" w:sz="0" w:space="0" w:color="auto"/>
                                                                <w:right w:val="none" w:sz="0" w:space="0" w:color="auto"/>
                                                              </w:divBdr>
                                                              <w:divsChild>
                                                                <w:div w:id="1948999136">
                                                                  <w:marLeft w:val="0"/>
                                                                  <w:marRight w:val="0"/>
                                                                  <w:marTop w:val="0"/>
                                                                  <w:marBottom w:val="0"/>
                                                                  <w:divBdr>
                                                                    <w:top w:val="none" w:sz="0" w:space="0" w:color="auto"/>
                                                                    <w:left w:val="none" w:sz="0" w:space="0" w:color="auto"/>
                                                                    <w:bottom w:val="none" w:sz="0" w:space="0" w:color="auto"/>
                                                                    <w:right w:val="none" w:sz="0" w:space="0" w:color="auto"/>
                                                                  </w:divBdr>
                                                                  <w:divsChild>
                                                                    <w:div w:id="1098209052">
                                                                      <w:marLeft w:val="0"/>
                                                                      <w:marRight w:val="0"/>
                                                                      <w:marTop w:val="0"/>
                                                                      <w:marBottom w:val="0"/>
                                                                      <w:divBdr>
                                                                        <w:top w:val="none" w:sz="0" w:space="0" w:color="auto"/>
                                                                        <w:left w:val="none" w:sz="0" w:space="0" w:color="auto"/>
                                                                        <w:bottom w:val="none" w:sz="0" w:space="0" w:color="auto"/>
                                                                        <w:right w:val="none" w:sz="0" w:space="0" w:color="auto"/>
                                                                      </w:divBdr>
                                                                      <w:divsChild>
                                                                        <w:div w:id="13110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4143758">
      <w:bodyDiv w:val="1"/>
      <w:marLeft w:val="0"/>
      <w:marRight w:val="0"/>
      <w:marTop w:val="0"/>
      <w:marBottom w:val="0"/>
      <w:divBdr>
        <w:top w:val="none" w:sz="0" w:space="0" w:color="auto"/>
        <w:left w:val="none" w:sz="0" w:space="0" w:color="auto"/>
        <w:bottom w:val="none" w:sz="0" w:space="0" w:color="auto"/>
        <w:right w:val="none" w:sz="0" w:space="0" w:color="auto"/>
      </w:divBdr>
    </w:div>
    <w:div w:id="764303119">
      <w:bodyDiv w:val="1"/>
      <w:marLeft w:val="0"/>
      <w:marRight w:val="0"/>
      <w:marTop w:val="0"/>
      <w:marBottom w:val="0"/>
      <w:divBdr>
        <w:top w:val="none" w:sz="0" w:space="0" w:color="auto"/>
        <w:left w:val="none" w:sz="0" w:space="0" w:color="auto"/>
        <w:bottom w:val="none" w:sz="0" w:space="0" w:color="auto"/>
        <w:right w:val="none" w:sz="0" w:space="0" w:color="auto"/>
      </w:divBdr>
    </w:div>
    <w:div w:id="774132642">
      <w:bodyDiv w:val="1"/>
      <w:marLeft w:val="0"/>
      <w:marRight w:val="0"/>
      <w:marTop w:val="0"/>
      <w:marBottom w:val="0"/>
      <w:divBdr>
        <w:top w:val="none" w:sz="0" w:space="0" w:color="auto"/>
        <w:left w:val="none" w:sz="0" w:space="0" w:color="auto"/>
        <w:bottom w:val="none" w:sz="0" w:space="0" w:color="auto"/>
        <w:right w:val="none" w:sz="0" w:space="0" w:color="auto"/>
      </w:divBdr>
      <w:divsChild>
        <w:div w:id="1202745556">
          <w:marLeft w:val="0"/>
          <w:marRight w:val="0"/>
          <w:marTop w:val="0"/>
          <w:marBottom w:val="0"/>
          <w:divBdr>
            <w:top w:val="none" w:sz="0" w:space="0" w:color="auto"/>
            <w:left w:val="none" w:sz="0" w:space="0" w:color="auto"/>
            <w:bottom w:val="none" w:sz="0" w:space="0" w:color="auto"/>
            <w:right w:val="none" w:sz="0" w:space="0" w:color="auto"/>
          </w:divBdr>
          <w:divsChild>
            <w:div w:id="1410155607">
              <w:marLeft w:val="0"/>
              <w:marRight w:val="0"/>
              <w:marTop w:val="0"/>
              <w:marBottom w:val="0"/>
              <w:divBdr>
                <w:top w:val="none" w:sz="0" w:space="0" w:color="auto"/>
                <w:left w:val="none" w:sz="0" w:space="0" w:color="auto"/>
                <w:bottom w:val="none" w:sz="0" w:space="0" w:color="auto"/>
                <w:right w:val="none" w:sz="0" w:space="0" w:color="auto"/>
              </w:divBdr>
              <w:divsChild>
                <w:div w:id="1766918277">
                  <w:marLeft w:val="0"/>
                  <w:marRight w:val="0"/>
                  <w:marTop w:val="0"/>
                  <w:marBottom w:val="0"/>
                  <w:divBdr>
                    <w:top w:val="none" w:sz="0" w:space="0" w:color="auto"/>
                    <w:left w:val="none" w:sz="0" w:space="0" w:color="auto"/>
                    <w:bottom w:val="none" w:sz="0" w:space="0" w:color="auto"/>
                    <w:right w:val="none" w:sz="0" w:space="0" w:color="auto"/>
                  </w:divBdr>
                  <w:divsChild>
                    <w:div w:id="1227256859">
                      <w:marLeft w:val="0"/>
                      <w:marRight w:val="0"/>
                      <w:marTop w:val="0"/>
                      <w:marBottom w:val="0"/>
                      <w:divBdr>
                        <w:top w:val="none" w:sz="0" w:space="0" w:color="auto"/>
                        <w:left w:val="none" w:sz="0" w:space="0" w:color="auto"/>
                        <w:bottom w:val="none" w:sz="0" w:space="0" w:color="auto"/>
                        <w:right w:val="none" w:sz="0" w:space="0" w:color="auto"/>
                      </w:divBdr>
                      <w:divsChild>
                        <w:div w:id="1049450611">
                          <w:marLeft w:val="0"/>
                          <w:marRight w:val="0"/>
                          <w:marTop w:val="0"/>
                          <w:marBottom w:val="0"/>
                          <w:divBdr>
                            <w:top w:val="none" w:sz="0" w:space="0" w:color="auto"/>
                            <w:left w:val="none" w:sz="0" w:space="0" w:color="auto"/>
                            <w:bottom w:val="none" w:sz="0" w:space="0" w:color="auto"/>
                            <w:right w:val="none" w:sz="0" w:space="0" w:color="auto"/>
                          </w:divBdr>
                          <w:divsChild>
                            <w:div w:id="1728409226">
                              <w:marLeft w:val="0"/>
                              <w:marRight w:val="0"/>
                              <w:marTop w:val="0"/>
                              <w:marBottom w:val="0"/>
                              <w:divBdr>
                                <w:top w:val="none" w:sz="0" w:space="0" w:color="auto"/>
                                <w:left w:val="none" w:sz="0" w:space="0" w:color="auto"/>
                                <w:bottom w:val="none" w:sz="0" w:space="0" w:color="auto"/>
                                <w:right w:val="none" w:sz="0" w:space="0" w:color="auto"/>
                              </w:divBdr>
                              <w:divsChild>
                                <w:div w:id="9201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0343800">
      <w:bodyDiv w:val="1"/>
      <w:marLeft w:val="0"/>
      <w:marRight w:val="0"/>
      <w:marTop w:val="0"/>
      <w:marBottom w:val="0"/>
      <w:divBdr>
        <w:top w:val="none" w:sz="0" w:space="0" w:color="auto"/>
        <w:left w:val="none" w:sz="0" w:space="0" w:color="auto"/>
        <w:bottom w:val="none" w:sz="0" w:space="0" w:color="auto"/>
        <w:right w:val="none" w:sz="0" w:space="0" w:color="auto"/>
      </w:divBdr>
    </w:div>
    <w:div w:id="784423457">
      <w:bodyDiv w:val="1"/>
      <w:marLeft w:val="0"/>
      <w:marRight w:val="0"/>
      <w:marTop w:val="0"/>
      <w:marBottom w:val="0"/>
      <w:divBdr>
        <w:top w:val="none" w:sz="0" w:space="0" w:color="auto"/>
        <w:left w:val="none" w:sz="0" w:space="0" w:color="auto"/>
        <w:bottom w:val="none" w:sz="0" w:space="0" w:color="auto"/>
        <w:right w:val="none" w:sz="0" w:space="0" w:color="auto"/>
      </w:divBdr>
    </w:div>
    <w:div w:id="905840055">
      <w:bodyDiv w:val="1"/>
      <w:marLeft w:val="0"/>
      <w:marRight w:val="0"/>
      <w:marTop w:val="0"/>
      <w:marBottom w:val="0"/>
      <w:divBdr>
        <w:top w:val="none" w:sz="0" w:space="0" w:color="auto"/>
        <w:left w:val="none" w:sz="0" w:space="0" w:color="auto"/>
        <w:bottom w:val="none" w:sz="0" w:space="0" w:color="auto"/>
        <w:right w:val="none" w:sz="0" w:space="0" w:color="auto"/>
      </w:divBdr>
    </w:div>
    <w:div w:id="930551934">
      <w:bodyDiv w:val="1"/>
      <w:marLeft w:val="0"/>
      <w:marRight w:val="0"/>
      <w:marTop w:val="0"/>
      <w:marBottom w:val="0"/>
      <w:divBdr>
        <w:top w:val="none" w:sz="0" w:space="0" w:color="auto"/>
        <w:left w:val="none" w:sz="0" w:space="0" w:color="auto"/>
        <w:bottom w:val="none" w:sz="0" w:space="0" w:color="auto"/>
        <w:right w:val="none" w:sz="0" w:space="0" w:color="auto"/>
      </w:divBdr>
      <w:divsChild>
        <w:div w:id="1897275192">
          <w:marLeft w:val="0"/>
          <w:marRight w:val="0"/>
          <w:marTop w:val="0"/>
          <w:marBottom w:val="0"/>
          <w:divBdr>
            <w:top w:val="none" w:sz="0" w:space="0" w:color="auto"/>
            <w:left w:val="none" w:sz="0" w:space="0" w:color="auto"/>
            <w:bottom w:val="none" w:sz="0" w:space="0" w:color="auto"/>
            <w:right w:val="none" w:sz="0" w:space="0" w:color="auto"/>
          </w:divBdr>
          <w:divsChild>
            <w:div w:id="941499711">
              <w:marLeft w:val="0"/>
              <w:marRight w:val="0"/>
              <w:marTop w:val="0"/>
              <w:marBottom w:val="0"/>
              <w:divBdr>
                <w:top w:val="none" w:sz="0" w:space="0" w:color="auto"/>
                <w:left w:val="none" w:sz="0" w:space="0" w:color="auto"/>
                <w:bottom w:val="none" w:sz="0" w:space="0" w:color="auto"/>
                <w:right w:val="none" w:sz="0" w:space="0" w:color="auto"/>
              </w:divBdr>
              <w:divsChild>
                <w:div w:id="435103181">
                  <w:marLeft w:val="0"/>
                  <w:marRight w:val="0"/>
                  <w:marTop w:val="0"/>
                  <w:marBottom w:val="0"/>
                  <w:divBdr>
                    <w:top w:val="none" w:sz="0" w:space="0" w:color="auto"/>
                    <w:left w:val="none" w:sz="0" w:space="0" w:color="auto"/>
                    <w:bottom w:val="none" w:sz="0" w:space="0" w:color="auto"/>
                    <w:right w:val="none" w:sz="0" w:space="0" w:color="auto"/>
                  </w:divBdr>
                  <w:divsChild>
                    <w:div w:id="1368291637">
                      <w:marLeft w:val="0"/>
                      <w:marRight w:val="0"/>
                      <w:marTop w:val="0"/>
                      <w:marBottom w:val="0"/>
                      <w:divBdr>
                        <w:top w:val="none" w:sz="0" w:space="0" w:color="auto"/>
                        <w:left w:val="none" w:sz="0" w:space="0" w:color="auto"/>
                        <w:bottom w:val="none" w:sz="0" w:space="0" w:color="auto"/>
                        <w:right w:val="none" w:sz="0" w:space="0" w:color="auto"/>
                      </w:divBdr>
                      <w:divsChild>
                        <w:div w:id="704335216">
                          <w:marLeft w:val="0"/>
                          <w:marRight w:val="0"/>
                          <w:marTop w:val="0"/>
                          <w:marBottom w:val="0"/>
                          <w:divBdr>
                            <w:top w:val="none" w:sz="0" w:space="0" w:color="auto"/>
                            <w:left w:val="none" w:sz="0" w:space="0" w:color="auto"/>
                            <w:bottom w:val="none" w:sz="0" w:space="0" w:color="auto"/>
                            <w:right w:val="none" w:sz="0" w:space="0" w:color="auto"/>
                          </w:divBdr>
                          <w:divsChild>
                            <w:div w:id="1157764769">
                              <w:marLeft w:val="0"/>
                              <w:marRight w:val="0"/>
                              <w:marTop w:val="0"/>
                              <w:marBottom w:val="0"/>
                              <w:divBdr>
                                <w:top w:val="none" w:sz="0" w:space="0" w:color="auto"/>
                                <w:left w:val="none" w:sz="0" w:space="0" w:color="auto"/>
                                <w:bottom w:val="none" w:sz="0" w:space="0" w:color="auto"/>
                                <w:right w:val="none" w:sz="0" w:space="0" w:color="auto"/>
                              </w:divBdr>
                              <w:divsChild>
                                <w:div w:id="81267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1573085">
      <w:bodyDiv w:val="1"/>
      <w:marLeft w:val="0"/>
      <w:marRight w:val="0"/>
      <w:marTop w:val="0"/>
      <w:marBottom w:val="0"/>
      <w:divBdr>
        <w:top w:val="none" w:sz="0" w:space="0" w:color="auto"/>
        <w:left w:val="none" w:sz="0" w:space="0" w:color="auto"/>
        <w:bottom w:val="none" w:sz="0" w:space="0" w:color="auto"/>
        <w:right w:val="none" w:sz="0" w:space="0" w:color="auto"/>
      </w:divBdr>
    </w:div>
    <w:div w:id="970748967">
      <w:bodyDiv w:val="1"/>
      <w:marLeft w:val="0"/>
      <w:marRight w:val="0"/>
      <w:marTop w:val="0"/>
      <w:marBottom w:val="0"/>
      <w:divBdr>
        <w:top w:val="none" w:sz="0" w:space="0" w:color="auto"/>
        <w:left w:val="none" w:sz="0" w:space="0" w:color="auto"/>
        <w:bottom w:val="none" w:sz="0" w:space="0" w:color="auto"/>
        <w:right w:val="none" w:sz="0" w:space="0" w:color="auto"/>
      </w:divBdr>
    </w:div>
    <w:div w:id="972641364">
      <w:bodyDiv w:val="1"/>
      <w:marLeft w:val="0"/>
      <w:marRight w:val="0"/>
      <w:marTop w:val="0"/>
      <w:marBottom w:val="0"/>
      <w:divBdr>
        <w:top w:val="none" w:sz="0" w:space="0" w:color="auto"/>
        <w:left w:val="none" w:sz="0" w:space="0" w:color="auto"/>
        <w:bottom w:val="none" w:sz="0" w:space="0" w:color="auto"/>
        <w:right w:val="none" w:sz="0" w:space="0" w:color="auto"/>
      </w:divBdr>
    </w:div>
    <w:div w:id="978654239">
      <w:bodyDiv w:val="1"/>
      <w:marLeft w:val="0"/>
      <w:marRight w:val="0"/>
      <w:marTop w:val="0"/>
      <w:marBottom w:val="0"/>
      <w:divBdr>
        <w:top w:val="none" w:sz="0" w:space="0" w:color="auto"/>
        <w:left w:val="none" w:sz="0" w:space="0" w:color="auto"/>
        <w:bottom w:val="none" w:sz="0" w:space="0" w:color="auto"/>
        <w:right w:val="none" w:sz="0" w:space="0" w:color="auto"/>
      </w:divBdr>
    </w:div>
    <w:div w:id="999427545">
      <w:bodyDiv w:val="1"/>
      <w:marLeft w:val="0"/>
      <w:marRight w:val="0"/>
      <w:marTop w:val="0"/>
      <w:marBottom w:val="0"/>
      <w:divBdr>
        <w:top w:val="none" w:sz="0" w:space="0" w:color="auto"/>
        <w:left w:val="none" w:sz="0" w:space="0" w:color="auto"/>
        <w:bottom w:val="none" w:sz="0" w:space="0" w:color="auto"/>
        <w:right w:val="none" w:sz="0" w:space="0" w:color="auto"/>
      </w:divBdr>
    </w:div>
    <w:div w:id="1191644933">
      <w:bodyDiv w:val="1"/>
      <w:marLeft w:val="0"/>
      <w:marRight w:val="0"/>
      <w:marTop w:val="0"/>
      <w:marBottom w:val="0"/>
      <w:divBdr>
        <w:top w:val="none" w:sz="0" w:space="0" w:color="auto"/>
        <w:left w:val="none" w:sz="0" w:space="0" w:color="auto"/>
        <w:bottom w:val="none" w:sz="0" w:space="0" w:color="auto"/>
        <w:right w:val="none" w:sz="0" w:space="0" w:color="auto"/>
      </w:divBdr>
    </w:div>
    <w:div w:id="1315455384">
      <w:bodyDiv w:val="1"/>
      <w:marLeft w:val="0"/>
      <w:marRight w:val="0"/>
      <w:marTop w:val="0"/>
      <w:marBottom w:val="0"/>
      <w:divBdr>
        <w:top w:val="none" w:sz="0" w:space="0" w:color="auto"/>
        <w:left w:val="none" w:sz="0" w:space="0" w:color="auto"/>
        <w:bottom w:val="none" w:sz="0" w:space="0" w:color="auto"/>
        <w:right w:val="none" w:sz="0" w:space="0" w:color="auto"/>
      </w:divBdr>
      <w:divsChild>
        <w:div w:id="1725786532">
          <w:marLeft w:val="0"/>
          <w:marRight w:val="0"/>
          <w:marTop w:val="0"/>
          <w:marBottom w:val="0"/>
          <w:divBdr>
            <w:top w:val="none" w:sz="0" w:space="0" w:color="auto"/>
            <w:left w:val="none" w:sz="0" w:space="0" w:color="auto"/>
            <w:bottom w:val="none" w:sz="0" w:space="0" w:color="auto"/>
            <w:right w:val="none" w:sz="0" w:space="0" w:color="auto"/>
          </w:divBdr>
          <w:divsChild>
            <w:div w:id="995886216">
              <w:marLeft w:val="0"/>
              <w:marRight w:val="0"/>
              <w:marTop w:val="0"/>
              <w:marBottom w:val="0"/>
              <w:divBdr>
                <w:top w:val="none" w:sz="0" w:space="0" w:color="auto"/>
                <w:left w:val="none" w:sz="0" w:space="0" w:color="auto"/>
                <w:bottom w:val="none" w:sz="0" w:space="0" w:color="auto"/>
                <w:right w:val="none" w:sz="0" w:space="0" w:color="auto"/>
              </w:divBdr>
              <w:divsChild>
                <w:div w:id="1870795011">
                  <w:marLeft w:val="0"/>
                  <w:marRight w:val="0"/>
                  <w:marTop w:val="0"/>
                  <w:marBottom w:val="0"/>
                  <w:divBdr>
                    <w:top w:val="none" w:sz="0" w:space="0" w:color="auto"/>
                    <w:left w:val="none" w:sz="0" w:space="0" w:color="auto"/>
                    <w:bottom w:val="none" w:sz="0" w:space="0" w:color="auto"/>
                    <w:right w:val="none" w:sz="0" w:space="0" w:color="auto"/>
                  </w:divBdr>
                  <w:divsChild>
                    <w:div w:id="1351905764">
                      <w:marLeft w:val="0"/>
                      <w:marRight w:val="0"/>
                      <w:marTop w:val="0"/>
                      <w:marBottom w:val="0"/>
                      <w:divBdr>
                        <w:top w:val="none" w:sz="0" w:space="0" w:color="auto"/>
                        <w:left w:val="none" w:sz="0" w:space="0" w:color="auto"/>
                        <w:bottom w:val="none" w:sz="0" w:space="0" w:color="auto"/>
                        <w:right w:val="none" w:sz="0" w:space="0" w:color="auto"/>
                      </w:divBdr>
                      <w:divsChild>
                        <w:div w:id="1726952207">
                          <w:marLeft w:val="0"/>
                          <w:marRight w:val="0"/>
                          <w:marTop w:val="0"/>
                          <w:marBottom w:val="0"/>
                          <w:divBdr>
                            <w:top w:val="none" w:sz="0" w:space="0" w:color="auto"/>
                            <w:left w:val="none" w:sz="0" w:space="0" w:color="auto"/>
                            <w:bottom w:val="none" w:sz="0" w:space="0" w:color="auto"/>
                            <w:right w:val="none" w:sz="0" w:space="0" w:color="auto"/>
                          </w:divBdr>
                          <w:divsChild>
                            <w:div w:id="1089353181">
                              <w:marLeft w:val="0"/>
                              <w:marRight w:val="0"/>
                              <w:marTop w:val="0"/>
                              <w:marBottom w:val="0"/>
                              <w:divBdr>
                                <w:top w:val="none" w:sz="0" w:space="0" w:color="auto"/>
                                <w:left w:val="none" w:sz="0" w:space="0" w:color="auto"/>
                                <w:bottom w:val="none" w:sz="0" w:space="0" w:color="auto"/>
                                <w:right w:val="none" w:sz="0" w:space="0" w:color="auto"/>
                              </w:divBdr>
                              <w:divsChild>
                                <w:div w:id="1166554064">
                                  <w:marLeft w:val="0"/>
                                  <w:marRight w:val="0"/>
                                  <w:marTop w:val="0"/>
                                  <w:marBottom w:val="0"/>
                                  <w:divBdr>
                                    <w:top w:val="none" w:sz="0" w:space="0" w:color="auto"/>
                                    <w:left w:val="none" w:sz="0" w:space="0" w:color="auto"/>
                                    <w:bottom w:val="none" w:sz="0" w:space="0" w:color="auto"/>
                                    <w:right w:val="none" w:sz="0" w:space="0" w:color="auto"/>
                                  </w:divBdr>
                                  <w:divsChild>
                                    <w:div w:id="983703288">
                                      <w:marLeft w:val="0"/>
                                      <w:marRight w:val="0"/>
                                      <w:marTop w:val="0"/>
                                      <w:marBottom w:val="0"/>
                                      <w:divBdr>
                                        <w:top w:val="none" w:sz="0" w:space="0" w:color="auto"/>
                                        <w:left w:val="none" w:sz="0" w:space="0" w:color="auto"/>
                                        <w:bottom w:val="none" w:sz="0" w:space="0" w:color="auto"/>
                                        <w:right w:val="none" w:sz="0" w:space="0" w:color="auto"/>
                                      </w:divBdr>
                                      <w:divsChild>
                                        <w:div w:id="1200819312">
                                          <w:marLeft w:val="0"/>
                                          <w:marRight w:val="0"/>
                                          <w:marTop w:val="0"/>
                                          <w:marBottom w:val="0"/>
                                          <w:divBdr>
                                            <w:top w:val="none" w:sz="0" w:space="0" w:color="auto"/>
                                            <w:left w:val="none" w:sz="0" w:space="0" w:color="auto"/>
                                            <w:bottom w:val="none" w:sz="0" w:space="0" w:color="auto"/>
                                            <w:right w:val="none" w:sz="0" w:space="0" w:color="auto"/>
                                          </w:divBdr>
                                          <w:divsChild>
                                            <w:div w:id="1523202674">
                                              <w:marLeft w:val="0"/>
                                              <w:marRight w:val="0"/>
                                              <w:marTop w:val="0"/>
                                              <w:marBottom w:val="0"/>
                                              <w:divBdr>
                                                <w:top w:val="none" w:sz="0" w:space="0" w:color="auto"/>
                                                <w:left w:val="none" w:sz="0" w:space="0" w:color="auto"/>
                                                <w:bottom w:val="none" w:sz="0" w:space="0" w:color="auto"/>
                                                <w:right w:val="none" w:sz="0" w:space="0" w:color="auto"/>
                                              </w:divBdr>
                                              <w:divsChild>
                                                <w:div w:id="882835605">
                                                  <w:marLeft w:val="0"/>
                                                  <w:marRight w:val="0"/>
                                                  <w:marTop w:val="0"/>
                                                  <w:marBottom w:val="0"/>
                                                  <w:divBdr>
                                                    <w:top w:val="none" w:sz="0" w:space="0" w:color="auto"/>
                                                    <w:left w:val="none" w:sz="0" w:space="0" w:color="auto"/>
                                                    <w:bottom w:val="none" w:sz="0" w:space="0" w:color="auto"/>
                                                    <w:right w:val="none" w:sz="0" w:space="0" w:color="auto"/>
                                                  </w:divBdr>
                                                  <w:divsChild>
                                                    <w:div w:id="805464233">
                                                      <w:marLeft w:val="0"/>
                                                      <w:marRight w:val="0"/>
                                                      <w:marTop w:val="0"/>
                                                      <w:marBottom w:val="0"/>
                                                      <w:divBdr>
                                                        <w:top w:val="none" w:sz="0" w:space="0" w:color="auto"/>
                                                        <w:left w:val="none" w:sz="0" w:space="0" w:color="auto"/>
                                                        <w:bottom w:val="none" w:sz="0" w:space="0" w:color="auto"/>
                                                        <w:right w:val="none" w:sz="0" w:space="0" w:color="auto"/>
                                                      </w:divBdr>
                                                      <w:divsChild>
                                                        <w:div w:id="1489906469">
                                                          <w:marLeft w:val="0"/>
                                                          <w:marRight w:val="0"/>
                                                          <w:marTop w:val="0"/>
                                                          <w:marBottom w:val="0"/>
                                                          <w:divBdr>
                                                            <w:top w:val="none" w:sz="0" w:space="0" w:color="auto"/>
                                                            <w:left w:val="none" w:sz="0" w:space="0" w:color="auto"/>
                                                            <w:bottom w:val="none" w:sz="0" w:space="0" w:color="auto"/>
                                                            <w:right w:val="none" w:sz="0" w:space="0" w:color="auto"/>
                                                          </w:divBdr>
                                                          <w:divsChild>
                                                            <w:div w:id="2125688779">
                                                              <w:marLeft w:val="0"/>
                                                              <w:marRight w:val="0"/>
                                                              <w:marTop w:val="0"/>
                                                              <w:marBottom w:val="0"/>
                                                              <w:divBdr>
                                                                <w:top w:val="none" w:sz="0" w:space="0" w:color="auto"/>
                                                                <w:left w:val="none" w:sz="0" w:space="0" w:color="auto"/>
                                                                <w:bottom w:val="none" w:sz="0" w:space="0" w:color="auto"/>
                                                                <w:right w:val="none" w:sz="0" w:space="0" w:color="auto"/>
                                                              </w:divBdr>
                                                              <w:divsChild>
                                                                <w:div w:id="191223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599835">
                                      <w:marLeft w:val="0"/>
                                      <w:marRight w:val="0"/>
                                      <w:marTop w:val="0"/>
                                      <w:marBottom w:val="0"/>
                                      <w:divBdr>
                                        <w:top w:val="none" w:sz="0" w:space="0" w:color="auto"/>
                                        <w:left w:val="none" w:sz="0" w:space="0" w:color="auto"/>
                                        <w:bottom w:val="none" w:sz="0" w:space="0" w:color="auto"/>
                                        <w:right w:val="none" w:sz="0" w:space="0" w:color="auto"/>
                                      </w:divBdr>
                                      <w:divsChild>
                                        <w:div w:id="1001665005">
                                          <w:marLeft w:val="0"/>
                                          <w:marRight w:val="0"/>
                                          <w:marTop w:val="0"/>
                                          <w:marBottom w:val="0"/>
                                          <w:divBdr>
                                            <w:top w:val="none" w:sz="0" w:space="0" w:color="auto"/>
                                            <w:left w:val="none" w:sz="0" w:space="0" w:color="auto"/>
                                            <w:bottom w:val="none" w:sz="0" w:space="0" w:color="auto"/>
                                            <w:right w:val="none" w:sz="0" w:space="0" w:color="auto"/>
                                          </w:divBdr>
                                          <w:divsChild>
                                            <w:div w:id="1378243011">
                                              <w:marLeft w:val="0"/>
                                              <w:marRight w:val="0"/>
                                              <w:marTop w:val="0"/>
                                              <w:marBottom w:val="0"/>
                                              <w:divBdr>
                                                <w:top w:val="none" w:sz="0" w:space="0" w:color="auto"/>
                                                <w:left w:val="none" w:sz="0" w:space="0" w:color="auto"/>
                                                <w:bottom w:val="none" w:sz="0" w:space="0" w:color="auto"/>
                                                <w:right w:val="none" w:sz="0" w:space="0" w:color="auto"/>
                                              </w:divBdr>
                                              <w:divsChild>
                                                <w:div w:id="299965371">
                                                  <w:marLeft w:val="0"/>
                                                  <w:marRight w:val="0"/>
                                                  <w:marTop w:val="0"/>
                                                  <w:marBottom w:val="0"/>
                                                  <w:divBdr>
                                                    <w:top w:val="none" w:sz="0" w:space="0" w:color="auto"/>
                                                    <w:left w:val="none" w:sz="0" w:space="0" w:color="auto"/>
                                                    <w:bottom w:val="none" w:sz="0" w:space="0" w:color="auto"/>
                                                    <w:right w:val="none" w:sz="0" w:space="0" w:color="auto"/>
                                                  </w:divBdr>
                                                  <w:divsChild>
                                                    <w:div w:id="2081559710">
                                                      <w:marLeft w:val="0"/>
                                                      <w:marRight w:val="0"/>
                                                      <w:marTop w:val="0"/>
                                                      <w:marBottom w:val="0"/>
                                                      <w:divBdr>
                                                        <w:top w:val="none" w:sz="0" w:space="0" w:color="auto"/>
                                                        <w:left w:val="none" w:sz="0" w:space="0" w:color="auto"/>
                                                        <w:bottom w:val="none" w:sz="0" w:space="0" w:color="auto"/>
                                                        <w:right w:val="none" w:sz="0" w:space="0" w:color="auto"/>
                                                      </w:divBdr>
                                                      <w:divsChild>
                                                        <w:div w:id="1708793277">
                                                          <w:marLeft w:val="0"/>
                                                          <w:marRight w:val="0"/>
                                                          <w:marTop w:val="0"/>
                                                          <w:marBottom w:val="0"/>
                                                          <w:divBdr>
                                                            <w:top w:val="none" w:sz="0" w:space="0" w:color="auto"/>
                                                            <w:left w:val="none" w:sz="0" w:space="0" w:color="auto"/>
                                                            <w:bottom w:val="none" w:sz="0" w:space="0" w:color="auto"/>
                                                            <w:right w:val="none" w:sz="0" w:space="0" w:color="auto"/>
                                                          </w:divBdr>
                                                          <w:divsChild>
                                                            <w:div w:id="1202281121">
                                                              <w:marLeft w:val="0"/>
                                                              <w:marRight w:val="0"/>
                                                              <w:marTop w:val="0"/>
                                                              <w:marBottom w:val="0"/>
                                                              <w:divBdr>
                                                                <w:top w:val="none" w:sz="0" w:space="0" w:color="auto"/>
                                                                <w:left w:val="none" w:sz="0" w:space="0" w:color="auto"/>
                                                                <w:bottom w:val="none" w:sz="0" w:space="0" w:color="auto"/>
                                                                <w:right w:val="none" w:sz="0" w:space="0" w:color="auto"/>
                                                              </w:divBdr>
                                                              <w:divsChild>
                                                                <w:div w:id="791218015">
                                                                  <w:marLeft w:val="0"/>
                                                                  <w:marRight w:val="0"/>
                                                                  <w:marTop w:val="0"/>
                                                                  <w:marBottom w:val="0"/>
                                                                  <w:divBdr>
                                                                    <w:top w:val="none" w:sz="0" w:space="0" w:color="auto"/>
                                                                    <w:left w:val="none" w:sz="0" w:space="0" w:color="auto"/>
                                                                    <w:bottom w:val="none" w:sz="0" w:space="0" w:color="auto"/>
                                                                    <w:right w:val="none" w:sz="0" w:space="0" w:color="auto"/>
                                                                  </w:divBdr>
                                                                  <w:divsChild>
                                                                    <w:div w:id="1928927645">
                                                                      <w:marLeft w:val="0"/>
                                                                      <w:marRight w:val="0"/>
                                                                      <w:marTop w:val="0"/>
                                                                      <w:marBottom w:val="0"/>
                                                                      <w:divBdr>
                                                                        <w:top w:val="none" w:sz="0" w:space="0" w:color="auto"/>
                                                                        <w:left w:val="none" w:sz="0" w:space="0" w:color="auto"/>
                                                                        <w:bottom w:val="none" w:sz="0" w:space="0" w:color="auto"/>
                                                                        <w:right w:val="none" w:sz="0" w:space="0" w:color="auto"/>
                                                                      </w:divBdr>
                                                                      <w:divsChild>
                                                                        <w:div w:id="43498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9014653">
      <w:bodyDiv w:val="1"/>
      <w:marLeft w:val="0"/>
      <w:marRight w:val="0"/>
      <w:marTop w:val="0"/>
      <w:marBottom w:val="0"/>
      <w:divBdr>
        <w:top w:val="none" w:sz="0" w:space="0" w:color="auto"/>
        <w:left w:val="none" w:sz="0" w:space="0" w:color="auto"/>
        <w:bottom w:val="none" w:sz="0" w:space="0" w:color="auto"/>
        <w:right w:val="none" w:sz="0" w:space="0" w:color="auto"/>
      </w:divBdr>
    </w:div>
    <w:div w:id="1410231678">
      <w:bodyDiv w:val="1"/>
      <w:marLeft w:val="0"/>
      <w:marRight w:val="0"/>
      <w:marTop w:val="0"/>
      <w:marBottom w:val="0"/>
      <w:divBdr>
        <w:top w:val="none" w:sz="0" w:space="0" w:color="auto"/>
        <w:left w:val="none" w:sz="0" w:space="0" w:color="auto"/>
        <w:bottom w:val="none" w:sz="0" w:space="0" w:color="auto"/>
        <w:right w:val="none" w:sz="0" w:space="0" w:color="auto"/>
      </w:divBdr>
    </w:div>
    <w:div w:id="1584414141">
      <w:bodyDiv w:val="1"/>
      <w:marLeft w:val="0"/>
      <w:marRight w:val="0"/>
      <w:marTop w:val="0"/>
      <w:marBottom w:val="0"/>
      <w:divBdr>
        <w:top w:val="none" w:sz="0" w:space="0" w:color="auto"/>
        <w:left w:val="none" w:sz="0" w:space="0" w:color="auto"/>
        <w:bottom w:val="none" w:sz="0" w:space="0" w:color="auto"/>
        <w:right w:val="none" w:sz="0" w:space="0" w:color="auto"/>
      </w:divBdr>
    </w:div>
    <w:div w:id="1644043315">
      <w:bodyDiv w:val="1"/>
      <w:marLeft w:val="0"/>
      <w:marRight w:val="0"/>
      <w:marTop w:val="0"/>
      <w:marBottom w:val="0"/>
      <w:divBdr>
        <w:top w:val="none" w:sz="0" w:space="0" w:color="auto"/>
        <w:left w:val="none" w:sz="0" w:space="0" w:color="auto"/>
        <w:bottom w:val="none" w:sz="0" w:space="0" w:color="auto"/>
        <w:right w:val="none" w:sz="0" w:space="0" w:color="auto"/>
      </w:divBdr>
    </w:div>
    <w:div w:id="1675910915">
      <w:bodyDiv w:val="1"/>
      <w:marLeft w:val="0"/>
      <w:marRight w:val="0"/>
      <w:marTop w:val="0"/>
      <w:marBottom w:val="0"/>
      <w:divBdr>
        <w:top w:val="none" w:sz="0" w:space="0" w:color="auto"/>
        <w:left w:val="none" w:sz="0" w:space="0" w:color="auto"/>
        <w:bottom w:val="none" w:sz="0" w:space="0" w:color="auto"/>
        <w:right w:val="none" w:sz="0" w:space="0" w:color="auto"/>
      </w:divBdr>
    </w:div>
    <w:div w:id="1757558350">
      <w:bodyDiv w:val="1"/>
      <w:marLeft w:val="0"/>
      <w:marRight w:val="0"/>
      <w:marTop w:val="0"/>
      <w:marBottom w:val="0"/>
      <w:divBdr>
        <w:top w:val="none" w:sz="0" w:space="0" w:color="auto"/>
        <w:left w:val="none" w:sz="0" w:space="0" w:color="auto"/>
        <w:bottom w:val="none" w:sz="0" w:space="0" w:color="auto"/>
        <w:right w:val="none" w:sz="0" w:space="0" w:color="auto"/>
      </w:divBdr>
    </w:div>
    <w:div w:id="1807121794">
      <w:bodyDiv w:val="1"/>
      <w:marLeft w:val="0"/>
      <w:marRight w:val="0"/>
      <w:marTop w:val="0"/>
      <w:marBottom w:val="0"/>
      <w:divBdr>
        <w:top w:val="none" w:sz="0" w:space="0" w:color="auto"/>
        <w:left w:val="none" w:sz="0" w:space="0" w:color="auto"/>
        <w:bottom w:val="none" w:sz="0" w:space="0" w:color="auto"/>
        <w:right w:val="none" w:sz="0" w:space="0" w:color="auto"/>
      </w:divBdr>
    </w:div>
    <w:div w:id="1894999439">
      <w:bodyDiv w:val="1"/>
      <w:marLeft w:val="0"/>
      <w:marRight w:val="0"/>
      <w:marTop w:val="0"/>
      <w:marBottom w:val="0"/>
      <w:divBdr>
        <w:top w:val="none" w:sz="0" w:space="0" w:color="auto"/>
        <w:left w:val="none" w:sz="0" w:space="0" w:color="auto"/>
        <w:bottom w:val="none" w:sz="0" w:space="0" w:color="auto"/>
        <w:right w:val="none" w:sz="0" w:space="0" w:color="auto"/>
      </w:divBdr>
    </w:div>
    <w:div w:id="1936591476">
      <w:bodyDiv w:val="1"/>
      <w:marLeft w:val="0"/>
      <w:marRight w:val="0"/>
      <w:marTop w:val="0"/>
      <w:marBottom w:val="0"/>
      <w:divBdr>
        <w:top w:val="none" w:sz="0" w:space="0" w:color="auto"/>
        <w:left w:val="none" w:sz="0" w:space="0" w:color="auto"/>
        <w:bottom w:val="none" w:sz="0" w:space="0" w:color="auto"/>
        <w:right w:val="none" w:sz="0" w:space="0" w:color="auto"/>
      </w:divBdr>
    </w:div>
    <w:div w:id="1948468760">
      <w:bodyDiv w:val="1"/>
      <w:marLeft w:val="0"/>
      <w:marRight w:val="0"/>
      <w:marTop w:val="0"/>
      <w:marBottom w:val="0"/>
      <w:divBdr>
        <w:top w:val="none" w:sz="0" w:space="0" w:color="auto"/>
        <w:left w:val="none" w:sz="0" w:space="0" w:color="auto"/>
        <w:bottom w:val="none" w:sz="0" w:space="0" w:color="auto"/>
        <w:right w:val="none" w:sz="0" w:space="0" w:color="auto"/>
      </w:divBdr>
    </w:div>
    <w:div w:id="1960212299">
      <w:bodyDiv w:val="1"/>
      <w:marLeft w:val="0"/>
      <w:marRight w:val="0"/>
      <w:marTop w:val="0"/>
      <w:marBottom w:val="0"/>
      <w:divBdr>
        <w:top w:val="none" w:sz="0" w:space="0" w:color="auto"/>
        <w:left w:val="none" w:sz="0" w:space="0" w:color="auto"/>
        <w:bottom w:val="none" w:sz="0" w:space="0" w:color="auto"/>
        <w:right w:val="none" w:sz="0" w:space="0" w:color="auto"/>
      </w:divBdr>
    </w:div>
    <w:div w:id="1966153830">
      <w:bodyDiv w:val="1"/>
      <w:marLeft w:val="0"/>
      <w:marRight w:val="0"/>
      <w:marTop w:val="0"/>
      <w:marBottom w:val="0"/>
      <w:divBdr>
        <w:top w:val="none" w:sz="0" w:space="0" w:color="auto"/>
        <w:left w:val="none" w:sz="0" w:space="0" w:color="auto"/>
        <w:bottom w:val="none" w:sz="0" w:space="0" w:color="auto"/>
        <w:right w:val="none" w:sz="0" w:space="0" w:color="auto"/>
      </w:divBdr>
    </w:div>
    <w:div w:id="2125953161">
      <w:bodyDiv w:val="1"/>
      <w:marLeft w:val="0"/>
      <w:marRight w:val="0"/>
      <w:marTop w:val="0"/>
      <w:marBottom w:val="0"/>
      <w:divBdr>
        <w:top w:val="none" w:sz="0" w:space="0" w:color="auto"/>
        <w:left w:val="none" w:sz="0" w:space="0" w:color="auto"/>
        <w:bottom w:val="none" w:sz="0" w:space="0" w:color="auto"/>
        <w:right w:val="none" w:sz="0" w:space="0" w:color="auto"/>
      </w:divBdr>
    </w:div>
    <w:div w:id="214711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nar/gkr218" TargetMode="External"/><Relationship Id="rId18" Type="http://schemas.openxmlformats.org/officeDocument/2006/relationships/hyperlink" Target="https://doi.org/10.1016/j.molp.2019.03.016" TargetMode="External"/><Relationship Id="rId26" Type="http://schemas.openxmlformats.org/officeDocument/2006/relationships/hyperlink" Target="https://doi.org/10.21273/JASHS.132.6.814" TargetMode="External"/><Relationship Id="rId39" Type="http://schemas.openxmlformats.org/officeDocument/2006/relationships/hyperlink" Target="https://doi.org/10.1038/ng.3733" TargetMode="External"/><Relationship Id="rId21" Type="http://schemas.openxmlformats.org/officeDocument/2006/relationships/hyperlink" Target="https://doi.org/10.1038/nature24644" TargetMode="External"/><Relationship Id="rId34" Type="http://schemas.openxmlformats.org/officeDocument/2006/relationships/hyperlink" Target="https://doi.org/10.3390/v7082819" TargetMode="External"/><Relationship Id="rId42" Type="http://schemas.openxmlformats.org/officeDocument/2006/relationships/hyperlink" Target="https://doi.org/10.1007/s00299-016-2089-5" TargetMode="External"/><Relationship Id="rId47" Type="http://schemas.openxmlformats.org/officeDocument/2006/relationships/hyperlink" Target="https://doi.org/10.1038/s41438-020-0252-2"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26/science.1258096" TargetMode="External"/><Relationship Id="rId29" Type="http://schemas.openxmlformats.org/officeDocument/2006/relationships/hyperlink" Target="https://doi.org/10.1038/nature17946" TargetMode="External"/><Relationship Id="rId11" Type="http://schemas.openxmlformats.org/officeDocument/2006/relationships/hyperlink" Target="https://doi.org/10.1016/j.tplants.2018.02.001" TargetMode="External"/><Relationship Id="rId24" Type="http://schemas.openxmlformats.org/officeDocument/2006/relationships/hyperlink" Target="https://doi.org/10.1016/j.molp.2017.10.007" TargetMode="External"/><Relationship Id="rId32" Type="http://schemas.openxmlformats.org/officeDocument/2006/relationships/hyperlink" Target="https://doi.org/10.1038/s41587-020-0455-x" TargetMode="External"/><Relationship Id="rId37" Type="http://schemas.openxmlformats.org/officeDocument/2006/relationships/hyperlink" Target="https://doi.org/10.1038/s41598-017-06400-y" TargetMode="External"/><Relationship Id="rId40" Type="http://schemas.openxmlformats.org/officeDocument/2006/relationships/hyperlink" Target="https://doi.org/10.33545/2664844X.2026.v8.i2a.1161" TargetMode="External"/><Relationship Id="rId45" Type="http://schemas.openxmlformats.org/officeDocument/2006/relationships/hyperlink" Target="https://doi.org/10.1007/978-3-319-63170-7" TargetMode="External"/><Relationship Id="rId53" Type="http://schemas.openxmlformats.org/officeDocument/2006/relationships/footer" Target="footer2.xml"/><Relationship Id="rId58" Type="http://schemas.microsoft.com/office/2018/08/relationships/commentsExtensible" Target="commentsExtensible.xml"/><Relationship Id="rId5" Type="http://schemas.openxmlformats.org/officeDocument/2006/relationships/webSettings" Target="webSettings.xml"/><Relationship Id="rId19" Type="http://schemas.openxmlformats.org/officeDocument/2006/relationships/hyperlink" Target="https://doi.org/10.1080/07352680802364147" TargetMode="External"/><Relationship Id="rId4" Type="http://schemas.openxmlformats.org/officeDocument/2006/relationships/settings" Target="settings.xml"/><Relationship Id="rId9" Type="http://schemas.openxmlformats.org/officeDocument/2006/relationships/hyperlink" Target="https://doi.org/10.1038/s41586-019-1711-4" TargetMode="External"/><Relationship Id="rId14" Type="http://schemas.openxmlformats.org/officeDocument/2006/relationships/hyperlink" Target="https://doi.org/10.1016/j.tplants.2017.08.011" TargetMode="External"/><Relationship Id="rId22" Type="http://schemas.openxmlformats.org/officeDocument/2006/relationships/hyperlink" Target="https://doi.org/10.3389/fpls.2019.01649" TargetMode="External"/><Relationship Id="rId27" Type="http://schemas.openxmlformats.org/officeDocument/2006/relationships/hyperlink" Target="https://doi.org/10.1111/pbi.12495" TargetMode="External"/><Relationship Id="rId30" Type="http://schemas.openxmlformats.org/officeDocument/2006/relationships/hyperlink" Target="https://doi.org/10.1371/journal.pone.0036674" TargetMode="External"/><Relationship Id="rId35" Type="http://schemas.openxmlformats.org/officeDocument/2006/relationships/hyperlink" Target="https://doi.org/10.3389/fpls.2016.01904" TargetMode="External"/><Relationship Id="rId43" Type="http://schemas.openxmlformats.org/officeDocument/2006/relationships/hyperlink" Target="https://doi.org/10.1126/science.aal1556" TargetMode="External"/><Relationship Id="rId48" Type="http://schemas.openxmlformats.org/officeDocument/2006/relationships/hyperlink" Target="https://doi.org/10.2135/cropsci2007.04.0191" TargetMode="External"/><Relationship Id="rId56" Type="http://schemas.openxmlformats.org/officeDocument/2006/relationships/fontTable" Target="fontTable.xml"/><Relationship Id="rId8" Type="http://schemas.openxmlformats.org/officeDocument/2006/relationships/hyperlink" Target="https://doi.org/10.1007/s00299-016-2062-3" TargetMode="External"/><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s://doi.org/10.1016/j.biotechadv.2014.12.006" TargetMode="External"/><Relationship Id="rId17" Type="http://schemas.openxmlformats.org/officeDocument/2006/relationships/hyperlink" Target="https://doi.org/10.17660/ActaHortic.2020.1272.1" TargetMode="External"/><Relationship Id="rId25" Type="http://schemas.openxmlformats.org/officeDocument/2006/relationships/hyperlink" Target="https://doi.org/10.1146/annurev-arplant-050213-035715" TargetMode="External"/><Relationship Id="rId33" Type="http://schemas.openxmlformats.org/officeDocument/2006/relationships/hyperlink" Target="https://doi.org/10.1094/PHYTO-03-13-0073-R" TargetMode="External"/><Relationship Id="rId38" Type="http://schemas.openxmlformats.org/officeDocument/2006/relationships/hyperlink" Target="https://doi.org/10.1111/nph.14702" TargetMode="External"/><Relationship Id="rId46" Type="http://schemas.openxmlformats.org/officeDocument/2006/relationships/hyperlink" Target="https://doi.org/10.1038/s41477-017-0083-8" TargetMode="External"/><Relationship Id="rId20" Type="http://schemas.openxmlformats.org/officeDocument/2006/relationships/hyperlink" Target="https://doi.org/10.1038/s41588-019-0410-2" TargetMode="External"/><Relationship Id="rId41" Type="http://schemas.openxmlformats.org/officeDocument/2006/relationships/hyperlink" Target="https://doi.org/10.1111/tpj.12105"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38/s41467-017-01670-6" TargetMode="External"/><Relationship Id="rId23" Type="http://schemas.openxmlformats.org/officeDocument/2006/relationships/hyperlink" Target="https://doi.org/10.1098/rstb.2005.1670" TargetMode="External"/><Relationship Id="rId28" Type="http://schemas.openxmlformats.org/officeDocument/2006/relationships/hyperlink" Target="https://doi.org/10.1186/s13059-017-1341-9" TargetMode="External"/><Relationship Id="rId36" Type="http://schemas.openxmlformats.org/officeDocument/2006/relationships/hyperlink" Target="https://doi.org/10.1093/genetics/157.4.1819" TargetMode="External"/><Relationship Id="rId49" Type="http://schemas.openxmlformats.org/officeDocument/2006/relationships/hyperlink" Target="https://doi.org/10.1038/nbt.4272" TargetMode="External"/><Relationship Id="rId57" Type="http://schemas.openxmlformats.org/officeDocument/2006/relationships/theme" Target="theme/theme1.xml"/><Relationship Id="rId10" Type="http://schemas.openxmlformats.org/officeDocument/2006/relationships/hyperlink" Target="https://doi.org/10.1038/s41587-020-0561-9" TargetMode="External"/><Relationship Id="rId31" Type="http://schemas.openxmlformats.org/officeDocument/2006/relationships/hyperlink" Target="https://doi.org/10.1186/s13059-018-1443-z" TargetMode="External"/><Relationship Id="rId44" Type="http://schemas.openxmlformats.org/officeDocument/2006/relationships/hyperlink" Target="https://doi.org/10.1038/nbt.3611"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C70E0-3785-4E8A-8CCE-FBFEBB6F6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9354</Words>
  <Characters>53323</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yogeshwayal363@gmail.com</dc:creator>
  <cp:keywords/>
  <dc:description/>
  <cp:lastModifiedBy>SDI CPU 1117</cp:lastModifiedBy>
  <cp:revision>7</cp:revision>
  <dcterms:created xsi:type="dcterms:W3CDTF">2026-03-03T10:41:00Z</dcterms:created>
  <dcterms:modified xsi:type="dcterms:W3CDTF">2026-03-09T05:47:00Z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e5e3bde1-0f13-4ba1-9b2c-61d5f6db4bd3</vt:lpwstr>
  </property>
</Properties>
</file>