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37B042" w14:textId="77777777" w:rsidR="007B7250" w:rsidRPr="007B7250" w:rsidRDefault="007B7250" w:rsidP="007B7250">
      <w:pPr>
        <w:jc w:val="right"/>
        <w:rPr>
          <w:rFonts w:ascii="Arial" w:hAnsi="Arial" w:cs="Arial"/>
          <w:b/>
          <w:bCs/>
          <w:i/>
          <w:iCs/>
          <w:sz w:val="36"/>
          <w:szCs w:val="36"/>
          <w:u w:val="single"/>
        </w:rPr>
      </w:pPr>
      <w:bookmarkStart w:id="0" w:name="_Hlk223787663"/>
      <w:r w:rsidRPr="007B7250">
        <w:rPr>
          <w:rFonts w:ascii="Arial" w:hAnsi="Arial" w:cs="Arial"/>
          <w:b/>
          <w:bCs/>
          <w:i/>
          <w:iCs/>
          <w:sz w:val="36"/>
          <w:szCs w:val="36"/>
          <w:u w:val="single"/>
        </w:rPr>
        <w:t>Original Research Article</w:t>
      </w:r>
    </w:p>
    <w:p w14:paraId="025BE66F" w14:textId="495E3D1C" w:rsidR="002941E1" w:rsidRPr="00307A66" w:rsidRDefault="002C338E" w:rsidP="008E70E1">
      <w:pPr>
        <w:jc w:val="right"/>
        <w:rPr>
          <w:rFonts w:ascii="Arial" w:hAnsi="Arial" w:cs="Arial"/>
          <w:sz w:val="36"/>
          <w:szCs w:val="36"/>
        </w:rPr>
      </w:pPr>
      <w:r w:rsidRPr="00307A66">
        <w:rPr>
          <w:rFonts w:ascii="Arial" w:hAnsi="Arial" w:cs="Arial"/>
          <w:b/>
          <w:sz w:val="36"/>
          <w:szCs w:val="36"/>
        </w:rPr>
        <w:t>ASSOCIATION BETWEEN ABO BLOOD GROUPS AND LIPID PROFILE OF APPARENTLY HEALTHY INDIVIDUALS IN ENUGU METROPOLIS</w:t>
      </w:r>
    </w:p>
    <w:p w14:paraId="1AA3EBAC" w14:textId="77777777" w:rsidR="002941E1" w:rsidRPr="00307A66" w:rsidRDefault="002C338E" w:rsidP="008E70E1">
      <w:pPr>
        <w:rPr>
          <w:rFonts w:ascii="Arial" w:hAnsi="Arial" w:cs="Arial"/>
          <w:sz w:val="20"/>
        </w:rPr>
      </w:pPr>
      <w:r w:rsidRPr="00307A66">
        <w:rPr>
          <w:rFonts w:ascii="Arial" w:hAnsi="Arial" w:cs="Arial"/>
          <w:b/>
          <w:sz w:val="20"/>
        </w:rPr>
        <w:t xml:space="preserve"> </w:t>
      </w:r>
    </w:p>
    <w:p w14:paraId="210F3432" w14:textId="32A436EF" w:rsidR="002941E1" w:rsidRDefault="002941E1" w:rsidP="008E70E1">
      <w:pPr>
        <w:rPr>
          <w:rFonts w:ascii="Arial" w:hAnsi="Arial" w:cs="Arial"/>
          <w:sz w:val="20"/>
        </w:rPr>
      </w:pPr>
    </w:p>
    <w:p w14:paraId="60DC34E1" w14:textId="77777777" w:rsidR="00581421" w:rsidRPr="00307A66" w:rsidRDefault="00581421" w:rsidP="008E70E1">
      <w:pPr>
        <w:rPr>
          <w:rFonts w:ascii="Arial" w:hAnsi="Arial" w:cs="Arial"/>
          <w:sz w:val="20"/>
        </w:rPr>
      </w:pPr>
    </w:p>
    <w:p w14:paraId="663902B2" w14:textId="77777777" w:rsidR="002941E1" w:rsidRPr="00307A66" w:rsidRDefault="002C338E" w:rsidP="008E70E1">
      <w:pPr>
        <w:rPr>
          <w:rFonts w:ascii="Arial" w:hAnsi="Arial" w:cs="Arial"/>
          <w:sz w:val="20"/>
        </w:rPr>
      </w:pPr>
      <w:r w:rsidRPr="00307A66">
        <w:rPr>
          <w:rFonts w:ascii="Arial" w:hAnsi="Arial" w:cs="Arial"/>
          <w:b/>
          <w:sz w:val="20"/>
        </w:rPr>
        <w:t>ABSTRACT</w:t>
      </w:r>
    </w:p>
    <w:p w14:paraId="4E91A01D" w14:textId="08227429" w:rsidR="00DA5D4B" w:rsidRDefault="00DA5D4B" w:rsidP="00DA5D4B">
      <w:pPr>
        <w:rPr>
          <w:rFonts w:ascii="Arial" w:hAnsi="Arial" w:cs="Arial"/>
          <w:sz w:val="20"/>
        </w:rPr>
      </w:pPr>
      <w:r w:rsidRPr="00365BF2">
        <w:rPr>
          <w:rFonts w:ascii="Arial" w:hAnsi="Arial" w:cs="Arial"/>
          <w:b/>
          <w:bCs/>
          <w:sz w:val="20"/>
        </w:rPr>
        <w:t>Aim:</w:t>
      </w:r>
      <w:r w:rsidRPr="00DA5D4B">
        <w:rPr>
          <w:rFonts w:ascii="Arial" w:hAnsi="Arial" w:cs="Arial"/>
          <w:sz w:val="20"/>
        </w:rPr>
        <w:t xml:space="preserve"> This study aimed to determine the percentage distribution of ABO blood groups and investigate the association between these blood groups and serum lipid profiles among apparently healthy individuals in the Enugu metropolis</w:t>
      </w:r>
    </w:p>
    <w:p w14:paraId="1C6FFD64" w14:textId="195AE1B5" w:rsidR="00DA5D4B" w:rsidRPr="00DA5D4B" w:rsidRDefault="00DA5D4B" w:rsidP="00DA5D4B">
      <w:pPr>
        <w:rPr>
          <w:rFonts w:ascii="Arial" w:hAnsi="Arial" w:cs="Arial"/>
          <w:sz w:val="20"/>
        </w:rPr>
      </w:pPr>
      <w:r w:rsidRPr="00DA5D4B">
        <w:rPr>
          <w:rFonts w:ascii="Arial" w:hAnsi="Arial" w:cs="Arial"/>
          <w:b/>
          <w:bCs/>
          <w:sz w:val="20"/>
        </w:rPr>
        <w:t>Study design:</w:t>
      </w:r>
      <w:r w:rsidRPr="00DA5D4B">
        <w:rPr>
          <w:rFonts w:ascii="Arial" w:hAnsi="Arial" w:cs="Arial"/>
          <w:sz w:val="20"/>
        </w:rPr>
        <w:t xml:space="preserve"> Cross-sectional study</w:t>
      </w:r>
    </w:p>
    <w:p w14:paraId="587FDF40" w14:textId="38EDB27D" w:rsidR="00DA5D4B" w:rsidRPr="00DA5D4B" w:rsidRDefault="004369A6" w:rsidP="00DA5D4B">
      <w:pPr>
        <w:rPr>
          <w:rFonts w:ascii="Arial" w:hAnsi="Arial" w:cs="Arial"/>
          <w:sz w:val="20"/>
        </w:rPr>
      </w:pPr>
      <w:r>
        <w:rPr>
          <w:rFonts w:ascii="Arial" w:hAnsi="Arial" w:cs="Arial"/>
          <w:b/>
          <w:bCs/>
          <w:sz w:val="20"/>
        </w:rPr>
        <w:t>Study area</w:t>
      </w:r>
      <w:r w:rsidR="00DA5D4B" w:rsidRPr="00DA5D4B">
        <w:rPr>
          <w:rFonts w:ascii="Arial" w:hAnsi="Arial" w:cs="Arial"/>
          <w:sz w:val="20"/>
        </w:rPr>
        <w:t>: Enugu Metropolis, Nigeria</w:t>
      </w:r>
      <w:r>
        <w:rPr>
          <w:rFonts w:ascii="Arial" w:hAnsi="Arial" w:cs="Arial"/>
          <w:sz w:val="20"/>
        </w:rPr>
        <w:t>.</w:t>
      </w:r>
    </w:p>
    <w:p w14:paraId="58F4465F" w14:textId="398615D1" w:rsidR="00DA5D4B" w:rsidRDefault="00DA5D4B" w:rsidP="00DA5D4B">
      <w:pPr>
        <w:rPr>
          <w:rFonts w:ascii="Arial" w:hAnsi="Arial" w:cs="Arial"/>
          <w:sz w:val="20"/>
        </w:rPr>
      </w:pPr>
      <w:r w:rsidRPr="00DA5D4B">
        <w:rPr>
          <w:rFonts w:ascii="Arial" w:hAnsi="Arial" w:cs="Arial"/>
          <w:b/>
          <w:bCs/>
          <w:sz w:val="20"/>
        </w:rPr>
        <w:t>Methodology:</w:t>
      </w:r>
      <w:r w:rsidRPr="00DA5D4B">
        <w:rPr>
          <w:rFonts w:ascii="Arial" w:hAnsi="Arial" w:cs="Arial"/>
          <w:sz w:val="20"/>
        </w:rPr>
        <w:t xml:space="preserve"> A total of 104 apparently healthy subjects (55 males, 49 females) aged 18 years and above were recruited via simple random sampling</w:t>
      </w:r>
      <w:r>
        <w:rPr>
          <w:rFonts w:ascii="Arial" w:hAnsi="Arial" w:cs="Arial"/>
          <w:sz w:val="20"/>
        </w:rPr>
        <w:t>.</w:t>
      </w:r>
      <w:r w:rsidRPr="00DA5D4B">
        <w:rPr>
          <w:rFonts w:ascii="Arial" w:hAnsi="Arial" w:cs="Arial"/>
          <w:sz w:val="20"/>
        </w:rPr>
        <w:t xml:space="preserve"> Structured questionnaires were used to collect biodata, and fasting blood samples were analyzed for ABO blood group antigens and lipid profile parameters, including total cholesterol (TC), high-density lipoprotein cholesterol (HDLC), low-density lipoprotein cholesterol (LDLC), very-low-density lipoprotein cholesterol (VLDLC), and triglycerides (TG)</w:t>
      </w:r>
      <w:r>
        <w:rPr>
          <w:rFonts w:ascii="Arial" w:hAnsi="Arial" w:cs="Arial"/>
          <w:sz w:val="20"/>
        </w:rPr>
        <w:t xml:space="preserve">. </w:t>
      </w:r>
      <w:r w:rsidRPr="00DA5D4B">
        <w:rPr>
          <w:rFonts w:ascii="Arial" w:hAnsi="Arial" w:cs="Arial"/>
          <w:sz w:val="20"/>
        </w:rPr>
        <w:t xml:space="preserve">Data were analyzed using student’s t-test and one-way analysis of variance (ANOVA), with significance set at </w:t>
      </w:r>
      <w:r w:rsidR="00EF75B3">
        <w:rPr>
          <w:rFonts w:ascii="Arial" w:hAnsi="Arial" w:cs="Arial"/>
          <w:sz w:val="20"/>
        </w:rPr>
        <w:t xml:space="preserve">p </w:t>
      </w:r>
      <w:r w:rsidRPr="00DA5D4B">
        <w:rPr>
          <w:rFonts w:ascii="Arial" w:hAnsi="Arial" w:cs="Arial"/>
          <w:sz w:val="20"/>
        </w:rPr>
        <w:t>&lt;</w:t>
      </w:r>
      <w:r w:rsidR="00EF75B3">
        <w:rPr>
          <w:rFonts w:ascii="Arial" w:hAnsi="Arial" w:cs="Arial"/>
          <w:sz w:val="20"/>
        </w:rPr>
        <w:t>0</w:t>
      </w:r>
      <w:r w:rsidRPr="00DA5D4B">
        <w:rPr>
          <w:rFonts w:ascii="Arial" w:hAnsi="Arial" w:cs="Arial"/>
          <w:sz w:val="20"/>
        </w:rPr>
        <w:t>.05</w:t>
      </w:r>
      <w:r>
        <w:rPr>
          <w:rFonts w:ascii="Arial" w:hAnsi="Arial" w:cs="Arial"/>
          <w:sz w:val="20"/>
        </w:rPr>
        <w:t>.</w:t>
      </w:r>
    </w:p>
    <w:p w14:paraId="16516A4A" w14:textId="11B7E86B" w:rsidR="00DA5D4B" w:rsidRPr="00DA5D4B" w:rsidRDefault="00DA5D4B" w:rsidP="00DA5D4B">
      <w:pPr>
        <w:rPr>
          <w:rFonts w:ascii="Arial" w:hAnsi="Arial" w:cs="Arial"/>
          <w:sz w:val="20"/>
        </w:rPr>
      </w:pPr>
      <w:r w:rsidRPr="00DA5D4B">
        <w:rPr>
          <w:rFonts w:ascii="Arial" w:hAnsi="Arial" w:cs="Arial"/>
          <w:b/>
          <w:bCs/>
          <w:sz w:val="20"/>
        </w:rPr>
        <w:t>Results:</w:t>
      </w:r>
      <w:r w:rsidRPr="00DA5D4B">
        <w:rPr>
          <w:rFonts w:ascii="Arial" w:hAnsi="Arial" w:cs="Arial"/>
          <w:sz w:val="20"/>
        </w:rPr>
        <w:t xml:space="preserve"> The blood group distribution was 56.7% for Group O, 25.0% for Group A, 15.4% for Group B, and 2.9% for Group AB</w:t>
      </w:r>
      <w:r w:rsidR="00365BF2">
        <w:rPr>
          <w:rFonts w:ascii="Arial" w:hAnsi="Arial" w:cs="Arial"/>
          <w:sz w:val="20"/>
        </w:rPr>
        <w:t xml:space="preserve">. </w:t>
      </w:r>
      <w:r w:rsidRPr="00DA5D4B">
        <w:rPr>
          <w:rFonts w:ascii="Arial" w:hAnsi="Arial" w:cs="Arial"/>
          <w:sz w:val="20"/>
        </w:rPr>
        <w:t>No statistically significant differences were observed in the mean values of TC (</w:t>
      </w:r>
      <w:r w:rsidR="00EF75B3">
        <w:rPr>
          <w:rFonts w:ascii="Arial" w:hAnsi="Arial" w:cs="Arial"/>
          <w:sz w:val="20"/>
        </w:rPr>
        <w:t>p</w:t>
      </w:r>
      <w:r w:rsidRPr="00DA5D4B">
        <w:rPr>
          <w:rFonts w:ascii="Arial" w:hAnsi="Arial" w:cs="Arial"/>
          <w:sz w:val="20"/>
        </w:rPr>
        <w:t>=.63), HDLC (</w:t>
      </w:r>
      <w:r w:rsidR="00EF75B3">
        <w:rPr>
          <w:rFonts w:ascii="Arial" w:hAnsi="Arial" w:cs="Arial"/>
          <w:sz w:val="20"/>
        </w:rPr>
        <w:t>p</w:t>
      </w:r>
      <w:r w:rsidRPr="00DA5D4B">
        <w:rPr>
          <w:rFonts w:ascii="Arial" w:hAnsi="Arial" w:cs="Arial"/>
          <w:sz w:val="20"/>
        </w:rPr>
        <w:t>=.44), LDLC (</w:t>
      </w:r>
      <w:r w:rsidR="00EF75B3">
        <w:rPr>
          <w:rFonts w:ascii="Arial" w:hAnsi="Arial" w:cs="Arial"/>
          <w:sz w:val="20"/>
        </w:rPr>
        <w:t>p</w:t>
      </w:r>
      <w:r w:rsidRPr="00DA5D4B">
        <w:rPr>
          <w:rFonts w:ascii="Arial" w:hAnsi="Arial" w:cs="Arial"/>
          <w:sz w:val="20"/>
        </w:rPr>
        <w:t>=.77), VLDLC (</w:t>
      </w:r>
      <w:r w:rsidR="00EF75B3">
        <w:rPr>
          <w:rFonts w:ascii="Arial" w:hAnsi="Arial" w:cs="Arial"/>
          <w:sz w:val="20"/>
        </w:rPr>
        <w:t>p</w:t>
      </w:r>
      <w:r w:rsidRPr="00DA5D4B">
        <w:rPr>
          <w:rFonts w:ascii="Arial" w:hAnsi="Arial" w:cs="Arial"/>
          <w:sz w:val="20"/>
        </w:rPr>
        <w:t>=.93), and TG (</w:t>
      </w:r>
      <w:r w:rsidR="00EF75B3">
        <w:rPr>
          <w:rFonts w:ascii="Arial" w:hAnsi="Arial" w:cs="Arial"/>
          <w:sz w:val="20"/>
        </w:rPr>
        <w:t>p</w:t>
      </w:r>
      <w:r w:rsidRPr="00DA5D4B">
        <w:rPr>
          <w:rFonts w:ascii="Arial" w:hAnsi="Arial" w:cs="Arial"/>
          <w:sz w:val="20"/>
        </w:rPr>
        <w:t xml:space="preserve">=.99) when comparing blood </w:t>
      </w:r>
      <w:r w:rsidR="00AB1640" w:rsidRPr="00DA5D4B">
        <w:rPr>
          <w:rFonts w:ascii="Arial" w:hAnsi="Arial" w:cs="Arial"/>
          <w:sz w:val="20"/>
        </w:rPr>
        <w:t>groups,</w:t>
      </w:r>
      <w:r w:rsidRPr="00DA5D4B">
        <w:rPr>
          <w:rFonts w:ascii="Arial" w:hAnsi="Arial" w:cs="Arial"/>
          <w:sz w:val="20"/>
        </w:rPr>
        <w:t xml:space="preserve"> A, AB, and O. Similarly, no significant differences existed between male and female subjects across most parameters (</w:t>
      </w:r>
      <w:r w:rsidR="00EF75B3">
        <w:rPr>
          <w:rFonts w:ascii="Arial" w:hAnsi="Arial" w:cs="Arial"/>
          <w:sz w:val="20"/>
        </w:rPr>
        <w:t>p</w:t>
      </w:r>
      <w:r w:rsidRPr="00DA5D4B">
        <w:rPr>
          <w:rFonts w:ascii="Arial" w:hAnsi="Arial" w:cs="Arial"/>
          <w:sz w:val="20"/>
        </w:rPr>
        <w:t>&gt;</w:t>
      </w:r>
      <w:r w:rsidR="00EF75B3">
        <w:rPr>
          <w:rFonts w:ascii="Arial" w:hAnsi="Arial" w:cs="Arial"/>
          <w:sz w:val="20"/>
        </w:rPr>
        <w:t>0</w:t>
      </w:r>
      <w:r w:rsidRPr="00DA5D4B">
        <w:rPr>
          <w:rFonts w:ascii="Arial" w:hAnsi="Arial" w:cs="Arial"/>
          <w:sz w:val="20"/>
        </w:rPr>
        <w:t>.05); however, statistically significant differences in LDLC and HDLC were uniquely identified within individuals belonging to blood group B</w:t>
      </w:r>
      <w:r w:rsidR="00365BF2">
        <w:rPr>
          <w:rFonts w:ascii="Arial" w:hAnsi="Arial" w:cs="Arial"/>
          <w:sz w:val="20"/>
        </w:rPr>
        <w:t>.</w:t>
      </w:r>
    </w:p>
    <w:p w14:paraId="35F4088A" w14:textId="5FAD9695" w:rsidR="00DA5D4B" w:rsidRDefault="00DA5D4B" w:rsidP="00DA5D4B">
      <w:pPr>
        <w:rPr>
          <w:rFonts w:ascii="Arial" w:hAnsi="Arial" w:cs="Arial"/>
          <w:sz w:val="20"/>
        </w:rPr>
      </w:pPr>
      <w:r w:rsidRPr="00365BF2">
        <w:rPr>
          <w:rFonts w:ascii="Arial" w:hAnsi="Arial" w:cs="Arial"/>
          <w:b/>
          <w:bCs/>
          <w:sz w:val="20"/>
        </w:rPr>
        <w:t>Conclusion:</w:t>
      </w:r>
      <w:r w:rsidRPr="00DA5D4B">
        <w:rPr>
          <w:rFonts w:ascii="Arial" w:hAnsi="Arial" w:cs="Arial"/>
          <w:sz w:val="20"/>
        </w:rPr>
        <w:t xml:space="preserve"> The findings suggest that ABO blood group antigens do not exert a marked effect on serum lipid profiles among apparently healthy individuals in the Enugu metropolis. Consequently, the inherited ABO phenotype may not be a primary independent risk factor for dyslipidemia-related cardiovascular diseases in this population, though gender-specific variations exist within Group B</w:t>
      </w:r>
      <w:r w:rsidR="003A7246">
        <w:rPr>
          <w:rFonts w:ascii="Arial" w:hAnsi="Arial" w:cs="Arial"/>
          <w:sz w:val="20"/>
        </w:rPr>
        <w:t>.</w:t>
      </w:r>
    </w:p>
    <w:p w14:paraId="2176CEBD" w14:textId="77777777" w:rsidR="004369A6" w:rsidRPr="00DA5D4B" w:rsidRDefault="004369A6" w:rsidP="00DA5D4B">
      <w:pPr>
        <w:rPr>
          <w:rFonts w:ascii="Arial" w:hAnsi="Arial" w:cs="Arial"/>
          <w:sz w:val="20"/>
        </w:rPr>
      </w:pPr>
    </w:p>
    <w:p w14:paraId="5F5DA98D" w14:textId="64A17F71" w:rsidR="00DA5D4B" w:rsidRDefault="00DA5D4B" w:rsidP="00DA5D4B">
      <w:pPr>
        <w:rPr>
          <w:rFonts w:ascii="Arial" w:hAnsi="Arial" w:cs="Arial"/>
          <w:i/>
          <w:iCs/>
          <w:sz w:val="20"/>
        </w:rPr>
      </w:pPr>
      <w:r w:rsidRPr="003A7246">
        <w:rPr>
          <w:rFonts w:ascii="Arial" w:hAnsi="Arial" w:cs="Arial"/>
          <w:i/>
          <w:iCs/>
          <w:sz w:val="20"/>
        </w:rPr>
        <w:t>Keywords: ABO Blood Group, Lipid Profile, Enugu Metropolis, Cholesterol, Triglycerides</w:t>
      </w:r>
    </w:p>
    <w:p w14:paraId="2DEA030B" w14:textId="65E5DEC2" w:rsidR="002941E1" w:rsidRPr="004369A6" w:rsidRDefault="002941E1" w:rsidP="008E70E1">
      <w:pPr>
        <w:rPr>
          <w:rFonts w:ascii="Arial" w:hAnsi="Arial" w:cs="Arial"/>
          <w:sz w:val="20"/>
        </w:rPr>
      </w:pPr>
    </w:p>
    <w:p w14:paraId="3E9F97DC" w14:textId="77777777" w:rsidR="004369A6" w:rsidRPr="004369A6" w:rsidRDefault="004369A6" w:rsidP="008E70E1">
      <w:pPr>
        <w:rPr>
          <w:rFonts w:ascii="Arial" w:hAnsi="Arial" w:cs="Arial"/>
          <w:sz w:val="20"/>
        </w:rPr>
      </w:pPr>
    </w:p>
    <w:p w14:paraId="52A9B704" w14:textId="3F329004" w:rsidR="008E70E1" w:rsidRPr="00307A66" w:rsidRDefault="008E70E1" w:rsidP="008E70E1">
      <w:pPr>
        <w:pStyle w:val="BodyText"/>
        <w:spacing w:before="82"/>
        <w:ind w:right="696"/>
        <w:rPr>
          <w:rFonts w:ascii="Arial" w:hAnsi="Arial" w:cs="Arial"/>
          <w:b/>
          <w:bCs/>
          <w:sz w:val="22"/>
          <w:szCs w:val="22"/>
        </w:rPr>
      </w:pPr>
      <w:r w:rsidRPr="00307A66">
        <w:rPr>
          <w:rFonts w:ascii="Arial" w:hAnsi="Arial" w:cs="Arial"/>
          <w:b/>
          <w:bCs/>
          <w:sz w:val="22"/>
          <w:szCs w:val="22"/>
        </w:rPr>
        <w:t>INTRODUCTION</w:t>
      </w:r>
    </w:p>
    <w:p w14:paraId="37243118" w14:textId="77777777"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Human blood group antigens are complex glycoproteins and glycolipids expressed not only on the surface of red blood cells but across a diverse range of human tissues, including the epithelium, sensory neurons, platelets, and vascular endothelium (Ewald &amp; Sumner, 2018). </w:t>
      </w:r>
      <w:r w:rsidRPr="00610F3D">
        <w:rPr>
          <w:rFonts w:ascii="Arial" w:eastAsia="Georgia" w:hAnsi="Arial" w:cs="Arial"/>
          <w:sz w:val="20"/>
          <w:lang w:eastAsia="en-US"/>
        </w:rPr>
        <w:lastRenderedPageBreak/>
        <w:t>These human ABO blood type antigens exhibit alternative phenotypes and genetically derived glycoconjugate structures that play an active role in cellular physiology and pathology (Abegaz, 2021). At the molecular level, the ABO locus encodes specific glycosyltransferase activities; the A and B alleles convert the precursor H antigen into either A or B determinants by adding an extra saccharide unit—specifically N-</w:t>
      </w:r>
      <w:proofErr w:type="spellStart"/>
      <w:r w:rsidRPr="00610F3D">
        <w:rPr>
          <w:rFonts w:ascii="Arial" w:eastAsia="Georgia" w:hAnsi="Arial" w:cs="Arial"/>
          <w:sz w:val="20"/>
          <w:lang w:eastAsia="en-US"/>
        </w:rPr>
        <w:t>acetylgalactosamine</w:t>
      </w:r>
      <w:proofErr w:type="spellEnd"/>
      <w:r w:rsidRPr="00610F3D">
        <w:rPr>
          <w:rFonts w:ascii="Arial" w:eastAsia="Georgia" w:hAnsi="Arial" w:cs="Arial"/>
          <w:sz w:val="20"/>
          <w:lang w:eastAsia="en-US"/>
        </w:rPr>
        <w:t xml:space="preserve"> for Group A and galactose for Group B—whereas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lack these transferase enzymes and express the basic, unchanged H antigen (de Mattos, 2016).</w:t>
      </w:r>
    </w:p>
    <w:p w14:paraId="5433D398" w14:textId="77777777" w:rsidR="00D12065" w:rsidRDefault="00D12065" w:rsidP="00D12065">
      <w:pPr>
        <w:pStyle w:val="NormalWeb"/>
        <w:jc w:val="both"/>
      </w:pPr>
      <w:r>
        <w:t>The ABO and Rh blood group systems remain the most clinically significant classifications in transfusion medicine (</w:t>
      </w:r>
      <w:proofErr w:type="spellStart"/>
      <w:r>
        <w:t>Ristovska</w:t>
      </w:r>
      <w:proofErr w:type="spellEnd"/>
      <w:r>
        <w:t xml:space="preserve"> et al., 2022). The ABO blood group system was first described by Karl Landsteiner in 1900, a landmark discovery that laid the foundation for modern blood banking and transfusion practices (Noor and </w:t>
      </w:r>
      <w:proofErr w:type="spellStart"/>
      <w:r>
        <w:t>Asmaa</w:t>
      </w:r>
      <w:proofErr w:type="spellEnd"/>
      <w:r>
        <w:t>, 2024). This system is defined by the inherited presence or absence of specific antigenic determinants on erythrocytes, along with their corresponding plasma agglutinins. Individuals with blood group A express A antigens and possess anti-B antibodies; those with blood group B express B antigens and possess anti-A antibodies; individuals with blood group AB express both antigens but lack corresponding antibodies; whereas blood group O lacks both antigens but contains both anti-A and anti-B antibodies (Branch, 2015).</w:t>
      </w:r>
    </w:p>
    <w:p w14:paraId="0DA33605" w14:textId="6E6BE0C2" w:rsidR="00D12065" w:rsidRDefault="00D12065" w:rsidP="00D12065">
      <w:pPr>
        <w:pStyle w:val="NormalWeb"/>
        <w:jc w:val="both"/>
      </w:pPr>
      <w:r>
        <w:t xml:space="preserve">Beyond their established </w:t>
      </w:r>
      <w:proofErr w:type="spellStart"/>
      <w:r>
        <w:t>immunohaematological</w:t>
      </w:r>
      <w:proofErr w:type="spellEnd"/>
      <w:r>
        <w:t xml:space="preserve"> functions, ABO blood groups have been increasingly associated with the pathogenesis of several systemic conditions, including severe malaria and venous thromboembolism (</w:t>
      </w:r>
      <w:proofErr w:type="spellStart"/>
      <w:r>
        <w:t>Abegaz</w:t>
      </w:r>
      <w:proofErr w:type="spellEnd"/>
      <w:r>
        <w:t xml:space="preserve">, 2021; Noor and </w:t>
      </w:r>
      <w:proofErr w:type="spellStart"/>
      <w:r>
        <w:t>Asmaa</w:t>
      </w:r>
      <w:proofErr w:type="spellEnd"/>
      <w:r>
        <w:t>, 2024).</w:t>
      </w:r>
      <w:r>
        <w:t xml:space="preserve"> </w:t>
      </w:r>
      <w:r>
        <w:t xml:space="preserve">An emerging area of clinical research concerns the relationship between inherited blood group phenotypes and metabolic biomarkers, particularly lipids. Lipids are a diverse group of hydrophobic molecules that play essential roles as structural components of biological membranes, energy storage molecules, and mediators in cellular </w:t>
      </w:r>
      <w:proofErr w:type="spellStart"/>
      <w:r>
        <w:t>signalling</w:t>
      </w:r>
      <w:proofErr w:type="spellEnd"/>
      <w:r>
        <w:t xml:space="preserve"> pathways (Santos and </w:t>
      </w:r>
      <w:proofErr w:type="spellStart"/>
      <w:r>
        <w:t>Preta</w:t>
      </w:r>
      <w:proofErr w:type="spellEnd"/>
      <w:r>
        <w:t>, 2018). In contemporary clinical practice, the lipid profile—comprising total cholesterol (TC), high-density lipoprotein cholesterol (HDL-C), low-density lipoprotein cholesterol (LDL-C), triglycerides (TG), and very low-density lipoprotein cholesterol (VLDL-C)—is routinely employed to assess cardiovascular risk (Nimisha, 2015). Although lipids are indispensable for normal physiological function, their dysregulation significantly contributes to the development of atherosclerosis (Linton et al., 2019). Consequently, lipid profile analysis serves as a fundamental screening tool for the early identification and management of cardiovascular disease risk (Vickers, 2019).</w:t>
      </w:r>
    </w:p>
    <w:p w14:paraId="1FC3FCBA" w14:textId="1381F6C3" w:rsidR="00610F3D" w:rsidRPr="00610F3D" w:rsidRDefault="00610F3D" w:rsidP="00610F3D">
      <w:pPr>
        <w:rPr>
          <w:rFonts w:ascii="Arial" w:eastAsia="Georgia" w:hAnsi="Arial" w:cs="Arial"/>
          <w:sz w:val="20"/>
          <w:lang w:eastAsia="en-US"/>
        </w:rPr>
      </w:pPr>
      <w:r w:rsidRPr="00610F3D">
        <w:rPr>
          <w:rFonts w:ascii="Arial" w:eastAsia="Georgia" w:hAnsi="Arial" w:cs="Arial"/>
          <w:sz w:val="20"/>
          <w:lang w:eastAsia="en-US"/>
        </w:rPr>
        <w:t>Accumulating evidence suggests that ABO blood types may modulate these cardiovascular risks. In non-O individuals, plasma levels of the factor VIII–von Willebrand factor (</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complex are approximately 25% higher than in Group </w:t>
      </w:r>
      <w:proofErr w:type="spellStart"/>
      <w:r w:rsidRPr="00610F3D">
        <w:rPr>
          <w:rFonts w:ascii="Arial" w:eastAsia="Georgia" w:hAnsi="Arial" w:cs="Arial"/>
          <w:sz w:val="20"/>
          <w:lang w:eastAsia="en-US"/>
        </w:rPr>
        <w:t>O</w:t>
      </w:r>
      <w:proofErr w:type="spellEnd"/>
      <w:r w:rsidRPr="00610F3D">
        <w:rPr>
          <w:rFonts w:ascii="Arial" w:eastAsia="Georgia" w:hAnsi="Arial" w:cs="Arial"/>
          <w:sz w:val="20"/>
          <w:lang w:eastAsia="en-US"/>
        </w:rPr>
        <w:t xml:space="preserve"> individuals (Neshat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2024). These elevated factor VIII–</w:t>
      </w:r>
      <w:proofErr w:type="spellStart"/>
      <w:r w:rsidRPr="00610F3D">
        <w:rPr>
          <w:rFonts w:ascii="Arial" w:eastAsia="Georgia" w:hAnsi="Arial" w:cs="Arial"/>
          <w:sz w:val="20"/>
          <w:lang w:eastAsia="en-US"/>
        </w:rPr>
        <w:t>vWF</w:t>
      </w:r>
      <w:proofErr w:type="spellEnd"/>
      <w:r w:rsidRPr="00610F3D">
        <w:rPr>
          <w:rFonts w:ascii="Arial" w:eastAsia="Georgia" w:hAnsi="Arial" w:cs="Arial"/>
          <w:sz w:val="20"/>
          <w:lang w:eastAsia="en-US"/>
        </w:rPr>
        <w:t xml:space="preserve"> levels are a recognized risk factor for coronary heart disease (CHD) (Zhao &amp; Schooling, 2018). Furthermore, reports suggest that ABO blood groups are associated with the risk of ischemic heart diseases and the development of severe atherosclerosis (Neshat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xml:space="preserve">., 2023). Specifically, studies have indicated that individuals with blood group A may be more predisposed to cardiovascular disease, while Group O may act as </w:t>
      </w:r>
      <w:r w:rsidRPr="00610F3D">
        <w:rPr>
          <w:rFonts w:ascii="Arial" w:eastAsia="Georgia" w:hAnsi="Arial" w:cs="Arial"/>
          <w:sz w:val="20"/>
          <w:lang w:eastAsia="en-US"/>
        </w:rPr>
        <w:lastRenderedPageBreak/>
        <w:t>a protective anti-atherogenic factor (Shahid, 2019).</w:t>
      </w:r>
    </w:p>
    <w:p w14:paraId="47BC1EC2" w14:textId="7FFE175A" w:rsidR="008E70E1" w:rsidRDefault="00610F3D" w:rsidP="00610F3D">
      <w:pPr>
        <w:rPr>
          <w:rFonts w:ascii="Arial" w:eastAsia="Georgia" w:hAnsi="Arial" w:cs="Arial"/>
          <w:sz w:val="20"/>
          <w:lang w:eastAsia="en-US"/>
        </w:rPr>
      </w:pPr>
      <w:r w:rsidRPr="00610F3D">
        <w:rPr>
          <w:rFonts w:ascii="Arial" w:eastAsia="Georgia" w:hAnsi="Arial" w:cs="Arial"/>
          <w:sz w:val="20"/>
          <w:lang w:eastAsia="en-US"/>
        </w:rPr>
        <w:t xml:space="preserve">Despite these global observations, the susceptibility to various diseases—including cancer, cardiovascular disorders, and infections—often shows variability across different populations (Than </w:t>
      </w:r>
      <w:r w:rsidR="00D01F7A" w:rsidRPr="00D01F7A">
        <w:rPr>
          <w:rFonts w:ascii="Arial" w:eastAsia="Georgia" w:hAnsi="Arial" w:cs="Arial"/>
          <w:i/>
          <w:iCs/>
          <w:sz w:val="20"/>
          <w:lang w:eastAsia="en-US"/>
        </w:rPr>
        <w:t>et al</w:t>
      </w:r>
      <w:r w:rsidRPr="00610F3D">
        <w:rPr>
          <w:rFonts w:ascii="Arial" w:eastAsia="Georgia" w:hAnsi="Arial" w:cs="Arial"/>
          <w:sz w:val="20"/>
          <w:lang w:eastAsia="en-US"/>
        </w:rPr>
        <w:t>., 2011). In a regional context such as the Enugu metropolis, understanding the local distribution of blood groups and their association with lipid parameters is vital for identifying cardiovascular risk among apparently healthy individuals. Risk factors for developing cardiovascular diseases are known to be proportional to the levels of TC, LDL-C, and TG, while HDL-C maintains an inverse relationship due to its protective role in reverse cholesterol transport. Therefore, this study aims to determine the association between ABO blood groups and lipid profiles in the Enugu metropolis. By evaluating the level of dyslipidemia among different ABO phenotypes, this research seeks to clarify whether inherited blood antigens exert a marked effect on serum lipids to enhance primary prevention strategies within this Nigerian population.</w:t>
      </w:r>
    </w:p>
    <w:p w14:paraId="78786E76" w14:textId="77777777" w:rsidR="00610F3D" w:rsidRPr="00307A66" w:rsidRDefault="00610F3D" w:rsidP="00610F3D">
      <w:pPr>
        <w:rPr>
          <w:rFonts w:ascii="Arial" w:eastAsia="Georgia" w:hAnsi="Arial" w:cs="Arial"/>
          <w:sz w:val="20"/>
          <w:lang w:eastAsia="en-US"/>
        </w:rPr>
      </w:pPr>
    </w:p>
    <w:p w14:paraId="06D0431E" w14:textId="5C75ADDC" w:rsidR="008E70E1" w:rsidRPr="00307A66" w:rsidRDefault="008E70E1" w:rsidP="008E70E1">
      <w:pPr>
        <w:rPr>
          <w:rFonts w:ascii="Arial" w:eastAsia="Georgia" w:hAnsi="Arial" w:cs="Arial"/>
          <w:b/>
          <w:bCs/>
          <w:sz w:val="20"/>
          <w:lang w:eastAsia="en-US"/>
        </w:rPr>
      </w:pPr>
      <w:r w:rsidRPr="00307A66">
        <w:rPr>
          <w:rFonts w:ascii="Arial" w:eastAsia="Georgia" w:hAnsi="Arial" w:cs="Arial"/>
          <w:b/>
          <w:bCs/>
          <w:sz w:val="20"/>
          <w:lang w:eastAsia="en-US"/>
        </w:rPr>
        <w:t>MATERIALS AND METHODS</w:t>
      </w:r>
    </w:p>
    <w:p w14:paraId="299BC3A4" w14:textId="77777777" w:rsidR="00785A95" w:rsidRPr="00307A66" w:rsidRDefault="00785A95" w:rsidP="008E70E1">
      <w:pPr>
        <w:rPr>
          <w:rFonts w:ascii="Arial" w:eastAsia="Georgia" w:hAnsi="Arial" w:cs="Arial"/>
          <w:b/>
          <w:bCs/>
          <w:sz w:val="20"/>
          <w:lang w:eastAsia="en-US"/>
        </w:rPr>
      </w:pPr>
    </w:p>
    <w:p w14:paraId="0DE64127" w14:textId="4E81B948"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Study Area</w:t>
      </w:r>
      <w:r w:rsidR="008C3759" w:rsidRPr="00307A66">
        <w:rPr>
          <w:rFonts w:ascii="Arial" w:eastAsia="Georgia" w:hAnsi="Arial" w:cs="Arial"/>
          <w:b/>
          <w:bCs/>
          <w:sz w:val="20"/>
          <w:lang w:eastAsia="en-US"/>
        </w:rPr>
        <w:t>:</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This study was carried out in Enugu metropolis located in the southeast of the country with population size of 3,267,837. Enugu state spreads its border to the state of Kogi and Benue to the north, Ebonyi to the east, Abia and Imo to the south and Anambra to the west, covering an area of around 7,161km</w:t>
      </w:r>
      <w:r w:rsidRPr="00231F3D">
        <w:rPr>
          <w:rFonts w:ascii="Arial" w:eastAsia="Georgia" w:hAnsi="Arial" w:cs="Arial"/>
          <w:sz w:val="20"/>
          <w:vertAlign w:val="superscript"/>
          <w:lang w:eastAsia="en-US"/>
        </w:rPr>
        <w:t>2</w:t>
      </w:r>
      <w:r w:rsidRPr="00307A66">
        <w:rPr>
          <w:rFonts w:ascii="Arial" w:eastAsia="Georgia" w:hAnsi="Arial" w:cs="Arial"/>
          <w:sz w:val="20"/>
          <w:lang w:eastAsia="en-US"/>
        </w:rPr>
        <w:t xml:space="preserve"> (Chukwudi, 2017). The inhabitants are mainly civil servant, students and business people.</w:t>
      </w:r>
    </w:p>
    <w:p w14:paraId="27EDEAAE" w14:textId="77777777" w:rsidR="00785A95" w:rsidRPr="00307A66" w:rsidRDefault="00785A95" w:rsidP="008E70E1">
      <w:pPr>
        <w:rPr>
          <w:rFonts w:ascii="Arial" w:eastAsia="Georgia" w:hAnsi="Arial" w:cs="Arial"/>
          <w:b/>
          <w:bCs/>
          <w:sz w:val="20"/>
          <w:lang w:eastAsia="en-US"/>
        </w:rPr>
      </w:pPr>
    </w:p>
    <w:p w14:paraId="17E29846" w14:textId="57AD2193"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Sample size:</w:t>
      </w:r>
      <w:r w:rsidRPr="00307A66">
        <w:rPr>
          <w:rFonts w:ascii="Arial" w:eastAsia="Georgia" w:hAnsi="Arial" w:cs="Arial"/>
          <w:b/>
          <w:bCs/>
          <w:sz w:val="20"/>
          <w:lang w:eastAsia="en-US"/>
        </w:rPr>
        <w:tab/>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standard statistical formula (</w:t>
      </w:r>
      <w:proofErr w:type="spellStart"/>
      <w:r w:rsidRPr="00307A66">
        <w:rPr>
          <w:rFonts w:ascii="Arial" w:eastAsia="Georgia" w:hAnsi="Arial" w:cs="Arial"/>
          <w:sz w:val="20"/>
          <w:lang w:eastAsia="en-US"/>
        </w:rPr>
        <w:t>Araoye</w:t>
      </w:r>
      <w:proofErr w:type="spellEnd"/>
      <w:r w:rsidRPr="00307A66">
        <w:rPr>
          <w:rFonts w:ascii="Arial" w:eastAsia="Georgia" w:hAnsi="Arial" w:cs="Arial"/>
          <w:sz w:val="20"/>
          <w:lang w:eastAsia="en-US"/>
        </w:rPr>
        <w:t>, 2004) was used to determine the sample size as follows: -</w:t>
      </w:r>
    </w:p>
    <w:p w14:paraId="6AF8635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r>
      <w:r w:rsidRPr="00307A66">
        <w:rPr>
          <w:rFonts w:ascii="Arial" w:eastAsia="Georgia" w:hAnsi="Arial" w:cs="Arial"/>
          <w:sz w:val="20"/>
          <w:u w:val="single"/>
          <w:lang w:eastAsia="en-US"/>
        </w:rPr>
        <w:t>Za</w:t>
      </w:r>
      <w:r w:rsidRPr="00231F3D">
        <w:rPr>
          <w:rFonts w:ascii="Arial" w:eastAsia="Georgia" w:hAnsi="Arial" w:cs="Arial"/>
          <w:sz w:val="20"/>
          <w:u w:val="single"/>
          <w:vertAlign w:val="superscript"/>
          <w:lang w:eastAsia="en-US"/>
        </w:rPr>
        <w:t>2</w:t>
      </w:r>
      <w:r w:rsidRPr="00307A66">
        <w:rPr>
          <w:rFonts w:ascii="Arial" w:eastAsia="Georgia" w:hAnsi="Arial" w:cs="Arial"/>
          <w:sz w:val="20"/>
          <w:u w:val="single"/>
          <w:lang w:eastAsia="en-US"/>
        </w:rPr>
        <w:t>P(1-p)</w:t>
      </w:r>
    </w:p>
    <w:p w14:paraId="5608A78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 xml:space="preserve">     d</w:t>
      </w:r>
      <w:r w:rsidRPr="00231F3D">
        <w:rPr>
          <w:rFonts w:ascii="Arial" w:eastAsia="Georgia" w:hAnsi="Arial" w:cs="Arial"/>
          <w:sz w:val="20"/>
          <w:vertAlign w:val="superscript"/>
          <w:lang w:eastAsia="en-US"/>
        </w:rPr>
        <w:t>2</w:t>
      </w:r>
    </w:p>
    <w:p w14:paraId="250F971F"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Where:</w:t>
      </w:r>
    </w:p>
    <w:p w14:paraId="62255920"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Sample size</w:t>
      </w:r>
      <w:r w:rsidRPr="00307A66">
        <w:rPr>
          <w:rFonts w:ascii="Arial" w:eastAsia="Georgia" w:hAnsi="Arial" w:cs="Arial"/>
          <w:sz w:val="20"/>
          <w:lang w:eastAsia="en-US"/>
        </w:rPr>
        <w:tab/>
      </w:r>
    </w:p>
    <w:p w14:paraId="4DD90AC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Za</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Significant level which is set at 95% confidence interval </w:t>
      </w:r>
    </w:p>
    <w:p w14:paraId="1A801C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r>
      <w:r w:rsidRPr="00307A66">
        <w:rPr>
          <w:rFonts w:ascii="Arial" w:eastAsia="Georgia" w:hAnsi="Arial" w:cs="Arial"/>
          <w:sz w:val="20"/>
          <w:lang w:eastAsia="en-US"/>
        </w:rPr>
        <w:tab/>
      </w:r>
      <w:r w:rsidRPr="00307A66">
        <w:rPr>
          <w:rFonts w:ascii="Arial" w:eastAsia="Georgia" w:hAnsi="Arial" w:cs="Arial"/>
          <w:sz w:val="20"/>
          <w:lang w:eastAsia="en-US"/>
        </w:rPr>
        <w:tab/>
        <w:t>(1.96)</w:t>
      </w:r>
    </w:p>
    <w:p w14:paraId="3FDA3B7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P</w:t>
      </w:r>
      <w:r w:rsidRPr="00307A66">
        <w:rPr>
          <w:rFonts w:ascii="Arial" w:eastAsia="Georgia" w:hAnsi="Arial" w:cs="Arial"/>
          <w:sz w:val="20"/>
          <w:lang w:eastAsia="en-US"/>
        </w:rPr>
        <w:tab/>
        <w:t>=</w:t>
      </w:r>
      <w:r w:rsidRPr="00307A66">
        <w:rPr>
          <w:rFonts w:ascii="Arial" w:eastAsia="Georgia" w:hAnsi="Arial" w:cs="Arial"/>
          <w:sz w:val="20"/>
          <w:lang w:eastAsia="en-US"/>
        </w:rPr>
        <w:tab/>
        <w:t>Proportion of target population estimated</w:t>
      </w:r>
    </w:p>
    <w:p w14:paraId="3228642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d</w:t>
      </w:r>
      <w:r w:rsidRPr="00307A66">
        <w:rPr>
          <w:rFonts w:ascii="Arial" w:eastAsia="Georgia" w:hAnsi="Arial" w:cs="Arial"/>
          <w:sz w:val="20"/>
          <w:lang w:eastAsia="en-US"/>
        </w:rPr>
        <w:tab/>
        <w:t>=</w:t>
      </w:r>
      <w:r w:rsidRPr="00307A66">
        <w:rPr>
          <w:rFonts w:ascii="Arial" w:eastAsia="Georgia" w:hAnsi="Arial" w:cs="Arial"/>
          <w:sz w:val="20"/>
          <w:lang w:eastAsia="en-US"/>
        </w:rPr>
        <w:tab/>
        <w:t>Margin of error tolerated (5% i.e. 0.05)</w:t>
      </w:r>
    </w:p>
    <w:p w14:paraId="5296114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 xml:space="preserve">Therefore, using 0.05 proportion derived from study and 0.05 as absolute </w:t>
      </w:r>
    </w:p>
    <w:p w14:paraId="622232C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error, the sample size will be calculated as follows: -</w:t>
      </w:r>
    </w:p>
    <w:p w14:paraId="5502CF8A"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(1.98)2 x 0.05)</w:t>
      </w:r>
      <w:proofErr w:type="gramStart"/>
      <w:r w:rsidRPr="00307A66">
        <w:rPr>
          <w:rFonts w:ascii="Arial" w:eastAsia="Georgia" w:hAnsi="Arial" w:cs="Arial"/>
          <w:sz w:val="20"/>
          <w:lang w:eastAsia="en-US"/>
        </w:rPr>
        <w:t>/(</w:t>
      </w:r>
      <w:proofErr w:type="gramEnd"/>
      <w:r w:rsidRPr="00307A66">
        <w:rPr>
          <w:rFonts w:ascii="Arial" w:eastAsia="Georgia" w:hAnsi="Arial" w:cs="Arial"/>
          <w:sz w:val="20"/>
          <w:lang w:eastAsia="en-US"/>
        </w:rPr>
        <w:t>0.05)2</w:t>
      </w:r>
    </w:p>
    <w:p w14:paraId="67E0B367"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0.05)/0.0025</w:t>
      </w:r>
    </w:p>
    <w:p w14:paraId="324F6131"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3.8416 x 0.05 x 380</w:t>
      </w:r>
    </w:p>
    <w:p w14:paraId="2A50686C"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 xml:space="preserve">72.99 + 10%.  Attrition </w:t>
      </w:r>
    </w:p>
    <w:p w14:paraId="69C2C5FB"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72.99 + 7.299</w:t>
      </w:r>
    </w:p>
    <w:p w14:paraId="70322AB6"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ab/>
        <w:t>N</w:t>
      </w:r>
      <w:r w:rsidRPr="00307A66">
        <w:rPr>
          <w:rFonts w:ascii="Arial" w:eastAsia="Georgia" w:hAnsi="Arial" w:cs="Arial"/>
          <w:sz w:val="20"/>
          <w:lang w:eastAsia="en-US"/>
        </w:rPr>
        <w:tab/>
        <w:t>=</w:t>
      </w:r>
      <w:r w:rsidRPr="00307A66">
        <w:rPr>
          <w:rFonts w:ascii="Arial" w:eastAsia="Georgia" w:hAnsi="Arial" w:cs="Arial"/>
          <w:sz w:val="20"/>
          <w:lang w:eastAsia="en-US"/>
        </w:rPr>
        <w:tab/>
        <w:t>80.289</w:t>
      </w:r>
    </w:p>
    <w:p w14:paraId="4F9D83F9" w14:textId="77777777" w:rsidR="008E70E1" w:rsidRPr="00307A66" w:rsidRDefault="008E70E1" w:rsidP="008E70E1">
      <w:pPr>
        <w:rPr>
          <w:rFonts w:ascii="Arial" w:eastAsia="Georgia" w:hAnsi="Arial" w:cs="Arial"/>
          <w:sz w:val="20"/>
          <w:lang w:eastAsia="en-US"/>
        </w:rPr>
      </w:pPr>
      <w:r w:rsidRPr="00307A66">
        <w:rPr>
          <w:rFonts w:ascii="Arial" w:eastAsia="Georgia" w:hAnsi="Arial" w:cs="Arial"/>
          <w:sz w:val="20"/>
          <w:lang w:eastAsia="en-US"/>
        </w:rPr>
        <w:t>The study population therefore targeted a minimum of 80 subjects.</w:t>
      </w:r>
    </w:p>
    <w:p w14:paraId="54967B67" w14:textId="77777777" w:rsidR="00785A95" w:rsidRPr="00307A66" w:rsidRDefault="00785A95" w:rsidP="008E70E1">
      <w:pPr>
        <w:rPr>
          <w:rFonts w:ascii="Arial" w:eastAsia="Georgia" w:hAnsi="Arial" w:cs="Arial"/>
          <w:b/>
          <w:bCs/>
          <w:sz w:val="20"/>
          <w:lang w:eastAsia="en-US"/>
        </w:rPr>
      </w:pPr>
    </w:p>
    <w:p w14:paraId="039457AE" w14:textId="77777777" w:rsidR="00D12065" w:rsidRDefault="008E70E1" w:rsidP="00D12065">
      <w:pPr>
        <w:pStyle w:val="NormalWeb"/>
      </w:pPr>
      <w:r w:rsidRPr="00307A66">
        <w:rPr>
          <w:rFonts w:ascii="Arial" w:eastAsia="Georgia" w:hAnsi="Arial" w:cs="Arial"/>
          <w:b/>
          <w:bCs/>
          <w:sz w:val="20"/>
        </w:rPr>
        <w:lastRenderedPageBreak/>
        <w:t>Subjects</w:t>
      </w:r>
      <w:r w:rsidR="00713410" w:rsidRPr="00307A66">
        <w:rPr>
          <w:rFonts w:ascii="Arial" w:eastAsia="Georgia" w:hAnsi="Arial" w:cs="Arial"/>
          <w:b/>
          <w:bCs/>
          <w:sz w:val="20"/>
        </w:rPr>
        <w:t>:</w:t>
      </w:r>
      <w:r w:rsidR="00713410" w:rsidRPr="00307A66">
        <w:rPr>
          <w:rFonts w:ascii="Arial" w:eastAsia="Georgia" w:hAnsi="Arial" w:cs="Arial"/>
          <w:sz w:val="20"/>
        </w:rPr>
        <w:t xml:space="preserve"> </w:t>
      </w:r>
      <w:r w:rsidR="00D12065">
        <w:t>The study was conducted on a total of 104 apparently healthy participants. The study population comprised 59 individuals with blood group O, 26 with blood group A, 16 with blood group B, and 3 with blood group AB, all residing within the Enugu metropolis and aged 18 years and above. Informed consent was obtained from each participant prior to inclusion in the study. Structured questionnaires were administered to collect relevant demographic and clinical information, and were duly completed by the participants with guidance from the researcher.</w:t>
      </w:r>
    </w:p>
    <w:p w14:paraId="79660177" w14:textId="2BE6F4B9" w:rsidR="008E70E1" w:rsidRPr="00307A66" w:rsidRDefault="008E70E1" w:rsidP="008E70E1">
      <w:pPr>
        <w:rPr>
          <w:rFonts w:ascii="Arial" w:eastAsia="Georgia" w:hAnsi="Arial" w:cs="Arial"/>
          <w:sz w:val="20"/>
          <w:lang w:eastAsia="en-US"/>
        </w:rPr>
      </w:pPr>
    </w:p>
    <w:p w14:paraId="71003870" w14:textId="77777777" w:rsidR="00785A95" w:rsidRPr="00307A66" w:rsidRDefault="00785A95" w:rsidP="008E70E1">
      <w:pPr>
        <w:rPr>
          <w:rFonts w:ascii="Arial" w:eastAsia="Georgia" w:hAnsi="Arial" w:cs="Arial"/>
          <w:b/>
          <w:bCs/>
          <w:sz w:val="20"/>
          <w:lang w:eastAsia="en-US"/>
        </w:rPr>
      </w:pPr>
    </w:p>
    <w:p w14:paraId="58A46CBE" w14:textId="2C09048C"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Inclusion criteria include:</w:t>
      </w:r>
      <w:r w:rsidR="00713410" w:rsidRPr="00307A66">
        <w:rPr>
          <w:rFonts w:ascii="Arial" w:eastAsia="Georgia" w:hAnsi="Arial" w:cs="Arial"/>
          <w:b/>
          <w:bCs/>
          <w:sz w:val="20"/>
          <w:lang w:eastAsia="en-US"/>
        </w:rPr>
        <w:t xml:space="preserve"> </w:t>
      </w:r>
      <w:r w:rsidR="00713410" w:rsidRPr="00307A66">
        <w:rPr>
          <w:rFonts w:ascii="Arial" w:eastAsia="Georgia" w:hAnsi="Arial" w:cs="Arial"/>
          <w:sz w:val="20"/>
          <w:lang w:eastAsia="en-US"/>
        </w:rPr>
        <w:t>I</w:t>
      </w:r>
      <w:r w:rsidRPr="00307A66">
        <w:rPr>
          <w:rFonts w:ascii="Arial" w:eastAsia="Georgia" w:hAnsi="Arial" w:cs="Arial"/>
          <w:sz w:val="20"/>
          <w:lang w:eastAsia="en-US"/>
        </w:rPr>
        <w:t>ndividual must belong to any of the human ABO blood group (A, B, AB, &amp; O)</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be apparently healthy</w:t>
      </w:r>
      <w:r w:rsidR="00713410" w:rsidRPr="00307A66">
        <w:rPr>
          <w:rFonts w:ascii="Arial" w:eastAsia="Georgia" w:hAnsi="Arial" w:cs="Arial"/>
          <w:sz w:val="20"/>
          <w:lang w:eastAsia="en-US"/>
        </w:rPr>
        <w:t xml:space="preserve">, </w:t>
      </w:r>
      <w:r w:rsidRPr="00307A66">
        <w:rPr>
          <w:rFonts w:ascii="Arial" w:eastAsia="Georgia" w:hAnsi="Arial" w:cs="Arial"/>
          <w:sz w:val="20"/>
          <w:lang w:eastAsia="en-US"/>
        </w:rPr>
        <w:t>must have the age of 18 years and above</w:t>
      </w:r>
      <w:r w:rsidR="00713410" w:rsidRPr="00307A66">
        <w:rPr>
          <w:rFonts w:ascii="Arial" w:eastAsia="Georgia" w:hAnsi="Arial" w:cs="Arial"/>
          <w:sz w:val="20"/>
          <w:lang w:eastAsia="en-US"/>
        </w:rPr>
        <w:t>.</w:t>
      </w:r>
    </w:p>
    <w:p w14:paraId="07970639" w14:textId="77777777" w:rsidR="00785A95" w:rsidRPr="00307A66" w:rsidRDefault="00785A95" w:rsidP="008E70E1">
      <w:pPr>
        <w:rPr>
          <w:rFonts w:ascii="Arial" w:eastAsia="Georgia" w:hAnsi="Arial" w:cs="Arial"/>
          <w:b/>
          <w:bCs/>
          <w:sz w:val="20"/>
          <w:lang w:eastAsia="en-US"/>
        </w:rPr>
      </w:pPr>
    </w:p>
    <w:p w14:paraId="586DF4C7" w14:textId="308208C4"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Exclusion criteria include:</w:t>
      </w:r>
      <w:r w:rsidR="00713410" w:rsidRPr="00307A66">
        <w:rPr>
          <w:rFonts w:ascii="Arial" w:eastAsia="Georgia" w:hAnsi="Arial" w:cs="Arial"/>
          <w:b/>
          <w:bCs/>
          <w:sz w:val="20"/>
          <w:lang w:eastAsia="en-US"/>
        </w:rPr>
        <w:t xml:space="preserve"> </w:t>
      </w:r>
      <w:r w:rsidRPr="00307A66">
        <w:rPr>
          <w:rFonts w:ascii="Arial" w:eastAsia="Georgia" w:hAnsi="Arial" w:cs="Arial"/>
          <w:sz w:val="20"/>
          <w:lang w:eastAsia="en-US"/>
        </w:rPr>
        <w:t>A smoker</w:t>
      </w:r>
      <w:r w:rsidR="00713410" w:rsidRPr="00307A66">
        <w:rPr>
          <w:rFonts w:ascii="Arial" w:eastAsia="Georgia" w:hAnsi="Arial" w:cs="Arial"/>
          <w:sz w:val="20"/>
          <w:lang w:eastAsia="en-US"/>
        </w:rPr>
        <w:t>, d</w:t>
      </w:r>
      <w:r w:rsidRPr="00307A66">
        <w:rPr>
          <w:rFonts w:ascii="Arial" w:eastAsia="Georgia" w:hAnsi="Arial" w:cs="Arial"/>
          <w:sz w:val="20"/>
          <w:lang w:eastAsia="en-US"/>
        </w:rPr>
        <w:t>iabetic individual</w:t>
      </w:r>
      <w:r w:rsidR="00713410" w:rsidRPr="00307A66">
        <w:rPr>
          <w:rFonts w:ascii="Arial" w:eastAsia="Georgia" w:hAnsi="Arial" w:cs="Arial"/>
          <w:sz w:val="20"/>
          <w:lang w:eastAsia="en-US"/>
        </w:rPr>
        <w:t>, a</w:t>
      </w:r>
      <w:r w:rsidRPr="00307A66">
        <w:rPr>
          <w:rFonts w:ascii="Arial" w:eastAsia="Georgia" w:hAnsi="Arial" w:cs="Arial"/>
          <w:sz w:val="20"/>
          <w:lang w:eastAsia="en-US"/>
        </w:rPr>
        <w:t>n alcoholic</w:t>
      </w:r>
      <w:r w:rsidR="00713410" w:rsidRPr="00307A66">
        <w:rPr>
          <w:rFonts w:ascii="Arial" w:eastAsia="Georgia" w:hAnsi="Arial" w:cs="Arial"/>
          <w:sz w:val="20"/>
          <w:lang w:eastAsia="en-US"/>
        </w:rPr>
        <w:t>, p</w:t>
      </w:r>
      <w:r w:rsidRPr="00307A66">
        <w:rPr>
          <w:rFonts w:ascii="Arial" w:eastAsia="Georgia" w:hAnsi="Arial" w:cs="Arial"/>
          <w:sz w:val="20"/>
          <w:lang w:eastAsia="en-US"/>
        </w:rPr>
        <w:t>regnancy</w:t>
      </w:r>
      <w:r w:rsidR="00713410" w:rsidRPr="00307A66">
        <w:rPr>
          <w:rFonts w:ascii="Arial" w:eastAsia="Georgia" w:hAnsi="Arial" w:cs="Arial"/>
          <w:sz w:val="20"/>
          <w:lang w:eastAsia="en-US"/>
        </w:rPr>
        <w:t>, s</w:t>
      </w:r>
      <w:r w:rsidRPr="00307A66">
        <w:rPr>
          <w:rFonts w:ascii="Arial" w:eastAsia="Georgia" w:hAnsi="Arial" w:cs="Arial"/>
          <w:sz w:val="20"/>
          <w:lang w:eastAsia="en-US"/>
        </w:rPr>
        <w:t>ubject with age less than 18 years.</w:t>
      </w:r>
    </w:p>
    <w:p w14:paraId="069F88A8" w14:textId="77777777" w:rsidR="00785A95" w:rsidRPr="00307A66" w:rsidRDefault="00785A95" w:rsidP="008E70E1">
      <w:pPr>
        <w:rPr>
          <w:rFonts w:ascii="Arial" w:eastAsia="Georgia" w:hAnsi="Arial" w:cs="Arial"/>
          <w:b/>
          <w:bCs/>
          <w:sz w:val="20"/>
          <w:lang w:eastAsia="en-US"/>
        </w:rPr>
      </w:pPr>
    </w:p>
    <w:p w14:paraId="1AC1221B" w14:textId="77777777" w:rsidR="00D12065" w:rsidRDefault="008E70E1" w:rsidP="00D12065">
      <w:pPr>
        <w:pStyle w:val="NormalWeb"/>
        <w:jc w:val="both"/>
      </w:pPr>
      <w:r w:rsidRPr="00307A66">
        <w:rPr>
          <w:rFonts w:ascii="Arial" w:eastAsia="Georgia" w:hAnsi="Arial" w:cs="Arial"/>
          <w:b/>
          <w:bCs/>
          <w:sz w:val="20"/>
        </w:rPr>
        <w:t>Sampling Technique:</w:t>
      </w:r>
      <w:r w:rsidR="00713410" w:rsidRPr="00307A66">
        <w:rPr>
          <w:rFonts w:ascii="Arial" w:eastAsia="Georgia" w:hAnsi="Arial" w:cs="Arial"/>
          <w:b/>
          <w:bCs/>
          <w:sz w:val="20"/>
        </w:rPr>
        <w:t xml:space="preserve"> </w:t>
      </w:r>
      <w:r w:rsidR="00D12065">
        <w:t xml:space="preserve">Fasting blood samples were collected from participants following an overnight fast of 8–12 hours by a qualified phlebotomist, using sterile needles and disposable syringes. For each participant, two </w:t>
      </w:r>
      <w:bookmarkStart w:id="1" w:name="_GoBack"/>
      <w:r w:rsidR="00D12065">
        <w:t xml:space="preserve">specimen containers were </w:t>
      </w:r>
      <w:proofErr w:type="spellStart"/>
      <w:r w:rsidR="00D12065">
        <w:t>utilised</w:t>
      </w:r>
      <w:proofErr w:type="spellEnd"/>
      <w:r w:rsidR="00D12065">
        <w:t>: an anticoagulant tube containing K₂EDTA for blood grouping analysis, and a plain tube for lipid profile assessment.</w:t>
      </w:r>
    </w:p>
    <w:p w14:paraId="7E462738" w14:textId="77777777" w:rsidR="00D12065" w:rsidRDefault="00D12065" w:rsidP="00D12065">
      <w:pPr>
        <w:pStyle w:val="NormalWeb"/>
        <w:jc w:val="both"/>
      </w:pPr>
      <w:r>
        <w:t xml:space="preserve">Approximately 5 ml of venous blood was obtained via clean </w:t>
      </w:r>
      <w:proofErr w:type="spellStart"/>
      <w:r>
        <w:t>venepuncture</w:t>
      </w:r>
      <w:proofErr w:type="spellEnd"/>
      <w:r>
        <w:t xml:space="preserve"> from the antecubital fossa and dispensed into appropriately labelled containers, ensuring minimal pressure was applied to both the arm and the syringe plunger during collection. Samples collected in K₂EDTA tubes were </w:t>
      </w:r>
      <w:proofErr w:type="spellStart"/>
      <w:r>
        <w:t>analysed</w:t>
      </w:r>
      <w:proofErr w:type="spellEnd"/>
      <w:r>
        <w:t xml:space="preserve"> immediately for blood group determination using commercially prepared antisera (anti-A, anti-B, anti-AB, and anti-D).</w:t>
      </w:r>
    </w:p>
    <w:p w14:paraId="645B7F23" w14:textId="77777777" w:rsidR="00D12065" w:rsidRDefault="00D12065" w:rsidP="00D12065">
      <w:pPr>
        <w:pStyle w:val="NormalWeb"/>
        <w:jc w:val="both"/>
      </w:pPr>
      <w:r>
        <w:t xml:space="preserve">Blood samples collected in plain tubes were centrifuged at 4000 rpm for 10 minutes to obtain serum. The separated serum was transferred into clean, dry containers and stored under frozen conditions until further analysis. Lipid profile parameters, including triglycerides (TG), total cholesterol (TC), high-density lipoprotein </w:t>
      </w:r>
      <w:bookmarkEnd w:id="1"/>
      <w:r>
        <w:t>(HDL), and low-density lipoprotein (LDL), were subsequently determined at room temperature.</w:t>
      </w:r>
    </w:p>
    <w:p w14:paraId="0AF48795" w14:textId="5CCD6589" w:rsidR="00785A95" w:rsidRPr="00307A66" w:rsidRDefault="00785A95" w:rsidP="008E70E1">
      <w:pPr>
        <w:rPr>
          <w:rFonts w:ascii="Arial" w:eastAsia="Georgia" w:hAnsi="Arial" w:cs="Arial"/>
          <w:b/>
          <w:bCs/>
          <w:sz w:val="20"/>
          <w:lang w:eastAsia="en-US"/>
        </w:rPr>
      </w:pPr>
    </w:p>
    <w:p w14:paraId="79EAB17A" w14:textId="0743DC92" w:rsidR="001D4D5F" w:rsidRDefault="008E70E1" w:rsidP="008E70E1">
      <w:pPr>
        <w:rPr>
          <w:rFonts w:ascii="Arial" w:eastAsia="Georgia" w:hAnsi="Arial" w:cs="Arial"/>
          <w:sz w:val="20"/>
          <w:lang w:eastAsia="en-US"/>
        </w:rPr>
      </w:pPr>
      <w:r w:rsidRPr="00307A66">
        <w:rPr>
          <w:rFonts w:ascii="Arial" w:eastAsia="Georgia" w:hAnsi="Arial" w:cs="Arial"/>
          <w:b/>
          <w:bCs/>
          <w:sz w:val="20"/>
          <w:lang w:eastAsia="en-US"/>
        </w:rPr>
        <w:t>Laboratory Analysis</w:t>
      </w:r>
      <w:r w:rsidR="00713410" w:rsidRPr="00307A66">
        <w:rPr>
          <w:rFonts w:ascii="Arial" w:eastAsia="Georgia" w:hAnsi="Arial" w:cs="Arial"/>
          <w:b/>
          <w:bCs/>
          <w:sz w:val="20"/>
          <w:lang w:eastAsia="en-US"/>
        </w:rPr>
        <w:t>:</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Determination of serum total cholesterol</w:t>
      </w:r>
      <w:r w:rsidR="001D4D5F" w:rsidRPr="00307A66">
        <w:rPr>
          <w:rFonts w:ascii="Arial" w:eastAsia="Georgia" w:hAnsi="Arial" w:cs="Arial"/>
          <w:sz w:val="20"/>
          <w:lang w:eastAsia="en-US"/>
        </w:rPr>
        <w:t xml:space="preserve">, triglyceride, HDL, LDL, and VLDL </w:t>
      </w:r>
      <w:r w:rsidRPr="00307A66">
        <w:rPr>
          <w:rFonts w:ascii="Arial" w:eastAsia="Georgia" w:hAnsi="Arial" w:cs="Arial"/>
          <w:sz w:val="20"/>
          <w:lang w:eastAsia="en-US"/>
        </w:rPr>
        <w:t>was done</w:t>
      </w:r>
      <w:r w:rsidR="00094AC9" w:rsidRPr="00307A66">
        <w:rPr>
          <w:rFonts w:ascii="Arial" w:eastAsia="Georgia" w:hAnsi="Arial" w:cs="Arial"/>
          <w:sz w:val="20"/>
          <w:lang w:eastAsia="en-US"/>
        </w:rPr>
        <w:t xml:space="preserve"> by enzymatic</w:t>
      </w:r>
      <w:r w:rsidRPr="00307A66">
        <w:rPr>
          <w:rFonts w:ascii="Arial" w:eastAsia="Georgia" w:hAnsi="Arial" w:cs="Arial"/>
          <w:sz w:val="20"/>
          <w:lang w:eastAsia="en-US"/>
        </w:rPr>
        <w:t xml:space="preserve"> </w:t>
      </w:r>
      <w:r w:rsidR="00094AC9" w:rsidRPr="00307A66">
        <w:rPr>
          <w:rFonts w:ascii="Arial" w:eastAsia="Georgia" w:hAnsi="Arial" w:cs="Arial"/>
          <w:sz w:val="20"/>
          <w:lang w:eastAsia="en-US"/>
        </w:rPr>
        <w:t>method</w:t>
      </w:r>
      <w:r w:rsidR="001D4D5F" w:rsidRPr="00307A66">
        <w:rPr>
          <w:rFonts w:ascii="Arial" w:eastAsia="Georgia" w:hAnsi="Arial" w:cs="Arial"/>
          <w:sz w:val="20"/>
          <w:lang w:eastAsia="en-US"/>
        </w:rPr>
        <w:t>.</w:t>
      </w:r>
      <w:r w:rsidR="00DA67DC">
        <w:rPr>
          <w:rFonts w:ascii="Arial" w:eastAsia="Georgia" w:hAnsi="Arial" w:cs="Arial"/>
          <w:sz w:val="20"/>
          <w:lang w:eastAsia="en-US"/>
        </w:rPr>
        <w:t xml:space="preserve"> Test kits used were </w:t>
      </w:r>
      <w:proofErr w:type="spellStart"/>
      <w:r w:rsidR="00DA67DC">
        <w:rPr>
          <w:rFonts w:ascii="Arial" w:eastAsia="Georgia" w:hAnsi="Arial" w:cs="Arial"/>
          <w:sz w:val="20"/>
          <w:lang w:eastAsia="en-US"/>
        </w:rPr>
        <w:t>ACcare</w:t>
      </w:r>
      <w:proofErr w:type="spellEnd"/>
      <w:r w:rsidR="00DA67DC">
        <w:rPr>
          <w:rFonts w:ascii="Arial" w:eastAsia="Georgia" w:hAnsi="Arial" w:cs="Arial"/>
          <w:sz w:val="20"/>
          <w:lang w:eastAsia="en-US"/>
        </w:rPr>
        <w:t xml:space="preserve"> kit for each.</w:t>
      </w:r>
    </w:p>
    <w:p w14:paraId="403F49B3" w14:textId="77777777" w:rsidR="00DA67DC" w:rsidRPr="00F8072F" w:rsidRDefault="00DA67DC" w:rsidP="00DA67DC">
      <w:pPr>
        <w:rPr>
          <w:rFonts w:ascii="Arial" w:eastAsia="Georgia" w:hAnsi="Arial" w:cs="Arial"/>
          <w:b/>
          <w:bCs/>
          <w:sz w:val="20"/>
          <w:lang w:eastAsia="en-US"/>
        </w:rPr>
      </w:pPr>
      <w:r w:rsidRPr="00F8072F">
        <w:rPr>
          <w:rFonts w:ascii="Arial" w:eastAsia="Georgia" w:hAnsi="Arial" w:cs="Arial"/>
          <w:b/>
          <w:bCs/>
          <w:sz w:val="20"/>
          <w:lang w:eastAsia="en-US"/>
        </w:rPr>
        <w:t>Procedure</w:t>
      </w:r>
    </w:p>
    <w:p w14:paraId="56FB3DDB"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 xml:space="preserve">1. Three test tubes were labeled as follows: Test, standard and blank. </w:t>
      </w:r>
    </w:p>
    <w:p w14:paraId="7F80CEA0"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2. 10µl of serum was added to the tube labeled Tube,</w:t>
      </w:r>
    </w:p>
    <w:p w14:paraId="0B83C8B0"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 xml:space="preserve">3. 10µl of </w:t>
      </w:r>
      <w:r>
        <w:rPr>
          <w:rFonts w:ascii="Arial" w:eastAsia="Georgia" w:hAnsi="Arial" w:cs="Arial"/>
          <w:sz w:val="20"/>
          <w:lang w:eastAsia="en-US"/>
        </w:rPr>
        <w:t>reagent</w:t>
      </w:r>
      <w:r w:rsidRPr="00F8072F">
        <w:rPr>
          <w:rFonts w:ascii="Arial" w:eastAsia="Georgia" w:hAnsi="Arial" w:cs="Arial"/>
          <w:sz w:val="20"/>
          <w:lang w:eastAsia="en-US"/>
        </w:rPr>
        <w:t xml:space="preserve"> standard was added to the tube labeled standard, while </w:t>
      </w:r>
    </w:p>
    <w:p w14:paraId="59B6C574"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 xml:space="preserve">4. 10µl of distilled water was added to the tube labeled blank. </w:t>
      </w:r>
    </w:p>
    <w:p w14:paraId="53C1D1D9"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 xml:space="preserve">5. Then 0.05ml of the colored reagent was added to the three tubes. </w:t>
      </w:r>
    </w:p>
    <w:p w14:paraId="4D9C6273"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lastRenderedPageBreak/>
        <w:t xml:space="preserve">6. The tubes were swirled gently to mix and the contents were incubated at 37◦c for ten minutes. </w:t>
      </w:r>
    </w:p>
    <w:p w14:paraId="0379AFD8" w14:textId="77777777" w:rsidR="00DA67DC" w:rsidRPr="00F8072F" w:rsidRDefault="00DA67DC" w:rsidP="00DA67DC">
      <w:pPr>
        <w:rPr>
          <w:rFonts w:ascii="Arial" w:eastAsia="Georgia" w:hAnsi="Arial" w:cs="Arial"/>
          <w:sz w:val="20"/>
          <w:lang w:eastAsia="en-US"/>
        </w:rPr>
      </w:pPr>
      <w:r w:rsidRPr="00F8072F">
        <w:rPr>
          <w:rFonts w:ascii="Arial" w:eastAsia="Georgia" w:hAnsi="Arial" w:cs="Arial"/>
          <w:sz w:val="20"/>
          <w:lang w:eastAsia="en-US"/>
        </w:rPr>
        <w:t>7. The absorbance was read at 500nm against the blank.</w:t>
      </w:r>
    </w:p>
    <w:p w14:paraId="6E5BB1AE" w14:textId="77777777" w:rsidR="00DA67DC" w:rsidRPr="00F8072F" w:rsidRDefault="00DA67DC" w:rsidP="00DA67DC">
      <w:pPr>
        <w:rPr>
          <w:rFonts w:ascii="Arial" w:eastAsia="Georgia" w:hAnsi="Arial" w:cs="Arial"/>
          <w:sz w:val="20"/>
          <w:u w:val="single"/>
          <w:lang w:eastAsia="en-US"/>
        </w:rPr>
      </w:pPr>
      <w:r w:rsidRPr="00F8072F">
        <w:rPr>
          <w:rFonts w:ascii="Arial" w:eastAsia="Georgia" w:hAnsi="Arial" w:cs="Arial"/>
          <w:sz w:val="20"/>
          <w:lang w:eastAsia="en-US"/>
        </w:rPr>
        <w:t xml:space="preserve">Concentration of test= </w:t>
      </w:r>
      <w:r w:rsidRPr="00F8072F">
        <w:rPr>
          <w:rFonts w:ascii="Arial" w:eastAsia="Georgia" w:hAnsi="Arial" w:cs="Arial"/>
          <w:sz w:val="20"/>
          <w:u w:val="single"/>
          <w:lang w:eastAsia="en-US"/>
        </w:rPr>
        <w:t>Absorbance of test</w:t>
      </w:r>
      <w:r w:rsidRPr="00F8072F">
        <w:rPr>
          <w:rFonts w:ascii="Arial" w:eastAsia="Georgia" w:hAnsi="Arial" w:cs="Arial"/>
          <w:sz w:val="20"/>
          <w:u w:val="single"/>
          <w:lang w:eastAsia="en-US"/>
        </w:rPr>
        <w:tab/>
        <w:t>× Concentration of standard</w:t>
      </w:r>
    </w:p>
    <w:p w14:paraId="4EBC539A" w14:textId="77777777" w:rsidR="00DA67DC" w:rsidRPr="00307A66" w:rsidRDefault="00DA67DC" w:rsidP="00DA67DC">
      <w:pPr>
        <w:ind w:left="2100" w:firstLine="420"/>
        <w:rPr>
          <w:rFonts w:ascii="Arial" w:eastAsia="Georgia" w:hAnsi="Arial" w:cs="Arial"/>
          <w:sz w:val="20"/>
          <w:lang w:eastAsia="en-US"/>
        </w:rPr>
      </w:pPr>
      <w:r w:rsidRPr="00F8072F">
        <w:rPr>
          <w:rFonts w:ascii="Arial" w:eastAsia="Georgia" w:hAnsi="Arial" w:cs="Arial"/>
          <w:sz w:val="20"/>
          <w:lang w:eastAsia="en-US"/>
        </w:rPr>
        <w:t>Absorbance of standard</w:t>
      </w:r>
    </w:p>
    <w:p w14:paraId="77B9CF23" w14:textId="77777777" w:rsidR="00DA67DC" w:rsidRDefault="00DA67DC" w:rsidP="008E70E1">
      <w:pPr>
        <w:rPr>
          <w:rFonts w:ascii="Arial" w:eastAsia="Georgia" w:hAnsi="Arial" w:cs="Arial"/>
          <w:b/>
          <w:bCs/>
          <w:sz w:val="20"/>
          <w:lang w:eastAsia="en-US"/>
        </w:rPr>
      </w:pPr>
    </w:p>
    <w:p w14:paraId="5DAB80A4" w14:textId="46925AFF" w:rsidR="008E70E1" w:rsidRPr="00307A66" w:rsidRDefault="008E70E1" w:rsidP="008E70E1">
      <w:pPr>
        <w:rPr>
          <w:rFonts w:ascii="Arial" w:eastAsia="Georgia" w:hAnsi="Arial" w:cs="Arial"/>
          <w:sz w:val="20"/>
          <w:lang w:eastAsia="en-US"/>
        </w:rPr>
      </w:pPr>
      <w:r w:rsidRPr="00307A66">
        <w:rPr>
          <w:rFonts w:ascii="Arial" w:eastAsia="Georgia" w:hAnsi="Arial" w:cs="Arial"/>
          <w:b/>
          <w:bCs/>
          <w:sz w:val="20"/>
          <w:lang w:eastAsia="en-US"/>
        </w:rPr>
        <w:t>Statistical Analysis</w:t>
      </w:r>
      <w:r w:rsidR="001D4D5F" w:rsidRPr="00307A66">
        <w:rPr>
          <w:rFonts w:ascii="Arial" w:eastAsia="Georgia" w:hAnsi="Arial" w:cs="Arial"/>
          <w:b/>
          <w:bCs/>
          <w:sz w:val="20"/>
          <w:lang w:eastAsia="en-US"/>
        </w:rPr>
        <w:t xml:space="preserve">: </w:t>
      </w:r>
      <w:r w:rsidRPr="00307A66">
        <w:rPr>
          <w:rFonts w:ascii="Arial" w:eastAsia="Georgia" w:hAnsi="Arial" w:cs="Arial"/>
          <w:sz w:val="20"/>
          <w:lang w:eastAsia="en-US"/>
        </w:rPr>
        <w:t>Data obtained from this study was analyzed using the Statistical Package for Social Science (SPSS) version 25 of window IBM Inc. Chicago, IL, USA.</w:t>
      </w:r>
      <w:r w:rsidR="001D4D5F" w:rsidRPr="00307A66">
        <w:rPr>
          <w:rFonts w:ascii="Arial" w:eastAsia="Georgia" w:hAnsi="Arial" w:cs="Arial"/>
          <w:sz w:val="20"/>
          <w:lang w:eastAsia="en-US"/>
        </w:rPr>
        <w:t xml:space="preserve"> </w:t>
      </w:r>
      <w:r w:rsidRPr="00307A66">
        <w:rPr>
          <w:rFonts w:ascii="Arial" w:eastAsia="Georgia" w:hAnsi="Arial" w:cs="Arial"/>
          <w:sz w:val="20"/>
          <w:lang w:eastAsia="en-US"/>
        </w:rPr>
        <w:t>Data was presented as mean and standard deviations.  Students t-test was used to calculated difference between means. One-way analysis of variance (ANOVA) was used to estimate difference between group means</w:t>
      </w:r>
    </w:p>
    <w:p w14:paraId="2D6D19E6" w14:textId="77777777" w:rsidR="001D4D5F" w:rsidRPr="00307A66" w:rsidRDefault="001D4D5F" w:rsidP="008E70E1">
      <w:pPr>
        <w:rPr>
          <w:rFonts w:ascii="Arial" w:hAnsi="Arial" w:cs="Arial"/>
          <w:lang w:eastAsia="en-US"/>
        </w:rPr>
      </w:pPr>
    </w:p>
    <w:p w14:paraId="457F7A5F" w14:textId="5333AC16" w:rsidR="002941E1" w:rsidRPr="00307A66" w:rsidRDefault="008E70E1" w:rsidP="008E70E1">
      <w:pPr>
        <w:rPr>
          <w:rFonts w:ascii="Arial" w:hAnsi="Arial" w:cs="Arial"/>
          <w:b/>
          <w:sz w:val="20"/>
        </w:rPr>
      </w:pPr>
      <w:r w:rsidRPr="00307A66">
        <w:rPr>
          <w:rFonts w:ascii="Arial" w:hAnsi="Arial" w:cs="Arial"/>
          <w:b/>
          <w:sz w:val="20"/>
        </w:rPr>
        <w:t>RESULTS</w:t>
      </w:r>
    </w:p>
    <w:p w14:paraId="46867756" w14:textId="4693C6DC" w:rsidR="002941E1" w:rsidRDefault="00DD3D81" w:rsidP="008E70E1">
      <w:pPr>
        <w:autoSpaceDE w:val="0"/>
        <w:autoSpaceDN w:val="0"/>
        <w:adjustRightInd w:val="0"/>
        <w:rPr>
          <w:rFonts w:ascii="Arial" w:hAnsi="Arial" w:cs="Arial"/>
          <w:sz w:val="20"/>
        </w:rPr>
      </w:pPr>
      <w:r w:rsidRPr="00307A66">
        <w:rPr>
          <w:rFonts w:ascii="Arial" w:hAnsi="Arial" w:cs="Arial"/>
          <w:sz w:val="20"/>
        </w:rPr>
        <w:t>In seen in table 1, a</w:t>
      </w:r>
      <w:r w:rsidR="002C338E" w:rsidRPr="00307A66">
        <w:rPr>
          <w:rFonts w:ascii="Arial" w:hAnsi="Arial" w:cs="Arial"/>
          <w:sz w:val="20"/>
        </w:rPr>
        <w:t xml:space="preserve"> total number of 104 subjects (55 male and 49 female) participated in the study. The general characteristics of subjects showed that 53% and</w:t>
      </w:r>
      <w:r w:rsidR="00A928F3" w:rsidRPr="00307A66">
        <w:rPr>
          <w:rFonts w:ascii="Arial" w:hAnsi="Arial" w:cs="Arial"/>
          <w:sz w:val="20"/>
        </w:rPr>
        <w:t xml:space="preserve"> </w:t>
      </w:r>
      <w:r w:rsidR="002C338E" w:rsidRPr="00307A66">
        <w:rPr>
          <w:rFonts w:ascii="Arial" w:hAnsi="Arial" w:cs="Arial"/>
          <w:sz w:val="20"/>
        </w:rPr>
        <w:t>47% of the respondent were male and female respectively with different blood group. In the table 1</w:t>
      </w:r>
      <w:r w:rsidR="002C338E" w:rsidRPr="00307A66">
        <w:rPr>
          <w:rFonts w:ascii="Arial" w:hAnsi="Arial" w:cs="Arial"/>
          <w:b/>
          <w:sz w:val="20"/>
        </w:rPr>
        <w:t xml:space="preserve">, </w:t>
      </w:r>
      <w:r w:rsidR="002C338E" w:rsidRPr="00307A66">
        <w:rPr>
          <w:rFonts w:ascii="Arial" w:hAnsi="Arial" w:cs="Arial"/>
          <w:sz w:val="20"/>
        </w:rPr>
        <w:t xml:space="preserve">it can be observed that there </w:t>
      </w:r>
      <w:r w:rsidRPr="00307A66">
        <w:rPr>
          <w:rFonts w:ascii="Arial" w:hAnsi="Arial" w:cs="Arial"/>
          <w:sz w:val="20"/>
        </w:rPr>
        <w:t>was</w:t>
      </w:r>
      <w:r w:rsidR="002C338E" w:rsidRPr="00307A66">
        <w:rPr>
          <w:rFonts w:ascii="Arial" w:hAnsi="Arial" w:cs="Arial"/>
          <w:sz w:val="20"/>
        </w:rPr>
        <w:t xml:space="preserve"> no statistically significant difference (P – value &gt; 0.05) in Age, TC, HDLC, LDLC, VDLC, TG in the table when the male subjects where compared with the female Subjects.</w:t>
      </w:r>
    </w:p>
    <w:p w14:paraId="2E40C502" w14:textId="05D2A476" w:rsidR="00434A01" w:rsidRDefault="00434A01" w:rsidP="008E70E1">
      <w:pPr>
        <w:autoSpaceDE w:val="0"/>
        <w:autoSpaceDN w:val="0"/>
        <w:adjustRightInd w:val="0"/>
        <w:rPr>
          <w:rFonts w:ascii="Arial" w:hAnsi="Arial" w:cs="Arial"/>
          <w:sz w:val="20"/>
        </w:rPr>
      </w:pPr>
    </w:p>
    <w:p w14:paraId="7CFC0853" w14:textId="77777777" w:rsidR="00434A01" w:rsidRPr="00307A66" w:rsidRDefault="00434A01" w:rsidP="008E70E1">
      <w:pPr>
        <w:autoSpaceDE w:val="0"/>
        <w:autoSpaceDN w:val="0"/>
        <w:adjustRightInd w:val="0"/>
        <w:rPr>
          <w:rFonts w:ascii="Arial" w:hAnsi="Arial" w:cs="Arial"/>
          <w:sz w:val="20"/>
        </w:rPr>
      </w:pPr>
    </w:p>
    <w:p w14:paraId="3BCE7DD0" w14:textId="7D6EB0E5" w:rsidR="002941E1" w:rsidRPr="00307A66" w:rsidRDefault="002C338E" w:rsidP="008E70E1">
      <w:pPr>
        <w:autoSpaceDE w:val="0"/>
        <w:autoSpaceDN w:val="0"/>
        <w:adjustRightInd w:val="0"/>
        <w:rPr>
          <w:rFonts w:ascii="Arial" w:hAnsi="Arial" w:cs="Arial"/>
          <w:sz w:val="20"/>
        </w:rPr>
      </w:pPr>
      <w:r w:rsidRPr="00307A66">
        <w:rPr>
          <w:rFonts w:ascii="Arial" w:hAnsi="Arial" w:cs="Arial"/>
          <w:b/>
          <w:sz w:val="20"/>
        </w:rPr>
        <w:t xml:space="preserve">Table 1 </w:t>
      </w:r>
      <w:r w:rsidR="00560C2E" w:rsidRPr="00307A66">
        <w:rPr>
          <w:rFonts w:ascii="Arial" w:hAnsi="Arial" w:cs="Arial"/>
          <w:b/>
          <w:sz w:val="20"/>
        </w:rPr>
        <w:t>Assessing the mean levels</w:t>
      </w:r>
      <w:r w:rsidRPr="00307A66">
        <w:rPr>
          <w:rFonts w:ascii="Arial" w:hAnsi="Arial" w:cs="Arial"/>
          <w:b/>
          <w:sz w:val="20"/>
        </w:rPr>
        <w:t xml:space="preserve"> of Age, TC, HDLC, LDLC, VDLC, </w:t>
      </w:r>
      <w:r w:rsidR="00560C2E" w:rsidRPr="00307A66">
        <w:rPr>
          <w:rFonts w:ascii="Arial" w:hAnsi="Arial" w:cs="Arial"/>
          <w:b/>
          <w:sz w:val="20"/>
        </w:rPr>
        <w:t xml:space="preserve">and </w:t>
      </w:r>
      <w:r w:rsidRPr="00307A66">
        <w:rPr>
          <w:rFonts w:ascii="Arial" w:hAnsi="Arial" w:cs="Arial"/>
          <w:b/>
          <w:sz w:val="20"/>
        </w:rPr>
        <w:t xml:space="preserve">TG </w:t>
      </w:r>
      <w:r w:rsidR="00560C2E" w:rsidRPr="00307A66">
        <w:rPr>
          <w:rFonts w:ascii="Arial" w:hAnsi="Arial" w:cs="Arial"/>
          <w:b/>
          <w:sz w:val="20"/>
        </w:rPr>
        <w:t>across the</w:t>
      </w:r>
      <w:r w:rsidRPr="00307A66">
        <w:rPr>
          <w:rFonts w:ascii="Arial" w:hAnsi="Arial" w:cs="Arial"/>
          <w:b/>
          <w:sz w:val="20"/>
        </w:rPr>
        <w:t xml:space="preserve"> male </w:t>
      </w:r>
      <w:r w:rsidR="00560C2E" w:rsidRPr="00307A66">
        <w:rPr>
          <w:rFonts w:ascii="Arial" w:hAnsi="Arial" w:cs="Arial"/>
          <w:b/>
          <w:sz w:val="20"/>
        </w:rPr>
        <w:t>and</w:t>
      </w:r>
      <w:r w:rsidRPr="00307A66">
        <w:rPr>
          <w:rFonts w:ascii="Arial" w:hAnsi="Arial" w:cs="Arial"/>
          <w:b/>
          <w:sz w:val="20"/>
        </w:rPr>
        <w:t xml:space="preserve"> female</w:t>
      </w:r>
      <w:r w:rsidR="00560C2E" w:rsidRPr="00307A66">
        <w:rPr>
          <w:rFonts w:ascii="Arial" w:hAnsi="Arial" w:cs="Arial"/>
          <w:b/>
          <w:sz w:val="20"/>
        </w:rPr>
        <w:t xml:space="preserve"> participants</w:t>
      </w:r>
    </w:p>
    <w:p w14:paraId="5856235E" w14:textId="56AA5411" w:rsidR="00A928F3" w:rsidRPr="00307A66" w:rsidRDefault="00A928F3" w:rsidP="008E70E1">
      <w:pPr>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1"/>
        <w:gridCol w:w="1713"/>
        <w:gridCol w:w="1753"/>
        <w:gridCol w:w="1899"/>
        <w:gridCol w:w="1326"/>
      </w:tblGrid>
      <w:tr w:rsidR="00A928F3" w:rsidRPr="00307A66" w14:paraId="09FCFF84" w14:textId="77777777" w:rsidTr="00AE0821">
        <w:tc>
          <w:tcPr>
            <w:tcW w:w="1831" w:type="dxa"/>
            <w:tcBorders>
              <w:top w:val="single" w:sz="4" w:space="0" w:color="auto"/>
              <w:bottom w:val="single" w:sz="4" w:space="0" w:color="auto"/>
            </w:tcBorders>
          </w:tcPr>
          <w:p w14:paraId="6821BFEA" w14:textId="2B6FA297" w:rsidR="00A928F3" w:rsidRPr="00307A66" w:rsidRDefault="00A928F3" w:rsidP="008E70E1">
            <w:pPr>
              <w:rPr>
                <w:rFonts w:ascii="Arial" w:hAnsi="Arial" w:cs="Arial"/>
                <w:b/>
                <w:sz w:val="20"/>
              </w:rPr>
            </w:pPr>
            <w:r w:rsidRPr="00307A66">
              <w:rPr>
                <w:rFonts w:ascii="Arial" w:hAnsi="Arial" w:cs="Arial"/>
                <w:b/>
                <w:sz w:val="20"/>
              </w:rPr>
              <w:t>Variables</w:t>
            </w:r>
          </w:p>
        </w:tc>
        <w:tc>
          <w:tcPr>
            <w:tcW w:w="1713" w:type="dxa"/>
            <w:tcBorders>
              <w:top w:val="single" w:sz="4" w:space="0" w:color="auto"/>
              <w:bottom w:val="single" w:sz="4" w:space="0" w:color="auto"/>
            </w:tcBorders>
          </w:tcPr>
          <w:p w14:paraId="71CC73D5" w14:textId="5036D8C1" w:rsidR="00A928F3" w:rsidRPr="00307A66" w:rsidRDefault="00A928F3" w:rsidP="008E70E1">
            <w:pPr>
              <w:rPr>
                <w:rFonts w:ascii="Arial" w:hAnsi="Arial" w:cs="Arial"/>
                <w:b/>
                <w:sz w:val="20"/>
              </w:rPr>
            </w:pPr>
            <w:r w:rsidRPr="00307A66">
              <w:rPr>
                <w:rFonts w:ascii="Arial" w:hAnsi="Arial" w:cs="Arial"/>
                <w:b/>
                <w:sz w:val="20"/>
              </w:rPr>
              <w:t>Male (n=55) Mean ± SD</w:t>
            </w:r>
          </w:p>
        </w:tc>
        <w:tc>
          <w:tcPr>
            <w:tcW w:w="1753" w:type="dxa"/>
            <w:tcBorders>
              <w:top w:val="single" w:sz="4" w:space="0" w:color="auto"/>
              <w:bottom w:val="single" w:sz="4" w:space="0" w:color="auto"/>
            </w:tcBorders>
          </w:tcPr>
          <w:p w14:paraId="506AE58C" w14:textId="77777777" w:rsidR="00A928F3" w:rsidRPr="00307A66" w:rsidRDefault="00A928F3" w:rsidP="008E70E1">
            <w:pPr>
              <w:rPr>
                <w:rFonts w:ascii="Arial" w:hAnsi="Arial" w:cs="Arial"/>
                <w:b/>
                <w:sz w:val="20"/>
              </w:rPr>
            </w:pPr>
            <w:r w:rsidRPr="00307A66">
              <w:rPr>
                <w:rFonts w:ascii="Arial" w:hAnsi="Arial" w:cs="Arial"/>
                <w:b/>
                <w:sz w:val="20"/>
              </w:rPr>
              <w:t>Female (n-49)</w:t>
            </w:r>
          </w:p>
          <w:p w14:paraId="4B84ADEF" w14:textId="51D29C22" w:rsidR="00A928F3" w:rsidRPr="00307A66" w:rsidRDefault="00A928F3" w:rsidP="008E70E1">
            <w:pPr>
              <w:rPr>
                <w:rFonts w:ascii="Arial" w:hAnsi="Arial" w:cs="Arial"/>
                <w:b/>
                <w:sz w:val="20"/>
              </w:rPr>
            </w:pPr>
            <w:r w:rsidRPr="00307A66">
              <w:rPr>
                <w:rFonts w:ascii="Arial" w:hAnsi="Arial" w:cs="Arial"/>
                <w:b/>
                <w:sz w:val="20"/>
              </w:rPr>
              <w:t>Mean ± SD</w:t>
            </w:r>
          </w:p>
        </w:tc>
        <w:tc>
          <w:tcPr>
            <w:tcW w:w="1899" w:type="dxa"/>
            <w:tcBorders>
              <w:top w:val="single" w:sz="4" w:space="0" w:color="auto"/>
              <w:bottom w:val="single" w:sz="4" w:space="0" w:color="auto"/>
            </w:tcBorders>
          </w:tcPr>
          <w:p w14:paraId="48923984" w14:textId="77777777" w:rsidR="00A928F3" w:rsidRPr="00307A66" w:rsidRDefault="00A928F3" w:rsidP="008E70E1">
            <w:pPr>
              <w:rPr>
                <w:rFonts w:ascii="Arial" w:hAnsi="Arial" w:cs="Arial"/>
                <w:b/>
                <w:sz w:val="20"/>
              </w:rPr>
            </w:pPr>
            <w:r w:rsidRPr="00307A66">
              <w:rPr>
                <w:rFonts w:ascii="Arial" w:hAnsi="Arial" w:cs="Arial"/>
                <w:b/>
                <w:sz w:val="20"/>
              </w:rPr>
              <w:t>Total (n=104)</w:t>
            </w:r>
          </w:p>
          <w:p w14:paraId="35DE2C9D" w14:textId="1FD485B6" w:rsidR="00A928F3" w:rsidRPr="00307A66" w:rsidRDefault="00A928F3" w:rsidP="008E70E1">
            <w:pPr>
              <w:rPr>
                <w:rFonts w:ascii="Arial" w:hAnsi="Arial" w:cs="Arial"/>
                <w:b/>
                <w:sz w:val="20"/>
              </w:rPr>
            </w:pPr>
            <w:r w:rsidRPr="00307A66">
              <w:rPr>
                <w:rFonts w:ascii="Arial" w:hAnsi="Arial" w:cs="Arial"/>
                <w:b/>
                <w:sz w:val="20"/>
              </w:rPr>
              <w:t>Mean ± SD</w:t>
            </w:r>
          </w:p>
        </w:tc>
        <w:tc>
          <w:tcPr>
            <w:tcW w:w="1326" w:type="dxa"/>
            <w:tcBorders>
              <w:top w:val="single" w:sz="4" w:space="0" w:color="auto"/>
              <w:bottom w:val="single" w:sz="4" w:space="0" w:color="auto"/>
            </w:tcBorders>
          </w:tcPr>
          <w:p w14:paraId="3C1197E5" w14:textId="5965EA66" w:rsidR="00A928F3" w:rsidRPr="00307A66" w:rsidRDefault="00A928F3" w:rsidP="008E70E1">
            <w:pPr>
              <w:rPr>
                <w:rFonts w:ascii="Arial" w:hAnsi="Arial" w:cs="Arial"/>
                <w:b/>
                <w:sz w:val="20"/>
              </w:rPr>
            </w:pPr>
            <w:r w:rsidRPr="00307A66">
              <w:rPr>
                <w:rFonts w:ascii="Arial" w:hAnsi="Arial" w:cs="Arial"/>
                <w:b/>
                <w:sz w:val="20"/>
              </w:rPr>
              <w:t>p-value</w:t>
            </w:r>
          </w:p>
        </w:tc>
      </w:tr>
      <w:tr w:rsidR="00A928F3" w:rsidRPr="00307A66" w14:paraId="73B7AD8C" w14:textId="77777777" w:rsidTr="00AE0821">
        <w:tc>
          <w:tcPr>
            <w:tcW w:w="1831" w:type="dxa"/>
            <w:tcBorders>
              <w:top w:val="single" w:sz="4" w:space="0" w:color="auto"/>
            </w:tcBorders>
          </w:tcPr>
          <w:p w14:paraId="49E31DD4" w14:textId="78EEFCA8" w:rsidR="00A928F3" w:rsidRPr="00307A66" w:rsidRDefault="00A928F3" w:rsidP="008E70E1">
            <w:pPr>
              <w:rPr>
                <w:rFonts w:ascii="Arial" w:hAnsi="Arial" w:cs="Arial"/>
                <w:b/>
                <w:sz w:val="20"/>
              </w:rPr>
            </w:pPr>
            <w:r w:rsidRPr="00307A66">
              <w:rPr>
                <w:rFonts w:ascii="Arial" w:hAnsi="Arial" w:cs="Arial"/>
                <w:b/>
                <w:sz w:val="20"/>
              </w:rPr>
              <w:t xml:space="preserve">Age </w:t>
            </w:r>
            <w:r w:rsidRPr="00307A66">
              <w:rPr>
                <w:rFonts w:ascii="Arial" w:hAnsi="Arial" w:cs="Arial"/>
                <w:bCs/>
                <w:sz w:val="20"/>
              </w:rPr>
              <w:t>(years)</w:t>
            </w:r>
          </w:p>
        </w:tc>
        <w:tc>
          <w:tcPr>
            <w:tcW w:w="1713" w:type="dxa"/>
            <w:tcBorders>
              <w:top w:val="single" w:sz="4" w:space="0" w:color="auto"/>
            </w:tcBorders>
          </w:tcPr>
          <w:p w14:paraId="28FC34AB" w14:textId="7DC02052" w:rsidR="00A928F3" w:rsidRPr="00307A66" w:rsidRDefault="00A928F3" w:rsidP="008E70E1">
            <w:pPr>
              <w:rPr>
                <w:rFonts w:ascii="Arial" w:hAnsi="Arial" w:cs="Arial"/>
                <w:bCs/>
                <w:sz w:val="20"/>
              </w:rPr>
            </w:pPr>
            <w:r w:rsidRPr="00307A66">
              <w:rPr>
                <w:rFonts w:ascii="Arial" w:hAnsi="Arial" w:cs="Arial"/>
                <w:bCs/>
                <w:sz w:val="20"/>
              </w:rPr>
              <w:t>54.16 ± 11.72</w:t>
            </w:r>
          </w:p>
        </w:tc>
        <w:tc>
          <w:tcPr>
            <w:tcW w:w="1753" w:type="dxa"/>
            <w:tcBorders>
              <w:top w:val="single" w:sz="4" w:space="0" w:color="auto"/>
            </w:tcBorders>
          </w:tcPr>
          <w:p w14:paraId="6E7D581D" w14:textId="6DD65FFE" w:rsidR="00A928F3" w:rsidRPr="00307A66" w:rsidRDefault="00A928F3" w:rsidP="008E70E1">
            <w:pPr>
              <w:rPr>
                <w:rFonts w:ascii="Arial" w:hAnsi="Arial" w:cs="Arial"/>
                <w:bCs/>
                <w:sz w:val="20"/>
              </w:rPr>
            </w:pPr>
            <w:r w:rsidRPr="00307A66">
              <w:rPr>
                <w:rFonts w:ascii="Arial" w:hAnsi="Arial" w:cs="Arial"/>
                <w:bCs/>
                <w:sz w:val="20"/>
              </w:rPr>
              <w:t>49.14 ± 15.57</w:t>
            </w:r>
          </w:p>
        </w:tc>
        <w:tc>
          <w:tcPr>
            <w:tcW w:w="1899" w:type="dxa"/>
            <w:tcBorders>
              <w:top w:val="single" w:sz="4" w:space="0" w:color="auto"/>
            </w:tcBorders>
          </w:tcPr>
          <w:p w14:paraId="00AC306B" w14:textId="1093FC73" w:rsidR="00A928F3" w:rsidRPr="00307A66" w:rsidRDefault="00A928F3" w:rsidP="008E70E1">
            <w:pPr>
              <w:rPr>
                <w:rFonts w:ascii="Arial" w:hAnsi="Arial" w:cs="Arial"/>
                <w:bCs/>
                <w:sz w:val="20"/>
              </w:rPr>
            </w:pPr>
            <w:r w:rsidRPr="00307A66">
              <w:rPr>
                <w:rFonts w:ascii="Arial" w:hAnsi="Arial" w:cs="Arial"/>
                <w:bCs/>
                <w:sz w:val="20"/>
              </w:rPr>
              <w:t>51.80 ± 13.83</w:t>
            </w:r>
          </w:p>
        </w:tc>
        <w:tc>
          <w:tcPr>
            <w:tcW w:w="1326" w:type="dxa"/>
            <w:tcBorders>
              <w:top w:val="single" w:sz="4" w:space="0" w:color="auto"/>
            </w:tcBorders>
          </w:tcPr>
          <w:p w14:paraId="59AA4220" w14:textId="2B61B824" w:rsidR="00A928F3" w:rsidRPr="00307A66" w:rsidRDefault="00A928F3" w:rsidP="008E70E1">
            <w:pPr>
              <w:rPr>
                <w:rFonts w:ascii="Arial" w:hAnsi="Arial" w:cs="Arial"/>
                <w:bCs/>
                <w:sz w:val="20"/>
              </w:rPr>
            </w:pPr>
            <w:r w:rsidRPr="00307A66">
              <w:rPr>
                <w:rFonts w:ascii="Arial" w:hAnsi="Arial" w:cs="Arial"/>
                <w:bCs/>
                <w:sz w:val="20"/>
              </w:rPr>
              <w:t>0.064</w:t>
            </w:r>
          </w:p>
        </w:tc>
      </w:tr>
      <w:tr w:rsidR="00A928F3" w:rsidRPr="00307A66" w14:paraId="5FB965E6" w14:textId="77777777" w:rsidTr="00AE0821">
        <w:tc>
          <w:tcPr>
            <w:tcW w:w="1831" w:type="dxa"/>
          </w:tcPr>
          <w:p w14:paraId="6F94204C" w14:textId="2FAF27B1" w:rsidR="00A928F3" w:rsidRPr="00307A66" w:rsidRDefault="00A928F3" w:rsidP="008E70E1">
            <w:pPr>
              <w:rPr>
                <w:rFonts w:ascii="Arial" w:hAnsi="Arial" w:cs="Arial"/>
                <w:b/>
                <w:sz w:val="20"/>
              </w:rPr>
            </w:pPr>
            <w:r w:rsidRPr="00307A66">
              <w:rPr>
                <w:rFonts w:ascii="Arial" w:hAnsi="Arial" w:cs="Arial"/>
                <w:b/>
                <w:sz w:val="20"/>
              </w:rPr>
              <w:t xml:space="preserve">TC </w:t>
            </w:r>
            <w:r w:rsidRPr="00307A66">
              <w:rPr>
                <w:rFonts w:ascii="Arial" w:hAnsi="Arial" w:cs="Arial"/>
                <w:bCs/>
                <w:sz w:val="20"/>
              </w:rPr>
              <w:t>(mmol/l)</w:t>
            </w:r>
          </w:p>
        </w:tc>
        <w:tc>
          <w:tcPr>
            <w:tcW w:w="1713" w:type="dxa"/>
          </w:tcPr>
          <w:p w14:paraId="20A7FCEC" w14:textId="00C54B70" w:rsidR="00A928F3" w:rsidRPr="00307A66" w:rsidRDefault="00DD3D81" w:rsidP="008E70E1">
            <w:pPr>
              <w:rPr>
                <w:rFonts w:ascii="Arial" w:hAnsi="Arial" w:cs="Arial"/>
                <w:b/>
                <w:sz w:val="20"/>
              </w:rPr>
            </w:pPr>
            <w:r w:rsidRPr="00307A66">
              <w:rPr>
                <w:rFonts w:ascii="Arial" w:hAnsi="Arial" w:cs="Arial"/>
                <w:bCs/>
                <w:sz w:val="20"/>
              </w:rPr>
              <w:t>5.36 ± 1.00</w:t>
            </w:r>
          </w:p>
        </w:tc>
        <w:tc>
          <w:tcPr>
            <w:tcW w:w="1753" w:type="dxa"/>
          </w:tcPr>
          <w:p w14:paraId="679EA035" w14:textId="453F5E3D" w:rsidR="00A928F3" w:rsidRPr="00307A66" w:rsidRDefault="00DD3D81" w:rsidP="008E70E1">
            <w:pPr>
              <w:rPr>
                <w:rFonts w:ascii="Arial" w:hAnsi="Arial" w:cs="Arial"/>
                <w:bCs/>
                <w:sz w:val="20"/>
              </w:rPr>
            </w:pPr>
            <w:r w:rsidRPr="00307A66">
              <w:rPr>
                <w:rFonts w:ascii="Arial" w:hAnsi="Arial" w:cs="Arial"/>
                <w:bCs/>
                <w:sz w:val="20"/>
              </w:rPr>
              <w:t>5.32 ± 0.95</w:t>
            </w:r>
          </w:p>
        </w:tc>
        <w:tc>
          <w:tcPr>
            <w:tcW w:w="1899" w:type="dxa"/>
          </w:tcPr>
          <w:p w14:paraId="2D5F37AA" w14:textId="2430DD09" w:rsidR="00A928F3" w:rsidRPr="00307A66" w:rsidRDefault="00DD3D81" w:rsidP="008E70E1">
            <w:pPr>
              <w:rPr>
                <w:rFonts w:ascii="Arial" w:hAnsi="Arial" w:cs="Arial"/>
                <w:bCs/>
                <w:sz w:val="20"/>
              </w:rPr>
            </w:pPr>
            <w:r w:rsidRPr="00307A66">
              <w:rPr>
                <w:rFonts w:ascii="Arial" w:hAnsi="Arial" w:cs="Arial"/>
                <w:bCs/>
                <w:sz w:val="20"/>
              </w:rPr>
              <w:t>5.34 ± 0.10</w:t>
            </w:r>
          </w:p>
        </w:tc>
        <w:tc>
          <w:tcPr>
            <w:tcW w:w="1326" w:type="dxa"/>
          </w:tcPr>
          <w:p w14:paraId="4B74ED1E" w14:textId="65CFA395" w:rsidR="00A928F3" w:rsidRPr="00307A66" w:rsidRDefault="00DD3D81" w:rsidP="008E70E1">
            <w:pPr>
              <w:rPr>
                <w:rFonts w:ascii="Arial" w:hAnsi="Arial" w:cs="Arial"/>
                <w:bCs/>
                <w:sz w:val="20"/>
              </w:rPr>
            </w:pPr>
            <w:r w:rsidRPr="00307A66">
              <w:rPr>
                <w:rFonts w:ascii="Arial" w:hAnsi="Arial" w:cs="Arial"/>
                <w:bCs/>
                <w:sz w:val="20"/>
              </w:rPr>
              <w:t>0.877</w:t>
            </w:r>
          </w:p>
        </w:tc>
      </w:tr>
      <w:tr w:rsidR="00A928F3" w:rsidRPr="00307A66" w14:paraId="1B2742E4" w14:textId="77777777" w:rsidTr="00AE0821">
        <w:tc>
          <w:tcPr>
            <w:tcW w:w="1831" w:type="dxa"/>
          </w:tcPr>
          <w:p w14:paraId="1977CB70" w14:textId="2EBE4D63" w:rsidR="00A928F3" w:rsidRPr="00307A66" w:rsidRDefault="00DD3D81" w:rsidP="008E70E1">
            <w:pPr>
              <w:rPr>
                <w:rFonts w:ascii="Arial" w:hAnsi="Arial" w:cs="Arial"/>
                <w:b/>
                <w:sz w:val="20"/>
              </w:rPr>
            </w:pPr>
            <w:r w:rsidRPr="00307A66">
              <w:rPr>
                <w:rFonts w:ascii="Arial" w:hAnsi="Arial" w:cs="Arial"/>
                <w:b/>
                <w:sz w:val="20"/>
              </w:rPr>
              <w:t xml:space="preserve">HDLC </w:t>
            </w:r>
            <w:r w:rsidRPr="00307A66">
              <w:rPr>
                <w:rFonts w:ascii="Arial" w:hAnsi="Arial" w:cs="Arial"/>
                <w:bCs/>
                <w:sz w:val="20"/>
              </w:rPr>
              <w:t>(mmol/l)</w:t>
            </w:r>
          </w:p>
        </w:tc>
        <w:tc>
          <w:tcPr>
            <w:tcW w:w="1713" w:type="dxa"/>
          </w:tcPr>
          <w:p w14:paraId="23C4529E" w14:textId="0D1C0EF7" w:rsidR="00A928F3" w:rsidRPr="00307A66" w:rsidRDefault="00DD3D81" w:rsidP="008E70E1">
            <w:pPr>
              <w:rPr>
                <w:rFonts w:ascii="Arial" w:hAnsi="Arial" w:cs="Arial"/>
                <w:bCs/>
                <w:sz w:val="20"/>
              </w:rPr>
            </w:pPr>
            <w:r w:rsidRPr="00307A66">
              <w:rPr>
                <w:rFonts w:ascii="Arial" w:hAnsi="Arial" w:cs="Arial"/>
                <w:bCs/>
                <w:sz w:val="20"/>
              </w:rPr>
              <w:t>1.26 ± 0.21</w:t>
            </w:r>
          </w:p>
        </w:tc>
        <w:tc>
          <w:tcPr>
            <w:tcW w:w="1753" w:type="dxa"/>
          </w:tcPr>
          <w:p w14:paraId="3DA24373" w14:textId="14065AB2" w:rsidR="00A928F3" w:rsidRPr="00307A66" w:rsidRDefault="00DD3D81" w:rsidP="008E70E1">
            <w:pPr>
              <w:rPr>
                <w:rFonts w:ascii="Arial" w:hAnsi="Arial" w:cs="Arial"/>
                <w:bCs/>
                <w:sz w:val="20"/>
              </w:rPr>
            </w:pPr>
            <w:r w:rsidRPr="00307A66">
              <w:rPr>
                <w:rFonts w:ascii="Arial" w:hAnsi="Arial" w:cs="Arial"/>
                <w:bCs/>
                <w:sz w:val="20"/>
              </w:rPr>
              <w:t>1.31 ± 0.16</w:t>
            </w:r>
          </w:p>
        </w:tc>
        <w:tc>
          <w:tcPr>
            <w:tcW w:w="1899" w:type="dxa"/>
          </w:tcPr>
          <w:p w14:paraId="1A88CEBC" w14:textId="0CF7B0B1" w:rsidR="00A928F3" w:rsidRPr="00307A66" w:rsidRDefault="00DD3D81" w:rsidP="008E70E1">
            <w:pPr>
              <w:rPr>
                <w:rFonts w:ascii="Arial" w:hAnsi="Arial" w:cs="Arial"/>
                <w:b/>
                <w:sz w:val="20"/>
              </w:rPr>
            </w:pPr>
            <w:r w:rsidRPr="00307A66">
              <w:rPr>
                <w:rFonts w:ascii="Arial" w:hAnsi="Arial" w:cs="Arial"/>
                <w:bCs/>
                <w:sz w:val="20"/>
              </w:rPr>
              <w:t>1.29 ± 0.19</w:t>
            </w:r>
          </w:p>
        </w:tc>
        <w:tc>
          <w:tcPr>
            <w:tcW w:w="1326" w:type="dxa"/>
          </w:tcPr>
          <w:p w14:paraId="15027AA2" w14:textId="1D9173AE" w:rsidR="00A928F3" w:rsidRPr="00307A66" w:rsidRDefault="00DD3D81" w:rsidP="008E70E1">
            <w:pPr>
              <w:rPr>
                <w:rFonts w:ascii="Arial" w:hAnsi="Arial" w:cs="Arial"/>
                <w:bCs/>
                <w:sz w:val="20"/>
              </w:rPr>
            </w:pPr>
            <w:r w:rsidRPr="00307A66">
              <w:rPr>
                <w:rFonts w:ascii="Arial" w:hAnsi="Arial" w:cs="Arial"/>
                <w:bCs/>
                <w:sz w:val="20"/>
              </w:rPr>
              <w:t>0.148</w:t>
            </w:r>
          </w:p>
        </w:tc>
      </w:tr>
      <w:tr w:rsidR="00A928F3" w:rsidRPr="00307A66" w14:paraId="211EAAA0" w14:textId="77777777" w:rsidTr="00AE0821">
        <w:tc>
          <w:tcPr>
            <w:tcW w:w="1831" w:type="dxa"/>
          </w:tcPr>
          <w:p w14:paraId="0717F016" w14:textId="101FC9F4" w:rsidR="00A928F3" w:rsidRPr="00307A66" w:rsidRDefault="00DD3D81" w:rsidP="008E70E1">
            <w:pPr>
              <w:rPr>
                <w:rFonts w:ascii="Arial" w:hAnsi="Arial" w:cs="Arial"/>
                <w:b/>
                <w:sz w:val="20"/>
              </w:rPr>
            </w:pPr>
            <w:r w:rsidRPr="00307A66">
              <w:rPr>
                <w:rFonts w:ascii="Arial" w:hAnsi="Arial" w:cs="Arial"/>
                <w:b/>
                <w:sz w:val="20"/>
              </w:rPr>
              <w:t xml:space="preserve">LDLC </w:t>
            </w:r>
            <w:r w:rsidRPr="00307A66">
              <w:rPr>
                <w:rFonts w:ascii="Arial" w:hAnsi="Arial" w:cs="Arial"/>
                <w:bCs/>
                <w:sz w:val="20"/>
              </w:rPr>
              <w:t>(mmol/l)</w:t>
            </w:r>
          </w:p>
        </w:tc>
        <w:tc>
          <w:tcPr>
            <w:tcW w:w="1713" w:type="dxa"/>
          </w:tcPr>
          <w:p w14:paraId="3C6241D3" w14:textId="7522C28F" w:rsidR="00A928F3" w:rsidRPr="00307A66" w:rsidRDefault="00DD3D81" w:rsidP="008E70E1">
            <w:pPr>
              <w:rPr>
                <w:rFonts w:ascii="Arial" w:hAnsi="Arial" w:cs="Arial"/>
                <w:bCs/>
                <w:sz w:val="20"/>
              </w:rPr>
            </w:pPr>
            <w:r w:rsidRPr="00307A66">
              <w:rPr>
                <w:rFonts w:ascii="Arial" w:hAnsi="Arial" w:cs="Arial"/>
                <w:bCs/>
                <w:sz w:val="20"/>
              </w:rPr>
              <w:t>3.16 ± 0.85</w:t>
            </w:r>
          </w:p>
        </w:tc>
        <w:tc>
          <w:tcPr>
            <w:tcW w:w="1753" w:type="dxa"/>
          </w:tcPr>
          <w:p w14:paraId="20842095" w14:textId="097FEE83" w:rsidR="00A928F3" w:rsidRPr="00307A66" w:rsidRDefault="00DD3D81" w:rsidP="008E70E1">
            <w:pPr>
              <w:rPr>
                <w:rFonts w:ascii="Arial" w:hAnsi="Arial" w:cs="Arial"/>
                <w:bCs/>
                <w:sz w:val="20"/>
              </w:rPr>
            </w:pPr>
            <w:r w:rsidRPr="00307A66">
              <w:rPr>
                <w:rFonts w:ascii="Arial" w:hAnsi="Arial" w:cs="Arial"/>
                <w:bCs/>
                <w:sz w:val="20"/>
              </w:rPr>
              <w:t>3.15 ± 0.87</w:t>
            </w:r>
          </w:p>
        </w:tc>
        <w:tc>
          <w:tcPr>
            <w:tcW w:w="1899" w:type="dxa"/>
          </w:tcPr>
          <w:p w14:paraId="127A94A6" w14:textId="1AF1B3A7" w:rsidR="00A928F3" w:rsidRPr="00307A66" w:rsidRDefault="00DD3D81" w:rsidP="008E70E1">
            <w:pPr>
              <w:rPr>
                <w:rFonts w:ascii="Arial" w:hAnsi="Arial" w:cs="Arial"/>
                <w:bCs/>
                <w:sz w:val="20"/>
              </w:rPr>
            </w:pPr>
            <w:r w:rsidRPr="00307A66">
              <w:rPr>
                <w:rFonts w:ascii="Arial" w:hAnsi="Arial" w:cs="Arial"/>
                <w:bCs/>
                <w:sz w:val="20"/>
              </w:rPr>
              <w:t>3.15 ± 0.85</w:t>
            </w:r>
          </w:p>
        </w:tc>
        <w:tc>
          <w:tcPr>
            <w:tcW w:w="1326" w:type="dxa"/>
          </w:tcPr>
          <w:p w14:paraId="07E2C14F" w14:textId="4DBCB903" w:rsidR="00A928F3" w:rsidRPr="00307A66" w:rsidRDefault="00DD3D81" w:rsidP="008E70E1">
            <w:pPr>
              <w:rPr>
                <w:rFonts w:ascii="Arial" w:hAnsi="Arial" w:cs="Arial"/>
                <w:bCs/>
                <w:sz w:val="20"/>
              </w:rPr>
            </w:pPr>
            <w:r w:rsidRPr="00307A66">
              <w:rPr>
                <w:rFonts w:ascii="Arial" w:hAnsi="Arial" w:cs="Arial"/>
                <w:bCs/>
                <w:sz w:val="20"/>
              </w:rPr>
              <w:t>0.881</w:t>
            </w:r>
          </w:p>
        </w:tc>
      </w:tr>
      <w:tr w:rsidR="00A928F3" w:rsidRPr="00307A66" w14:paraId="3C4AAAA7" w14:textId="77777777" w:rsidTr="00AE0821">
        <w:tc>
          <w:tcPr>
            <w:tcW w:w="1831" w:type="dxa"/>
          </w:tcPr>
          <w:p w14:paraId="194D93DE" w14:textId="3DD256CF" w:rsidR="00A928F3" w:rsidRPr="00307A66" w:rsidRDefault="00DD3D81" w:rsidP="008E70E1">
            <w:pPr>
              <w:rPr>
                <w:rFonts w:ascii="Arial" w:hAnsi="Arial" w:cs="Arial"/>
                <w:b/>
                <w:sz w:val="20"/>
              </w:rPr>
            </w:pPr>
            <w:r w:rsidRPr="00307A66">
              <w:rPr>
                <w:rFonts w:ascii="Arial" w:hAnsi="Arial" w:cs="Arial"/>
                <w:b/>
                <w:sz w:val="20"/>
              </w:rPr>
              <w:t xml:space="preserve">VDLC </w:t>
            </w:r>
            <w:r w:rsidRPr="00307A66">
              <w:rPr>
                <w:rFonts w:ascii="Arial" w:hAnsi="Arial" w:cs="Arial"/>
                <w:bCs/>
                <w:sz w:val="20"/>
              </w:rPr>
              <w:t>(mmol/l)</w:t>
            </w:r>
          </w:p>
        </w:tc>
        <w:tc>
          <w:tcPr>
            <w:tcW w:w="1713" w:type="dxa"/>
          </w:tcPr>
          <w:p w14:paraId="502E5A7A" w14:textId="4EACEF98" w:rsidR="00A928F3" w:rsidRPr="00307A66" w:rsidRDefault="00DD3D81" w:rsidP="008E70E1">
            <w:pPr>
              <w:rPr>
                <w:rFonts w:ascii="Arial" w:hAnsi="Arial" w:cs="Arial"/>
                <w:bCs/>
                <w:sz w:val="20"/>
              </w:rPr>
            </w:pPr>
            <w:r w:rsidRPr="00307A66">
              <w:rPr>
                <w:rFonts w:ascii="Arial" w:hAnsi="Arial" w:cs="Arial"/>
                <w:bCs/>
                <w:sz w:val="20"/>
              </w:rPr>
              <w:t>1.05 ± 0.58</w:t>
            </w:r>
          </w:p>
        </w:tc>
        <w:tc>
          <w:tcPr>
            <w:tcW w:w="1753" w:type="dxa"/>
          </w:tcPr>
          <w:p w14:paraId="1D51E851" w14:textId="06BD97DC" w:rsidR="00A928F3" w:rsidRPr="00307A66" w:rsidRDefault="00DD3D81" w:rsidP="008E70E1">
            <w:pPr>
              <w:rPr>
                <w:rFonts w:ascii="Arial" w:hAnsi="Arial" w:cs="Arial"/>
                <w:bCs/>
                <w:sz w:val="20"/>
              </w:rPr>
            </w:pPr>
            <w:r w:rsidRPr="00307A66">
              <w:rPr>
                <w:rFonts w:ascii="Arial" w:hAnsi="Arial" w:cs="Arial"/>
                <w:bCs/>
                <w:sz w:val="20"/>
              </w:rPr>
              <w:t>0.91 ± 0.42</w:t>
            </w:r>
          </w:p>
        </w:tc>
        <w:tc>
          <w:tcPr>
            <w:tcW w:w="1899" w:type="dxa"/>
          </w:tcPr>
          <w:p w14:paraId="77849814" w14:textId="5E1E751F" w:rsidR="00A928F3" w:rsidRPr="00307A66" w:rsidRDefault="00DD3D81" w:rsidP="008E70E1">
            <w:pPr>
              <w:rPr>
                <w:rFonts w:ascii="Arial" w:hAnsi="Arial" w:cs="Arial"/>
                <w:bCs/>
                <w:sz w:val="20"/>
              </w:rPr>
            </w:pPr>
            <w:r w:rsidRPr="00307A66">
              <w:rPr>
                <w:rFonts w:ascii="Arial" w:hAnsi="Arial" w:cs="Arial"/>
                <w:bCs/>
                <w:sz w:val="20"/>
              </w:rPr>
              <w:t>0.98 ± 0.51</w:t>
            </w:r>
          </w:p>
        </w:tc>
        <w:tc>
          <w:tcPr>
            <w:tcW w:w="1326" w:type="dxa"/>
          </w:tcPr>
          <w:p w14:paraId="6A4A37C7" w14:textId="7DC8FA54" w:rsidR="00A928F3" w:rsidRPr="00307A66" w:rsidRDefault="00DD3D81" w:rsidP="008E70E1">
            <w:pPr>
              <w:rPr>
                <w:rFonts w:ascii="Arial" w:hAnsi="Arial" w:cs="Arial"/>
                <w:bCs/>
                <w:sz w:val="20"/>
              </w:rPr>
            </w:pPr>
            <w:r w:rsidRPr="00307A66">
              <w:rPr>
                <w:rFonts w:ascii="Arial" w:hAnsi="Arial" w:cs="Arial"/>
                <w:bCs/>
                <w:sz w:val="20"/>
              </w:rPr>
              <w:t>0.144</w:t>
            </w:r>
          </w:p>
        </w:tc>
      </w:tr>
      <w:tr w:rsidR="00A928F3" w:rsidRPr="00307A66" w14:paraId="19FD3487" w14:textId="77777777" w:rsidTr="00AE0821">
        <w:tc>
          <w:tcPr>
            <w:tcW w:w="1831" w:type="dxa"/>
          </w:tcPr>
          <w:p w14:paraId="2309BD11" w14:textId="060F6FE5" w:rsidR="00A928F3" w:rsidRPr="00307A66" w:rsidRDefault="00DD3D81" w:rsidP="008E70E1">
            <w:pPr>
              <w:rPr>
                <w:rFonts w:ascii="Arial" w:hAnsi="Arial" w:cs="Arial"/>
                <w:b/>
                <w:sz w:val="20"/>
              </w:rPr>
            </w:pPr>
            <w:r w:rsidRPr="00307A66">
              <w:rPr>
                <w:rFonts w:ascii="Arial" w:hAnsi="Arial" w:cs="Arial"/>
                <w:b/>
                <w:sz w:val="20"/>
              </w:rPr>
              <w:t xml:space="preserve">TG </w:t>
            </w:r>
            <w:r w:rsidRPr="00307A66">
              <w:rPr>
                <w:rFonts w:ascii="Arial" w:hAnsi="Arial" w:cs="Arial"/>
                <w:bCs/>
                <w:sz w:val="20"/>
              </w:rPr>
              <w:t>(mmol/l)</w:t>
            </w:r>
          </w:p>
        </w:tc>
        <w:tc>
          <w:tcPr>
            <w:tcW w:w="1713" w:type="dxa"/>
          </w:tcPr>
          <w:p w14:paraId="47A6F683" w14:textId="67E126A9" w:rsidR="00A928F3" w:rsidRPr="00307A66" w:rsidRDefault="00DD3D81" w:rsidP="008E70E1">
            <w:pPr>
              <w:rPr>
                <w:rFonts w:ascii="Arial" w:hAnsi="Arial" w:cs="Arial"/>
                <w:bCs/>
                <w:sz w:val="20"/>
              </w:rPr>
            </w:pPr>
            <w:r w:rsidRPr="00307A66">
              <w:rPr>
                <w:rFonts w:ascii="Arial" w:hAnsi="Arial" w:cs="Arial"/>
                <w:bCs/>
                <w:sz w:val="20"/>
              </w:rPr>
              <w:t>1.98 ± 0.63</w:t>
            </w:r>
          </w:p>
        </w:tc>
        <w:tc>
          <w:tcPr>
            <w:tcW w:w="1753" w:type="dxa"/>
          </w:tcPr>
          <w:p w14:paraId="6B4BE86A" w14:textId="17948152" w:rsidR="00A928F3" w:rsidRPr="00307A66" w:rsidRDefault="00DD3D81" w:rsidP="008E70E1">
            <w:pPr>
              <w:rPr>
                <w:rFonts w:ascii="Arial" w:hAnsi="Arial" w:cs="Arial"/>
                <w:bCs/>
                <w:sz w:val="20"/>
              </w:rPr>
            </w:pPr>
            <w:r w:rsidRPr="00307A66">
              <w:rPr>
                <w:rFonts w:ascii="Arial" w:hAnsi="Arial" w:cs="Arial"/>
                <w:bCs/>
                <w:sz w:val="20"/>
              </w:rPr>
              <w:t>1.81 ± 0.45</w:t>
            </w:r>
          </w:p>
        </w:tc>
        <w:tc>
          <w:tcPr>
            <w:tcW w:w="1899" w:type="dxa"/>
          </w:tcPr>
          <w:p w14:paraId="709AC51A" w14:textId="2B8706CC" w:rsidR="00A928F3" w:rsidRPr="00307A66" w:rsidRDefault="00DD3D81" w:rsidP="008E70E1">
            <w:pPr>
              <w:rPr>
                <w:rFonts w:ascii="Arial" w:hAnsi="Arial" w:cs="Arial"/>
                <w:bCs/>
                <w:sz w:val="20"/>
              </w:rPr>
            </w:pPr>
            <w:r w:rsidRPr="00307A66">
              <w:rPr>
                <w:rFonts w:ascii="Arial" w:hAnsi="Arial" w:cs="Arial"/>
                <w:bCs/>
                <w:sz w:val="20"/>
              </w:rPr>
              <w:t>1.90 ± 0.56</w:t>
            </w:r>
          </w:p>
        </w:tc>
        <w:tc>
          <w:tcPr>
            <w:tcW w:w="1326" w:type="dxa"/>
          </w:tcPr>
          <w:p w14:paraId="5A2008C4" w14:textId="6126C27F" w:rsidR="00A928F3" w:rsidRPr="00307A66" w:rsidRDefault="00DD3D81" w:rsidP="008E70E1">
            <w:pPr>
              <w:rPr>
                <w:rFonts w:ascii="Arial" w:hAnsi="Arial" w:cs="Arial"/>
                <w:bCs/>
                <w:sz w:val="20"/>
              </w:rPr>
            </w:pPr>
            <w:r w:rsidRPr="00307A66">
              <w:rPr>
                <w:rFonts w:ascii="Arial" w:hAnsi="Arial" w:cs="Arial"/>
                <w:bCs/>
                <w:sz w:val="20"/>
              </w:rPr>
              <w:t>0.109</w:t>
            </w:r>
          </w:p>
        </w:tc>
      </w:tr>
    </w:tbl>
    <w:p w14:paraId="74505EBF" w14:textId="544C74FC" w:rsidR="00B51F09" w:rsidRPr="00307A66" w:rsidRDefault="00B51F09" w:rsidP="008E70E1">
      <w:pPr>
        <w:widowControl/>
        <w:rPr>
          <w:rFonts w:ascii="Arial" w:hAnsi="Arial" w:cs="Arial"/>
          <w:i/>
          <w:iCs/>
          <w:sz w:val="18"/>
          <w:szCs w:val="18"/>
        </w:rPr>
      </w:pPr>
      <w:r w:rsidRPr="00307A66">
        <w:rPr>
          <w:rFonts w:ascii="Arial" w:hAnsi="Arial" w:cs="Arial"/>
          <w:i/>
          <w:iCs/>
          <w:sz w:val="18"/>
          <w:szCs w:val="18"/>
        </w:rPr>
        <w:t xml:space="preserve">p-value is significant at alpha value of 0.05*; TC: Total cholesterol; </w:t>
      </w:r>
      <w:r w:rsidR="00AB0AFB" w:rsidRPr="00307A66">
        <w:rPr>
          <w:rFonts w:ascii="Arial" w:hAnsi="Arial" w:cs="Arial"/>
          <w:i/>
          <w:iCs/>
          <w:sz w:val="18"/>
          <w:szCs w:val="18"/>
        </w:rPr>
        <w:t xml:space="preserve">HDLC: High-density lipoprotein cholesterol; </w:t>
      </w:r>
      <w:r w:rsidRPr="00307A66">
        <w:rPr>
          <w:rFonts w:ascii="Arial" w:hAnsi="Arial" w:cs="Arial"/>
          <w:i/>
          <w:iCs/>
          <w:sz w:val="18"/>
          <w:szCs w:val="18"/>
        </w:rPr>
        <w:t>LDLC: Low-density lipoprotein cholesterol; VDLC: Very-low density lipoprotein cholesterol; TG: Triglyceride.</w:t>
      </w:r>
    </w:p>
    <w:p w14:paraId="78EE0EFE" w14:textId="77777777" w:rsidR="00DD3D81" w:rsidRPr="00307A66" w:rsidRDefault="00DD3D81" w:rsidP="008E70E1">
      <w:pPr>
        <w:rPr>
          <w:rFonts w:ascii="Arial" w:hAnsi="Arial" w:cs="Arial"/>
          <w:b/>
          <w:sz w:val="20"/>
        </w:rPr>
      </w:pPr>
    </w:p>
    <w:p w14:paraId="0595799E" w14:textId="0B169D92" w:rsidR="002941E1" w:rsidRPr="00307A66" w:rsidRDefault="002C338E" w:rsidP="008E70E1">
      <w:pPr>
        <w:rPr>
          <w:rFonts w:ascii="Arial" w:hAnsi="Arial" w:cs="Arial"/>
          <w:sz w:val="20"/>
        </w:rPr>
      </w:pPr>
      <w:r w:rsidRPr="00307A66">
        <w:rPr>
          <w:rFonts w:ascii="Arial" w:hAnsi="Arial" w:cs="Arial"/>
          <w:sz w:val="20"/>
        </w:rPr>
        <w:t xml:space="preserve">In the </w:t>
      </w:r>
      <w:r w:rsidRPr="00307A66">
        <w:rPr>
          <w:rFonts w:ascii="Arial" w:hAnsi="Arial" w:cs="Arial"/>
          <w:b/>
          <w:sz w:val="20"/>
        </w:rPr>
        <w:t>table 2</w:t>
      </w:r>
      <w:r w:rsidRPr="00307A66">
        <w:rPr>
          <w:rFonts w:ascii="Arial" w:hAnsi="Arial" w:cs="Arial"/>
          <w:sz w:val="20"/>
        </w:rPr>
        <w:t xml:space="preserve">, it can be observed that there </w:t>
      </w:r>
      <w:r w:rsidR="00323AB5" w:rsidRPr="00307A66">
        <w:rPr>
          <w:rFonts w:ascii="Arial" w:hAnsi="Arial" w:cs="Arial"/>
          <w:sz w:val="20"/>
        </w:rPr>
        <w:t>was</w:t>
      </w:r>
      <w:r w:rsidRPr="00307A66">
        <w:rPr>
          <w:rFonts w:ascii="Arial" w:hAnsi="Arial" w:cs="Arial"/>
          <w:sz w:val="20"/>
        </w:rPr>
        <w:t xml:space="preserve"> no statistically significant difference(P-value&gt;0.05) in Age, TC,</w:t>
      </w:r>
      <w:r w:rsidR="00323AB5" w:rsidRPr="00307A66">
        <w:rPr>
          <w:rFonts w:ascii="Arial" w:hAnsi="Arial" w:cs="Arial"/>
          <w:sz w:val="20"/>
        </w:rPr>
        <w:t xml:space="preserve"> </w:t>
      </w:r>
      <w:r w:rsidRPr="00307A66">
        <w:rPr>
          <w:rFonts w:ascii="Arial" w:hAnsi="Arial" w:cs="Arial"/>
          <w:sz w:val="20"/>
        </w:rPr>
        <w:t>HDLC,</w:t>
      </w:r>
      <w:r w:rsidR="00323AB5" w:rsidRPr="00307A66">
        <w:rPr>
          <w:rFonts w:ascii="Arial" w:hAnsi="Arial" w:cs="Arial"/>
          <w:sz w:val="20"/>
        </w:rPr>
        <w:t xml:space="preserve"> </w:t>
      </w:r>
      <w:r w:rsidRPr="00307A66">
        <w:rPr>
          <w:rFonts w:ascii="Arial" w:hAnsi="Arial" w:cs="Arial"/>
          <w:sz w:val="20"/>
        </w:rPr>
        <w:t>LDLC,</w:t>
      </w:r>
      <w:r w:rsidR="00323AB5" w:rsidRPr="00307A66">
        <w:rPr>
          <w:rFonts w:ascii="Arial" w:hAnsi="Arial" w:cs="Arial"/>
          <w:sz w:val="20"/>
        </w:rPr>
        <w:t xml:space="preserve"> </w:t>
      </w:r>
      <w:r w:rsidRPr="00307A66">
        <w:rPr>
          <w:rFonts w:ascii="Arial" w:hAnsi="Arial" w:cs="Arial"/>
          <w:sz w:val="20"/>
        </w:rPr>
        <w:t>VDLC,</w:t>
      </w:r>
      <w:r w:rsidR="00323AB5" w:rsidRPr="00307A66">
        <w:rPr>
          <w:rFonts w:ascii="Arial" w:hAnsi="Arial" w:cs="Arial"/>
          <w:sz w:val="20"/>
        </w:rPr>
        <w:t xml:space="preserve"> </w:t>
      </w:r>
      <w:r w:rsidRPr="00307A66">
        <w:rPr>
          <w:rFonts w:ascii="Arial" w:hAnsi="Arial" w:cs="Arial"/>
          <w:sz w:val="20"/>
        </w:rPr>
        <w:t>TG of all the blood groups.</w:t>
      </w:r>
    </w:p>
    <w:p w14:paraId="0255603A" w14:textId="77777777" w:rsidR="00323AB5" w:rsidRPr="00307A66" w:rsidRDefault="00323AB5" w:rsidP="008E70E1">
      <w:pPr>
        <w:rPr>
          <w:rFonts w:ascii="Arial" w:hAnsi="Arial" w:cs="Arial"/>
          <w:b/>
          <w:sz w:val="20"/>
        </w:rPr>
      </w:pPr>
    </w:p>
    <w:p w14:paraId="52675C78" w14:textId="231BD993" w:rsidR="002941E1" w:rsidRPr="00307A66" w:rsidRDefault="004D37A4" w:rsidP="008E70E1">
      <w:pPr>
        <w:rPr>
          <w:rFonts w:ascii="Arial" w:hAnsi="Arial" w:cs="Arial"/>
          <w:sz w:val="20"/>
        </w:rPr>
      </w:pPr>
      <w:r w:rsidRPr="00307A66">
        <w:rPr>
          <w:rFonts w:ascii="Arial" w:hAnsi="Arial" w:cs="Arial"/>
          <w:b/>
          <w:sz w:val="20"/>
        </w:rPr>
        <w:t>Table</w:t>
      </w:r>
      <w:r w:rsidR="0003391C">
        <w:rPr>
          <w:rFonts w:ascii="Arial" w:hAnsi="Arial" w:cs="Arial"/>
          <w:b/>
          <w:sz w:val="20"/>
        </w:rPr>
        <w:t xml:space="preserve"> </w:t>
      </w:r>
      <w:r w:rsidRPr="00307A66">
        <w:rPr>
          <w:rFonts w:ascii="Arial" w:hAnsi="Arial" w:cs="Arial"/>
          <w:b/>
          <w:sz w:val="20"/>
        </w:rPr>
        <w:t xml:space="preserve">2 </w:t>
      </w:r>
      <w:r w:rsidR="00560C2E" w:rsidRPr="00307A66">
        <w:rPr>
          <w:rFonts w:ascii="Arial" w:hAnsi="Arial" w:cs="Arial"/>
          <w:b/>
          <w:sz w:val="20"/>
        </w:rPr>
        <w:t>Assessing the mean levels</w:t>
      </w:r>
      <w:r w:rsidRPr="00307A66">
        <w:rPr>
          <w:rFonts w:ascii="Arial" w:hAnsi="Arial" w:cs="Arial"/>
          <w:b/>
          <w:sz w:val="20"/>
        </w:rPr>
        <w:t xml:space="preserve"> of TC, HDLC, LDLC, VDLC, TG across the different blood groups (A, B, AB, O)</w:t>
      </w:r>
    </w:p>
    <w:p w14:paraId="3CAB07E3" w14:textId="77777777" w:rsidR="00323AB5" w:rsidRPr="00307A66" w:rsidRDefault="00323AB5" w:rsidP="008E70E1">
      <w:pPr>
        <w:rPr>
          <w:rFonts w:ascii="Arial" w:hAnsi="Arial" w:cs="Arial"/>
          <w:sz w:val="20"/>
        </w:rPr>
      </w:pPr>
    </w:p>
    <w:tbl>
      <w:tblPr>
        <w:tblStyle w:val="TableGrid"/>
        <w:tblW w:w="87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1206"/>
        <w:gridCol w:w="1206"/>
        <w:gridCol w:w="1206"/>
        <w:gridCol w:w="1207"/>
        <w:gridCol w:w="1210"/>
        <w:gridCol w:w="1215"/>
      </w:tblGrid>
      <w:tr w:rsidR="00323AB5" w:rsidRPr="00307A66" w14:paraId="4E440A32" w14:textId="77777777" w:rsidTr="00B51F09">
        <w:tc>
          <w:tcPr>
            <w:tcW w:w="1508" w:type="dxa"/>
            <w:tcBorders>
              <w:top w:val="single" w:sz="4" w:space="0" w:color="auto"/>
              <w:bottom w:val="single" w:sz="4" w:space="0" w:color="auto"/>
            </w:tcBorders>
          </w:tcPr>
          <w:p w14:paraId="6630C305" w14:textId="48080589" w:rsidR="00323AB5" w:rsidRPr="00307A66" w:rsidRDefault="00323AB5" w:rsidP="008E70E1">
            <w:pPr>
              <w:rPr>
                <w:rFonts w:ascii="Arial" w:hAnsi="Arial" w:cs="Arial"/>
                <w:b/>
                <w:bCs/>
                <w:sz w:val="20"/>
              </w:rPr>
            </w:pPr>
            <w:r w:rsidRPr="00307A66">
              <w:rPr>
                <w:rFonts w:ascii="Arial" w:hAnsi="Arial" w:cs="Arial"/>
                <w:b/>
                <w:bCs/>
                <w:sz w:val="20"/>
              </w:rPr>
              <w:t>Variables</w:t>
            </w:r>
          </w:p>
        </w:tc>
        <w:tc>
          <w:tcPr>
            <w:tcW w:w="1206" w:type="dxa"/>
            <w:tcBorders>
              <w:top w:val="single" w:sz="4" w:space="0" w:color="auto"/>
              <w:bottom w:val="single" w:sz="4" w:space="0" w:color="auto"/>
            </w:tcBorders>
          </w:tcPr>
          <w:p w14:paraId="77B67167" w14:textId="79FDB90B" w:rsidR="00323AB5" w:rsidRPr="00307A66" w:rsidRDefault="00323AB5" w:rsidP="008E70E1">
            <w:pPr>
              <w:rPr>
                <w:rFonts w:ascii="Arial" w:hAnsi="Arial" w:cs="Arial"/>
                <w:b/>
                <w:bCs/>
                <w:sz w:val="20"/>
              </w:rPr>
            </w:pPr>
            <w:r w:rsidRPr="00307A66">
              <w:rPr>
                <w:rFonts w:ascii="Arial" w:hAnsi="Arial" w:cs="Arial"/>
                <w:b/>
                <w:bCs/>
                <w:sz w:val="20"/>
              </w:rPr>
              <w:t>A (n= 26)</w:t>
            </w:r>
          </w:p>
        </w:tc>
        <w:tc>
          <w:tcPr>
            <w:tcW w:w="1206" w:type="dxa"/>
            <w:tcBorders>
              <w:top w:val="single" w:sz="4" w:space="0" w:color="auto"/>
              <w:bottom w:val="single" w:sz="4" w:space="0" w:color="auto"/>
            </w:tcBorders>
          </w:tcPr>
          <w:p w14:paraId="2D296D69" w14:textId="4D523231" w:rsidR="00323AB5" w:rsidRPr="00307A66" w:rsidRDefault="00323AB5" w:rsidP="008E70E1">
            <w:pPr>
              <w:rPr>
                <w:rFonts w:ascii="Arial" w:hAnsi="Arial" w:cs="Arial"/>
                <w:b/>
                <w:bCs/>
                <w:sz w:val="20"/>
              </w:rPr>
            </w:pPr>
            <w:r w:rsidRPr="00307A66">
              <w:rPr>
                <w:rFonts w:ascii="Arial" w:hAnsi="Arial" w:cs="Arial"/>
                <w:b/>
                <w:bCs/>
                <w:sz w:val="20"/>
              </w:rPr>
              <w:t>B (n= 16)</w:t>
            </w:r>
          </w:p>
        </w:tc>
        <w:tc>
          <w:tcPr>
            <w:tcW w:w="1206" w:type="dxa"/>
            <w:tcBorders>
              <w:top w:val="single" w:sz="4" w:space="0" w:color="auto"/>
              <w:bottom w:val="single" w:sz="4" w:space="0" w:color="auto"/>
            </w:tcBorders>
          </w:tcPr>
          <w:p w14:paraId="29572BB0" w14:textId="09E5C713" w:rsidR="00323AB5" w:rsidRPr="00307A66" w:rsidRDefault="00323AB5" w:rsidP="008E70E1">
            <w:pPr>
              <w:rPr>
                <w:rFonts w:ascii="Arial" w:hAnsi="Arial" w:cs="Arial"/>
                <w:b/>
                <w:bCs/>
                <w:sz w:val="20"/>
              </w:rPr>
            </w:pPr>
            <w:r w:rsidRPr="00307A66">
              <w:rPr>
                <w:rFonts w:ascii="Arial" w:hAnsi="Arial" w:cs="Arial"/>
                <w:b/>
                <w:bCs/>
                <w:sz w:val="20"/>
              </w:rPr>
              <w:t>AB (n= 3)</w:t>
            </w:r>
          </w:p>
        </w:tc>
        <w:tc>
          <w:tcPr>
            <w:tcW w:w="1207" w:type="dxa"/>
            <w:tcBorders>
              <w:top w:val="single" w:sz="4" w:space="0" w:color="auto"/>
              <w:bottom w:val="single" w:sz="4" w:space="0" w:color="auto"/>
            </w:tcBorders>
          </w:tcPr>
          <w:p w14:paraId="1033D0EA" w14:textId="283B6F53" w:rsidR="00323AB5" w:rsidRPr="00307A66" w:rsidRDefault="00323AB5" w:rsidP="008E70E1">
            <w:pPr>
              <w:rPr>
                <w:rFonts w:ascii="Arial" w:hAnsi="Arial" w:cs="Arial"/>
                <w:b/>
                <w:bCs/>
                <w:sz w:val="20"/>
              </w:rPr>
            </w:pPr>
            <w:r w:rsidRPr="00307A66">
              <w:rPr>
                <w:rFonts w:ascii="Arial" w:hAnsi="Arial" w:cs="Arial"/>
                <w:b/>
                <w:bCs/>
                <w:sz w:val="20"/>
              </w:rPr>
              <w:t>O (n= 59)</w:t>
            </w:r>
          </w:p>
        </w:tc>
        <w:tc>
          <w:tcPr>
            <w:tcW w:w="1210" w:type="dxa"/>
            <w:tcBorders>
              <w:top w:val="single" w:sz="4" w:space="0" w:color="auto"/>
              <w:bottom w:val="single" w:sz="4" w:space="0" w:color="auto"/>
            </w:tcBorders>
          </w:tcPr>
          <w:p w14:paraId="2EE2498C" w14:textId="21233531" w:rsidR="00323AB5" w:rsidRPr="00307A66" w:rsidRDefault="00323AB5" w:rsidP="008E70E1">
            <w:pPr>
              <w:rPr>
                <w:rFonts w:ascii="Arial" w:hAnsi="Arial" w:cs="Arial"/>
                <w:b/>
                <w:bCs/>
                <w:sz w:val="20"/>
              </w:rPr>
            </w:pPr>
            <w:r w:rsidRPr="00307A66">
              <w:rPr>
                <w:rFonts w:ascii="Arial" w:hAnsi="Arial" w:cs="Arial"/>
                <w:b/>
                <w:bCs/>
                <w:sz w:val="20"/>
              </w:rPr>
              <w:t>Total (n= 104)</w:t>
            </w:r>
          </w:p>
        </w:tc>
        <w:tc>
          <w:tcPr>
            <w:tcW w:w="1215" w:type="dxa"/>
            <w:tcBorders>
              <w:top w:val="single" w:sz="4" w:space="0" w:color="auto"/>
              <w:bottom w:val="single" w:sz="4" w:space="0" w:color="auto"/>
            </w:tcBorders>
          </w:tcPr>
          <w:p w14:paraId="3A2C3D9A" w14:textId="75EE4CDB" w:rsidR="00323AB5" w:rsidRPr="00307A66" w:rsidRDefault="00323AB5" w:rsidP="008E70E1">
            <w:pPr>
              <w:rPr>
                <w:rFonts w:ascii="Arial" w:hAnsi="Arial" w:cs="Arial"/>
                <w:b/>
                <w:bCs/>
                <w:sz w:val="20"/>
              </w:rPr>
            </w:pPr>
            <w:r w:rsidRPr="00307A66">
              <w:rPr>
                <w:rFonts w:ascii="Arial" w:hAnsi="Arial" w:cs="Arial"/>
                <w:b/>
                <w:bCs/>
                <w:sz w:val="20"/>
              </w:rPr>
              <w:t>p-value</w:t>
            </w:r>
          </w:p>
        </w:tc>
      </w:tr>
      <w:tr w:rsidR="00323AB5" w:rsidRPr="00307A66" w14:paraId="6000E2CC" w14:textId="77777777" w:rsidTr="00B51F09">
        <w:tc>
          <w:tcPr>
            <w:tcW w:w="1508" w:type="dxa"/>
            <w:tcBorders>
              <w:top w:val="single" w:sz="4" w:space="0" w:color="auto"/>
            </w:tcBorders>
          </w:tcPr>
          <w:p w14:paraId="2348046C" w14:textId="2D872B46" w:rsidR="00323AB5" w:rsidRPr="00307A66" w:rsidRDefault="004D37A4" w:rsidP="008E70E1">
            <w:pPr>
              <w:rPr>
                <w:rFonts w:ascii="Arial" w:hAnsi="Arial" w:cs="Arial"/>
                <w:sz w:val="20"/>
              </w:rPr>
            </w:pPr>
            <w:r w:rsidRPr="00307A66">
              <w:rPr>
                <w:rFonts w:ascii="Arial" w:hAnsi="Arial" w:cs="Arial"/>
                <w:b/>
                <w:bCs/>
                <w:sz w:val="20"/>
              </w:rPr>
              <w:t>TC</w:t>
            </w:r>
            <w:r w:rsidRPr="00307A66">
              <w:rPr>
                <w:rFonts w:ascii="Arial" w:hAnsi="Arial" w:cs="Arial"/>
                <w:sz w:val="20"/>
              </w:rPr>
              <w:t xml:space="preserve"> (mmol/l)</w:t>
            </w:r>
          </w:p>
        </w:tc>
        <w:tc>
          <w:tcPr>
            <w:tcW w:w="1206" w:type="dxa"/>
            <w:tcBorders>
              <w:top w:val="single" w:sz="4" w:space="0" w:color="auto"/>
            </w:tcBorders>
          </w:tcPr>
          <w:p w14:paraId="1CDE5810" w14:textId="38B99015" w:rsidR="00323AB5" w:rsidRPr="00307A66" w:rsidRDefault="004D37A4" w:rsidP="008E70E1">
            <w:pPr>
              <w:rPr>
                <w:rFonts w:ascii="Arial" w:hAnsi="Arial" w:cs="Arial"/>
                <w:sz w:val="20"/>
              </w:rPr>
            </w:pPr>
            <w:r w:rsidRPr="00307A66">
              <w:rPr>
                <w:rFonts w:ascii="Arial" w:hAnsi="Arial" w:cs="Arial"/>
                <w:sz w:val="20"/>
              </w:rPr>
              <w:t xml:space="preserve">5.52 </w:t>
            </w:r>
            <w:r w:rsidRPr="00307A66">
              <w:rPr>
                <w:rFonts w:ascii="Arial" w:hAnsi="Arial" w:cs="Arial"/>
                <w:bCs/>
                <w:sz w:val="20"/>
              </w:rPr>
              <w:t>± 0.93</w:t>
            </w:r>
          </w:p>
        </w:tc>
        <w:tc>
          <w:tcPr>
            <w:tcW w:w="1206" w:type="dxa"/>
            <w:tcBorders>
              <w:top w:val="single" w:sz="4" w:space="0" w:color="auto"/>
            </w:tcBorders>
          </w:tcPr>
          <w:p w14:paraId="18E51377" w14:textId="2FDB48CD" w:rsidR="00323AB5" w:rsidRPr="00307A66" w:rsidRDefault="004D37A4" w:rsidP="008E70E1">
            <w:pPr>
              <w:rPr>
                <w:rFonts w:ascii="Arial" w:hAnsi="Arial" w:cs="Arial"/>
                <w:sz w:val="20"/>
              </w:rPr>
            </w:pPr>
            <w:r w:rsidRPr="00307A66">
              <w:rPr>
                <w:rFonts w:ascii="Arial" w:hAnsi="Arial" w:cs="Arial"/>
                <w:sz w:val="20"/>
              </w:rPr>
              <w:t xml:space="preserve">5.14 </w:t>
            </w:r>
            <w:r w:rsidRPr="00307A66">
              <w:rPr>
                <w:rFonts w:ascii="Arial" w:hAnsi="Arial" w:cs="Arial"/>
                <w:bCs/>
                <w:sz w:val="20"/>
              </w:rPr>
              <w:t>± 1.22</w:t>
            </w:r>
          </w:p>
        </w:tc>
        <w:tc>
          <w:tcPr>
            <w:tcW w:w="1206" w:type="dxa"/>
            <w:tcBorders>
              <w:top w:val="single" w:sz="4" w:space="0" w:color="auto"/>
            </w:tcBorders>
          </w:tcPr>
          <w:p w14:paraId="272871CE" w14:textId="0D3F55F3" w:rsidR="00323AB5" w:rsidRPr="00307A66" w:rsidRDefault="004D37A4" w:rsidP="008E70E1">
            <w:pPr>
              <w:rPr>
                <w:rFonts w:ascii="Arial" w:hAnsi="Arial" w:cs="Arial"/>
                <w:sz w:val="20"/>
              </w:rPr>
            </w:pPr>
            <w:r w:rsidRPr="00307A66">
              <w:rPr>
                <w:rFonts w:ascii="Arial" w:hAnsi="Arial" w:cs="Arial"/>
                <w:sz w:val="20"/>
              </w:rPr>
              <w:t xml:space="preserve">5.53 </w:t>
            </w:r>
            <w:r w:rsidRPr="00307A66">
              <w:rPr>
                <w:rFonts w:ascii="Arial" w:hAnsi="Arial" w:cs="Arial"/>
                <w:bCs/>
                <w:sz w:val="20"/>
              </w:rPr>
              <w:t>± 0.71</w:t>
            </w:r>
          </w:p>
        </w:tc>
        <w:tc>
          <w:tcPr>
            <w:tcW w:w="1207" w:type="dxa"/>
            <w:tcBorders>
              <w:top w:val="single" w:sz="4" w:space="0" w:color="auto"/>
            </w:tcBorders>
          </w:tcPr>
          <w:p w14:paraId="55A2C0CE" w14:textId="1DDDBEE6" w:rsidR="00323AB5" w:rsidRPr="00307A66" w:rsidRDefault="004D37A4" w:rsidP="008E70E1">
            <w:pPr>
              <w:rPr>
                <w:rFonts w:ascii="Arial" w:hAnsi="Arial" w:cs="Arial"/>
                <w:sz w:val="20"/>
              </w:rPr>
            </w:pPr>
            <w:r w:rsidRPr="00307A66">
              <w:rPr>
                <w:rFonts w:ascii="Arial" w:hAnsi="Arial" w:cs="Arial"/>
                <w:sz w:val="20"/>
              </w:rPr>
              <w:t xml:space="preserve">5.31 </w:t>
            </w:r>
            <w:r w:rsidRPr="00307A66">
              <w:rPr>
                <w:rFonts w:ascii="Arial" w:hAnsi="Arial" w:cs="Arial"/>
                <w:bCs/>
                <w:sz w:val="20"/>
              </w:rPr>
              <w:t>± 0.93</w:t>
            </w:r>
          </w:p>
        </w:tc>
        <w:tc>
          <w:tcPr>
            <w:tcW w:w="1210" w:type="dxa"/>
            <w:tcBorders>
              <w:top w:val="single" w:sz="4" w:space="0" w:color="auto"/>
            </w:tcBorders>
          </w:tcPr>
          <w:p w14:paraId="5FCB77ED" w14:textId="6140C018" w:rsidR="00323AB5" w:rsidRPr="00307A66" w:rsidRDefault="004D37A4" w:rsidP="008E70E1">
            <w:pPr>
              <w:rPr>
                <w:rFonts w:ascii="Arial" w:hAnsi="Arial" w:cs="Arial"/>
                <w:sz w:val="20"/>
              </w:rPr>
            </w:pPr>
            <w:r w:rsidRPr="00307A66">
              <w:rPr>
                <w:rFonts w:ascii="Arial" w:hAnsi="Arial" w:cs="Arial"/>
                <w:sz w:val="20"/>
              </w:rPr>
              <w:t xml:space="preserve">5.34 </w:t>
            </w:r>
            <w:r w:rsidRPr="00307A66">
              <w:rPr>
                <w:rFonts w:ascii="Arial" w:hAnsi="Arial" w:cs="Arial"/>
                <w:bCs/>
                <w:sz w:val="20"/>
              </w:rPr>
              <w:t>± 0.97</w:t>
            </w:r>
          </w:p>
        </w:tc>
        <w:tc>
          <w:tcPr>
            <w:tcW w:w="1215" w:type="dxa"/>
            <w:tcBorders>
              <w:top w:val="single" w:sz="4" w:space="0" w:color="auto"/>
            </w:tcBorders>
          </w:tcPr>
          <w:p w14:paraId="1BC497D1" w14:textId="0F4F534B" w:rsidR="00323AB5" w:rsidRPr="00307A66" w:rsidRDefault="004D37A4" w:rsidP="008E70E1">
            <w:pPr>
              <w:rPr>
                <w:rFonts w:ascii="Arial" w:hAnsi="Arial" w:cs="Arial"/>
                <w:sz w:val="20"/>
              </w:rPr>
            </w:pPr>
            <w:r w:rsidRPr="00307A66">
              <w:rPr>
                <w:rFonts w:ascii="Arial" w:hAnsi="Arial" w:cs="Arial"/>
                <w:sz w:val="20"/>
              </w:rPr>
              <w:t>0.633</w:t>
            </w:r>
          </w:p>
        </w:tc>
      </w:tr>
      <w:tr w:rsidR="00323AB5" w:rsidRPr="00307A66" w14:paraId="145A86BC" w14:textId="77777777" w:rsidTr="00B51F09">
        <w:tc>
          <w:tcPr>
            <w:tcW w:w="1508" w:type="dxa"/>
          </w:tcPr>
          <w:p w14:paraId="1D099CF4" w14:textId="7D429A62" w:rsidR="00323AB5" w:rsidRPr="00307A66" w:rsidRDefault="004D37A4" w:rsidP="008E70E1">
            <w:pPr>
              <w:rPr>
                <w:rFonts w:ascii="Arial" w:hAnsi="Arial" w:cs="Arial"/>
                <w:sz w:val="20"/>
              </w:rPr>
            </w:pPr>
            <w:r w:rsidRPr="00307A66">
              <w:rPr>
                <w:rFonts w:ascii="Arial" w:hAnsi="Arial" w:cs="Arial"/>
                <w:b/>
                <w:bCs/>
                <w:sz w:val="20"/>
              </w:rPr>
              <w:lastRenderedPageBreak/>
              <w:t xml:space="preserve">HDLC </w:t>
            </w:r>
            <w:r w:rsidRPr="00307A66">
              <w:rPr>
                <w:rFonts w:ascii="Arial" w:hAnsi="Arial" w:cs="Arial"/>
                <w:sz w:val="20"/>
              </w:rPr>
              <w:t>(mmol/l)</w:t>
            </w:r>
          </w:p>
        </w:tc>
        <w:tc>
          <w:tcPr>
            <w:tcW w:w="1206" w:type="dxa"/>
          </w:tcPr>
          <w:p w14:paraId="14D70540" w14:textId="5EA123FC" w:rsidR="00323AB5" w:rsidRPr="00307A66" w:rsidRDefault="004D37A4" w:rsidP="008E70E1">
            <w:pPr>
              <w:rPr>
                <w:rFonts w:ascii="Arial" w:hAnsi="Arial" w:cs="Arial"/>
                <w:sz w:val="20"/>
              </w:rPr>
            </w:pPr>
            <w:r w:rsidRPr="00307A66">
              <w:rPr>
                <w:rFonts w:ascii="Arial" w:hAnsi="Arial" w:cs="Arial"/>
                <w:sz w:val="20"/>
              </w:rPr>
              <w:t xml:space="preserve">1.33 </w:t>
            </w:r>
            <w:r w:rsidRPr="00307A66">
              <w:rPr>
                <w:rFonts w:ascii="Arial" w:hAnsi="Arial" w:cs="Arial"/>
                <w:bCs/>
                <w:sz w:val="20"/>
              </w:rPr>
              <w:t>± 0.18</w:t>
            </w:r>
          </w:p>
        </w:tc>
        <w:tc>
          <w:tcPr>
            <w:tcW w:w="1206" w:type="dxa"/>
          </w:tcPr>
          <w:p w14:paraId="17F11C1A" w14:textId="61B682FF" w:rsidR="00323AB5" w:rsidRPr="00307A66" w:rsidRDefault="004D37A4" w:rsidP="008E70E1">
            <w:pPr>
              <w:rPr>
                <w:rFonts w:ascii="Arial" w:hAnsi="Arial" w:cs="Arial"/>
                <w:sz w:val="20"/>
              </w:rPr>
            </w:pPr>
            <w:r w:rsidRPr="00307A66">
              <w:rPr>
                <w:rFonts w:ascii="Arial" w:hAnsi="Arial" w:cs="Arial"/>
                <w:sz w:val="20"/>
              </w:rPr>
              <w:t xml:space="preserve">1.24 </w:t>
            </w:r>
            <w:r w:rsidRPr="00307A66">
              <w:rPr>
                <w:rFonts w:ascii="Arial" w:hAnsi="Arial" w:cs="Arial"/>
                <w:bCs/>
                <w:sz w:val="20"/>
              </w:rPr>
              <w:t>± 0.21</w:t>
            </w:r>
          </w:p>
        </w:tc>
        <w:tc>
          <w:tcPr>
            <w:tcW w:w="1206" w:type="dxa"/>
          </w:tcPr>
          <w:p w14:paraId="17CFDF99" w14:textId="536C8A8B" w:rsidR="00323AB5" w:rsidRPr="00307A66" w:rsidRDefault="004D37A4" w:rsidP="008E70E1">
            <w:pPr>
              <w:rPr>
                <w:rFonts w:ascii="Arial" w:hAnsi="Arial" w:cs="Arial"/>
                <w:sz w:val="20"/>
              </w:rPr>
            </w:pPr>
            <w:r w:rsidRPr="00307A66">
              <w:rPr>
                <w:rFonts w:ascii="Arial" w:hAnsi="Arial" w:cs="Arial"/>
                <w:sz w:val="20"/>
              </w:rPr>
              <w:t xml:space="preserve">1.37 </w:t>
            </w:r>
            <w:r w:rsidRPr="00307A66">
              <w:rPr>
                <w:rFonts w:ascii="Arial" w:hAnsi="Arial" w:cs="Arial"/>
                <w:bCs/>
                <w:sz w:val="20"/>
              </w:rPr>
              <w:t>± 0.15</w:t>
            </w:r>
          </w:p>
        </w:tc>
        <w:tc>
          <w:tcPr>
            <w:tcW w:w="1207" w:type="dxa"/>
          </w:tcPr>
          <w:p w14:paraId="1CC1B55E" w14:textId="0507F9DE" w:rsidR="00323AB5" w:rsidRPr="00307A66" w:rsidRDefault="004D37A4" w:rsidP="008E70E1">
            <w:pPr>
              <w:rPr>
                <w:rFonts w:ascii="Arial" w:hAnsi="Arial" w:cs="Arial"/>
                <w:sz w:val="20"/>
              </w:rPr>
            </w:pPr>
            <w:r w:rsidRPr="00307A66">
              <w:rPr>
                <w:rFonts w:ascii="Arial" w:hAnsi="Arial" w:cs="Arial"/>
                <w:sz w:val="20"/>
              </w:rPr>
              <w:t xml:space="preserve">1.27 </w:t>
            </w:r>
            <w:r w:rsidRPr="00307A66">
              <w:rPr>
                <w:rFonts w:ascii="Arial" w:hAnsi="Arial" w:cs="Arial"/>
                <w:bCs/>
                <w:sz w:val="20"/>
              </w:rPr>
              <w:t>± 0.20</w:t>
            </w:r>
          </w:p>
        </w:tc>
        <w:tc>
          <w:tcPr>
            <w:tcW w:w="1210" w:type="dxa"/>
          </w:tcPr>
          <w:p w14:paraId="4E57A73F" w14:textId="5FF6ACA4" w:rsidR="00323AB5" w:rsidRPr="00307A66" w:rsidRDefault="004D37A4" w:rsidP="008E70E1">
            <w:pPr>
              <w:rPr>
                <w:rFonts w:ascii="Arial" w:hAnsi="Arial" w:cs="Arial"/>
                <w:sz w:val="20"/>
              </w:rPr>
            </w:pPr>
            <w:r w:rsidRPr="00307A66">
              <w:rPr>
                <w:rFonts w:ascii="Arial" w:hAnsi="Arial" w:cs="Arial"/>
                <w:sz w:val="20"/>
              </w:rPr>
              <w:t xml:space="preserve">1.28 </w:t>
            </w:r>
            <w:r w:rsidRPr="00307A66">
              <w:rPr>
                <w:rFonts w:ascii="Arial" w:hAnsi="Arial" w:cs="Arial"/>
                <w:bCs/>
                <w:sz w:val="20"/>
              </w:rPr>
              <w:t>± 0.20</w:t>
            </w:r>
          </w:p>
        </w:tc>
        <w:tc>
          <w:tcPr>
            <w:tcW w:w="1215" w:type="dxa"/>
          </w:tcPr>
          <w:p w14:paraId="13B7FC66" w14:textId="37286632" w:rsidR="00323AB5" w:rsidRPr="00307A66" w:rsidRDefault="004D37A4" w:rsidP="008E70E1">
            <w:pPr>
              <w:rPr>
                <w:rFonts w:ascii="Arial" w:hAnsi="Arial" w:cs="Arial"/>
                <w:sz w:val="20"/>
              </w:rPr>
            </w:pPr>
            <w:r w:rsidRPr="00307A66">
              <w:rPr>
                <w:rFonts w:ascii="Arial" w:hAnsi="Arial" w:cs="Arial"/>
                <w:sz w:val="20"/>
              </w:rPr>
              <w:t>0.441</w:t>
            </w:r>
          </w:p>
        </w:tc>
      </w:tr>
      <w:tr w:rsidR="00323AB5" w:rsidRPr="00307A66" w14:paraId="0D2619CB" w14:textId="77777777" w:rsidTr="00B51F09">
        <w:tc>
          <w:tcPr>
            <w:tcW w:w="1508" w:type="dxa"/>
          </w:tcPr>
          <w:p w14:paraId="6FEF9E2E" w14:textId="74B7BE45" w:rsidR="00323AB5" w:rsidRPr="00307A66" w:rsidRDefault="004D37A4" w:rsidP="008E70E1">
            <w:pPr>
              <w:rPr>
                <w:rFonts w:ascii="Arial" w:hAnsi="Arial" w:cs="Arial"/>
                <w:sz w:val="20"/>
              </w:rPr>
            </w:pPr>
            <w:r w:rsidRPr="00307A66">
              <w:rPr>
                <w:rFonts w:ascii="Arial" w:hAnsi="Arial" w:cs="Arial"/>
                <w:b/>
                <w:bCs/>
                <w:sz w:val="20"/>
              </w:rPr>
              <w:t xml:space="preserve">LDLC </w:t>
            </w:r>
            <w:r w:rsidRPr="00307A66">
              <w:rPr>
                <w:rFonts w:ascii="Arial" w:hAnsi="Arial" w:cs="Arial"/>
                <w:sz w:val="20"/>
              </w:rPr>
              <w:t>(mmol/l)</w:t>
            </w:r>
          </w:p>
        </w:tc>
        <w:tc>
          <w:tcPr>
            <w:tcW w:w="1206" w:type="dxa"/>
          </w:tcPr>
          <w:p w14:paraId="56943A47" w14:textId="38FC1D7B" w:rsidR="00323AB5" w:rsidRPr="00307A66" w:rsidRDefault="004D37A4" w:rsidP="008E70E1">
            <w:pPr>
              <w:rPr>
                <w:rFonts w:ascii="Arial" w:hAnsi="Arial" w:cs="Arial"/>
                <w:sz w:val="20"/>
              </w:rPr>
            </w:pPr>
            <w:r w:rsidRPr="00307A66">
              <w:rPr>
                <w:rFonts w:ascii="Arial" w:hAnsi="Arial" w:cs="Arial"/>
                <w:sz w:val="20"/>
              </w:rPr>
              <w:t xml:space="preserve">3.30 </w:t>
            </w:r>
            <w:r w:rsidRPr="00307A66">
              <w:rPr>
                <w:rFonts w:ascii="Arial" w:hAnsi="Arial" w:cs="Arial"/>
                <w:bCs/>
                <w:sz w:val="20"/>
              </w:rPr>
              <w:t>± 0.78</w:t>
            </w:r>
          </w:p>
        </w:tc>
        <w:tc>
          <w:tcPr>
            <w:tcW w:w="1206" w:type="dxa"/>
          </w:tcPr>
          <w:p w14:paraId="0F8CA178" w14:textId="0136ED45" w:rsidR="00323AB5" w:rsidRPr="00307A66" w:rsidRDefault="004D37A4" w:rsidP="008E70E1">
            <w:pPr>
              <w:rPr>
                <w:rFonts w:ascii="Arial" w:hAnsi="Arial" w:cs="Arial"/>
                <w:sz w:val="20"/>
              </w:rPr>
            </w:pPr>
            <w:r w:rsidRPr="00307A66">
              <w:rPr>
                <w:rFonts w:ascii="Arial" w:hAnsi="Arial" w:cs="Arial"/>
                <w:sz w:val="20"/>
              </w:rPr>
              <w:t xml:space="preserve">3.02 </w:t>
            </w:r>
            <w:r w:rsidRPr="00307A66">
              <w:rPr>
                <w:rFonts w:ascii="Arial" w:hAnsi="Arial" w:cs="Arial"/>
                <w:bCs/>
                <w:sz w:val="20"/>
              </w:rPr>
              <w:t>± 0.96</w:t>
            </w:r>
          </w:p>
        </w:tc>
        <w:tc>
          <w:tcPr>
            <w:tcW w:w="1206" w:type="dxa"/>
          </w:tcPr>
          <w:p w14:paraId="211B2CBF" w14:textId="0FEA55BC" w:rsidR="00323AB5" w:rsidRPr="00307A66" w:rsidRDefault="004D37A4" w:rsidP="008E70E1">
            <w:pPr>
              <w:rPr>
                <w:rFonts w:ascii="Arial" w:hAnsi="Arial" w:cs="Arial"/>
                <w:sz w:val="20"/>
              </w:rPr>
            </w:pPr>
            <w:r w:rsidRPr="00307A66">
              <w:rPr>
                <w:rFonts w:ascii="Arial" w:hAnsi="Arial" w:cs="Arial"/>
                <w:sz w:val="20"/>
              </w:rPr>
              <w:t xml:space="preserve">3.27 </w:t>
            </w:r>
            <w:r w:rsidRPr="00307A66">
              <w:rPr>
                <w:rFonts w:ascii="Arial" w:hAnsi="Arial" w:cs="Arial"/>
                <w:bCs/>
                <w:sz w:val="20"/>
              </w:rPr>
              <w:t>± 0.50</w:t>
            </w:r>
          </w:p>
        </w:tc>
        <w:tc>
          <w:tcPr>
            <w:tcW w:w="1207" w:type="dxa"/>
          </w:tcPr>
          <w:p w14:paraId="2A905F0C" w14:textId="1CE3AD41" w:rsidR="00323AB5" w:rsidRPr="00307A66" w:rsidRDefault="004D37A4" w:rsidP="008E70E1">
            <w:pPr>
              <w:rPr>
                <w:rFonts w:ascii="Arial" w:hAnsi="Arial" w:cs="Arial"/>
                <w:sz w:val="20"/>
              </w:rPr>
            </w:pPr>
            <w:r w:rsidRPr="00307A66">
              <w:rPr>
                <w:rFonts w:ascii="Arial" w:hAnsi="Arial" w:cs="Arial"/>
                <w:sz w:val="20"/>
              </w:rPr>
              <w:t xml:space="preserve">3.12 </w:t>
            </w:r>
            <w:r w:rsidRPr="00307A66">
              <w:rPr>
                <w:rFonts w:ascii="Arial" w:hAnsi="Arial" w:cs="Arial"/>
                <w:bCs/>
                <w:sz w:val="20"/>
              </w:rPr>
              <w:t>± 0.90</w:t>
            </w:r>
          </w:p>
        </w:tc>
        <w:tc>
          <w:tcPr>
            <w:tcW w:w="1210" w:type="dxa"/>
          </w:tcPr>
          <w:p w14:paraId="7F9B2A05" w14:textId="235D855D" w:rsidR="00323AB5" w:rsidRPr="00307A66" w:rsidRDefault="004D37A4" w:rsidP="008E70E1">
            <w:pPr>
              <w:rPr>
                <w:rFonts w:ascii="Arial" w:hAnsi="Arial" w:cs="Arial"/>
                <w:sz w:val="20"/>
              </w:rPr>
            </w:pPr>
            <w:r w:rsidRPr="00307A66">
              <w:rPr>
                <w:rFonts w:ascii="Arial" w:hAnsi="Arial" w:cs="Arial"/>
                <w:sz w:val="20"/>
              </w:rPr>
              <w:t xml:space="preserve">18.00 </w:t>
            </w:r>
            <w:r w:rsidRPr="00307A66">
              <w:rPr>
                <w:rFonts w:ascii="Arial" w:hAnsi="Arial" w:cs="Arial"/>
                <w:bCs/>
                <w:sz w:val="20"/>
              </w:rPr>
              <w:t>± 0.85</w:t>
            </w:r>
          </w:p>
        </w:tc>
        <w:tc>
          <w:tcPr>
            <w:tcW w:w="1215" w:type="dxa"/>
          </w:tcPr>
          <w:p w14:paraId="7EA7F9C6" w14:textId="7AE64E70" w:rsidR="00323AB5" w:rsidRPr="00307A66" w:rsidRDefault="004D37A4" w:rsidP="008E70E1">
            <w:pPr>
              <w:rPr>
                <w:rFonts w:ascii="Arial" w:hAnsi="Arial" w:cs="Arial"/>
                <w:sz w:val="20"/>
              </w:rPr>
            </w:pPr>
            <w:r w:rsidRPr="00307A66">
              <w:rPr>
                <w:rFonts w:ascii="Arial" w:hAnsi="Arial" w:cs="Arial"/>
                <w:sz w:val="20"/>
              </w:rPr>
              <w:t>0.775</w:t>
            </w:r>
          </w:p>
        </w:tc>
      </w:tr>
      <w:tr w:rsidR="00323AB5" w:rsidRPr="00307A66" w14:paraId="03393295" w14:textId="77777777" w:rsidTr="00B51F09">
        <w:tc>
          <w:tcPr>
            <w:tcW w:w="1508" w:type="dxa"/>
          </w:tcPr>
          <w:p w14:paraId="09B833C7" w14:textId="03C387C7" w:rsidR="00323AB5" w:rsidRPr="00307A66" w:rsidRDefault="004D37A4" w:rsidP="008E70E1">
            <w:pPr>
              <w:rPr>
                <w:rFonts w:ascii="Arial" w:hAnsi="Arial" w:cs="Arial"/>
                <w:sz w:val="20"/>
              </w:rPr>
            </w:pPr>
            <w:r w:rsidRPr="00307A66">
              <w:rPr>
                <w:rFonts w:ascii="Arial" w:hAnsi="Arial" w:cs="Arial"/>
                <w:b/>
                <w:bCs/>
                <w:sz w:val="20"/>
              </w:rPr>
              <w:t xml:space="preserve">VDLC </w:t>
            </w:r>
            <w:r w:rsidRPr="00307A66">
              <w:rPr>
                <w:rFonts w:ascii="Arial" w:hAnsi="Arial" w:cs="Arial"/>
                <w:sz w:val="20"/>
              </w:rPr>
              <w:t>(mmol/l)</w:t>
            </w:r>
          </w:p>
        </w:tc>
        <w:tc>
          <w:tcPr>
            <w:tcW w:w="1206" w:type="dxa"/>
          </w:tcPr>
          <w:p w14:paraId="7AA70127" w14:textId="0D03956A" w:rsidR="00323AB5" w:rsidRPr="00307A66" w:rsidRDefault="004D37A4" w:rsidP="008E70E1">
            <w:pPr>
              <w:rPr>
                <w:rFonts w:ascii="Arial" w:hAnsi="Arial" w:cs="Arial"/>
                <w:sz w:val="20"/>
              </w:rPr>
            </w:pPr>
            <w:r w:rsidRPr="00307A66">
              <w:rPr>
                <w:rFonts w:ascii="Arial" w:hAnsi="Arial" w:cs="Arial"/>
                <w:sz w:val="20"/>
              </w:rPr>
              <w:t xml:space="preserve">0.94 </w:t>
            </w:r>
            <w:r w:rsidRPr="00307A66">
              <w:rPr>
                <w:rFonts w:ascii="Arial" w:hAnsi="Arial" w:cs="Arial"/>
                <w:bCs/>
                <w:sz w:val="20"/>
              </w:rPr>
              <w:t>± 0.50</w:t>
            </w:r>
          </w:p>
        </w:tc>
        <w:tc>
          <w:tcPr>
            <w:tcW w:w="1206" w:type="dxa"/>
          </w:tcPr>
          <w:p w14:paraId="73E42748" w14:textId="0D47C214" w:rsidR="00323AB5" w:rsidRPr="00307A66" w:rsidRDefault="004D37A4" w:rsidP="008E70E1">
            <w:pPr>
              <w:rPr>
                <w:rFonts w:ascii="Arial" w:hAnsi="Arial" w:cs="Arial"/>
                <w:sz w:val="20"/>
              </w:rPr>
            </w:pPr>
            <w:r w:rsidRPr="00307A66">
              <w:rPr>
                <w:rFonts w:ascii="Arial" w:hAnsi="Arial" w:cs="Arial"/>
                <w:sz w:val="20"/>
              </w:rPr>
              <w:t xml:space="preserve">0.97 </w:t>
            </w:r>
            <w:r w:rsidRPr="00307A66">
              <w:rPr>
                <w:rFonts w:ascii="Arial" w:hAnsi="Arial" w:cs="Arial"/>
                <w:bCs/>
                <w:sz w:val="20"/>
              </w:rPr>
              <w:t>± 0.40</w:t>
            </w:r>
          </w:p>
        </w:tc>
        <w:tc>
          <w:tcPr>
            <w:tcW w:w="1206" w:type="dxa"/>
          </w:tcPr>
          <w:p w14:paraId="12C3E793" w14:textId="58CDC457" w:rsidR="00323AB5" w:rsidRPr="00307A66" w:rsidRDefault="004D37A4" w:rsidP="008E70E1">
            <w:pPr>
              <w:rPr>
                <w:rFonts w:ascii="Arial" w:hAnsi="Arial" w:cs="Arial"/>
                <w:sz w:val="20"/>
              </w:rPr>
            </w:pPr>
            <w:r w:rsidRPr="00307A66">
              <w:rPr>
                <w:rFonts w:ascii="Arial" w:hAnsi="Arial" w:cs="Arial"/>
                <w:sz w:val="20"/>
              </w:rPr>
              <w:t xml:space="preserve">0.90 </w:t>
            </w:r>
            <w:r w:rsidRPr="00307A66">
              <w:rPr>
                <w:rFonts w:ascii="Arial" w:hAnsi="Arial" w:cs="Arial"/>
                <w:bCs/>
                <w:sz w:val="20"/>
              </w:rPr>
              <w:t>± 0.10</w:t>
            </w:r>
          </w:p>
        </w:tc>
        <w:tc>
          <w:tcPr>
            <w:tcW w:w="1207" w:type="dxa"/>
          </w:tcPr>
          <w:p w14:paraId="0097B3F8" w14:textId="7FFDB0B7" w:rsidR="00323AB5" w:rsidRPr="00307A66" w:rsidRDefault="004D37A4" w:rsidP="008E70E1">
            <w:pPr>
              <w:rPr>
                <w:rFonts w:ascii="Arial" w:hAnsi="Arial" w:cs="Arial"/>
                <w:sz w:val="20"/>
              </w:rPr>
            </w:pPr>
            <w:r w:rsidRPr="00307A66">
              <w:rPr>
                <w:rFonts w:ascii="Arial" w:hAnsi="Arial" w:cs="Arial"/>
                <w:sz w:val="20"/>
              </w:rPr>
              <w:t xml:space="preserve">1.01 </w:t>
            </w:r>
            <w:r w:rsidRPr="00307A66">
              <w:rPr>
                <w:rFonts w:ascii="Arial" w:hAnsi="Arial" w:cs="Arial"/>
                <w:bCs/>
                <w:sz w:val="20"/>
              </w:rPr>
              <w:t>± 0.60</w:t>
            </w:r>
          </w:p>
        </w:tc>
        <w:tc>
          <w:tcPr>
            <w:tcW w:w="1210" w:type="dxa"/>
          </w:tcPr>
          <w:p w14:paraId="56DFE219" w14:textId="6B529216" w:rsidR="00323AB5" w:rsidRPr="00307A66" w:rsidRDefault="004D37A4" w:rsidP="008E70E1">
            <w:pPr>
              <w:rPr>
                <w:rFonts w:ascii="Arial" w:hAnsi="Arial" w:cs="Arial"/>
                <w:sz w:val="20"/>
              </w:rPr>
            </w:pPr>
            <w:r w:rsidRPr="00307A66">
              <w:rPr>
                <w:rFonts w:ascii="Arial" w:hAnsi="Arial" w:cs="Arial"/>
                <w:sz w:val="20"/>
              </w:rPr>
              <w:t xml:space="preserve">0.98 </w:t>
            </w:r>
            <w:r w:rsidRPr="00307A66">
              <w:rPr>
                <w:rFonts w:ascii="Arial" w:hAnsi="Arial" w:cs="Arial"/>
                <w:bCs/>
                <w:sz w:val="20"/>
              </w:rPr>
              <w:t>± 0.51</w:t>
            </w:r>
          </w:p>
        </w:tc>
        <w:tc>
          <w:tcPr>
            <w:tcW w:w="1215" w:type="dxa"/>
          </w:tcPr>
          <w:p w14:paraId="65F1AAFA" w14:textId="08347FEF" w:rsidR="00323AB5" w:rsidRPr="00307A66" w:rsidRDefault="004D37A4" w:rsidP="008E70E1">
            <w:pPr>
              <w:rPr>
                <w:rFonts w:ascii="Arial" w:hAnsi="Arial" w:cs="Arial"/>
                <w:sz w:val="20"/>
              </w:rPr>
            </w:pPr>
            <w:r w:rsidRPr="00307A66">
              <w:rPr>
                <w:rFonts w:ascii="Arial" w:hAnsi="Arial" w:cs="Arial"/>
                <w:sz w:val="20"/>
              </w:rPr>
              <w:t>0.938</w:t>
            </w:r>
          </w:p>
        </w:tc>
      </w:tr>
      <w:tr w:rsidR="00323AB5" w:rsidRPr="00307A66" w14:paraId="6DA7BAEF" w14:textId="77777777" w:rsidTr="00B51F09">
        <w:tc>
          <w:tcPr>
            <w:tcW w:w="1508" w:type="dxa"/>
          </w:tcPr>
          <w:p w14:paraId="445637F9" w14:textId="3CDFE0CB" w:rsidR="00323AB5" w:rsidRPr="00307A66" w:rsidRDefault="004D37A4" w:rsidP="008E70E1">
            <w:pPr>
              <w:rPr>
                <w:rFonts w:ascii="Arial" w:hAnsi="Arial" w:cs="Arial"/>
                <w:sz w:val="20"/>
              </w:rPr>
            </w:pPr>
            <w:r w:rsidRPr="00307A66">
              <w:rPr>
                <w:rFonts w:ascii="Arial" w:hAnsi="Arial" w:cs="Arial"/>
                <w:b/>
                <w:bCs/>
                <w:sz w:val="20"/>
              </w:rPr>
              <w:t>TG</w:t>
            </w:r>
            <w:r w:rsidRPr="00307A66">
              <w:rPr>
                <w:rFonts w:ascii="Arial" w:hAnsi="Arial" w:cs="Arial"/>
                <w:sz w:val="20"/>
              </w:rPr>
              <w:t xml:space="preserve"> (mmol/l)</w:t>
            </w:r>
          </w:p>
        </w:tc>
        <w:tc>
          <w:tcPr>
            <w:tcW w:w="1206" w:type="dxa"/>
          </w:tcPr>
          <w:p w14:paraId="3AAE2DFE" w14:textId="510FA90F" w:rsidR="00323AB5" w:rsidRPr="00307A66" w:rsidRDefault="004D37A4" w:rsidP="008E70E1">
            <w:pPr>
              <w:rPr>
                <w:rFonts w:ascii="Arial" w:hAnsi="Arial" w:cs="Arial"/>
                <w:sz w:val="20"/>
              </w:rPr>
            </w:pPr>
            <w:r w:rsidRPr="00307A66">
              <w:rPr>
                <w:rFonts w:ascii="Arial" w:hAnsi="Arial" w:cs="Arial"/>
                <w:sz w:val="20"/>
              </w:rPr>
              <w:t xml:space="preserve">1.89 </w:t>
            </w:r>
            <w:r w:rsidRPr="00307A66">
              <w:rPr>
                <w:rFonts w:ascii="Arial" w:hAnsi="Arial" w:cs="Arial"/>
                <w:bCs/>
                <w:sz w:val="20"/>
              </w:rPr>
              <w:t>± 0.44</w:t>
            </w:r>
          </w:p>
        </w:tc>
        <w:tc>
          <w:tcPr>
            <w:tcW w:w="1206" w:type="dxa"/>
          </w:tcPr>
          <w:p w14:paraId="47272E48" w14:textId="0BE5AD02" w:rsidR="00323AB5" w:rsidRPr="00307A66" w:rsidRDefault="004D37A4" w:rsidP="008E70E1">
            <w:pPr>
              <w:rPr>
                <w:rFonts w:ascii="Arial" w:hAnsi="Arial" w:cs="Arial"/>
                <w:sz w:val="20"/>
              </w:rPr>
            </w:pPr>
            <w:r w:rsidRPr="00307A66">
              <w:rPr>
                <w:rFonts w:ascii="Arial" w:hAnsi="Arial" w:cs="Arial"/>
                <w:sz w:val="20"/>
              </w:rPr>
              <w:t xml:space="preserve">1.88 </w:t>
            </w:r>
            <w:r w:rsidRPr="00307A66">
              <w:rPr>
                <w:rFonts w:ascii="Arial" w:hAnsi="Arial" w:cs="Arial"/>
                <w:bCs/>
                <w:sz w:val="20"/>
              </w:rPr>
              <w:t>± 0.59</w:t>
            </w:r>
          </w:p>
        </w:tc>
        <w:tc>
          <w:tcPr>
            <w:tcW w:w="1206" w:type="dxa"/>
          </w:tcPr>
          <w:p w14:paraId="45276529" w14:textId="2B83BB18" w:rsidR="00323AB5" w:rsidRPr="00307A66" w:rsidRDefault="004D37A4" w:rsidP="008E70E1">
            <w:pPr>
              <w:rPr>
                <w:rFonts w:ascii="Arial" w:hAnsi="Arial" w:cs="Arial"/>
                <w:sz w:val="20"/>
              </w:rPr>
            </w:pPr>
            <w:r w:rsidRPr="00307A66">
              <w:rPr>
                <w:rFonts w:ascii="Arial" w:hAnsi="Arial" w:cs="Arial"/>
                <w:sz w:val="20"/>
              </w:rPr>
              <w:t xml:space="preserve">1.99 </w:t>
            </w:r>
            <w:r w:rsidRPr="00307A66">
              <w:rPr>
                <w:rFonts w:ascii="Arial" w:hAnsi="Arial" w:cs="Arial"/>
                <w:bCs/>
                <w:sz w:val="20"/>
              </w:rPr>
              <w:t>± 0.30</w:t>
            </w:r>
          </w:p>
        </w:tc>
        <w:tc>
          <w:tcPr>
            <w:tcW w:w="1207" w:type="dxa"/>
          </w:tcPr>
          <w:p w14:paraId="1360AA0B" w14:textId="31C22D28"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0.61</w:t>
            </w:r>
          </w:p>
        </w:tc>
        <w:tc>
          <w:tcPr>
            <w:tcW w:w="1210" w:type="dxa"/>
          </w:tcPr>
          <w:p w14:paraId="7E681ACB" w14:textId="3CEDD865" w:rsidR="00323AB5" w:rsidRPr="00307A66" w:rsidRDefault="004D37A4" w:rsidP="008E70E1">
            <w:pPr>
              <w:rPr>
                <w:rFonts w:ascii="Arial" w:hAnsi="Arial" w:cs="Arial"/>
                <w:sz w:val="20"/>
              </w:rPr>
            </w:pPr>
            <w:r w:rsidRPr="00307A66">
              <w:rPr>
                <w:rFonts w:ascii="Arial" w:hAnsi="Arial" w:cs="Arial"/>
                <w:sz w:val="20"/>
              </w:rPr>
              <w:t xml:space="preserve">1.90 </w:t>
            </w:r>
            <w:r w:rsidRPr="00307A66">
              <w:rPr>
                <w:rFonts w:ascii="Arial" w:hAnsi="Arial" w:cs="Arial"/>
                <w:bCs/>
                <w:sz w:val="20"/>
              </w:rPr>
              <w:t>± 0.56</w:t>
            </w:r>
          </w:p>
        </w:tc>
        <w:tc>
          <w:tcPr>
            <w:tcW w:w="1215" w:type="dxa"/>
          </w:tcPr>
          <w:p w14:paraId="7AD8E3CA" w14:textId="224E31F5" w:rsidR="00323AB5" w:rsidRPr="00307A66" w:rsidRDefault="004D37A4" w:rsidP="008E70E1">
            <w:pPr>
              <w:rPr>
                <w:rFonts w:ascii="Arial" w:hAnsi="Arial" w:cs="Arial"/>
                <w:sz w:val="20"/>
              </w:rPr>
            </w:pPr>
            <w:r w:rsidRPr="00307A66">
              <w:rPr>
                <w:rFonts w:ascii="Arial" w:hAnsi="Arial" w:cs="Arial"/>
                <w:sz w:val="20"/>
              </w:rPr>
              <w:t>0.990</w:t>
            </w:r>
          </w:p>
        </w:tc>
      </w:tr>
    </w:tbl>
    <w:p w14:paraId="7C905037" w14:textId="33343A4B" w:rsidR="0090226E" w:rsidRPr="00307A66" w:rsidRDefault="00AB0AFB" w:rsidP="008E70E1">
      <w:pPr>
        <w:widowControl/>
        <w:rPr>
          <w:rFonts w:ascii="Arial" w:hAnsi="Arial" w:cs="Arial"/>
          <w:i/>
          <w:iCs/>
          <w:sz w:val="18"/>
          <w:szCs w:val="18"/>
        </w:rPr>
      </w:pPr>
      <w:r w:rsidRPr="00307A66">
        <w:rPr>
          <w:rFonts w:ascii="Arial" w:hAnsi="Arial" w:cs="Arial"/>
          <w:i/>
          <w:iCs/>
          <w:sz w:val="18"/>
          <w:szCs w:val="18"/>
        </w:rPr>
        <w:t>p-value is significant at alpha value of 0.05*; TC: Total cholesterol; HDLC: High-density lipoprotein cholesterol; LDLC: Low-density lipoprotein cholesterol; VDLC: Very-low density lipoprotein cholesterol; TG: Triglyceride.</w:t>
      </w:r>
    </w:p>
    <w:p w14:paraId="2C209BB4" w14:textId="5CCFAAA1" w:rsidR="00B51F09" w:rsidRDefault="00B51F09" w:rsidP="008E70E1">
      <w:pPr>
        <w:widowControl/>
        <w:rPr>
          <w:rFonts w:ascii="Arial" w:hAnsi="Arial" w:cs="Arial"/>
          <w:b/>
          <w:bCs/>
          <w:sz w:val="20"/>
        </w:rPr>
      </w:pPr>
    </w:p>
    <w:p w14:paraId="25D1CCBD" w14:textId="4A9CF617" w:rsidR="00531F12" w:rsidRDefault="00531F12" w:rsidP="008E70E1">
      <w:pPr>
        <w:widowControl/>
        <w:rPr>
          <w:rFonts w:ascii="Arial" w:hAnsi="Arial" w:cs="Arial"/>
          <w:sz w:val="20"/>
        </w:rPr>
      </w:pPr>
      <w:r w:rsidRPr="00473F7F">
        <w:rPr>
          <w:rFonts w:ascii="Arial" w:hAnsi="Arial" w:cs="Arial"/>
          <w:sz w:val="20"/>
        </w:rPr>
        <w:t>In the table</w:t>
      </w:r>
      <w:r w:rsidR="00473F7F">
        <w:rPr>
          <w:rFonts w:ascii="Arial" w:hAnsi="Arial" w:cs="Arial"/>
          <w:sz w:val="20"/>
        </w:rPr>
        <w:t xml:space="preserve"> </w:t>
      </w:r>
      <w:r w:rsidR="007E3EAD">
        <w:rPr>
          <w:rFonts w:ascii="Arial" w:hAnsi="Arial" w:cs="Arial"/>
          <w:sz w:val="20"/>
        </w:rPr>
        <w:t>3</w:t>
      </w:r>
      <w:r w:rsidRPr="00473F7F">
        <w:rPr>
          <w:rFonts w:ascii="Arial" w:hAnsi="Arial" w:cs="Arial"/>
          <w:sz w:val="20"/>
        </w:rPr>
        <w:t>,</w:t>
      </w:r>
      <w:r w:rsidR="00473F7F" w:rsidRPr="00473F7F">
        <w:rPr>
          <w:rFonts w:ascii="Arial" w:hAnsi="Arial" w:cs="Arial"/>
          <w:sz w:val="20"/>
        </w:rPr>
        <w:t xml:space="preserve"> </w:t>
      </w:r>
      <w:r w:rsidRPr="00473F7F">
        <w:rPr>
          <w:rFonts w:ascii="Arial" w:hAnsi="Arial" w:cs="Arial"/>
          <w:sz w:val="20"/>
        </w:rPr>
        <w:t xml:space="preserve">it can be observed that there </w:t>
      </w:r>
      <w:r w:rsidR="00473F7F" w:rsidRPr="00473F7F">
        <w:rPr>
          <w:rFonts w:ascii="Arial" w:hAnsi="Arial" w:cs="Arial"/>
          <w:sz w:val="20"/>
        </w:rPr>
        <w:t>was</w:t>
      </w:r>
      <w:r w:rsidRPr="00473F7F">
        <w:rPr>
          <w:rFonts w:ascii="Arial" w:hAnsi="Arial" w:cs="Arial"/>
          <w:sz w:val="20"/>
        </w:rPr>
        <w:t xml:space="preserve"> statistically significant difference (P-value&lt;0.05)</w:t>
      </w:r>
      <w:r w:rsidR="00473F7F" w:rsidRPr="00473F7F">
        <w:rPr>
          <w:rFonts w:ascii="Arial" w:hAnsi="Arial" w:cs="Arial"/>
          <w:sz w:val="20"/>
        </w:rPr>
        <w:t xml:space="preserve"> </w:t>
      </w:r>
      <w:r w:rsidRPr="00473F7F">
        <w:rPr>
          <w:rFonts w:ascii="Arial" w:hAnsi="Arial" w:cs="Arial"/>
          <w:sz w:val="20"/>
        </w:rPr>
        <w:t>in HDLC and LDLC, and no statistical difference in the other parameters in the table when the male subjects where compared with the female Subject.</w:t>
      </w:r>
    </w:p>
    <w:p w14:paraId="4483BE01" w14:textId="33A8B270" w:rsidR="00473F7F" w:rsidRDefault="00473F7F" w:rsidP="008E70E1">
      <w:pPr>
        <w:widowControl/>
        <w:rPr>
          <w:rFonts w:ascii="Arial" w:hAnsi="Arial" w:cs="Arial"/>
          <w:sz w:val="20"/>
        </w:rPr>
      </w:pPr>
    </w:p>
    <w:p w14:paraId="69D23213" w14:textId="1D00F5A3" w:rsidR="00473F7F" w:rsidRPr="007E3EAD" w:rsidRDefault="00473F7F" w:rsidP="008E70E1">
      <w:pPr>
        <w:widowControl/>
        <w:rPr>
          <w:rFonts w:ascii="Arial" w:hAnsi="Arial" w:cs="Arial"/>
          <w:b/>
          <w:bCs/>
          <w:sz w:val="20"/>
        </w:rPr>
      </w:pPr>
      <w:r w:rsidRPr="007E3EAD">
        <w:rPr>
          <w:rFonts w:ascii="Arial" w:hAnsi="Arial" w:cs="Arial"/>
          <w:b/>
          <w:bCs/>
          <w:sz w:val="20"/>
        </w:rPr>
        <w:t xml:space="preserve">Table </w:t>
      </w:r>
      <w:r w:rsidR="007E3EAD">
        <w:rPr>
          <w:rFonts w:ascii="Arial" w:hAnsi="Arial" w:cs="Arial"/>
          <w:b/>
          <w:bCs/>
          <w:sz w:val="20"/>
        </w:rPr>
        <w:t>3</w:t>
      </w:r>
      <w:r w:rsidRPr="007E3EAD">
        <w:rPr>
          <w:rFonts w:ascii="Arial" w:hAnsi="Arial" w:cs="Arial"/>
          <w:b/>
          <w:bCs/>
          <w:sz w:val="20"/>
        </w:rPr>
        <w:t xml:space="preserve"> Shows Mean ± SD of TC, HDLC, LDLC, VDLC, TG of the blood group B</w:t>
      </w:r>
    </w:p>
    <w:p w14:paraId="26D11465" w14:textId="77777777" w:rsidR="00473F7F" w:rsidRDefault="00473F7F" w:rsidP="008E70E1">
      <w:pPr>
        <w:widowControl/>
        <w:rPr>
          <w:rFonts w:ascii="Arial" w:hAnsi="Arial" w:cs="Arial"/>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1705"/>
        <w:gridCol w:w="1705"/>
      </w:tblGrid>
      <w:tr w:rsidR="00473F7F" w14:paraId="229E1978" w14:textId="77777777" w:rsidTr="00BC30E0">
        <w:tc>
          <w:tcPr>
            <w:tcW w:w="1704" w:type="dxa"/>
            <w:tcBorders>
              <w:top w:val="single" w:sz="4" w:space="0" w:color="auto"/>
              <w:bottom w:val="single" w:sz="4" w:space="0" w:color="auto"/>
            </w:tcBorders>
          </w:tcPr>
          <w:p w14:paraId="15AA672E" w14:textId="0CA1BBA7" w:rsidR="00473F7F" w:rsidRPr="007E3EAD" w:rsidRDefault="00473F7F" w:rsidP="00473F7F">
            <w:pPr>
              <w:widowControl/>
              <w:rPr>
                <w:rFonts w:ascii="Arial" w:hAnsi="Arial" w:cs="Arial"/>
                <w:b/>
                <w:bCs/>
                <w:sz w:val="20"/>
              </w:rPr>
            </w:pPr>
            <w:r w:rsidRPr="007E3EAD">
              <w:rPr>
                <w:rFonts w:ascii="Arial" w:hAnsi="Arial" w:cs="Arial"/>
                <w:b/>
                <w:bCs/>
                <w:sz w:val="20"/>
              </w:rPr>
              <w:t>Variable</w:t>
            </w:r>
          </w:p>
        </w:tc>
        <w:tc>
          <w:tcPr>
            <w:tcW w:w="1704" w:type="dxa"/>
            <w:tcBorders>
              <w:top w:val="single" w:sz="4" w:space="0" w:color="auto"/>
              <w:bottom w:val="single" w:sz="4" w:space="0" w:color="auto"/>
            </w:tcBorders>
          </w:tcPr>
          <w:p w14:paraId="45451804" w14:textId="2E2AB711" w:rsidR="00473F7F" w:rsidRPr="007E3EAD" w:rsidRDefault="00473F7F" w:rsidP="00473F7F">
            <w:pPr>
              <w:widowControl/>
              <w:rPr>
                <w:rFonts w:ascii="Arial" w:hAnsi="Arial" w:cs="Arial"/>
                <w:b/>
                <w:bCs/>
                <w:sz w:val="20"/>
              </w:rPr>
            </w:pPr>
            <w:r w:rsidRPr="007E3EAD">
              <w:rPr>
                <w:b/>
                <w:bCs/>
              </w:rPr>
              <w:t>Male (n=6) Mean ± SD</w:t>
            </w:r>
          </w:p>
        </w:tc>
        <w:tc>
          <w:tcPr>
            <w:tcW w:w="1704" w:type="dxa"/>
            <w:tcBorders>
              <w:top w:val="single" w:sz="4" w:space="0" w:color="auto"/>
              <w:bottom w:val="single" w:sz="4" w:space="0" w:color="auto"/>
            </w:tcBorders>
          </w:tcPr>
          <w:p w14:paraId="06B73629" w14:textId="6958F776" w:rsidR="00473F7F" w:rsidRPr="007E3EAD" w:rsidRDefault="00473F7F" w:rsidP="00473F7F">
            <w:pPr>
              <w:widowControl/>
              <w:rPr>
                <w:rFonts w:ascii="Arial" w:hAnsi="Arial" w:cs="Arial"/>
                <w:b/>
                <w:bCs/>
                <w:sz w:val="20"/>
              </w:rPr>
            </w:pPr>
            <w:r w:rsidRPr="007E3EAD">
              <w:rPr>
                <w:b/>
                <w:bCs/>
              </w:rPr>
              <w:t>Female (n=10)</w:t>
            </w:r>
          </w:p>
        </w:tc>
        <w:tc>
          <w:tcPr>
            <w:tcW w:w="1705" w:type="dxa"/>
            <w:tcBorders>
              <w:top w:val="single" w:sz="4" w:space="0" w:color="auto"/>
              <w:bottom w:val="single" w:sz="4" w:space="0" w:color="auto"/>
            </w:tcBorders>
          </w:tcPr>
          <w:p w14:paraId="3DA57B2B" w14:textId="3066DE8B" w:rsidR="00473F7F" w:rsidRPr="007E3EAD" w:rsidRDefault="00473F7F" w:rsidP="00473F7F">
            <w:pPr>
              <w:widowControl/>
              <w:rPr>
                <w:rFonts w:ascii="Arial" w:hAnsi="Arial" w:cs="Arial"/>
                <w:b/>
                <w:bCs/>
                <w:sz w:val="20"/>
              </w:rPr>
            </w:pPr>
            <w:r w:rsidRPr="007E3EAD">
              <w:rPr>
                <w:b/>
                <w:bCs/>
              </w:rPr>
              <w:t>Total (n=16) Mean ± SD</w:t>
            </w:r>
          </w:p>
        </w:tc>
        <w:tc>
          <w:tcPr>
            <w:tcW w:w="1705" w:type="dxa"/>
            <w:tcBorders>
              <w:top w:val="single" w:sz="4" w:space="0" w:color="auto"/>
              <w:bottom w:val="single" w:sz="4" w:space="0" w:color="auto"/>
            </w:tcBorders>
          </w:tcPr>
          <w:p w14:paraId="1072E3E9" w14:textId="62D1A407" w:rsidR="00473F7F" w:rsidRPr="007E3EAD" w:rsidRDefault="00473F7F" w:rsidP="00473F7F">
            <w:pPr>
              <w:widowControl/>
              <w:rPr>
                <w:rFonts w:ascii="Arial" w:hAnsi="Arial" w:cs="Arial"/>
                <w:b/>
                <w:bCs/>
                <w:sz w:val="20"/>
              </w:rPr>
            </w:pPr>
            <w:r w:rsidRPr="007E3EAD">
              <w:rPr>
                <w:rFonts w:ascii="Arial" w:hAnsi="Arial" w:cs="Arial"/>
                <w:b/>
                <w:bCs/>
              </w:rPr>
              <w:t>p-value</w:t>
            </w:r>
          </w:p>
        </w:tc>
      </w:tr>
      <w:tr w:rsidR="00473F7F" w14:paraId="0E3AD13C" w14:textId="77777777" w:rsidTr="00BC30E0">
        <w:tc>
          <w:tcPr>
            <w:tcW w:w="1704" w:type="dxa"/>
            <w:tcBorders>
              <w:top w:val="single" w:sz="4" w:space="0" w:color="auto"/>
            </w:tcBorders>
          </w:tcPr>
          <w:p w14:paraId="2643D06F" w14:textId="5BB8C57C" w:rsidR="00473F7F" w:rsidRDefault="00473F7F" w:rsidP="00473F7F">
            <w:pPr>
              <w:widowControl/>
              <w:rPr>
                <w:rFonts w:ascii="Arial" w:hAnsi="Arial" w:cs="Arial"/>
                <w:sz w:val="20"/>
              </w:rPr>
            </w:pPr>
            <w:r w:rsidRPr="008B0155">
              <w:t>TC (mmol/l)</w:t>
            </w:r>
          </w:p>
        </w:tc>
        <w:tc>
          <w:tcPr>
            <w:tcW w:w="1704" w:type="dxa"/>
            <w:tcBorders>
              <w:top w:val="single" w:sz="4" w:space="0" w:color="auto"/>
            </w:tcBorders>
          </w:tcPr>
          <w:p w14:paraId="12A002E0" w14:textId="2BF6E6C9" w:rsidR="00473F7F" w:rsidRDefault="00473F7F" w:rsidP="00473F7F">
            <w:pPr>
              <w:widowControl/>
              <w:rPr>
                <w:rFonts w:ascii="Arial" w:hAnsi="Arial" w:cs="Arial"/>
                <w:sz w:val="20"/>
              </w:rPr>
            </w:pPr>
            <w:r>
              <w:rPr>
                <w:rFonts w:ascii="Arial" w:hAnsi="Arial" w:cs="Arial"/>
                <w:sz w:val="20"/>
              </w:rPr>
              <w:t xml:space="preserve">4.45 </w:t>
            </w:r>
            <w:r w:rsidRPr="005D79E7">
              <w:t>±</w:t>
            </w:r>
            <w:r>
              <w:t xml:space="preserve"> 0.88</w:t>
            </w:r>
          </w:p>
        </w:tc>
        <w:tc>
          <w:tcPr>
            <w:tcW w:w="1704" w:type="dxa"/>
            <w:tcBorders>
              <w:top w:val="single" w:sz="4" w:space="0" w:color="auto"/>
            </w:tcBorders>
          </w:tcPr>
          <w:p w14:paraId="1F9B08F8" w14:textId="70FAFCED" w:rsidR="00473F7F" w:rsidRDefault="007E3EAD" w:rsidP="00473F7F">
            <w:pPr>
              <w:widowControl/>
              <w:rPr>
                <w:rFonts w:ascii="Arial" w:hAnsi="Arial" w:cs="Arial"/>
                <w:sz w:val="20"/>
              </w:rPr>
            </w:pPr>
            <w:r>
              <w:rPr>
                <w:rFonts w:ascii="Arial" w:hAnsi="Arial" w:cs="Arial"/>
                <w:sz w:val="20"/>
              </w:rPr>
              <w:t xml:space="preserve">5.55 </w:t>
            </w:r>
            <w:r w:rsidRPr="005D79E7">
              <w:t>±</w:t>
            </w:r>
            <w:r>
              <w:t xml:space="preserve"> 1.24</w:t>
            </w:r>
          </w:p>
        </w:tc>
        <w:tc>
          <w:tcPr>
            <w:tcW w:w="1705" w:type="dxa"/>
            <w:tcBorders>
              <w:top w:val="single" w:sz="4" w:space="0" w:color="auto"/>
            </w:tcBorders>
          </w:tcPr>
          <w:p w14:paraId="19B3D169" w14:textId="160A9D24" w:rsidR="00473F7F" w:rsidRDefault="007E3EAD" w:rsidP="00473F7F">
            <w:pPr>
              <w:widowControl/>
              <w:rPr>
                <w:rFonts w:ascii="Arial" w:hAnsi="Arial" w:cs="Arial"/>
                <w:sz w:val="20"/>
              </w:rPr>
            </w:pPr>
            <w:r>
              <w:rPr>
                <w:rFonts w:ascii="Arial" w:hAnsi="Arial" w:cs="Arial"/>
                <w:sz w:val="20"/>
              </w:rPr>
              <w:t xml:space="preserve">5.14 </w:t>
            </w:r>
            <w:r w:rsidRPr="005D79E7">
              <w:t>±</w:t>
            </w:r>
            <w:r>
              <w:t xml:space="preserve"> 1.22</w:t>
            </w:r>
          </w:p>
        </w:tc>
        <w:tc>
          <w:tcPr>
            <w:tcW w:w="1705" w:type="dxa"/>
            <w:tcBorders>
              <w:top w:val="single" w:sz="4" w:space="0" w:color="auto"/>
            </w:tcBorders>
          </w:tcPr>
          <w:p w14:paraId="22756F48" w14:textId="524DF83B" w:rsidR="00473F7F" w:rsidRDefault="007E3EAD" w:rsidP="00473F7F">
            <w:pPr>
              <w:widowControl/>
              <w:rPr>
                <w:rFonts w:ascii="Arial" w:hAnsi="Arial" w:cs="Arial"/>
                <w:sz w:val="20"/>
              </w:rPr>
            </w:pPr>
            <w:r>
              <w:rPr>
                <w:rFonts w:ascii="Arial" w:hAnsi="Arial" w:cs="Arial"/>
                <w:sz w:val="20"/>
              </w:rPr>
              <w:t>0.079</w:t>
            </w:r>
          </w:p>
        </w:tc>
      </w:tr>
      <w:tr w:rsidR="00473F7F" w14:paraId="4D1EF774" w14:textId="77777777" w:rsidTr="00BC30E0">
        <w:tc>
          <w:tcPr>
            <w:tcW w:w="1704" w:type="dxa"/>
          </w:tcPr>
          <w:p w14:paraId="0179A77E" w14:textId="5A7D026F" w:rsidR="00473F7F" w:rsidRDefault="00473F7F" w:rsidP="00473F7F">
            <w:pPr>
              <w:widowControl/>
              <w:rPr>
                <w:rFonts w:ascii="Arial" w:hAnsi="Arial" w:cs="Arial"/>
                <w:sz w:val="20"/>
              </w:rPr>
            </w:pPr>
            <w:r w:rsidRPr="008B0155">
              <w:t>HDLC (mmol/l)</w:t>
            </w:r>
          </w:p>
        </w:tc>
        <w:tc>
          <w:tcPr>
            <w:tcW w:w="1704" w:type="dxa"/>
          </w:tcPr>
          <w:p w14:paraId="331B4532" w14:textId="5F07F871" w:rsidR="00473F7F" w:rsidRDefault="00473F7F" w:rsidP="00473F7F">
            <w:pPr>
              <w:widowControl/>
              <w:rPr>
                <w:rFonts w:ascii="Arial" w:hAnsi="Arial" w:cs="Arial"/>
                <w:sz w:val="20"/>
              </w:rPr>
            </w:pPr>
            <w:r>
              <w:rPr>
                <w:rFonts w:ascii="Arial" w:hAnsi="Arial" w:cs="Arial"/>
                <w:sz w:val="20"/>
              </w:rPr>
              <w:t xml:space="preserve">1.08 </w:t>
            </w:r>
            <w:r w:rsidRPr="005D79E7">
              <w:t>±</w:t>
            </w:r>
            <w:r>
              <w:t xml:space="preserve"> 0.17</w:t>
            </w:r>
          </w:p>
        </w:tc>
        <w:tc>
          <w:tcPr>
            <w:tcW w:w="1704" w:type="dxa"/>
          </w:tcPr>
          <w:p w14:paraId="383A6063" w14:textId="0EAB461D" w:rsidR="00473F7F" w:rsidRDefault="007E3EAD" w:rsidP="00473F7F">
            <w:pPr>
              <w:widowControl/>
              <w:rPr>
                <w:rFonts w:ascii="Arial" w:hAnsi="Arial" w:cs="Arial"/>
                <w:sz w:val="20"/>
              </w:rPr>
            </w:pPr>
            <w:r>
              <w:rPr>
                <w:rFonts w:ascii="Arial" w:hAnsi="Arial" w:cs="Arial"/>
                <w:sz w:val="20"/>
              </w:rPr>
              <w:t xml:space="preserve">1.34 </w:t>
            </w:r>
            <w:r w:rsidRPr="005D79E7">
              <w:t>±</w:t>
            </w:r>
            <w:r>
              <w:t xml:space="preserve"> 0.16</w:t>
            </w:r>
          </w:p>
        </w:tc>
        <w:tc>
          <w:tcPr>
            <w:tcW w:w="1705" w:type="dxa"/>
          </w:tcPr>
          <w:p w14:paraId="32909769" w14:textId="7A83D120" w:rsidR="00473F7F" w:rsidRDefault="007E3EAD" w:rsidP="00473F7F">
            <w:pPr>
              <w:widowControl/>
              <w:rPr>
                <w:rFonts w:ascii="Arial" w:hAnsi="Arial" w:cs="Arial"/>
                <w:sz w:val="20"/>
              </w:rPr>
            </w:pPr>
            <w:r>
              <w:rPr>
                <w:rFonts w:ascii="Arial" w:hAnsi="Arial" w:cs="Arial"/>
                <w:sz w:val="20"/>
              </w:rPr>
              <w:t xml:space="preserve">1.24 </w:t>
            </w:r>
            <w:r w:rsidRPr="005D79E7">
              <w:t>±</w:t>
            </w:r>
            <w:r>
              <w:t xml:space="preserve"> 0.21</w:t>
            </w:r>
          </w:p>
        </w:tc>
        <w:tc>
          <w:tcPr>
            <w:tcW w:w="1705" w:type="dxa"/>
          </w:tcPr>
          <w:p w14:paraId="700D666B" w14:textId="701011A0" w:rsidR="00473F7F" w:rsidRDefault="007E3EAD" w:rsidP="00473F7F">
            <w:pPr>
              <w:widowControl/>
              <w:rPr>
                <w:rFonts w:ascii="Arial" w:hAnsi="Arial" w:cs="Arial"/>
                <w:sz w:val="20"/>
              </w:rPr>
            </w:pPr>
            <w:r>
              <w:rPr>
                <w:rFonts w:ascii="Arial" w:hAnsi="Arial" w:cs="Arial"/>
                <w:sz w:val="20"/>
              </w:rPr>
              <w:t>0.010*</w:t>
            </w:r>
          </w:p>
        </w:tc>
      </w:tr>
      <w:tr w:rsidR="00473F7F" w14:paraId="7BAC3AD3" w14:textId="77777777" w:rsidTr="00BC30E0">
        <w:tc>
          <w:tcPr>
            <w:tcW w:w="1704" w:type="dxa"/>
          </w:tcPr>
          <w:p w14:paraId="3807FC3A" w14:textId="08D334BE" w:rsidR="00473F7F" w:rsidRDefault="00473F7F" w:rsidP="00473F7F">
            <w:pPr>
              <w:widowControl/>
              <w:rPr>
                <w:rFonts w:ascii="Arial" w:hAnsi="Arial" w:cs="Arial"/>
                <w:sz w:val="20"/>
              </w:rPr>
            </w:pPr>
            <w:r w:rsidRPr="008B0155">
              <w:t>LDLC (mmol/l)</w:t>
            </w:r>
          </w:p>
        </w:tc>
        <w:tc>
          <w:tcPr>
            <w:tcW w:w="1704" w:type="dxa"/>
          </w:tcPr>
          <w:p w14:paraId="256403CE" w14:textId="7736D003" w:rsidR="00473F7F" w:rsidRDefault="00473F7F" w:rsidP="00473F7F">
            <w:pPr>
              <w:widowControl/>
              <w:rPr>
                <w:rFonts w:ascii="Arial" w:hAnsi="Arial" w:cs="Arial"/>
                <w:sz w:val="20"/>
              </w:rPr>
            </w:pPr>
            <w:r>
              <w:rPr>
                <w:rFonts w:ascii="Arial" w:hAnsi="Arial" w:cs="Arial"/>
                <w:sz w:val="20"/>
              </w:rPr>
              <w:t xml:space="preserve">2.40 </w:t>
            </w:r>
            <w:r w:rsidRPr="005D79E7">
              <w:t>±</w:t>
            </w:r>
            <w:r>
              <w:t xml:space="preserve"> 0.47</w:t>
            </w:r>
          </w:p>
        </w:tc>
        <w:tc>
          <w:tcPr>
            <w:tcW w:w="1704" w:type="dxa"/>
          </w:tcPr>
          <w:p w14:paraId="08F2BB4C" w14:textId="5FD94980" w:rsidR="00473F7F" w:rsidRDefault="007E3EAD" w:rsidP="00473F7F">
            <w:pPr>
              <w:widowControl/>
              <w:rPr>
                <w:rFonts w:ascii="Arial" w:hAnsi="Arial" w:cs="Arial"/>
                <w:sz w:val="20"/>
              </w:rPr>
            </w:pPr>
            <w:r>
              <w:rPr>
                <w:rFonts w:ascii="Arial" w:hAnsi="Arial" w:cs="Arial"/>
                <w:sz w:val="20"/>
              </w:rPr>
              <w:t xml:space="preserve">3.3 </w:t>
            </w:r>
            <w:r w:rsidRPr="005D79E7">
              <w:t>±</w:t>
            </w:r>
            <w:r>
              <w:t xml:space="preserve"> 1.00</w:t>
            </w:r>
          </w:p>
        </w:tc>
        <w:tc>
          <w:tcPr>
            <w:tcW w:w="1705" w:type="dxa"/>
          </w:tcPr>
          <w:p w14:paraId="630814B2" w14:textId="449D3D98" w:rsidR="00473F7F" w:rsidRDefault="007E3EAD" w:rsidP="00473F7F">
            <w:pPr>
              <w:widowControl/>
              <w:rPr>
                <w:rFonts w:ascii="Arial" w:hAnsi="Arial" w:cs="Arial"/>
                <w:sz w:val="20"/>
              </w:rPr>
            </w:pPr>
            <w:r>
              <w:rPr>
                <w:rFonts w:ascii="Arial" w:hAnsi="Arial" w:cs="Arial"/>
                <w:sz w:val="20"/>
              </w:rPr>
              <w:t xml:space="preserve">3.02 </w:t>
            </w:r>
            <w:r w:rsidRPr="005D79E7">
              <w:t>±</w:t>
            </w:r>
            <w:r>
              <w:t xml:space="preserve"> 0.96</w:t>
            </w:r>
          </w:p>
        </w:tc>
        <w:tc>
          <w:tcPr>
            <w:tcW w:w="1705" w:type="dxa"/>
          </w:tcPr>
          <w:p w14:paraId="480ED272" w14:textId="1D579F00" w:rsidR="00473F7F" w:rsidRDefault="007E3EAD" w:rsidP="00473F7F">
            <w:pPr>
              <w:widowControl/>
              <w:rPr>
                <w:rFonts w:ascii="Arial" w:hAnsi="Arial" w:cs="Arial"/>
                <w:sz w:val="20"/>
              </w:rPr>
            </w:pPr>
            <w:r>
              <w:rPr>
                <w:rFonts w:ascii="Arial" w:hAnsi="Arial" w:cs="Arial"/>
                <w:sz w:val="20"/>
              </w:rPr>
              <w:t>0.041*</w:t>
            </w:r>
          </w:p>
        </w:tc>
      </w:tr>
      <w:tr w:rsidR="00473F7F" w14:paraId="58430A34" w14:textId="77777777" w:rsidTr="00BC30E0">
        <w:tc>
          <w:tcPr>
            <w:tcW w:w="1704" w:type="dxa"/>
          </w:tcPr>
          <w:p w14:paraId="1959A192" w14:textId="299B1D63" w:rsidR="00473F7F" w:rsidRDefault="00473F7F" w:rsidP="00473F7F">
            <w:pPr>
              <w:widowControl/>
              <w:rPr>
                <w:rFonts w:ascii="Arial" w:hAnsi="Arial" w:cs="Arial"/>
                <w:sz w:val="20"/>
              </w:rPr>
            </w:pPr>
            <w:r w:rsidRPr="008B0155">
              <w:t>VDLC (mmol/l)</w:t>
            </w:r>
          </w:p>
        </w:tc>
        <w:tc>
          <w:tcPr>
            <w:tcW w:w="1704" w:type="dxa"/>
          </w:tcPr>
          <w:p w14:paraId="1E982DB1" w14:textId="74EDBC3E" w:rsidR="00473F7F" w:rsidRDefault="007E3EAD" w:rsidP="00473F7F">
            <w:pPr>
              <w:widowControl/>
              <w:rPr>
                <w:rFonts w:ascii="Arial" w:hAnsi="Arial" w:cs="Arial"/>
                <w:sz w:val="20"/>
              </w:rPr>
            </w:pPr>
            <w:r>
              <w:rPr>
                <w:rFonts w:ascii="Arial" w:hAnsi="Arial" w:cs="Arial"/>
                <w:sz w:val="20"/>
              </w:rPr>
              <w:t xml:space="preserve">1.09 </w:t>
            </w:r>
            <w:r w:rsidRPr="005D79E7">
              <w:t>±</w:t>
            </w:r>
            <w:r>
              <w:t xml:space="preserve"> 0.31</w:t>
            </w:r>
          </w:p>
        </w:tc>
        <w:tc>
          <w:tcPr>
            <w:tcW w:w="1704" w:type="dxa"/>
          </w:tcPr>
          <w:p w14:paraId="4F1D95FF" w14:textId="42B20EE4" w:rsidR="00473F7F" w:rsidRDefault="007E3EAD" w:rsidP="00473F7F">
            <w:pPr>
              <w:widowControl/>
              <w:rPr>
                <w:rFonts w:ascii="Arial" w:hAnsi="Arial" w:cs="Arial"/>
                <w:sz w:val="20"/>
              </w:rPr>
            </w:pPr>
            <w:r>
              <w:rPr>
                <w:rFonts w:ascii="Arial" w:hAnsi="Arial" w:cs="Arial"/>
                <w:sz w:val="20"/>
              </w:rPr>
              <w:t xml:space="preserve">0.90 </w:t>
            </w:r>
            <w:r w:rsidRPr="005D79E7">
              <w:t>±</w:t>
            </w:r>
            <w:r>
              <w:t xml:space="preserve"> 0.37</w:t>
            </w:r>
          </w:p>
        </w:tc>
        <w:tc>
          <w:tcPr>
            <w:tcW w:w="1705" w:type="dxa"/>
          </w:tcPr>
          <w:p w14:paraId="3D104868" w14:textId="0A9FC8DD" w:rsidR="00473F7F" w:rsidRDefault="007E3EAD" w:rsidP="00473F7F">
            <w:pPr>
              <w:widowControl/>
              <w:rPr>
                <w:rFonts w:ascii="Arial" w:hAnsi="Arial" w:cs="Arial"/>
                <w:sz w:val="20"/>
              </w:rPr>
            </w:pPr>
            <w:r>
              <w:rPr>
                <w:rFonts w:ascii="Arial" w:hAnsi="Arial" w:cs="Arial"/>
                <w:sz w:val="20"/>
              </w:rPr>
              <w:t xml:space="preserve">0.97 </w:t>
            </w:r>
            <w:r w:rsidRPr="005D79E7">
              <w:t>±</w:t>
            </w:r>
            <w:r>
              <w:t xml:space="preserve"> 0.35</w:t>
            </w:r>
          </w:p>
        </w:tc>
        <w:tc>
          <w:tcPr>
            <w:tcW w:w="1705" w:type="dxa"/>
          </w:tcPr>
          <w:p w14:paraId="34B67F6B" w14:textId="016BE5CB" w:rsidR="00473F7F" w:rsidRDefault="007E3EAD" w:rsidP="00473F7F">
            <w:pPr>
              <w:widowControl/>
              <w:rPr>
                <w:rFonts w:ascii="Arial" w:hAnsi="Arial" w:cs="Arial"/>
                <w:sz w:val="20"/>
              </w:rPr>
            </w:pPr>
            <w:r>
              <w:rPr>
                <w:rFonts w:ascii="Arial" w:hAnsi="Arial" w:cs="Arial"/>
                <w:sz w:val="20"/>
              </w:rPr>
              <w:t>0.330</w:t>
            </w:r>
          </w:p>
        </w:tc>
      </w:tr>
      <w:tr w:rsidR="00473F7F" w14:paraId="17706029" w14:textId="77777777" w:rsidTr="00BC30E0">
        <w:tc>
          <w:tcPr>
            <w:tcW w:w="1704" w:type="dxa"/>
          </w:tcPr>
          <w:p w14:paraId="1EEB6108" w14:textId="3EC339EE" w:rsidR="00473F7F" w:rsidRDefault="00473F7F" w:rsidP="00473F7F">
            <w:pPr>
              <w:widowControl/>
              <w:rPr>
                <w:rFonts w:ascii="Arial" w:hAnsi="Arial" w:cs="Arial"/>
                <w:sz w:val="20"/>
              </w:rPr>
            </w:pPr>
            <w:r w:rsidRPr="008B0155">
              <w:t>TG (mmol/l)</w:t>
            </w:r>
          </w:p>
        </w:tc>
        <w:tc>
          <w:tcPr>
            <w:tcW w:w="1704" w:type="dxa"/>
          </w:tcPr>
          <w:p w14:paraId="46F63836" w14:textId="27DA2653" w:rsidR="00473F7F" w:rsidRDefault="007E3EAD" w:rsidP="00473F7F">
            <w:pPr>
              <w:widowControl/>
              <w:rPr>
                <w:rFonts w:ascii="Arial" w:hAnsi="Arial" w:cs="Arial"/>
                <w:sz w:val="20"/>
              </w:rPr>
            </w:pPr>
            <w:r>
              <w:rPr>
                <w:rFonts w:ascii="Arial" w:hAnsi="Arial" w:cs="Arial"/>
                <w:sz w:val="20"/>
              </w:rPr>
              <w:t xml:space="preserve">2.10 </w:t>
            </w:r>
            <w:r w:rsidRPr="005D79E7">
              <w:t>±</w:t>
            </w:r>
            <w:r>
              <w:t xml:space="preserve"> 0.71</w:t>
            </w:r>
          </w:p>
        </w:tc>
        <w:tc>
          <w:tcPr>
            <w:tcW w:w="1704" w:type="dxa"/>
          </w:tcPr>
          <w:p w14:paraId="6ED75451" w14:textId="5B19E57A" w:rsidR="00473F7F" w:rsidRDefault="007E3EAD" w:rsidP="00473F7F">
            <w:pPr>
              <w:widowControl/>
              <w:rPr>
                <w:rFonts w:ascii="Arial" w:hAnsi="Arial" w:cs="Arial"/>
                <w:sz w:val="20"/>
              </w:rPr>
            </w:pPr>
            <w:r>
              <w:rPr>
                <w:rFonts w:ascii="Arial" w:hAnsi="Arial" w:cs="Arial"/>
                <w:sz w:val="20"/>
              </w:rPr>
              <w:t xml:space="preserve">1.74 </w:t>
            </w:r>
            <w:r w:rsidRPr="005D79E7">
              <w:t>±</w:t>
            </w:r>
            <w:r>
              <w:t xml:space="preserve"> 0.51</w:t>
            </w:r>
          </w:p>
        </w:tc>
        <w:tc>
          <w:tcPr>
            <w:tcW w:w="1705" w:type="dxa"/>
          </w:tcPr>
          <w:p w14:paraId="55CAAC6C" w14:textId="00365163" w:rsidR="00473F7F" w:rsidRDefault="007E3EAD" w:rsidP="00473F7F">
            <w:pPr>
              <w:widowControl/>
              <w:rPr>
                <w:rFonts w:ascii="Arial" w:hAnsi="Arial" w:cs="Arial"/>
                <w:sz w:val="20"/>
              </w:rPr>
            </w:pPr>
            <w:r>
              <w:rPr>
                <w:rFonts w:ascii="Arial" w:hAnsi="Arial" w:cs="Arial"/>
                <w:sz w:val="20"/>
              </w:rPr>
              <w:t xml:space="preserve">1.88 </w:t>
            </w:r>
            <w:r w:rsidRPr="005D79E7">
              <w:t>±</w:t>
            </w:r>
            <w:r>
              <w:t xml:space="preserve"> 0.59</w:t>
            </w:r>
          </w:p>
        </w:tc>
        <w:tc>
          <w:tcPr>
            <w:tcW w:w="1705" w:type="dxa"/>
          </w:tcPr>
          <w:p w14:paraId="5B4594F5" w14:textId="706B88DB" w:rsidR="00473F7F" w:rsidRDefault="007E3EAD" w:rsidP="00473F7F">
            <w:pPr>
              <w:widowControl/>
              <w:rPr>
                <w:rFonts w:ascii="Arial" w:hAnsi="Arial" w:cs="Arial"/>
                <w:sz w:val="20"/>
              </w:rPr>
            </w:pPr>
            <w:r>
              <w:rPr>
                <w:rFonts w:ascii="Arial" w:hAnsi="Arial" w:cs="Arial"/>
                <w:sz w:val="20"/>
              </w:rPr>
              <w:t>0.252</w:t>
            </w:r>
          </w:p>
        </w:tc>
      </w:tr>
    </w:tbl>
    <w:p w14:paraId="07F0051A" w14:textId="77777777" w:rsidR="007E3EAD" w:rsidRPr="00307A66" w:rsidRDefault="007E3EAD" w:rsidP="007E3EAD">
      <w:pPr>
        <w:widowControl/>
        <w:rPr>
          <w:rFonts w:ascii="Arial" w:hAnsi="Arial" w:cs="Arial"/>
          <w:i/>
          <w:iCs/>
          <w:sz w:val="18"/>
          <w:szCs w:val="18"/>
        </w:rPr>
      </w:pPr>
      <w:r w:rsidRPr="00307A66">
        <w:rPr>
          <w:rFonts w:ascii="Arial" w:hAnsi="Arial" w:cs="Arial"/>
          <w:i/>
          <w:iCs/>
          <w:sz w:val="18"/>
          <w:szCs w:val="18"/>
        </w:rPr>
        <w:t>p-value is significant at alpha value of 0.05*; TC: Total cholesterol; HDLC: High-density lipoprotein cholesterol; LDLC: Low-density lipoprotein cholesterol; VDLC: Very-low density lipoprotein cholesterol; TG: Triglyceride.</w:t>
      </w:r>
    </w:p>
    <w:p w14:paraId="2E1C23B6" w14:textId="1E005D56" w:rsidR="00473F7F" w:rsidRDefault="00473F7F" w:rsidP="007E3EAD">
      <w:pPr>
        <w:widowControl/>
        <w:rPr>
          <w:rFonts w:ascii="Arial" w:hAnsi="Arial" w:cs="Arial"/>
          <w:sz w:val="20"/>
        </w:rPr>
      </w:pPr>
    </w:p>
    <w:p w14:paraId="0F096A23" w14:textId="77777777" w:rsidR="007E3EAD" w:rsidRPr="00473F7F" w:rsidRDefault="007E3EAD" w:rsidP="007E3EAD">
      <w:pPr>
        <w:widowControl/>
        <w:rPr>
          <w:rFonts w:ascii="Arial" w:hAnsi="Arial" w:cs="Arial"/>
          <w:sz w:val="20"/>
        </w:rPr>
      </w:pPr>
    </w:p>
    <w:p w14:paraId="5C7404E1" w14:textId="77777777" w:rsidR="00531F12" w:rsidRPr="00307A66" w:rsidRDefault="00531F12" w:rsidP="008E70E1">
      <w:pPr>
        <w:widowControl/>
        <w:rPr>
          <w:rFonts w:ascii="Arial" w:hAnsi="Arial" w:cs="Arial"/>
          <w:b/>
          <w:bCs/>
          <w:sz w:val="20"/>
        </w:rPr>
      </w:pPr>
    </w:p>
    <w:p w14:paraId="66BF579B" w14:textId="25A8D780" w:rsidR="005D7132" w:rsidRPr="00307A66" w:rsidRDefault="008E70E1" w:rsidP="008E70E1">
      <w:pPr>
        <w:widowControl/>
        <w:rPr>
          <w:rFonts w:ascii="Arial" w:hAnsi="Arial" w:cs="Arial"/>
          <w:b/>
          <w:bCs/>
          <w:sz w:val="22"/>
          <w:szCs w:val="22"/>
        </w:rPr>
      </w:pPr>
      <w:r w:rsidRPr="00307A66">
        <w:rPr>
          <w:rFonts w:ascii="Arial" w:hAnsi="Arial" w:cs="Arial"/>
          <w:b/>
          <w:bCs/>
          <w:sz w:val="22"/>
          <w:szCs w:val="22"/>
        </w:rPr>
        <w:t>DISCUSSION</w:t>
      </w:r>
    </w:p>
    <w:p w14:paraId="5590C194" w14:textId="77777777" w:rsidR="005D7132" w:rsidRPr="00307A66" w:rsidRDefault="005D7132" w:rsidP="008E70E1">
      <w:pPr>
        <w:widowControl/>
        <w:rPr>
          <w:rFonts w:ascii="Arial" w:hAnsi="Arial" w:cs="Arial"/>
          <w:sz w:val="20"/>
        </w:rPr>
      </w:pPr>
      <w:r w:rsidRPr="00307A66">
        <w:rPr>
          <w:rFonts w:ascii="Arial" w:hAnsi="Arial" w:cs="Arial"/>
          <w:sz w:val="20"/>
        </w:rPr>
        <w:t>This study investigated the association between ABO blood groups and lipid profiles among 104 apparently healthy individuals in the Enugu metropolis. The findings provide insights into the genetic distribution of blood groups in this region and their potential relationship with cardiovascular risk factors.</w:t>
      </w:r>
    </w:p>
    <w:p w14:paraId="2D5F36AA" w14:textId="43D290C0" w:rsidR="005D7132" w:rsidRPr="00307A66" w:rsidRDefault="005D7132" w:rsidP="008E70E1">
      <w:pPr>
        <w:widowControl/>
        <w:rPr>
          <w:rFonts w:ascii="Arial" w:hAnsi="Arial" w:cs="Arial"/>
          <w:b/>
          <w:bCs/>
          <w:sz w:val="20"/>
        </w:rPr>
      </w:pPr>
      <w:r w:rsidRPr="00307A66">
        <w:rPr>
          <w:rFonts w:ascii="Arial" w:hAnsi="Arial" w:cs="Arial"/>
          <w:b/>
          <w:bCs/>
          <w:sz w:val="20"/>
        </w:rPr>
        <w:t>Distribution of ABO Blood Groups</w:t>
      </w:r>
    </w:p>
    <w:p w14:paraId="38C0E0D0" w14:textId="27D02213" w:rsidR="005D7132" w:rsidRPr="00307A66" w:rsidRDefault="005D7132" w:rsidP="008E70E1">
      <w:pPr>
        <w:widowControl/>
        <w:rPr>
          <w:rFonts w:ascii="Arial" w:hAnsi="Arial" w:cs="Arial"/>
          <w:sz w:val="20"/>
        </w:rPr>
      </w:pPr>
      <w:r w:rsidRPr="00307A66">
        <w:rPr>
          <w:rFonts w:ascii="Arial" w:hAnsi="Arial" w:cs="Arial"/>
          <w:sz w:val="20"/>
        </w:rPr>
        <w:t xml:space="preserve">The percentage distribution of ABO blood groups in the studied population was 56.7% for Group O, 25.0% for Group A, 15.4% for Group B, and 2.9% for Group AB. This distribution pattern identifies Group O as the most prevalent and Group AB as the least frequent within the Enugu metropolis. This aligns with Somto </w:t>
      </w:r>
      <w:r w:rsidR="00D01F7A" w:rsidRPr="00D01F7A">
        <w:rPr>
          <w:rFonts w:ascii="Arial" w:hAnsi="Arial" w:cs="Arial"/>
          <w:i/>
          <w:iCs/>
          <w:sz w:val="20"/>
        </w:rPr>
        <w:t>et al</w:t>
      </w:r>
      <w:r w:rsidRPr="00307A66">
        <w:rPr>
          <w:rFonts w:ascii="Arial" w:hAnsi="Arial" w:cs="Arial"/>
          <w:sz w:val="20"/>
        </w:rPr>
        <w:t xml:space="preserve">. (2024), whose data from Nigerian populations frequently show Group O dominance. Furthermore, this distribution is consistent with findings by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reported a similar hierarchy in </w:t>
      </w:r>
      <w:proofErr w:type="spellStart"/>
      <w:r w:rsidRPr="00307A66">
        <w:rPr>
          <w:rFonts w:ascii="Arial" w:hAnsi="Arial" w:cs="Arial"/>
          <w:sz w:val="20"/>
        </w:rPr>
        <w:t>Ekpoma</w:t>
      </w:r>
      <w:proofErr w:type="spellEnd"/>
      <w:r w:rsidRPr="00307A66">
        <w:rPr>
          <w:rFonts w:ascii="Arial" w:hAnsi="Arial" w:cs="Arial"/>
          <w:sz w:val="20"/>
        </w:rPr>
        <w:t>, Nigeria. The high prevalence of Group O in this study reflects a common genetic trend observed across many West African populations.</w:t>
      </w:r>
    </w:p>
    <w:p w14:paraId="5A7D6939" w14:textId="5FB20C4F" w:rsidR="005D7132" w:rsidRPr="00307A66" w:rsidRDefault="005D7132" w:rsidP="008E70E1">
      <w:pPr>
        <w:widowControl/>
        <w:rPr>
          <w:rFonts w:ascii="Arial" w:hAnsi="Arial" w:cs="Arial"/>
          <w:b/>
          <w:bCs/>
          <w:sz w:val="20"/>
        </w:rPr>
      </w:pPr>
      <w:r w:rsidRPr="00307A66">
        <w:rPr>
          <w:rFonts w:ascii="Arial" w:hAnsi="Arial" w:cs="Arial"/>
          <w:b/>
          <w:bCs/>
          <w:sz w:val="20"/>
        </w:rPr>
        <w:lastRenderedPageBreak/>
        <w:t>ABO Blood Groups and Lipid Profile Levels</w:t>
      </w:r>
    </w:p>
    <w:p w14:paraId="183A8B7F" w14:textId="77777777" w:rsidR="005D7132" w:rsidRPr="00307A66" w:rsidRDefault="005D7132" w:rsidP="008E70E1">
      <w:pPr>
        <w:widowControl/>
        <w:rPr>
          <w:rFonts w:ascii="Arial" w:hAnsi="Arial" w:cs="Arial"/>
          <w:sz w:val="20"/>
        </w:rPr>
      </w:pPr>
      <w:r w:rsidRPr="00307A66">
        <w:rPr>
          <w:rFonts w:ascii="Arial" w:hAnsi="Arial" w:cs="Arial"/>
          <w:sz w:val="20"/>
        </w:rPr>
        <w:t xml:space="preserve">Regarding the first objective, the study found no statistically significant difference (P &gt; 0.05) in the mean values of total cholesterol (TC), high-density lipoprotein cholesterol (HDLC), low-density lipoprotein cholesterol (LDLC), very low-density lipoprotein cholesterol (VLDLC), and triglycerides (TG) across the different ABO blood groups. This is in line with Vala and Dubal (2019), who also reported no significant association between blood group types and lipid profile parameters in their study of healthy individuals. Additionally, this aligns with the findings of </w:t>
      </w:r>
      <w:proofErr w:type="spellStart"/>
      <w:r w:rsidRPr="00307A66">
        <w:rPr>
          <w:rFonts w:ascii="Arial" w:hAnsi="Arial" w:cs="Arial"/>
          <w:sz w:val="20"/>
        </w:rPr>
        <w:t>Nnodim</w:t>
      </w:r>
      <w:proofErr w:type="spellEnd"/>
      <w:r w:rsidRPr="00307A66">
        <w:rPr>
          <w:rFonts w:ascii="Arial" w:hAnsi="Arial" w:cs="Arial"/>
          <w:sz w:val="20"/>
        </w:rPr>
        <w:t xml:space="preserve"> and Francis (2022), whose research in Elele, Rivers State, suggested that blood type does not have a marked effect on the serum lipid profile of healthy persons.</w:t>
      </w:r>
    </w:p>
    <w:p w14:paraId="19064E2C" w14:textId="6351BD4D" w:rsidR="005D7132" w:rsidRPr="00307A66" w:rsidRDefault="005D7132" w:rsidP="008E70E1">
      <w:pPr>
        <w:widowControl/>
        <w:rPr>
          <w:rFonts w:ascii="Arial" w:hAnsi="Arial" w:cs="Arial"/>
          <w:sz w:val="20"/>
        </w:rPr>
      </w:pPr>
      <w:r w:rsidRPr="00307A66">
        <w:rPr>
          <w:rFonts w:ascii="Arial" w:hAnsi="Arial" w:cs="Arial"/>
          <w:sz w:val="20"/>
        </w:rPr>
        <w:t xml:space="preserve">However, contrary to the findings of Iheanacho </w:t>
      </w:r>
      <w:r w:rsidR="00D01F7A" w:rsidRPr="00D01F7A">
        <w:rPr>
          <w:rFonts w:ascii="Arial" w:hAnsi="Arial" w:cs="Arial"/>
          <w:i/>
          <w:iCs/>
          <w:sz w:val="20"/>
        </w:rPr>
        <w:t>et al</w:t>
      </w:r>
      <w:r w:rsidRPr="00307A66">
        <w:rPr>
          <w:rFonts w:ascii="Arial" w:hAnsi="Arial" w:cs="Arial"/>
          <w:sz w:val="20"/>
        </w:rPr>
        <w:t xml:space="preserve">. (2018), who suggested that individuals with blood group A might be more genetically predisposed to cardiovascular diseases (CVD) than those with group O, this study found that lipid levels remained statistically comparable across all groups in the Enugu population. While some literature, such as that by </w:t>
      </w:r>
      <w:proofErr w:type="spellStart"/>
      <w:r w:rsidRPr="00307A66">
        <w:rPr>
          <w:rFonts w:ascii="Arial" w:hAnsi="Arial" w:cs="Arial"/>
          <w:sz w:val="20"/>
        </w:rPr>
        <w:t>Girgla</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(2011), has suggested that blood group AB subjects might present with higher lipid variables, the small sample size for Group AB (n=3) in this study may have masked such trends.</w:t>
      </w:r>
    </w:p>
    <w:p w14:paraId="21F1A8F5" w14:textId="0FD75C2E" w:rsidR="005D7132" w:rsidRPr="00307A66" w:rsidRDefault="005D7132" w:rsidP="008E70E1">
      <w:pPr>
        <w:widowControl/>
        <w:rPr>
          <w:rFonts w:ascii="Arial" w:hAnsi="Arial" w:cs="Arial"/>
          <w:b/>
          <w:bCs/>
          <w:sz w:val="20"/>
        </w:rPr>
      </w:pPr>
      <w:r w:rsidRPr="00307A66">
        <w:rPr>
          <w:rFonts w:ascii="Arial" w:hAnsi="Arial" w:cs="Arial"/>
          <w:b/>
          <w:bCs/>
          <w:sz w:val="20"/>
        </w:rPr>
        <w:t>Gender-Based Comparison of Lipid Profiles</w:t>
      </w:r>
    </w:p>
    <w:p w14:paraId="4EEB709B" w14:textId="77777777" w:rsidR="005D7132" w:rsidRPr="00307A66" w:rsidRDefault="005D7132" w:rsidP="008E70E1">
      <w:pPr>
        <w:widowControl/>
        <w:rPr>
          <w:rFonts w:ascii="Arial" w:hAnsi="Arial" w:cs="Arial"/>
          <w:sz w:val="20"/>
        </w:rPr>
      </w:pPr>
      <w:r w:rsidRPr="00307A66">
        <w:rPr>
          <w:rFonts w:ascii="Arial" w:hAnsi="Arial" w:cs="Arial"/>
          <w:sz w:val="20"/>
        </w:rPr>
        <w:t>The comparison of lipid profile levels between male and female participants generally showed no statistically significant differences (P &gt; 0.05) across most categories. However, a specific finding of interest was the significant difference observed in the LDLC and HDLC levels within blood group B.</w:t>
      </w:r>
    </w:p>
    <w:p w14:paraId="394BCD97" w14:textId="7946E8C9" w:rsidR="005D7132" w:rsidRPr="00307A66" w:rsidRDefault="005D7132" w:rsidP="008E70E1">
      <w:pPr>
        <w:widowControl/>
        <w:rPr>
          <w:rFonts w:ascii="Arial" w:hAnsi="Arial" w:cs="Arial"/>
          <w:sz w:val="20"/>
        </w:rPr>
      </w:pPr>
      <w:r w:rsidRPr="00307A66">
        <w:rPr>
          <w:rFonts w:ascii="Arial" w:hAnsi="Arial" w:cs="Arial"/>
          <w:sz w:val="20"/>
        </w:rPr>
        <w:t xml:space="preserve">This aligns with </w:t>
      </w:r>
      <w:proofErr w:type="spellStart"/>
      <w:r w:rsidRPr="00307A66">
        <w:rPr>
          <w:rFonts w:ascii="Arial" w:hAnsi="Arial" w:cs="Arial"/>
          <w:sz w:val="20"/>
        </w:rPr>
        <w:t>Airhomwanbor</w:t>
      </w:r>
      <w:proofErr w:type="spellEnd"/>
      <w:r w:rsidRPr="00307A66">
        <w:rPr>
          <w:rFonts w:ascii="Arial" w:hAnsi="Arial" w:cs="Arial"/>
          <w:sz w:val="20"/>
        </w:rPr>
        <w:t xml:space="preserve"> </w:t>
      </w:r>
      <w:r w:rsidR="00D01F7A" w:rsidRPr="00D01F7A">
        <w:rPr>
          <w:rFonts w:ascii="Arial" w:hAnsi="Arial" w:cs="Arial"/>
          <w:i/>
          <w:iCs/>
          <w:sz w:val="20"/>
        </w:rPr>
        <w:t>et al</w:t>
      </w:r>
      <w:r w:rsidRPr="00307A66">
        <w:rPr>
          <w:rFonts w:ascii="Arial" w:hAnsi="Arial" w:cs="Arial"/>
          <w:sz w:val="20"/>
        </w:rPr>
        <w:t xml:space="preserve">. (2018), who also noted significant gender differences in HDL levels, specifically within blood groups A and AB in their study. The observed variations in Group B may be attributed to hormonal influences. Jude in Esther </w:t>
      </w:r>
      <w:r w:rsidR="00D01F7A" w:rsidRPr="00D01F7A">
        <w:rPr>
          <w:rFonts w:ascii="Arial" w:hAnsi="Arial" w:cs="Arial"/>
          <w:i/>
          <w:iCs/>
          <w:sz w:val="20"/>
        </w:rPr>
        <w:t>et al</w:t>
      </w:r>
      <w:r w:rsidRPr="00307A66">
        <w:rPr>
          <w:rFonts w:ascii="Arial" w:hAnsi="Arial" w:cs="Arial"/>
          <w:sz w:val="20"/>
        </w:rPr>
        <w:t>. (2023) notes that circulating estrogen in females often exerts a favorable effect on lipoprotein metabolism by increasing VLDL-C synthesis, which can subsequently raise HDL-C and lower LDL-C levels. This physiological mechanism likely explains why certain blood groups might show gender-specific lipid variations even when the overall population does not.</w:t>
      </w:r>
    </w:p>
    <w:p w14:paraId="2C1AE72F" w14:textId="469AF5E2" w:rsidR="005D7132" w:rsidRPr="00307A66" w:rsidRDefault="005D7132" w:rsidP="008E70E1">
      <w:pPr>
        <w:widowControl/>
        <w:rPr>
          <w:rFonts w:ascii="Arial" w:hAnsi="Arial" w:cs="Arial"/>
          <w:b/>
          <w:bCs/>
          <w:sz w:val="22"/>
          <w:szCs w:val="22"/>
        </w:rPr>
      </w:pPr>
      <w:r w:rsidRPr="00307A66">
        <w:rPr>
          <w:rFonts w:ascii="Arial" w:hAnsi="Arial" w:cs="Arial"/>
          <w:b/>
          <w:bCs/>
          <w:sz w:val="22"/>
          <w:szCs w:val="22"/>
        </w:rPr>
        <w:t>Clinical Implications</w:t>
      </w:r>
    </w:p>
    <w:p w14:paraId="1F23BAF0" w14:textId="444174D0" w:rsidR="005D7132" w:rsidRPr="00307A66" w:rsidRDefault="005D7132" w:rsidP="008E70E1">
      <w:pPr>
        <w:widowControl/>
        <w:rPr>
          <w:rFonts w:ascii="Arial" w:hAnsi="Arial" w:cs="Arial"/>
          <w:sz w:val="20"/>
        </w:rPr>
      </w:pPr>
      <w:r w:rsidRPr="00307A66">
        <w:rPr>
          <w:rFonts w:ascii="Arial" w:hAnsi="Arial" w:cs="Arial"/>
          <w:sz w:val="20"/>
        </w:rPr>
        <w:t>The findings of this study have important implications for clinical practice in the Enugu metropolis. Since the ABO phenotype did not show a strong association with abnormal lipid levels in healthy subjects, routine lipid profile assessments remain the most reliable method for predicting cardiovascular risk, regardless of a patient's blood group. The study reinforces that environmental factors, diet, and family history likely play more critical roles in the development of dyslipidemia than ABO antigens alone. Clinical practitioners should continue to prioritize lifestyle modifications and regular screening for primary prevention of atherosclerosis and coronary heart disease.</w:t>
      </w:r>
    </w:p>
    <w:p w14:paraId="1E2B1B2B" w14:textId="77777777" w:rsidR="00FC28B4" w:rsidRPr="00307A66" w:rsidRDefault="00FC28B4" w:rsidP="008E70E1">
      <w:pPr>
        <w:widowControl/>
        <w:rPr>
          <w:rFonts w:ascii="Arial" w:hAnsi="Arial" w:cs="Arial"/>
          <w:sz w:val="20"/>
        </w:rPr>
      </w:pPr>
    </w:p>
    <w:p w14:paraId="274BA789" w14:textId="6FAB79D3" w:rsidR="002941E1" w:rsidRPr="00307A66" w:rsidRDefault="008E70E1" w:rsidP="008E70E1">
      <w:pPr>
        <w:widowControl/>
        <w:rPr>
          <w:rFonts w:ascii="Arial" w:hAnsi="Arial" w:cs="Arial"/>
          <w:b/>
          <w:bCs/>
          <w:sz w:val="22"/>
          <w:szCs w:val="22"/>
        </w:rPr>
      </w:pPr>
      <w:r w:rsidRPr="00307A66">
        <w:rPr>
          <w:rFonts w:ascii="Arial" w:hAnsi="Arial" w:cs="Arial"/>
          <w:b/>
          <w:bCs/>
          <w:sz w:val="22"/>
          <w:szCs w:val="22"/>
        </w:rPr>
        <w:t>CONCLUSION</w:t>
      </w:r>
    </w:p>
    <w:p w14:paraId="0DD6B19D" w14:textId="319949CD" w:rsidR="00400899" w:rsidRPr="00307A66" w:rsidRDefault="00B51F09" w:rsidP="008E70E1">
      <w:pPr>
        <w:widowControl/>
        <w:rPr>
          <w:rFonts w:ascii="Arial" w:hAnsi="Arial" w:cs="Arial"/>
          <w:sz w:val="20"/>
        </w:rPr>
      </w:pPr>
      <w:r w:rsidRPr="00307A66">
        <w:rPr>
          <w:rFonts w:ascii="Arial" w:hAnsi="Arial" w:cs="Arial"/>
          <w:sz w:val="20"/>
        </w:rPr>
        <w:t>T</w:t>
      </w:r>
      <w:r w:rsidR="00400899" w:rsidRPr="00307A66">
        <w:rPr>
          <w:rFonts w:ascii="Arial" w:hAnsi="Arial" w:cs="Arial"/>
          <w:sz w:val="20"/>
        </w:rPr>
        <w:t>his study demonstrates that there is no statistically significant association between ABO blood groups and serum lipid profile parameters among apparently healthy individuals in the Enugu metropolis</w:t>
      </w:r>
      <w:r w:rsidR="00752A49" w:rsidRPr="00307A66">
        <w:rPr>
          <w:rFonts w:ascii="Arial" w:hAnsi="Arial" w:cs="Arial"/>
          <w:sz w:val="20"/>
        </w:rPr>
        <w:t xml:space="preserve">. </w:t>
      </w:r>
      <w:r w:rsidR="00400899" w:rsidRPr="00307A66">
        <w:rPr>
          <w:rFonts w:ascii="Arial" w:hAnsi="Arial" w:cs="Arial"/>
          <w:sz w:val="20"/>
        </w:rPr>
        <w:t>The percentage distribution of blood groups identifies Group O as the most prevalent (56.7%) and Group AB as the least frequent (2.9%) in the studied population</w:t>
      </w:r>
      <w:r w:rsidR="00752A49" w:rsidRPr="00307A66">
        <w:rPr>
          <w:rFonts w:ascii="Arial" w:hAnsi="Arial" w:cs="Arial"/>
          <w:sz w:val="20"/>
        </w:rPr>
        <w:t xml:space="preserve">. </w:t>
      </w:r>
      <w:r w:rsidR="00400899" w:rsidRPr="00307A66">
        <w:rPr>
          <w:rFonts w:ascii="Arial" w:hAnsi="Arial" w:cs="Arial"/>
          <w:sz w:val="20"/>
        </w:rPr>
        <w:t>While overall lipid levels were comparable across all blood types, significant gender-specific variations in LDLC and HDLC were uniquely observed within blood group B</w:t>
      </w:r>
      <w:r w:rsidR="00752A49" w:rsidRPr="00307A66">
        <w:rPr>
          <w:rFonts w:ascii="Arial" w:hAnsi="Arial" w:cs="Arial"/>
          <w:sz w:val="20"/>
        </w:rPr>
        <w:t xml:space="preserve">. </w:t>
      </w:r>
      <w:r w:rsidR="00400899" w:rsidRPr="00307A66">
        <w:rPr>
          <w:rFonts w:ascii="Arial" w:hAnsi="Arial" w:cs="Arial"/>
          <w:sz w:val="20"/>
        </w:rPr>
        <w:t xml:space="preserve">These findings </w:t>
      </w:r>
      <w:r w:rsidR="00400899" w:rsidRPr="00307A66">
        <w:rPr>
          <w:rFonts w:ascii="Arial" w:hAnsi="Arial" w:cs="Arial"/>
          <w:sz w:val="20"/>
        </w:rPr>
        <w:lastRenderedPageBreak/>
        <w:t>suggest that the inherited ABO antigens do not exert a primary influence on systemic lipid metabolism in this region, reinforcing that lifestyle and environmental factors may play a more dominant role in cardiovascular health</w:t>
      </w:r>
      <w:r w:rsidR="00752A49" w:rsidRPr="00307A66">
        <w:rPr>
          <w:rFonts w:ascii="Arial" w:hAnsi="Arial" w:cs="Arial"/>
          <w:sz w:val="20"/>
        </w:rPr>
        <w:t xml:space="preserve">. </w:t>
      </w:r>
      <w:r w:rsidR="00400899" w:rsidRPr="00307A66">
        <w:rPr>
          <w:rFonts w:ascii="Arial" w:hAnsi="Arial" w:cs="Arial"/>
          <w:sz w:val="20"/>
        </w:rPr>
        <w:t>Therefore, routine lipid profile screening remains essential for cardiovascular risk prediction, regardless of an individual's ABO phenotype</w:t>
      </w:r>
      <w:r w:rsidR="00752A49" w:rsidRPr="00307A66">
        <w:rPr>
          <w:rFonts w:ascii="Arial" w:hAnsi="Arial" w:cs="Arial"/>
          <w:sz w:val="20"/>
        </w:rPr>
        <w:t>.</w:t>
      </w:r>
    </w:p>
    <w:p w14:paraId="60B116DC" w14:textId="04C6EA84" w:rsidR="008E70E1" w:rsidRPr="00307A66" w:rsidRDefault="008E70E1" w:rsidP="008E70E1">
      <w:pPr>
        <w:widowControl/>
        <w:rPr>
          <w:rFonts w:ascii="Arial" w:hAnsi="Arial" w:cs="Arial"/>
          <w:sz w:val="20"/>
        </w:rPr>
      </w:pPr>
    </w:p>
    <w:p w14:paraId="75D00185" w14:textId="250E2B31" w:rsidR="008E70E1" w:rsidRPr="00307A66" w:rsidRDefault="008E70E1" w:rsidP="008E70E1">
      <w:pPr>
        <w:widowControl/>
        <w:rPr>
          <w:rFonts w:ascii="Arial" w:hAnsi="Arial" w:cs="Arial"/>
          <w:sz w:val="20"/>
        </w:rPr>
      </w:pPr>
    </w:p>
    <w:p w14:paraId="1100C373" w14:textId="4B49BAE1" w:rsidR="008C3759" w:rsidRPr="00307A66" w:rsidRDefault="00785A95" w:rsidP="008C3759">
      <w:pPr>
        <w:rPr>
          <w:rFonts w:ascii="Arial" w:eastAsia="Georgia" w:hAnsi="Arial" w:cs="Arial"/>
          <w:b/>
          <w:bCs/>
          <w:sz w:val="22"/>
          <w:szCs w:val="22"/>
          <w:lang w:eastAsia="en-US"/>
        </w:rPr>
      </w:pPr>
      <w:r w:rsidRPr="00307A66">
        <w:rPr>
          <w:rFonts w:ascii="Arial" w:eastAsia="Georgia" w:hAnsi="Arial" w:cs="Arial"/>
          <w:b/>
          <w:bCs/>
          <w:sz w:val="22"/>
          <w:szCs w:val="22"/>
          <w:lang w:eastAsia="en-US"/>
        </w:rPr>
        <w:t>CONSENT</w:t>
      </w:r>
    </w:p>
    <w:p w14:paraId="2B9BBF25" w14:textId="0662A1DD" w:rsidR="008C3759" w:rsidRPr="00307A66" w:rsidRDefault="00524AF5" w:rsidP="008E70E1">
      <w:pPr>
        <w:widowControl/>
        <w:rPr>
          <w:rFonts w:ascii="Arial" w:eastAsia="Georgia" w:hAnsi="Arial" w:cs="Arial"/>
          <w:sz w:val="20"/>
          <w:lang w:eastAsia="en-US"/>
        </w:rPr>
      </w:pPr>
      <w:r w:rsidRPr="00307A66">
        <w:rPr>
          <w:rFonts w:ascii="Arial" w:eastAsia="Georgia" w:hAnsi="Arial" w:cs="Arial"/>
          <w:sz w:val="20"/>
          <w:lang w:eastAsia="en-US"/>
        </w:rPr>
        <w:t>All authors declare that written informed consent was obtained from the patient for publication of this research.</w:t>
      </w:r>
    </w:p>
    <w:p w14:paraId="26BFBA21" w14:textId="77777777" w:rsidR="00524AF5" w:rsidRPr="00307A66" w:rsidRDefault="00524AF5" w:rsidP="008E70E1">
      <w:pPr>
        <w:widowControl/>
        <w:rPr>
          <w:rFonts w:ascii="Arial" w:hAnsi="Arial" w:cs="Arial"/>
          <w:sz w:val="20"/>
        </w:rPr>
      </w:pPr>
    </w:p>
    <w:p w14:paraId="3969092C" w14:textId="26420428" w:rsidR="00785A95" w:rsidRPr="00307A66" w:rsidRDefault="00785A95" w:rsidP="008E70E1">
      <w:pPr>
        <w:widowControl/>
        <w:rPr>
          <w:rFonts w:ascii="Arial" w:hAnsi="Arial" w:cs="Arial"/>
          <w:b/>
          <w:bCs/>
          <w:sz w:val="22"/>
          <w:szCs w:val="22"/>
        </w:rPr>
      </w:pPr>
      <w:r w:rsidRPr="00307A66">
        <w:rPr>
          <w:rFonts w:ascii="Arial" w:hAnsi="Arial" w:cs="Arial"/>
          <w:b/>
          <w:bCs/>
          <w:sz w:val="22"/>
          <w:szCs w:val="22"/>
        </w:rPr>
        <w:t>ETHICAL APPROVAL</w:t>
      </w:r>
    </w:p>
    <w:p w14:paraId="4DA628A1" w14:textId="7A7187DE" w:rsidR="00785A95" w:rsidRPr="00307A66" w:rsidRDefault="00785A95" w:rsidP="008E70E1">
      <w:pPr>
        <w:widowControl/>
        <w:rPr>
          <w:rFonts w:ascii="Arial" w:hAnsi="Arial" w:cs="Arial"/>
          <w:b/>
          <w:bCs/>
          <w:sz w:val="22"/>
          <w:szCs w:val="22"/>
        </w:rPr>
      </w:pPr>
    </w:p>
    <w:p w14:paraId="2D1AA56D" w14:textId="5BD88F81" w:rsidR="00785A95" w:rsidRPr="00307A66" w:rsidRDefault="00785A95" w:rsidP="00785A95">
      <w:pPr>
        <w:pStyle w:val="ReferHead"/>
        <w:spacing w:after="0"/>
        <w:jc w:val="both"/>
        <w:rPr>
          <w:rFonts w:ascii="Arial" w:hAnsi="Arial" w:cs="Arial"/>
          <w:b w:val="0"/>
          <w:caps w:val="0"/>
          <w:sz w:val="20"/>
        </w:rPr>
      </w:pPr>
      <w:r w:rsidRPr="00307A66">
        <w:rPr>
          <w:rFonts w:ascii="Arial" w:hAnsi="Arial" w:cs="Arial"/>
          <w:b w:val="0"/>
          <w:caps w:val="0"/>
          <w:sz w:val="20"/>
        </w:rPr>
        <w:t>All authors hereby declare that all experiments have been examined and approved by the appropriate ethics committee (UNTH/UREC/2022/02/0146) and have therefore been performed in accordance with the ethical standards laid down in the 1964 Declaration of Helsinki.</w:t>
      </w:r>
    </w:p>
    <w:p w14:paraId="7076589D" w14:textId="2072185A" w:rsidR="00785A95" w:rsidRDefault="00785A95" w:rsidP="008E70E1">
      <w:pPr>
        <w:widowControl/>
        <w:rPr>
          <w:rFonts w:ascii="Arial" w:hAnsi="Arial" w:cs="Arial"/>
          <w:sz w:val="20"/>
        </w:rPr>
      </w:pPr>
    </w:p>
    <w:p w14:paraId="541D04F1" w14:textId="78537FFE" w:rsidR="00560354" w:rsidRDefault="00560354" w:rsidP="008E70E1">
      <w:pPr>
        <w:widowControl/>
        <w:rPr>
          <w:rFonts w:ascii="Arial" w:hAnsi="Arial" w:cs="Arial"/>
          <w:sz w:val="20"/>
        </w:rPr>
      </w:pPr>
    </w:p>
    <w:p w14:paraId="6EDC7265" w14:textId="77777777" w:rsidR="00560354" w:rsidRDefault="00560354" w:rsidP="00560354">
      <w:pPr>
        <w:rPr>
          <w:rFonts w:ascii="Calibri" w:eastAsia="Calibri" w:hAnsi="Calibri"/>
          <w:highlight w:val="yellow"/>
        </w:rPr>
      </w:pPr>
    </w:p>
    <w:p w14:paraId="1A1D7C30" w14:textId="77777777" w:rsidR="00560354" w:rsidRDefault="00560354" w:rsidP="00560354">
      <w:pPr>
        <w:rPr>
          <w:rFonts w:ascii="Calibri" w:eastAsia="Calibri" w:hAnsi="Calibri"/>
          <w:highlight w:val="yellow"/>
        </w:rPr>
      </w:pPr>
      <w:bookmarkStart w:id="2" w:name="_Hlk218868534"/>
    </w:p>
    <w:p w14:paraId="7831FBB3" w14:textId="77777777" w:rsidR="00560354" w:rsidRPr="00005ED1" w:rsidRDefault="00560354" w:rsidP="00560354">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3092000F" w14:textId="77777777" w:rsidR="00560354" w:rsidRPr="00005ED1" w:rsidRDefault="00560354" w:rsidP="00560354">
      <w:pPr>
        <w:pStyle w:val="NoSpacing"/>
        <w:rPr>
          <w:rFonts w:ascii="Arial" w:hAnsi="Arial" w:cs="Arial"/>
          <w:highlight w:val="yellow"/>
        </w:rPr>
      </w:pPr>
    </w:p>
    <w:p w14:paraId="6C190701" w14:textId="77777777" w:rsidR="00560354" w:rsidRDefault="00560354" w:rsidP="0056035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172E9D1D" w14:textId="77777777" w:rsidR="00560354" w:rsidRDefault="00560354" w:rsidP="00560354">
      <w:pPr>
        <w:pStyle w:val="NoSpacing"/>
        <w:rPr>
          <w:rFonts w:ascii="Arial" w:hAnsi="Arial" w:cs="Arial"/>
          <w:highlight w:val="yellow"/>
        </w:rPr>
      </w:pPr>
    </w:p>
    <w:bookmarkEnd w:id="3"/>
    <w:p w14:paraId="36622970" w14:textId="77777777" w:rsidR="00560354" w:rsidRPr="00307A66" w:rsidRDefault="00560354" w:rsidP="008E70E1">
      <w:pPr>
        <w:widowControl/>
        <w:rPr>
          <w:rFonts w:ascii="Arial" w:hAnsi="Arial" w:cs="Arial"/>
          <w:sz w:val="20"/>
        </w:rPr>
      </w:pPr>
    </w:p>
    <w:p w14:paraId="1A09B383" w14:textId="00F3546D" w:rsidR="00096792" w:rsidRPr="00307A66" w:rsidRDefault="003360C6" w:rsidP="008E70E1">
      <w:pPr>
        <w:rPr>
          <w:rFonts w:ascii="Arial" w:hAnsi="Arial" w:cs="Arial"/>
          <w:b/>
          <w:sz w:val="22"/>
          <w:szCs w:val="22"/>
        </w:rPr>
      </w:pPr>
      <w:r w:rsidRPr="00307A66">
        <w:rPr>
          <w:rFonts w:ascii="Arial" w:hAnsi="Arial" w:cs="Arial"/>
          <w:b/>
          <w:sz w:val="22"/>
          <w:szCs w:val="22"/>
        </w:rPr>
        <w:t>REFERENCES</w:t>
      </w:r>
    </w:p>
    <w:p w14:paraId="3DECF2D4" w14:textId="462C7200" w:rsidR="00C94A21" w:rsidRPr="00307A66" w:rsidRDefault="00C94A21" w:rsidP="008E70E1">
      <w:pPr>
        <w:rPr>
          <w:rFonts w:ascii="Arial" w:hAnsi="Arial" w:cs="Arial"/>
          <w:b/>
          <w:sz w:val="20"/>
        </w:rPr>
      </w:pPr>
    </w:p>
    <w:p w14:paraId="411F9AEC"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(1), 6629060.</w:t>
      </w:r>
      <w:r w:rsidRPr="00307A66">
        <w:rPr>
          <w:rFonts w:ascii="Arial" w:hAnsi="Arial" w:cs="Arial"/>
          <w:sz w:val="20"/>
        </w:rPr>
        <w:t xml:space="preserve"> </w:t>
      </w:r>
      <w:hyperlink r:id="rId8" w:history="1">
        <w:r w:rsidRPr="00307A66">
          <w:rPr>
            <w:rStyle w:val="Hyperlink"/>
            <w:rFonts w:ascii="Arial" w:hAnsi="Arial" w:cs="Arial"/>
            <w:sz w:val="20"/>
            <w:shd w:val="clear" w:color="auto" w:fill="FFFFFF"/>
          </w:rPr>
          <w:t>https://doi.org/10.1155/2021/6629060</w:t>
        </w:r>
      </w:hyperlink>
    </w:p>
    <w:p w14:paraId="7487388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Abegaz, S. B. (2021). Human ABO blood groups and their associations with different diseases. </w:t>
      </w:r>
      <w:r w:rsidRPr="00307A66">
        <w:rPr>
          <w:rFonts w:ascii="Arial" w:hAnsi="Arial" w:cs="Arial"/>
          <w:i/>
          <w:iCs/>
          <w:color w:val="222222"/>
          <w:sz w:val="20"/>
          <w:shd w:val="clear" w:color="auto" w:fill="FFFFFF"/>
        </w:rPr>
        <w:t>BioMed research international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2021</w:t>
      </w:r>
      <w:r w:rsidRPr="00307A66">
        <w:rPr>
          <w:rFonts w:ascii="Arial" w:hAnsi="Arial" w:cs="Arial"/>
          <w:color w:val="222222"/>
          <w:sz w:val="20"/>
          <w:shd w:val="clear" w:color="auto" w:fill="FFFFFF"/>
        </w:rPr>
        <w:t xml:space="preserve">(1), 6629060. </w:t>
      </w:r>
      <w:hyperlink r:id="rId9" w:history="1">
        <w:r w:rsidRPr="00307A66">
          <w:rPr>
            <w:rStyle w:val="Hyperlink"/>
            <w:rFonts w:ascii="Arial" w:hAnsi="Arial" w:cs="Arial"/>
            <w:sz w:val="20"/>
            <w:shd w:val="clear" w:color="auto" w:fill="FFFFFF"/>
          </w:rPr>
          <w:t>https://onlinelibrary.wiley.com/doi/abs/10.1155/2021/6629060</w:t>
        </w:r>
      </w:hyperlink>
    </w:p>
    <w:p w14:paraId="0291A437"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Airhomwanbor</w:t>
      </w:r>
      <w:proofErr w:type="spellEnd"/>
      <w:r w:rsidRPr="00307A66">
        <w:rPr>
          <w:rFonts w:ascii="Arial" w:hAnsi="Arial" w:cs="Arial"/>
          <w:sz w:val="20"/>
        </w:rPr>
        <w:t xml:space="preserve">, K. O., Idehen, I. C., </w:t>
      </w:r>
      <w:proofErr w:type="spellStart"/>
      <w:r w:rsidRPr="00307A66">
        <w:rPr>
          <w:rFonts w:ascii="Arial" w:hAnsi="Arial" w:cs="Arial"/>
          <w:sz w:val="20"/>
        </w:rPr>
        <w:t>Okparaku</w:t>
      </w:r>
      <w:proofErr w:type="spellEnd"/>
      <w:r w:rsidRPr="00307A66">
        <w:rPr>
          <w:rFonts w:ascii="Arial" w:hAnsi="Arial" w:cs="Arial"/>
          <w:sz w:val="20"/>
        </w:rPr>
        <w:t xml:space="preserve">, S. O., </w:t>
      </w:r>
      <w:proofErr w:type="spellStart"/>
      <w:r w:rsidRPr="00307A66">
        <w:rPr>
          <w:rFonts w:ascii="Arial" w:hAnsi="Arial" w:cs="Arial"/>
          <w:sz w:val="20"/>
        </w:rPr>
        <w:t>Dic-Ijewere</w:t>
      </w:r>
      <w:proofErr w:type="spellEnd"/>
      <w:r w:rsidRPr="00307A66">
        <w:rPr>
          <w:rFonts w:ascii="Arial" w:hAnsi="Arial" w:cs="Arial"/>
          <w:sz w:val="20"/>
        </w:rPr>
        <w:t xml:space="preserve">, E. O., </w:t>
      </w:r>
      <w:proofErr w:type="spellStart"/>
      <w:r w:rsidRPr="00307A66">
        <w:rPr>
          <w:rFonts w:ascii="Arial" w:hAnsi="Arial" w:cs="Arial"/>
          <w:sz w:val="20"/>
        </w:rPr>
        <w:t>Ehimare</w:t>
      </w:r>
      <w:proofErr w:type="spellEnd"/>
      <w:r w:rsidRPr="00307A66">
        <w:rPr>
          <w:rFonts w:ascii="Arial" w:hAnsi="Arial" w:cs="Arial"/>
          <w:sz w:val="20"/>
        </w:rPr>
        <w:t xml:space="preserve">, R. I., </w:t>
      </w:r>
      <w:proofErr w:type="spellStart"/>
      <w:r w:rsidRPr="00307A66">
        <w:rPr>
          <w:rFonts w:ascii="Arial" w:hAnsi="Arial" w:cs="Arial"/>
          <w:sz w:val="20"/>
        </w:rPr>
        <w:t>Osarobo</w:t>
      </w:r>
      <w:proofErr w:type="spellEnd"/>
      <w:r w:rsidRPr="00307A66">
        <w:rPr>
          <w:rFonts w:ascii="Arial" w:hAnsi="Arial" w:cs="Arial"/>
          <w:sz w:val="20"/>
        </w:rPr>
        <w:t xml:space="preserve">, E., ... &amp; </w:t>
      </w:r>
      <w:proofErr w:type="spellStart"/>
      <w:r w:rsidRPr="00307A66">
        <w:rPr>
          <w:rFonts w:ascii="Arial" w:hAnsi="Arial" w:cs="Arial"/>
          <w:sz w:val="20"/>
        </w:rPr>
        <w:t>Omosun</w:t>
      </w:r>
      <w:proofErr w:type="spellEnd"/>
      <w:r w:rsidRPr="00307A66">
        <w:rPr>
          <w:rFonts w:ascii="Arial" w:hAnsi="Arial" w:cs="Arial"/>
          <w:sz w:val="20"/>
        </w:rPr>
        <w:t xml:space="preserve">, E. R. (2018). Lipid profile variations of the different ABO blood group of apparently healthy subjects in </w:t>
      </w:r>
      <w:proofErr w:type="spellStart"/>
      <w:r w:rsidRPr="00307A66">
        <w:rPr>
          <w:rFonts w:ascii="Arial" w:hAnsi="Arial" w:cs="Arial"/>
          <w:sz w:val="20"/>
        </w:rPr>
        <w:t>Ekpoma</w:t>
      </w:r>
      <w:proofErr w:type="spellEnd"/>
      <w:r w:rsidRPr="00307A66">
        <w:rPr>
          <w:rFonts w:ascii="Arial" w:hAnsi="Arial" w:cs="Arial"/>
          <w:sz w:val="20"/>
        </w:rPr>
        <w:t xml:space="preserve">. </w:t>
      </w:r>
      <w:r w:rsidRPr="00307A66">
        <w:rPr>
          <w:rFonts w:ascii="Arial" w:hAnsi="Arial" w:cs="Arial"/>
          <w:i/>
          <w:iCs/>
          <w:sz w:val="20"/>
        </w:rPr>
        <w:t>Archives of Internal Medicine Research, 1</w:t>
      </w:r>
      <w:r w:rsidRPr="00307A66">
        <w:rPr>
          <w:rFonts w:ascii="Arial" w:hAnsi="Arial" w:cs="Arial"/>
          <w:sz w:val="20"/>
        </w:rPr>
        <w:t xml:space="preserve">(1), 006-015. </w:t>
      </w:r>
      <w:bookmarkStart w:id="4" w:name="_Hlk224068655"/>
      <w:r w:rsidRPr="00307A66">
        <w:rPr>
          <w:rFonts w:ascii="Arial" w:hAnsi="Arial" w:cs="Arial"/>
          <w:sz w:val="20"/>
        </w:rPr>
        <w:t>https://doi.org/</w:t>
      </w:r>
      <w:bookmarkEnd w:id="4"/>
      <w:r w:rsidRPr="00307A66">
        <w:rPr>
          <w:rFonts w:ascii="Arial" w:hAnsi="Arial" w:cs="Arial"/>
          <w:sz w:val="20"/>
        </w:rPr>
        <w:t>10.26502/aimr.002</w:t>
      </w:r>
    </w:p>
    <w:p w14:paraId="28557293"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Bondar, A., </w:t>
      </w:r>
      <w:proofErr w:type="spellStart"/>
      <w:r w:rsidRPr="00307A66">
        <w:rPr>
          <w:rFonts w:ascii="Arial" w:hAnsi="Arial" w:cs="Arial"/>
          <w:color w:val="222222"/>
          <w:sz w:val="20"/>
          <w:shd w:val="clear" w:color="auto" w:fill="FFFFFF"/>
        </w:rPr>
        <w:t>Horodincu</w:t>
      </w:r>
      <w:proofErr w:type="spellEnd"/>
      <w:r w:rsidRPr="00307A66">
        <w:rPr>
          <w:rFonts w:ascii="Arial" w:hAnsi="Arial" w:cs="Arial"/>
          <w:color w:val="222222"/>
          <w:sz w:val="20"/>
          <w:shd w:val="clear" w:color="auto" w:fill="FFFFFF"/>
        </w:rPr>
        <w:t xml:space="preserve">, L.,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xml:space="preserve">, G., &amp; </w:t>
      </w:r>
      <w:proofErr w:type="spellStart"/>
      <w:r w:rsidRPr="00307A66">
        <w:rPr>
          <w:rFonts w:ascii="Arial" w:hAnsi="Arial" w:cs="Arial"/>
          <w:color w:val="222222"/>
          <w:sz w:val="20"/>
          <w:shd w:val="clear" w:color="auto" w:fill="FFFFFF"/>
        </w:rPr>
        <w:t>Solcan</w:t>
      </w:r>
      <w:proofErr w:type="spellEnd"/>
      <w:r w:rsidRPr="00307A66">
        <w:rPr>
          <w:rFonts w:ascii="Arial" w:hAnsi="Arial" w:cs="Arial"/>
          <w:color w:val="222222"/>
          <w:sz w:val="20"/>
          <w:shd w:val="clear" w:color="auto" w:fill="FFFFFF"/>
        </w:rPr>
        <w:t>, C. (2023). Use of Spirulina platensis and Curcuma longa as Nutraceuticals in Poultry. </w:t>
      </w:r>
      <w:r w:rsidRPr="00307A66">
        <w:rPr>
          <w:rFonts w:ascii="Arial" w:hAnsi="Arial" w:cs="Arial"/>
          <w:i/>
          <w:iCs/>
          <w:color w:val="222222"/>
          <w:sz w:val="20"/>
          <w:shd w:val="clear" w:color="auto" w:fill="FFFFFF"/>
        </w:rPr>
        <w:t>Agriculture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(8), 1553. </w:t>
      </w:r>
      <w:hyperlink r:id="rId10" w:history="1">
        <w:r w:rsidRPr="00307A66">
          <w:rPr>
            <w:rStyle w:val="Hyperlink"/>
            <w:rFonts w:ascii="Arial" w:hAnsi="Arial" w:cs="Arial"/>
            <w:sz w:val="20"/>
            <w:shd w:val="clear" w:color="auto" w:fill="FFFFFF"/>
          </w:rPr>
          <w:t>https://doi.org/10.3390/agriculture13081553</w:t>
        </w:r>
      </w:hyperlink>
    </w:p>
    <w:p w14:paraId="71194BC4" w14:textId="16201A83"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Boren, J., Chapman, M. J., Krauss, R. M., Packard, C. J., Bentzon, J. F., Binder, C. J., </w:t>
      </w:r>
      <w:r w:rsidR="00DA79A9">
        <w:rPr>
          <w:rFonts w:ascii="Arial" w:hAnsi="Arial" w:cs="Arial"/>
          <w:color w:val="222222"/>
          <w:sz w:val="20"/>
          <w:shd w:val="clear" w:color="auto" w:fill="FFFFFF"/>
        </w:rPr>
        <w:t xml:space="preserve"> </w:t>
      </w:r>
      <w:r w:rsidRPr="00307A66">
        <w:rPr>
          <w:rFonts w:ascii="Arial" w:hAnsi="Arial" w:cs="Arial"/>
          <w:color w:val="222222"/>
          <w:sz w:val="20"/>
          <w:shd w:val="clear" w:color="auto" w:fill="FFFFFF"/>
        </w:rPr>
        <w:t xml:space="preserve">&amp; Ginsberg, H. N. (2020). Low-density lipoproteins cause atherosclerotic </w:t>
      </w:r>
      <w:r w:rsidRPr="00307A66">
        <w:rPr>
          <w:rFonts w:ascii="Arial" w:hAnsi="Arial" w:cs="Arial"/>
          <w:color w:val="222222"/>
          <w:sz w:val="20"/>
          <w:shd w:val="clear" w:color="auto" w:fill="FFFFFF"/>
        </w:rPr>
        <w:lastRenderedPageBreak/>
        <w:t>cardiovascular disease: pathophysiological, genetic, and therapeutic insights: a consensus statement from the European Atherosclerosis Society Consensus Panel. </w:t>
      </w:r>
      <w:r w:rsidRPr="00307A66">
        <w:rPr>
          <w:rFonts w:ascii="Arial" w:hAnsi="Arial" w:cs="Arial"/>
          <w:i/>
          <w:iCs/>
          <w:color w:val="222222"/>
          <w:sz w:val="20"/>
          <w:shd w:val="clear" w:color="auto" w:fill="FFFFFF"/>
        </w:rPr>
        <w:t>European heart journal</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41</w:t>
      </w:r>
      <w:r w:rsidRPr="00307A66">
        <w:rPr>
          <w:rFonts w:ascii="Arial" w:hAnsi="Arial" w:cs="Arial"/>
          <w:color w:val="222222"/>
          <w:sz w:val="20"/>
          <w:shd w:val="clear" w:color="auto" w:fill="FFFFFF"/>
        </w:rPr>
        <w:t>(24), 2313-2330.</w:t>
      </w:r>
      <w:r w:rsidRPr="00307A66">
        <w:rPr>
          <w:rFonts w:ascii="Arial" w:hAnsi="Arial" w:cs="Arial"/>
          <w:sz w:val="20"/>
        </w:rPr>
        <w:t xml:space="preserve"> </w:t>
      </w:r>
      <w:hyperlink r:id="rId11" w:history="1">
        <w:r w:rsidRPr="00307A66">
          <w:rPr>
            <w:rStyle w:val="Hyperlink"/>
            <w:rFonts w:ascii="Arial" w:hAnsi="Arial" w:cs="Arial"/>
            <w:sz w:val="20"/>
            <w:shd w:val="clear" w:color="auto" w:fill="FFFFFF"/>
          </w:rPr>
          <w:t>https://doi.org/10.1093/eurheartj/ehz962</w:t>
        </w:r>
      </w:hyperlink>
    </w:p>
    <w:p w14:paraId="727C914A"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Branch, D. R. (2015).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A and anti</w:t>
      </w:r>
      <w:r w:rsidRPr="00307A66">
        <w:rPr>
          <w:rFonts w:ascii="Cambria Math" w:hAnsi="Cambria Math" w:cs="Cambria Math"/>
          <w:color w:val="222222"/>
          <w:sz w:val="20"/>
          <w:shd w:val="clear" w:color="auto" w:fill="FFFFFF"/>
        </w:rPr>
        <w:t>‐</w:t>
      </w:r>
      <w:r w:rsidRPr="00307A66">
        <w:rPr>
          <w:rFonts w:ascii="Arial" w:hAnsi="Arial" w:cs="Arial"/>
          <w:color w:val="222222"/>
          <w:sz w:val="20"/>
          <w:shd w:val="clear" w:color="auto" w:fill="FFFFFF"/>
        </w:rPr>
        <w:t xml:space="preserve">B: what are they and where do they come </w:t>
      </w:r>
      <w:proofErr w:type="gramStart"/>
      <w:r w:rsidRPr="00307A66">
        <w:rPr>
          <w:rFonts w:ascii="Arial" w:hAnsi="Arial" w:cs="Arial"/>
          <w:color w:val="222222"/>
          <w:sz w:val="20"/>
          <w:shd w:val="clear" w:color="auto" w:fill="FFFFFF"/>
        </w:rPr>
        <w:t>from?.</w:t>
      </w:r>
      <w:proofErr w:type="gram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Transfusion</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55</w:t>
      </w:r>
      <w:r w:rsidRPr="00307A66">
        <w:rPr>
          <w:rFonts w:ascii="Arial" w:hAnsi="Arial" w:cs="Arial"/>
          <w:color w:val="222222"/>
          <w:sz w:val="20"/>
          <w:shd w:val="clear" w:color="auto" w:fill="FFFFFF"/>
        </w:rPr>
        <w:t xml:space="preserve">(S2), S74-S79. </w:t>
      </w:r>
      <w:hyperlink r:id="rId12" w:history="1">
        <w:r w:rsidRPr="00307A66">
          <w:rPr>
            <w:rStyle w:val="Hyperlink"/>
            <w:rFonts w:ascii="Arial" w:hAnsi="Arial" w:cs="Arial"/>
            <w:sz w:val="20"/>
            <w:shd w:val="clear" w:color="auto" w:fill="FFFFFF"/>
          </w:rPr>
          <w:t>https://doi.org/10.1111/trf.13087</w:t>
        </w:r>
      </w:hyperlink>
    </w:p>
    <w:p w14:paraId="2FDEC416"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de Mattos, L. C. (2016). Structural diversity and biological importance of ABO, H, Lewis and secretor </w:t>
      </w:r>
      <w:proofErr w:type="spellStart"/>
      <w:r w:rsidRPr="00307A66">
        <w:rPr>
          <w:rFonts w:ascii="Arial" w:hAnsi="Arial" w:cs="Arial"/>
          <w:color w:val="222222"/>
          <w:sz w:val="20"/>
          <w:shd w:val="clear" w:color="auto" w:fill="FFFFFF"/>
        </w:rPr>
        <w:t>histo</w:t>
      </w:r>
      <w:proofErr w:type="spellEnd"/>
      <w:r w:rsidRPr="00307A66">
        <w:rPr>
          <w:rFonts w:ascii="Arial" w:hAnsi="Arial" w:cs="Arial"/>
          <w:color w:val="222222"/>
          <w:sz w:val="20"/>
          <w:shd w:val="clear" w:color="auto" w:fill="FFFFFF"/>
        </w:rPr>
        <w:t>-blood group carbohydrates. </w:t>
      </w:r>
      <w:proofErr w:type="spellStart"/>
      <w:r w:rsidRPr="00307A66">
        <w:rPr>
          <w:rFonts w:ascii="Arial" w:hAnsi="Arial" w:cs="Arial"/>
          <w:i/>
          <w:iCs/>
          <w:color w:val="222222"/>
          <w:sz w:val="20"/>
          <w:shd w:val="clear" w:color="auto" w:fill="FFFFFF"/>
        </w:rPr>
        <w:t>Revista</w:t>
      </w:r>
      <w:proofErr w:type="spellEnd"/>
      <w:r w:rsidRPr="00307A66">
        <w:rPr>
          <w:rFonts w:ascii="Arial" w:hAnsi="Arial" w:cs="Arial"/>
          <w:i/>
          <w:iCs/>
          <w:color w:val="222222"/>
          <w:sz w:val="20"/>
          <w:shd w:val="clear" w:color="auto" w:fill="FFFFFF"/>
        </w:rPr>
        <w:t xml:space="preserve"> </w:t>
      </w:r>
      <w:proofErr w:type="spellStart"/>
      <w:r w:rsidRPr="00307A66">
        <w:rPr>
          <w:rFonts w:ascii="Arial" w:hAnsi="Arial" w:cs="Arial"/>
          <w:i/>
          <w:iCs/>
          <w:color w:val="222222"/>
          <w:sz w:val="20"/>
          <w:shd w:val="clear" w:color="auto" w:fill="FFFFFF"/>
        </w:rPr>
        <w:t>brasileira</w:t>
      </w:r>
      <w:proofErr w:type="spellEnd"/>
      <w:r w:rsidRPr="00307A66">
        <w:rPr>
          <w:rFonts w:ascii="Arial" w:hAnsi="Arial" w:cs="Arial"/>
          <w:i/>
          <w:iCs/>
          <w:color w:val="222222"/>
          <w:sz w:val="20"/>
          <w:shd w:val="clear" w:color="auto" w:fill="FFFFFF"/>
        </w:rPr>
        <w:t xml:space="preserve"> de </w:t>
      </w:r>
      <w:proofErr w:type="spellStart"/>
      <w:r w:rsidRPr="00307A66">
        <w:rPr>
          <w:rFonts w:ascii="Arial" w:hAnsi="Arial" w:cs="Arial"/>
          <w:i/>
          <w:iCs/>
          <w:color w:val="222222"/>
          <w:sz w:val="20"/>
          <w:shd w:val="clear" w:color="auto" w:fill="FFFFFF"/>
        </w:rPr>
        <w:t>hematologia</w:t>
      </w:r>
      <w:proofErr w:type="spellEnd"/>
      <w:r w:rsidRPr="00307A66">
        <w:rPr>
          <w:rFonts w:ascii="Arial" w:hAnsi="Arial" w:cs="Arial"/>
          <w:i/>
          <w:iCs/>
          <w:color w:val="222222"/>
          <w:sz w:val="20"/>
          <w:shd w:val="clear" w:color="auto" w:fill="FFFFFF"/>
        </w:rPr>
        <w:t xml:space="preserve"> e </w:t>
      </w:r>
      <w:proofErr w:type="spellStart"/>
      <w:r w:rsidRPr="00307A66">
        <w:rPr>
          <w:rFonts w:ascii="Arial" w:hAnsi="Arial" w:cs="Arial"/>
          <w:i/>
          <w:iCs/>
          <w:color w:val="222222"/>
          <w:sz w:val="20"/>
          <w:shd w:val="clear" w:color="auto" w:fill="FFFFFF"/>
        </w:rPr>
        <w:t>hemoterapia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38</w:t>
      </w:r>
      <w:r w:rsidRPr="00307A66">
        <w:rPr>
          <w:rFonts w:ascii="Arial" w:hAnsi="Arial" w:cs="Arial"/>
          <w:color w:val="222222"/>
          <w:sz w:val="20"/>
          <w:shd w:val="clear" w:color="auto" w:fill="FFFFFF"/>
        </w:rPr>
        <w:t>(4), 331-340.</w:t>
      </w:r>
      <w:r w:rsidRPr="00307A66">
        <w:rPr>
          <w:rFonts w:ascii="Arial" w:hAnsi="Arial" w:cs="Arial"/>
          <w:sz w:val="20"/>
        </w:rPr>
        <w:t xml:space="preserve"> </w:t>
      </w:r>
      <w:hyperlink r:id="rId13" w:history="1">
        <w:r w:rsidRPr="00307A66">
          <w:rPr>
            <w:rStyle w:val="Hyperlink"/>
            <w:rFonts w:ascii="Arial" w:hAnsi="Arial" w:cs="Arial"/>
            <w:sz w:val="20"/>
            <w:shd w:val="clear" w:color="auto" w:fill="FFFFFF"/>
          </w:rPr>
          <w:t>https://doi.org/10.1016/j.bjhh.2016.07.005</w:t>
        </w:r>
      </w:hyperlink>
    </w:p>
    <w:p w14:paraId="101551BE"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Ewald, D. R., &amp; Sumner, S. C. (2018). Human microbiota, blood group antigens, and disease. </w:t>
      </w:r>
      <w:r w:rsidRPr="00307A66">
        <w:rPr>
          <w:rFonts w:ascii="Arial" w:hAnsi="Arial" w:cs="Arial"/>
          <w:i/>
          <w:iCs/>
          <w:color w:val="222222"/>
          <w:sz w:val="20"/>
          <w:shd w:val="clear" w:color="auto" w:fill="FFFFFF"/>
        </w:rPr>
        <w:t>Wiley Interdisciplinary Reviews: Systems Biology and 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10</w:t>
      </w:r>
      <w:r w:rsidRPr="00307A66">
        <w:rPr>
          <w:rFonts w:ascii="Arial" w:hAnsi="Arial" w:cs="Arial"/>
          <w:color w:val="222222"/>
          <w:sz w:val="20"/>
          <w:shd w:val="clear" w:color="auto" w:fill="FFFFFF"/>
        </w:rPr>
        <w:t>(3), e1413.</w:t>
      </w:r>
      <w:r w:rsidRPr="00307A66">
        <w:rPr>
          <w:rFonts w:ascii="Arial" w:hAnsi="Arial" w:cs="Arial"/>
          <w:sz w:val="20"/>
        </w:rPr>
        <w:t xml:space="preserve"> </w:t>
      </w:r>
      <w:r w:rsidRPr="00307A66">
        <w:rPr>
          <w:rFonts w:ascii="Arial" w:hAnsi="Arial" w:cs="Arial"/>
          <w:color w:val="222222"/>
          <w:sz w:val="20"/>
          <w:shd w:val="clear" w:color="auto" w:fill="FFFFFF"/>
        </w:rPr>
        <w:t>https://doi.org/10.1002/</w:t>
      </w:r>
    </w:p>
    <w:p w14:paraId="1CEDA005"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Ference, B. A., </w:t>
      </w:r>
      <w:proofErr w:type="spellStart"/>
      <w:r w:rsidRPr="00307A66">
        <w:rPr>
          <w:rFonts w:ascii="Arial" w:hAnsi="Arial" w:cs="Arial"/>
          <w:color w:val="222222"/>
          <w:sz w:val="20"/>
          <w:shd w:val="clear" w:color="auto" w:fill="FFFFFF"/>
        </w:rPr>
        <w:t>Braunwald</w:t>
      </w:r>
      <w:proofErr w:type="spellEnd"/>
      <w:r w:rsidRPr="00307A66">
        <w:rPr>
          <w:rFonts w:ascii="Arial" w:hAnsi="Arial" w:cs="Arial"/>
          <w:color w:val="222222"/>
          <w:sz w:val="20"/>
          <w:shd w:val="clear" w:color="auto" w:fill="FFFFFF"/>
        </w:rPr>
        <w:t>, E., &amp; Catapano, A. L. (2024). The LDL cumulative exposure hypothesis: evidence and practical applications. </w:t>
      </w:r>
      <w:r w:rsidRPr="00307A66">
        <w:rPr>
          <w:rFonts w:ascii="Arial" w:hAnsi="Arial" w:cs="Arial"/>
          <w:i/>
          <w:iCs/>
          <w:color w:val="222222"/>
          <w:sz w:val="20"/>
          <w:shd w:val="clear" w:color="auto" w:fill="FFFFFF"/>
        </w:rPr>
        <w:t>Nature Reviews Cardiology</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21</w:t>
      </w:r>
      <w:r w:rsidRPr="00307A66">
        <w:rPr>
          <w:rFonts w:ascii="Arial" w:hAnsi="Arial" w:cs="Arial"/>
          <w:color w:val="222222"/>
          <w:sz w:val="20"/>
          <w:shd w:val="clear" w:color="auto" w:fill="FFFFFF"/>
        </w:rPr>
        <w:t xml:space="preserve">(10), 701-716. </w:t>
      </w:r>
      <w:hyperlink r:id="rId14" w:history="1">
        <w:bookmarkStart w:id="5" w:name="_Hlk224068539"/>
        <w:r w:rsidRPr="00307A66">
          <w:rPr>
            <w:rStyle w:val="Hyperlink"/>
            <w:rFonts w:ascii="Arial" w:hAnsi="Arial" w:cs="Arial"/>
            <w:sz w:val="20"/>
            <w:shd w:val="clear" w:color="auto" w:fill="FFFFFF"/>
          </w:rPr>
          <w:t>https://doi.org/</w:t>
        </w:r>
        <w:bookmarkEnd w:id="5"/>
        <w:r w:rsidRPr="00307A66">
          <w:rPr>
            <w:rStyle w:val="Hyperlink"/>
            <w:rFonts w:ascii="Arial" w:hAnsi="Arial" w:cs="Arial"/>
            <w:sz w:val="20"/>
            <w:shd w:val="clear" w:color="auto" w:fill="FFFFFF"/>
          </w:rPr>
          <w:t>10.1038/s41569-024-01039-5</w:t>
        </w:r>
      </w:hyperlink>
    </w:p>
    <w:p w14:paraId="6320A9EB"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Iheanacho, K. M., Offiah, S. A., Udo, M., Ugonabu, M. C., </w:t>
      </w:r>
      <w:proofErr w:type="spellStart"/>
      <w:r w:rsidRPr="00307A66">
        <w:rPr>
          <w:rFonts w:ascii="Arial" w:hAnsi="Arial" w:cs="Arial"/>
          <w:sz w:val="20"/>
        </w:rPr>
        <w:t>Onukaogu</w:t>
      </w:r>
      <w:proofErr w:type="spellEnd"/>
      <w:r w:rsidRPr="00307A66">
        <w:rPr>
          <w:rFonts w:ascii="Arial" w:hAnsi="Arial" w:cs="Arial"/>
          <w:sz w:val="20"/>
        </w:rPr>
        <w:t xml:space="preserve">, I. V., &amp; Chigbu, L. (2018). Evaluation of lipid profile of different ABO blood groups. </w:t>
      </w:r>
      <w:r w:rsidRPr="00307A66">
        <w:rPr>
          <w:rFonts w:ascii="Arial" w:hAnsi="Arial" w:cs="Arial"/>
          <w:i/>
          <w:iCs/>
          <w:sz w:val="20"/>
        </w:rPr>
        <w:t>International Journal of Research Studies in Medical and Health Sciences, 3</w:t>
      </w:r>
      <w:r w:rsidRPr="00307A66">
        <w:rPr>
          <w:rFonts w:ascii="Arial" w:hAnsi="Arial" w:cs="Arial"/>
          <w:sz w:val="20"/>
        </w:rPr>
        <w:t>, 13-14.</w:t>
      </w:r>
    </w:p>
    <w:p w14:paraId="77238EDC" w14:textId="77777777" w:rsidR="00400899" w:rsidRPr="00307A66" w:rsidRDefault="00400899" w:rsidP="008E70E1">
      <w:pPr>
        <w:pStyle w:val="ListParagraph"/>
        <w:numPr>
          <w:ilvl w:val="0"/>
          <w:numId w:val="2"/>
        </w:numPr>
        <w:rPr>
          <w:rFonts w:ascii="Arial" w:hAnsi="Arial" w:cs="Arial"/>
          <w:i/>
          <w:iCs/>
          <w:color w:val="222222"/>
          <w:sz w:val="20"/>
          <w:shd w:val="clear" w:color="auto" w:fill="FFFFFF"/>
        </w:rPr>
      </w:pPr>
      <w:r w:rsidRPr="00307A66">
        <w:rPr>
          <w:rFonts w:ascii="Arial" w:hAnsi="Arial" w:cs="Arial"/>
          <w:color w:val="222222"/>
          <w:sz w:val="20"/>
          <w:shd w:val="clear" w:color="auto" w:fill="FFFFFF"/>
        </w:rPr>
        <w:t>Linton, M. F., Yancey, P. G., Davies, S. S., Jerome, W. G., Linton, E. F., Song, W. L., ... &amp; Vickers, K. C. (2019). The role of lipids and lipoproteins in atherosclerosis. </w:t>
      </w:r>
      <w:proofErr w:type="spellStart"/>
      <w:r w:rsidRPr="00307A66">
        <w:rPr>
          <w:rFonts w:ascii="Arial" w:hAnsi="Arial" w:cs="Arial"/>
          <w:i/>
          <w:iCs/>
          <w:color w:val="222222"/>
          <w:sz w:val="20"/>
          <w:shd w:val="clear" w:color="auto" w:fill="FFFFFF"/>
        </w:rPr>
        <w:t>Endotext</w:t>
      </w:r>
      <w:proofErr w:type="spellEnd"/>
      <w:r w:rsidRPr="00307A66">
        <w:rPr>
          <w:rFonts w:ascii="Arial" w:hAnsi="Arial" w:cs="Arial"/>
          <w:i/>
          <w:iCs/>
          <w:color w:val="222222"/>
          <w:sz w:val="20"/>
          <w:shd w:val="clear" w:color="auto" w:fill="FFFFFF"/>
        </w:rPr>
        <w:t>[https://www.ncbi.nlm.nih.gov/books/NBK343489/]</w:t>
      </w:r>
    </w:p>
    <w:p w14:paraId="2A2C7CBE" w14:textId="77777777" w:rsidR="00400899" w:rsidRPr="00307A66" w:rsidRDefault="00400899" w:rsidP="008E70E1">
      <w:pPr>
        <w:pStyle w:val="ListParagraph"/>
        <w:numPr>
          <w:ilvl w:val="0"/>
          <w:numId w:val="2"/>
        </w:numPr>
        <w:rPr>
          <w:rFonts w:ascii="Arial" w:hAnsi="Arial" w:cs="Arial"/>
          <w:color w:val="3B3030"/>
          <w:sz w:val="20"/>
          <w:shd w:val="clear" w:color="auto" w:fill="FFFFFF"/>
        </w:rPr>
      </w:pPr>
      <w:r w:rsidRPr="00307A66">
        <w:rPr>
          <w:rFonts w:ascii="Arial" w:hAnsi="Arial" w:cs="Arial"/>
          <w:color w:val="222222"/>
          <w:sz w:val="20"/>
          <w:shd w:val="clear" w:color="auto" w:fill="FFFFFF"/>
        </w:rPr>
        <w:t xml:space="preserve">Neshat, S., Rezaei, A., Farid, A., Javanshir, S., Niri, F. D., </w:t>
      </w:r>
      <w:proofErr w:type="spellStart"/>
      <w:r w:rsidRPr="00307A66">
        <w:rPr>
          <w:rFonts w:ascii="Arial" w:hAnsi="Arial" w:cs="Arial"/>
          <w:color w:val="222222"/>
          <w:sz w:val="20"/>
          <w:shd w:val="clear" w:color="auto" w:fill="FFFFFF"/>
        </w:rPr>
        <w:t>Daneii</w:t>
      </w:r>
      <w:proofErr w:type="spellEnd"/>
      <w:r w:rsidRPr="00307A66">
        <w:rPr>
          <w:rFonts w:ascii="Arial" w:hAnsi="Arial" w:cs="Arial"/>
          <w:color w:val="222222"/>
          <w:sz w:val="20"/>
          <w:shd w:val="clear" w:color="auto" w:fill="FFFFFF"/>
        </w:rPr>
        <w:t xml:space="preserve">, P., ... &amp; </w:t>
      </w:r>
      <w:proofErr w:type="spellStart"/>
      <w:r w:rsidRPr="00307A66">
        <w:rPr>
          <w:rFonts w:ascii="Arial" w:hAnsi="Arial" w:cs="Arial"/>
          <w:color w:val="222222"/>
          <w:sz w:val="20"/>
          <w:shd w:val="clear" w:color="auto" w:fill="FFFFFF"/>
        </w:rPr>
        <w:t>Korani</w:t>
      </w:r>
      <w:proofErr w:type="spellEnd"/>
      <w:r w:rsidRPr="00307A66">
        <w:rPr>
          <w:rFonts w:ascii="Arial" w:hAnsi="Arial" w:cs="Arial"/>
          <w:color w:val="222222"/>
          <w:sz w:val="20"/>
          <w:shd w:val="clear" w:color="auto" w:fill="FFFFFF"/>
        </w:rPr>
        <w:t>, S. S. (2024). Cardiovascular diseases risk predictors: ABO blood groups in a different role. </w:t>
      </w:r>
      <w:r w:rsidRPr="00307A66">
        <w:rPr>
          <w:rFonts w:ascii="Arial" w:hAnsi="Arial" w:cs="Arial"/>
          <w:i/>
          <w:iCs/>
          <w:color w:val="222222"/>
          <w:sz w:val="20"/>
          <w:shd w:val="clear" w:color="auto" w:fill="FFFFFF"/>
        </w:rPr>
        <w:t>Cardiology in Review</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32</w:t>
      </w:r>
      <w:r w:rsidRPr="00307A66">
        <w:rPr>
          <w:rFonts w:ascii="Arial" w:hAnsi="Arial" w:cs="Arial"/>
          <w:color w:val="222222"/>
          <w:sz w:val="20"/>
          <w:shd w:val="clear" w:color="auto" w:fill="FFFFFF"/>
        </w:rPr>
        <w:t>(2), 174-179.</w:t>
      </w:r>
      <w:r w:rsidRPr="00307A66">
        <w:rPr>
          <w:rFonts w:ascii="Arial" w:hAnsi="Arial" w:cs="Arial"/>
          <w:color w:val="3B3030"/>
          <w:sz w:val="20"/>
          <w:shd w:val="clear" w:color="auto" w:fill="FFFFFF"/>
        </w:rPr>
        <w:t xml:space="preserve"> </w:t>
      </w:r>
      <w:hyperlink r:id="rId15" w:history="1">
        <w:r w:rsidRPr="00307A66">
          <w:rPr>
            <w:rStyle w:val="Hyperlink"/>
            <w:rFonts w:ascii="Arial" w:hAnsi="Arial" w:cs="Arial"/>
            <w:sz w:val="20"/>
            <w:shd w:val="clear" w:color="auto" w:fill="FFFFFF"/>
          </w:rPr>
          <w:t>https://doi.org/10.1097/CRD.0000000000000463</w:t>
        </w:r>
      </w:hyperlink>
    </w:p>
    <w:p w14:paraId="07BA51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Nimisha, V. (2015). </w:t>
      </w:r>
      <w:r w:rsidRPr="00307A66">
        <w:rPr>
          <w:rFonts w:ascii="Arial" w:hAnsi="Arial" w:cs="Arial"/>
          <w:i/>
          <w:iCs/>
          <w:color w:val="222222"/>
          <w:sz w:val="20"/>
          <w:shd w:val="clear" w:color="auto" w:fill="FFFFFF"/>
        </w:rPr>
        <w:t xml:space="preserve">A Cross Sectional Study to Correlate Biochemical Parameters with Risk Factors of Coronary Heart Disease in </w:t>
      </w:r>
      <w:proofErr w:type="spellStart"/>
      <w:r w:rsidRPr="00307A66">
        <w:rPr>
          <w:rFonts w:ascii="Arial" w:hAnsi="Arial" w:cs="Arial"/>
          <w:i/>
          <w:iCs/>
          <w:color w:val="222222"/>
          <w:sz w:val="20"/>
          <w:shd w:val="clear" w:color="auto" w:fill="FFFFFF"/>
        </w:rPr>
        <w:t>Mandya</w:t>
      </w:r>
      <w:proofErr w:type="spellEnd"/>
      <w:r w:rsidRPr="00307A66">
        <w:rPr>
          <w:rFonts w:ascii="Arial" w:hAnsi="Arial" w:cs="Arial"/>
          <w:i/>
          <w:iCs/>
          <w:color w:val="222222"/>
          <w:sz w:val="20"/>
          <w:shd w:val="clear" w:color="auto" w:fill="FFFFFF"/>
        </w:rPr>
        <w:t xml:space="preserve"> City</w:t>
      </w:r>
      <w:r w:rsidRPr="00307A66">
        <w:rPr>
          <w:rFonts w:ascii="Arial" w:hAnsi="Arial" w:cs="Arial"/>
          <w:color w:val="222222"/>
          <w:sz w:val="20"/>
          <w:shd w:val="clear" w:color="auto" w:fill="FFFFFF"/>
        </w:rPr>
        <w:t xml:space="preserve"> (Doctoral dissertation, Rajiv Gandhi University of Health Sciences (India)). </w:t>
      </w:r>
      <w:hyperlink r:id="rId16" w:history="1">
        <w:r w:rsidRPr="00307A66">
          <w:rPr>
            <w:rStyle w:val="Hyperlink"/>
            <w:rFonts w:ascii="Arial" w:hAnsi="Arial" w:cs="Arial"/>
            <w:sz w:val="20"/>
            <w:shd w:val="clear" w:color="auto" w:fill="FFFFFF"/>
          </w:rPr>
          <w:t>https://search.proquest.com/openview/1b33b7541b1257a84c2b3f03399a9e27/1?pq-origsite=gscholar&amp;cbl=2026366&amp;diss=y</w:t>
        </w:r>
      </w:hyperlink>
    </w:p>
    <w:p w14:paraId="11D0AD3D" w14:textId="77777777" w:rsidR="00400899" w:rsidRPr="00307A66" w:rsidRDefault="00400899" w:rsidP="008E70E1">
      <w:pPr>
        <w:pStyle w:val="ListParagraph"/>
        <w:widowControl/>
        <w:numPr>
          <w:ilvl w:val="0"/>
          <w:numId w:val="2"/>
        </w:numPr>
        <w:rPr>
          <w:rFonts w:ascii="Arial" w:hAnsi="Arial" w:cs="Arial"/>
          <w:sz w:val="20"/>
        </w:rPr>
      </w:pPr>
      <w:proofErr w:type="spellStart"/>
      <w:r w:rsidRPr="00307A66">
        <w:rPr>
          <w:rFonts w:ascii="Arial" w:hAnsi="Arial" w:cs="Arial"/>
          <w:sz w:val="20"/>
        </w:rPr>
        <w:t>Nnodim</w:t>
      </w:r>
      <w:proofErr w:type="spellEnd"/>
      <w:r w:rsidRPr="00307A66">
        <w:rPr>
          <w:rFonts w:ascii="Arial" w:hAnsi="Arial" w:cs="Arial"/>
          <w:sz w:val="20"/>
        </w:rPr>
        <w:t xml:space="preserve">, J., &amp; Francis, U. G. (2022). Evaluation of pattern of lipid profile of subjects with different ABO groups in Madonna University Elele Rivers State Nigeria. </w:t>
      </w:r>
      <w:r w:rsidRPr="00307A66">
        <w:rPr>
          <w:rFonts w:ascii="Arial" w:hAnsi="Arial" w:cs="Arial"/>
          <w:i/>
          <w:iCs/>
          <w:sz w:val="20"/>
        </w:rPr>
        <w:t xml:space="preserve">Journal La </w:t>
      </w:r>
      <w:proofErr w:type="spellStart"/>
      <w:r w:rsidRPr="00307A66">
        <w:rPr>
          <w:rFonts w:ascii="Arial" w:hAnsi="Arial" w:cs="Arial"/>
          <w:i/>
          <w:iCs/>
          <w:sz w:val="20"/>
        </w:rPr>
        <w:t>Medihealtico</w:t>
      </w:r>
      <w:proofErr w:type="spellEnd"/>
      <w:r w:rsidRPr="00307A66">
        <w:rPr>
          <w:rFonts w:ascii="Arial" w:hAnsi="Arial" w:cs="Arial"/>
          <w:i/>
          <w:iCs/>
          <w:sz w:val="20"/>
        </w:rPr>
        <w:t>, 3</w:t>
      </w:r>
      <w:r w:rsidRPr="00307A66">
        <w:rPr>
          <w:rFonts w:ascii="Arial" w:hAnsi="Arial" w:cs="Arial"/>
          <w:sz w:val="20"/>
        </w:rPr>
        <w:t>(2), 104-109. https://doi.org/10.37899/journallamedihealtico.v3i2.621</w:t>
      </w:r>
    </w:p>
    <w:p w14:paraId="0D92BD1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Noor, N. H. M., &amp; Asmaa, M. J. S. (2024). Karl Landsteiner (1868–1943): A Versatile Blood Scientist. </w:t>
      </w:r>
      <w:r w:rsidRPr="00307A66">
        <w:rPr>
          <w:rFonts w:ascii="Arial" w:hAnsi="Arial" w:cs="Arial"/>
          <w:i/>
          <w:iCs/>
          <w:color w:val="222222"/>
          <w:sz w:val="20"/>
          <w:shd w:val="clear" w:color="auto" w:fill="FFFFFF"/>
        </w:rPr>
        <w:t>Cureus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16</w:t>
      </w:r>
      <w:r w:rsidRPr="00307A66">
        <w:rPr>
          <w:rFonts w:ascii="Arial" w:hAnsi="Arial" w:cs="Arial"/>
          <w:color w:val="222222"/>
          <w:sz w:val="20"/>
          <w:shd w:val="clear" w:color="auto" w:fill="FFFFFF"/>
        </w:rPr>
        <w:t>(9).</w:t>
      </w:r>
      <w:hyperlink r:id="rId17" w:history="1">
        <w:r w:rsidRPr="00307A66">
          <w:rPr>
            <w:rStyle w:val="Hyperlink"/>
            <w:rFonts w:ascii="Arial" w:hAnsi="Arial" w:cs="Arial"/>
            <w:sz w:val="20"/>
            <w:shd w:val="clear" w:color="auto" w:fill="FFFFFF"/>
          </w:rPr>
          <w:t>https://www.cureus.com/articles/289789-karl-landsteiner-1868-1943-a-versatile-blood-scientist.pdf</w:t>
        </w:r>
      </w:hyperlink>
    </w:p>
    <w:p w14:paraId="516C596B" w14:textId="77777777" w:rsidR="00400899" w:rsidRPr="00307A66" w:rsidRDefault="00400899" w:rsidP="008E70E1">
      <w:pPr>
        <w:pStyle w:val="ListParagraph"/>
        <w:numPr>
          <w:ilvl w:val="0"/>
          <w:numId w:val="2"/>
        </w:numPr>
        <w:rPr>
          <w:rFonts w:ascii="Arial" w:hAnsi="Arial" w:cs="Arial"/>
          <w:b/>
          <w:sz w:val="20"/>
        </w:rPr>
      </w:pPr>
      <w:proofErr w:type="spellStart"/>
      <w:r w:rsidRPr="00307A66">
        <w:rPr>
          <w:rFonts w:ascii="Arial" w:hAnsi="Arial" w:cs="Arial"/>
          <w:color w:val="1B1B1B"/>
          <w:sz w:val="20"/>
          <w:shd w:val="clear" w:color="auto" w:fill="FFFFFF"/>
        </w:rPr>
        <w:t>Parhofer</w:t>
      </w:r>
      <w:proofErr w:type="spellEnd"/>
      <w:r w:rsidRPr="00307A66">
        <w:rPr>
          <w:rFonts w:ascii="Arial" w:hAnsi="Arial" w:cs="Arial"/>
          <w:color w:val="1B1B1B"/>
          <w:sz w:val="20"/>
          <w:shd w:val="clear" w:color="auto" w:fill="FFFFFF"/>
        </w:rPr>
        <w:t>, K. G., &amp; Laufs, U. (2023). Lipid Profile and Lipoprotein(a) Testing. </w:t>
      </w:r>
      <w:proofErr w:type="spellStart"/>
      <w:r w:rsidRPr="00307A66">
        <w:rPr>
          <w:rFonts w:ascii="Arial" w:hAnsi="Arial" w:cs="Arial"/>
          <w:i/>
          <w:iCs/>
          <w:color w:val="1B1B1B"/>
          <w:sz w:val="20"/>
          <w:shd w:val="clear" w:color="auto" w:fill="FFFFFF"/>
        </w:rPr>
        <w:t>Deutsches</w:t>
      </w:r>
      <w:proofErr w:type="spellEnd"/>
      <w:r w:rsidRPr="00307A66">
        <w:rPr>
          <w:rFonts w:ascii="Arial" w:hAnsi="Arial" w:cs="Arial"/>
          <w:i/>
          <w:iCs/>
          <w:color w:val="1B1B1B"/>
          <w:sz w:val="20"/>
          <w:shd w:val="clear" w:color="auto" w:fill="FFFFFF"/>
        </w:rPr>
        <w:t xml:space="preserve"> </w:t>
      </w:r>
      <w:proofErr w:type="spellStart"/>
      <w:r w:rsidRPr="00307A66">
        <w:rPr>
          <w:rFonts w:ascii="Arial" w:hAnsi="Arial" w:cs="Arial"/>
          <w:i/>
          <w:iCs/>
          <w:color w:val="1B1B1B"/>
          <w:sz w:val="20"/>
          <w:shd w:val="clear" w:color="auto" w:fill="FFFFFF"/>
        </w:rPr>
        <w:t>Arzteblatt</w:t>
      </w:r>
      <w:proofErr w:type="spellEnd"/>
      <w:r w:rsidRPr="00307A66">
        <w:rPr>
          <w:rFonts w:ascii="Arial" w:hAnsi="Arial" w:cs="Arial"/>
          <w:i/>
          <w:iCs/>
          <w:color w:val="1B1B1B"/>
          <w:sz w:val="20"/>
          <w:shd w:val="clear" w:color="auto" w:fill="FFFFFF"/>
        </w:rPr>
        <w:t xml:space="preserve"> international</w:t>
      </w:r>
      <w:r w:rsidRPr="00307A66">
        <w:rPr>
          <w:rFonts w:ascii="Arial" w:hAnsi="Arial" w:cs="Arial"/>
          <w:color w:val="1B1B1B"/>
          <w:sz w:val="20"/>
          <w:shd w:val="clear" w:color="auto" w:fill="FFFFFF"/>
        </w:rPr>
        <w:t>, </w:t>
      </w:r>
      <w:r w:rsidRPr="00307A66">
        <w:rPr>
          <w:rFonts w:ascii="Arial" w:hAnsi="Arial" w:cs="Arial"/>
          <w:i/>
          <w:iCs/>
          <w:color w:val="1B1B1B"/>
          <w:sz w:val="20"/>
          <w:shd w:val="clear" w:color="auto" w:fill="FFFFFF"/>
        </w:rPr>
        <w:t>120</w:t>
      </w:r>
      <w:r w:rsidRPr="00307A66">
        <w:rPr>
          <w:rFonts w:ascii="Arial" w:hAnsi="Arial" w:cs="Arial"/>
          <w:color w:val="1B1B1B"/>
          <w:sz w:val="20"/>
          <w:shd w:val="clear" w:color="auto" w:fill="FFFFFF"/>
        </w:rPr>
        <w:t>(35-36), 582–588. https://doi.org/10.3238/arztebl.m2023.0150</w:t>
      </w:r>
    </w:p>
    <w:p w14:paraId="44AF3DB4"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proofErr w:type="spellStart"/>
      <w:r w:rsidRPr="00307A66">
        <w:rPr>
          <w:rFonts w:ascii="Arial" w:hAnsi="Arial" w:cs="Arial"/>
          <w:color w:val="222222"/>
          <w:sz w:val="20"/>
          <w:shd w:val="clear" w:color="auto" w:fill="FFFFFF"/>
        </w:rPr>
        <w:t>Ristovska</w:t>
      </w:r>
      <w:proofErr w:type="spellEnd"/>
      <w:r w:rsidRPr="00307A66">
        <w:rPr>
          <w:rFonts w:ascii="Arial" w:hAnsi="Arial" w:cs="Arial"/>
          <w:color w:val="222222"/>
          <w:sz w:val="20"/>
          <w:shd w:val="clear" w:color="auto" w:fill="FFFFFF"/>
        </w:rPr>
        <w:t xml:space="preserve">, E., </w:t>
      </w:r>
      <w:proofErr w:type="spellStart"/>
      <w:r w:rsidRPr="00307A66">
        <w:rPr>
          <w:rFonts w:ascii="Arial" w:hAnsi="Arial" w:cs="Arial"/>
          <w:color w:val="222222"/>
          <w:sz w:val="20"/>
          <w:shd w:val="clear" w:color="auto" w:fill="FFFFFF"/>
        </w:rPr>
        <w:t>Bojadjieva</w:t>
      </w:r>
      <w:proofErr w:type="spellEnd"/>
      <w:r w:rsidRPr="00307A66">
        <w:rPr>
          <w:rFonts w:ascii="Arial" w:hAnsi="Arial" w:cs="Arial"/>
          <w:color w:val="222222"/>
          <w:sz w:val="20"/>
          <w:shd w:val="clear" w:color="auto" w:fill="FFFFFF"/>
        </w:rPr>
        <w:t xml:space="preserve">, Т. M., </w:t>
      </w:r>
      <w:proofErr w:type="spellStart"/>
      <w:r w:rsidRPr="00307A66">
        <w:rPr>
          <w:rFonts w:ascii="Arial" w:hAnsi="Arial" w:cs="Arial"/>
          <w:color w:val="222222"/>
          <w:sz w:val="20"/>
          <w:shd w:val="clear" w:color="auto" w:fill="FFFFFF"/>
        </w:rPr>
        <w:t>Velkova</w:t>
      </w:r>
      <w:proofErr w:type="spellEnd"/>
      <w:r w:rsidRPr="00307A66">
        <w:rPr>
          <w:rFonts w:ascii="Arial" w:hAnsi="Arial" w:cs="Arial"/>
          <w:color w:val="222222"/>
          <w:sz w:val="20"/>
          <w:shd w:val="clear" w:color="auto" w:fill="FFFFFF"/>
        </w:rPr>
        <w:t xml:space="preserve">, Е., Dimceva, А. H., Todorovski, B., </w:t>
      </w:r>
      <w:proofErr w:type="spellStart"/>
      <w:r w:rsidRPr="00307A66">
        <w:rPr>
          <w:rFonts w:ascii="Arial" w:hAnsi="Arial" w:cs="Arial"/>
          <w:color w:val="222222"/>
          <w:sz w:val="20"/>
          <w:shd w:val="clear" w:color="auto" w:fill="FFFFFF"/>
        </w:rPr>
        <w:t>Tashkovska</w:t>
      </w:r>
      <w:proofErr w:type="spellEnd"/>
      <w:r w:rsidRPr="00307A66">
        <w:rPr>
          <w:rFonts w:ascii="Arial" w:hAnsi="Arial" w:cs="Arial"/>
          <w:color w:val="222222"/>
          <w:sz w:val="20"/>
          <w:shd w:val="clear" w:color="auto" w:fill="FFFFFF"/>
        </w:rPr>
        <w:t xml:space="preserve">, M., ... &amp; </w:t>
      </w:r>
      <w:proofErr w:type="spellStart"/>
      <w:r w:rsidRPr="00307A66">
        <w:rPr>
          <w:rFonts w:ascii="Arial" w:hAnsi="Arial" w:cs="Arial"/>
          <w:color w:val="222222"/>
          <w:sz w:val="20"/>
          <w:shd w:val="clear" w:color="auto" w:fill="FFFFFF"/>
        </w:rPr>
        <w:t>Bosevski</w:t>
      </w:r>
      <w:proofErr w:type="spellEnd"/>
      <w:r w:rsidRPr="00307A66">
        <w:rPr>
          <w:rFonts w:ascii="Arial" w:hAnsi="Arial" w:cs="Arial"/>
          <w:color w:val="222222"/>
          <w:sz w:val="20"/>
          <w:shd w:val="clear" w:color="auto" w:fill="FFFFFF"/>
        </w:rPr>
        <w:t xml:space="preserve">, M. (2022). Rare blood groups in ABO, Rh, Kell </w:t>
      </w:r>
      <w:r w:rsidRPr="00307A66">
        <w:rPr>
          <w:rFonts w:ascii="Arial" w:hAnsi="Arial" w:cs="Arial"/>
          <w:color w:val="222222"/>
          <w:sz w:val="20"/>
          <w:shd w:val="clear" w:color="auto" w:fill="FFFFFF"/>
        </w:rPr>
        <w:lastRenderedPageBreak/>
        <w:t>systems–biological and clinical significance. </w:t>
      </w:r>
      <w:proofErr w:type="spellStart"/>
      <w:r w:rsidRPr="00307A66">
        <w:rPr>
          <w:rFonts w:ascii="Arial" w:hAnsi="Arial" w:cs="Arial"/>
          <w:i/>
          <w:iCs/>
          <w:color w:val="222222"/>
          <w:sz w:val="20"/>
          <w:shd w:val="clear" w:color="auto" w:fill="FFFFFF"/>
        </w:rPr>
        <w:t>prilozi</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43</w:t>
      </w:r>
      <w:r w:rsidRPr="00307A66">
        <w:rPr>
          <w:rFonts w:ascii="Arial" w:hAnsi="Arial" w:cs="Arial"/>
          <w:color w:val="222222"/>
          <w:sz w:val="20"/>
          <w:shd w:val="clear" w:color="auto" w:fill="FFFFFF"/>
        </w:rPr>
        <w:t>(2), 77-87.</w:t>
      </w:r>
      <w:r w:rsidRPr="00307A66">
        <w:rPr>
          <w:rFonts w:ascii="Arial" w:hAnsi="Arial" w:cs="Arial"/>
          <w:sz w:val="20"/>
        </w:rPr>
        <w:t xml:space="preserve"> https://doi.org/</w:t>
      </w:r>
      <w:r w:rsidRPr="00307A66">
        <w:rPr>
          <w:rFonts w:ascii="Arial" w:hAnsi="Arial" w:cs="Arial"/>
          <w:color w:val="222222"/>
          <w:sz w:val="20"/>
          <w:shd w:val="clear" w:color="auto" w:fill="FFFFFF"/>
        </w:rPr>
        <w:t>10.2478/prilozi-2022-0021</w:t>
      </w:r>
    </w:p>
    <w:p w14:paraId="11DF0872"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 xml:space="preserve">Santos, A. L., &amp; Preta, G. (2018). Lipids in the cell: </w:t>
      </w:r>
      <w:proofErr w:type="spellStart"/>
      <w:r w:rsidRPr="00307A66">
        <w:rPr>
          <w:rFonts w:ascii="Arial" w:hAnsi="Arial" w:cs="Arial"/>
          <w:color w:val="222222"/>
          <w:sz w:val="20"/>
          <w:shd w:val="clear" w:color="auto" w:fill="FFFFFF"/>
        </w:rPr>
        <w:t>organisation</w:t>
      </w:r>
      <w:proofErr w:type="spellEnd"/>
      <w:r w:rsidRPr="00307A66">
        <w:rPr>
          <w:rFonts w:ascii="Arial" w:hAnsi="Arial" w:cs="Arial"/>
          <w:color w:val="222222"/>
          <w:sz w:val="20"/>
          <w:shd w:val="clear" w:color="auto" w:fill="FFFFFF"/>
        </w:rPr>
        <w:t xml:space="preserve"> regulates function. </w:t>
      </w:r>
      <w:r w:rsidRPr="00307A66">
        <w:rPr>
          <w:rFonts w:ascii="Arial" w:hAnsi="Arial" w:cs="Arial"/>
          <w:i/>
          <w:iCs/>
          <w:color w:val="222222"/>
          <w:sz w:val="20"/>
          <w:shd w:val="clear" w:color="auto" w:fill="FFFFFF"/>
        </w:rPr>
        <w:t>Cellular and Molecular Life Sciences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75</w:t>
      </w:r>
      <w:r w:rsidRPr="00307A66">
        <w:rPr>
          <w:rFonts w:ascii="Arial" w:hAnsi="Arial" w:cs="Arial"/>
          <w:color w:val="222222"/>
          <w:sz w:val="20"/>
          <w:shd w:val="clear" w:color="auto" w:fill="FFFFFF"/>
        </w:rPr>
        <w:t xml:space="preserve">(11), 1909-1927. </w:t>
      </w:r>
      <w:hyperlink r:id="rId18" w:history="1">
        <w:r w:rsidRPr="00307A66">
          <w:rPr>
            <w:rStyle w:val="Hyperlink"/>
            <w:rFonts w:ascii="Arial" w:hAnsi="Arial" w:cs="Arial"/>
            <w:sz w:val="20"/>
            <w:shd w:val="clear" w:color="auto" w:fill="FFFFFF"/>
          </w:rPr>
          <w:t>https://doi.org/10.1007/s00018-018-2765-4</w:t>
        </w:r>
      </w:hyperlink>
    </w:p>
    <w:p w14:paraId="3453C007"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Shahid, A. (2019). The effects of low altitude on isolated mammalian arteries, intact murine circulation, and as a therapy for myocardial infarction and hindlimb ischemia in mice.</w:t>
      </w:r>
      <w:r w:rsidRPr="00307A66">
        <w:rPr>
          <w:rFonts w:ascii="Arial" w:hAnsi="Arial" w:cs="Arial"/>
          <w:sz w:val="20"/>
        </w:rPr>
        <w:t xml:space="preserve"> </w:t>
      </w:r>
      <w:hyperlink r:id="rId19" w:history="1">
        <w:r w:rsidRPr="00307A66">
          <w:rPr>
            <w:rStyle w:val="Hyperlink"/>
            <w:rFonts w:ascii="Arial" w:hAnsi="Arial" w:cs="Arial"/>
            <w:sz w:val="20"/>
            <w:shd w:val="clear" w:color="auto" w:fill="FFFFFF"/>
          </w:rPr>
          <w:t>https://ualberta.scholaris.ca/bitstreams/a11ce9e1-304f-49ae-a9af-1529d6e872ef/download</w:t>
        </w:r>
      </w:hyperlink>
    </w:p>
    <w:p w14:paraId="0BFA9261" w14:textId="77777777" w:rsidR="00400899" w:rsidRPr="00307A66" w:rsidRDefault="00400899" w:rsidP="008E70E1">
      <w:pPr>
        <w:pStyle w:val="ListParagraph"/>
        <w:numPr>
          <w:ilvl w:val="0"/>
          <w:numId w:val="2"/>
        </w:numPr>
        <w:rPr>
          <w:rFonts w:ascii="Arial" w:hAnsi="Arial" w:cs="Arial"/>
          <w:color w:val="222222"/>
          <w:sz w:val="20"/>
          <w:shd w:val="clear" w:color="auto" w:fill="FFFFFF"/>
        </w:rPr>
      </w:pPr>
      <w:r w:rsidRPr="00307A66">
        <w:rPr>
          <w:rFonts w:ascii="Arial" w:hAnsi="Arial" w:cs="Arial"/>
          <w:color w:val="222222"/>
          <w:sz w:val="20"/>
          <w:shd w:val="clear" w:color="auto" w:fill="FFFFFF"/>
        </w:rPr>
        <w:t>Sherif, A. H., Toulan, A. E., El-</w:t>
      </w:r>
      <w:proofErr w:type="spellStart"/>
      <w:r w:rsidRPr="00307A66">
        <w:rPr>
          <w:rFonts w:ascii="Arial" w:hAnsi="Arial" w:cs="Arial"/>
          <w:color w:val="222222"/>
          <w:sz w:val="20"/>
          <w:shd w:val="clear" w:color="auto" w:fill="FFFFFF"/>
        </w:rPr>
        <w:t>Kalamwi</w:t>
      </w:r>
      <w:proofErr w:type="spellEnd"/>
      <w:r w:rsidRPr="00307A66">
        <w:rPr>
          <w:rFonts w:ascii="Arial" w:hAnsi="Arial" w:cs="Arial"/>
          <w:color w:val="222222"/>
          <w:sz w:val="20"/>
          <w:shd w:val="clear" w:color="auto" w:fill="FFFFFF"/>
        </w:rPr>
        <w:t xml:space="preserve">, N., Farag, E. A., &amp; Mahmoud, A. E. (2023). Silymarin enhances the response to oxytetracycline treatment in Oreochromis niloticus experimentally infected with Aeromonas </w:t>
      </w:r>
      <w:proofErr w:type="spellStart"/>
      <w:r w:rsidRPr="00307A66">
        <w:rPr>
          <w:rFonts w:ascii="Arial" w:hAnsi="Arial" w:cs="Arial"/>
          <w:color w:val="222222"/>
          <w:sz w:val="20"/>
          <w:shd w:val="clear" w:color="auto" w:fill="FFFFFF"/>
        </w:rPr>
        <w:t>hydrophila</w:t>
      </w:r>
      <w:proofErr w:type="spellEnd"/>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Scientific Reports</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13</w:t>
      </w:r>
      <w:r w:rsidRPr="00307A66">
        <w:rPr>
          <w:rFonts w:ascii="Arial" w:hAnsi="Arial" w:cs="Arial"/>
          <w:color w:val="222222"/>
          <w:sz w:val="20"/>
          <w:shd w:val="clear" w:color="auto" w:fill="FFFFFF"/>
        </w:rPr>
        <w:t xml:space="preserve">(1), 16235. </w:t>
      </w:r>
      <w:hyperlink r:id="rId20" w:history="1">
        <w:r w:rsidRPr="00307A66">
          <w:rPr>
            <w:rStyle w:val="Hyperlink"/>
            <w:rFonts w:ascii="Arial" w:hAnsi="Arial" w:cs="Arial"/>
            <w:sz w:val="20"/>
            <w:shd w:val="clear" w:color="auto" w:fill="FFFFFF"/>
          </w:rPr>
          <w:t>https://doi.org/10.1038/s41598-023-43270-z</w:t>
        </w:r>
      </w:hyperlink>
    </w:p>
    <w:p w14:paraId="26CE51CE" w14:textId="77777777" w:rsidR="00400899" w:rsidRPr="00307A66" w:rsidRDefault="00400899" w:rsidP="008E70E1">
      <w:pPr>
        <w:pStyle w:val="ListParagraph"/>
        <w:widowControl/>
        <w:numPr>
          <w:ilvl w:val="0"/>
          <w:numId w:val="2"/>
        </w:numPr>
        <w:rPr>
          <w:rFonts w:ascii="Arial" w:hAnsi="Arial" w:cs="Arial"/>
          <w:sz w:val="20"/>
        </w:rPr>
      </w:pPr>
      <w:r w:rsidRPr="00307A66">
        <w:rPr>
          <w:rFonts w:ascii="Arial" w:hAnsi="Arial" w:cs="Arial"/>
          <w:sz w:val="20"/>
        </w:rPr>
        <w:t xml:space="preserve">Vala, N. H., &amp; Dubal, G. J. (2019). A study to find out association between blood group and lipid profile. </w:t>
      </w:r>
      <w:r w:rsidRPr="00307A66">
        <w:rPr>
          <w:rFonts w:ascii="Arial" w:hAnsi="Arial" w:cs="Arial"/>
          <w:i/>
          <w:iCs/>
          <w:sz w:val="20"/>
        </w:rPr>
        <w:t>National Journal of Physiology, Pharmacy and Pharmacology, 9</w:t>
      </w:r>
      <w:r w:rsidRPr="00307A66">
        <w:rPr>
          <w:rFonts w:ascii="Arial" w:hAnsi="Arial" w:cs="Arial"/>
          <w:sz w:val="20"/>
        </w:rPr>
        <w:t>(1), 67-70. https://doi.org/10.5455/njppp.2019.9.1134019112018</w:t>
      </w:r>
    </w:p>
    <w:p w14:paraId="54251903" w14:textId="78009E43" w:rsidR="00400899" w:rsidRPr="00307A66" w:rsidRDefault="00400899" w:rsidP="008E70E1">
      <w:pPr>
        <w:pStyle w:val="ListParagraph"/>
        <w:numPr>
          <w:ilvl w:val="0"/>
          <w:numId w:val="2"/>
        </w:numPr>
        <w:rPr>
          <w:rStyle w:val="Hyperlink"/>
          <w:rFonts w:ascii="Arial" w:hAnsi="Arial" w:cs="Arial"/>
          <w:sz w:val="20"/>
          <w:shd w:val="clear" w:color="auto" w:fill="FFFFFF"/>
        </w:rPr>
      </w:pPr>
      <w:r w:rsidRPr="00307A66">
        <w:rPr>
          <w:rFonts w:ascii="Arial" w:hAnsi="Arial" w:cs="Arial"/>
          <w:color w:val="222222"/>
          <w:sz w:val="20"/>
          <w:shd w:val="clear" w:color="auto" w:fill="FFFFFF"/>
        </w:rPr>
        <w:t>Zhao, J. V., &amp; Schooling, C. M. (2018). Coagulation factors and the risk of ischemic heart disease: a Mendelian randomization study. </w:t>
      </w:r>
      <w:r w:rsidRPr="00307A66">
        <w:rPr>
          <w:rFonts w:ascii="Arial" w:hAnsi="Arial" w:cs="Arial"/>
          <w:i/>
          <w:iCs/>
          <w:color w:val="222222"/>
          <w:sz w:val="20"/>
          <w:shd w:val="clear" w:color="auto" w:fill="FFFFFF"/>
        </w:rPr>
        <w:t>Circulation: Genomic and Precision Medicine</w:t>
      </w:r>
      <w:r w:rsidRPr="00307A66">
        <w:rPr>
          <w:rFonts w:ascii="Arial" w:hAnsi="Arial" w:cs="Arial"/>
          <w:color w:val="222222"/>
          <w:sz w:val="20"/>
          <w:shd w:val="clear" w:color="auto" w:fill="FFFFFF"/>
        </w:rPr>
        <w:t>, </w:t>
      </w:r>
      <w:r w:rsidRPr="00307A66">
        <w:rPr>
          <w:rFonts w:ascii="Arial" w:hAnsi="Arial" w:cs="Arial"/>
          <w:i/>
          <w:iCs/>
          <w:color w:val="222222"/>
          <w:sz w:val="20"/>
          <w:shd w:val="clear" w:color="auto" w:fill="FFFFFF"/>
        </w:rPr>
        <w:t>11</w:t>
      </w:r>
      <w:r w:rsidRPr="00307A66">
        <w:rPr>
          <w:rFonts w:ascii="Arial" w:hAnsi="Arial" w:cs="Arial"/>
          <w:color w:val="222222"/>
          <w:sz w:val="20"/>
          <w:shd w:val="clear" w:color="auto" w:fill="FFFFFF"/>
        </w:rPr>
        <w:t>(1), e001956.</w:t>
      </w:r>
      <w:r w:rsidRPr="00307A66">
        <w:rPr>
          <w:rFonts w:ascii="Arial" w:hAnsi="Arial" w:cs="Arial"/>
          <w:sz w:val="20"/>
        </w:rPr>
        <w:t xml:space="preserve"> </w:t>
      </w:r>
      <w:hyperlink r:id="rId21" w:history="1">
        <w:r w:rsidRPr="00307A66">
          <w:rPr>
            <w:rStyle w:val="Hyperlink"/>
            <w:rFonts w:ascii="Arial" w:hAnsi="Arial" w:cs="Arial"/>
            <w:sz w:val="20"/>
            <w:shd w:val="clear" w:color="auto" w:fill="FFFFFF"/>
          </w:rPr>
          <w:t>https://www.ahajournals.org/doi/abs/10.1161/circgen.117.001956</w:t>
        </w:r>
      </w:hyperlink>
    </w:p>
    <w:bookmarkEnd w:id="0"/>
    <w:p w14:paraId="33D8ED5F" w14:textId="77777777" w:rsidR="002019C7" w:rsidRPr="00307A66" w:rsidRDefault="002019C7" w:rsidP="008E70E1">
      <w:pPr>
        <w:rPr>
          <w:rFonts w:ascii="Arial" w:hAnsi="Arial" w:cs="Arial"/>
          <w:lang w:eastAsia="en-US"/>
        </w:rPr>
      </w:pPr>
    </w:p>
    <w:sectPr w:rsidR="002019C7" w:rsidRPr="00307A66">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5480A" w14:textId="77777777" w:rsidR="0014284F" w:rsidRDefault="0014284F">
      <w:r>
        <w:separator/>
      </w:r>
    </w:p>
  </w:endnote>
  <w:endnote w:type="continuationSeparator" w:id="0">
    <w:p w14:paraId="378FD9FF" w14:textId="77777777" w:rsidR="0014284F" w:rsidRDefault="0014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CCDF1" w14:textId="77777777" w:rsidR="00581421" w:rsidRDefault="00581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9220" w14:textId="77777777" w:rsidR="0090226E" w:rsidRDefault="0090226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2F9E" w14:textId="77777777" w:rsidR="00581421" w:rsidRDefault="00581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055B" w14:textId="77777777" w:rsidR="0014284F" w:rsidRDefault="0014284F">
      <w:r>
        <w:separator/>
      </w:r>
    </w:p>
  </w:footnote>
  <w:footnote w:type="continuationSeparator" w:id="0">
    <w:p w14:paraId="6E75A9BE" w14:textId="77777777" w:rsidR="0014284F" w:rsidRDefault="0014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E937" w14:textId="7DD9B26D" w:rsidR="00581421" w:rsidRDefault="00D12065">
    <w:pPr>
      <w:pStyle w:val="Header"/>
    </w:pPr>
    <w:r>
      <w:rPr>
        <w:noProof/>
      </w:rPr>
      <w:pict w14:anchorId="40AE6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0"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729B" w14:textId="60BE994A" w:rsidR="0090226E" w:rsidRDefault="00D12065">
    <w:pPr>
      <w:jc w:val="center"/>
    </w:pPr>
    <w:r>
      <w:rPr>
        <w:noProof/>
      </w:rPr>
      <w:pict w14:anchorId="11EA3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71"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6845" w14:textId="448A5AEC" w:rsidR="00581421" w:rsidRDefault="00D12065">
    <w:pPr>
      <w:pStyle w:val="Header"/>
    </w:pPr>
    <w:r>
      <w:rPr>
        <w:noProof/>
      </w:rPr>
      <w:pict w14:anchorId="029F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4181469"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D0466"/>
    <w:multiLevelType w:val="hybridMultilevel"/>
    <w:tmpl w:val="F9165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3120D"/>
    <w:multiLevelType w:val="multilevel"/>
    <w:tmpl w:val="6A3E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41E1"/>
    <w:rsid w:val="00032FF4"/>
    <w:rsid w:val="0003391C"/>
    <w:rsid w:val="0003532D"/>
    <w:rsid w:val="00094AC9"/>
    <w:rsid w:val="00096792"/>
    <w:rsid w:val="000B4CCC"/>
    <w:rsid w:val="001416DD"/>
    <w:rsid w:val="0014284F"/>
    <w:rsid w:val="001D4D5F"/>
    <w:rsid w:val="002019C7"/>
    <w:rsid w:val="0022498F"/>
    <w:rsid w:val="00231F3D"/>
    <w:rsid w:val="00244F14"/>
    <w:rsid w:val="0027639C"/>
    <w:rsid w:val="002941E1"/>
    <w:rsid w:val="002B1A3B"/>
    <w:rsid w:val="002C338E"/>
    <w:rsid w:val="00307A66"/>
    <w:rsid w:val="00323AB5"/>
    <w:rsid w:val="003360C6"/>
    <w:rsid w:val="00365BF2"/>
    <w:rsid w:val="003A7246"/>
    <w:rsid w:val="00400899"/>
    <w:rsid w:val="00434A01"/>
    <w:rsid w:val="004369A6"/>
    <w:rsid w:val="00473F7F"/>
    <w:rsid w:val="004B0241"/>
    <w:rsid w:val="004B322E"/>
    <w:rsid w:val="004D37A4"/>
    <w:rsid w:val="004F631F"/>
    <w:rsid w:val="00524AF5"/>
    <w:rsid w:val="00531F12"/>
    <w:rsid w:val="00546D92"/>
    <w:rsid w:val="00560354"/>
    <w:rsid w:val="00560C2E"/>
    <w:rsid w:val="00581421"/>
    <w:rsid w:val="005946BF"/>
    <w:rsid w:val="005950FC"/>
    <w:rsid w:val="005B582A"/>
    <w:rsid w:val="005C1475"/>
    <w:rsid w:val="005C78C2"/>
    <w:rsid w:val="005D7132"/>
    <w:rsid w:val="00610F3D"/>
    <w:rsid w:val="00646C43"/>
    <w:rsid w:val="006A1555"/>
    <w:rsid w:val="006A7791"/>
    <w:rsid w:val="006F1676"/>
    <w:rsid w:val="00713410"/>
    <w:rsid w:val="0073356B"/>
    <w:rsid w:val="00734455"/>
    <w:rsid w:val="00744FD6"/>
    <w:rsid w:val="00752A49"/>
    <w:rsid w:val="00781E30"/>
    <w:rsid w:val="00785A95"/>
    <w:rsid w:val="007B7250"/>
    <w:rsid w:val="007E3EAD"/>
    <w:rsid w:val="00851269"/>
    <w:rsid w:val="00851813"/>
    <w:rsid w:val="0087539C"/>
    <w:rsid w:val="008844EC"/>
    <w:rsid w:val="008C3759"/>
    <w:rsid w:val="008E1276"/>
    <w:rsid w:val="008E70E1"/>
    <w:rsid w:val="0090226E"/>
    <w:rsid w:val="0093545F"/>
    <w:rsid w:val="009F4DAB"/>
    <w:rsid w:val="00A06BE6"/>
    <w:rsid w:val="00A201DF"/>
    <w:rsid w:val="00A928F3"/>
    <w:rsid w:val="00AB0AFB"/>
    <w:rsid w:val="00AB1640"/>
    <w:rsid w:val="00AE0821"/>
    <w:rsid w:val="00AF2841"/>
    <w:rsid w:val="00B3376E"/>
    <w:rsid w:val="00B51F09"/>
    <w:rsid w:val="00B8389F"/>
    <w:rsid w:val="00BC30E0"/>
    <w:rsid w:val="00C338D2"/>
    <w:rsid w:val="00C43F00"/>
    <w:rsid w:val="00C661CE"/>
    <w:rsid w:val="00C94A21"/>
    <w:rsid w:val="00CB0AD0"/>
    <w:rsid w:val="00D01F7A"/>
    <w:rsid w:val="00D12065"/>
    <w:rsid w:val="00D1709D"/>
    <w:rsid w:val="00D73317"/>
    <w:rsid w:val="00DA5D4B"/>
    <w:rsid w:val="00DA67DC"/>
    <w:rsid w:val="00DA79A9"/>
    <w:rsid w:val="00DD3D81"/>
    <w:rsid w:val="00E42C9B"/>
    <w:rsid w:val="00EB1340"/>
    <w:rsid w:val="00EF75B3"/>
    <w:rsid w:val="00F313BE"/>
    <w:rsid w:val="00F723CD"/>
    <w:rsid w:val="00F96768"/>
    <w:rsid w:val="00FC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C58238"/>
  <w15:docId w15:val="{10D0E7EA-5021-43B3-86D0-8AF8C3F4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lang w:eastAsia="zh-CN"/>
    </w:rPr>
  </w:style>
  <w:style w:type="paragraph" w:styleId="Heading1">
    <w:name w:val="heading 1"/>
    <w:basedOn w:val="Normal"/>
    <w:next w:val="Normal"/>
    <w:link w:val="Heading1Char"/>
    <w:uiPriority w:val="9"/>
    <w:qFormat/>
    <w:pPr>
      <w:keepNext/>
      <w:spacing w:before="240"/>
      <w:jc w:val="center"/>
      <w:outlineLvl w:val="0"/>
    </w:pPr>
    <w:rPr>
      <w:b/>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color w:val="1F3763"/>
      <w:sz w:val="24"/>
      <w:szCs w:val="24"/>
    </w:rPr>
  </w:style>
  <w:style w:type="paragraph" w:styleId="Heading4">
    <w:name w:val="heading 4"/>
    <w:basedOn w:val="Normal"/>
    <w:next w:val="Normal"/>
    <w:link w:val="Heading4Char"/>
    <w:uiPriority w:val="9"/>
    <w:semiHidden/>
    <w:unhideWhenUsed/>
    <w:qFormat/>
    <w:rsid w:val="005D71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eastAsia="SimSun"/>
      <w:b/>
      <w:kern w:val="2"/>
      <w:sz w:val="28"/>
      <w:szCs w:val="28"/>
      <w:lang w:eastAsia="zh-CN"/>
    </w:rPr>
  </w:style>
  <w:style w:type="paragraph" w:styleId="BodyText">
    <w:name w:val="Body Text"/>
    <w:basedOn w:val="Normal"/>
    <w:next w:val="Normal"/>
    <w:link w:val="BodyTextChar"/>
    <w:rPr>
      <w:rFonts w:ascii="Georgia" w:eastAsia="Georgia" w:hAnsi="Georgia" w:cs="Georgia"/>
      <w:sz w:val="18"/>
      <w:szCs w:val="18"/>
      <w:lang w:eastAsia="en-US"/>
    </w:rPr>
  </w:style>
  <w:style w:type="character" w:customStyle="1" w:styleId="BodyTextChar">
    <w:name w:val="Body Text Char"/>
    <w:basedOn w:val="DefaultParagraphFont"/>
    <w:link w:val="BodyText"/>
    <w:rPr>
      <w:rFonts w:ascii="Georgia" w:eastAsia="Georgia" w:hAnsi="Georgia" w:cs="Georgia"/>
      <w:kern w:val="2"/>
      <w:sz w:val="18"/>
      <w:szCs w:val="18"/>
    </w:rPr>
  </w:style>
  <w:style w:type="paragraph" w:customStyle="1" w:styleId="Heading13">
    <w:name w:val="Heading 13"/>
    <w:basedOn w:val="Normal"/>
    <w:next w:val="Normal"/>
    <w:pPr>
      <w:spacing w:before="79"/>
      <w:outlineLvl w:val="1"/>
    </w:pPr>
    <w:rPr>
      <w:rFonts w:ascii="Verdana" w:eastAsia="Verdana" w:hAnsi="Verdana" w:cs="Verdana"/>
      <w:b/>
      <w:sz w:val="24"/>
      <w:szCs w:val="24"/>
      <w:lang w:eastAsia="en-US"/>
    </w:rPr>
  </w:style>
  <w:style w:type="paragraph" w:customStyle="1" w:styleId="TableParagraph">
    <w:name w:val="Table Paragraph"/>
    <w:basedOn w:val="Normal"/>
    <w:next w:val="Normal"/>
    <w:pPr>
      <w:spacing w:line="200" w:lineRule="exact"/>
      <w:jc w:val="center"/>
    </w:pPr>
    <w:rPr>
      <w:rFonts w:ascii="Georgia" w:eastAsia="Georgia" w:hAnsi="Georgia" w:cs="Georgia"/>
      <w:lang w:eastAsia="en-US"/>
    </w:rPr>
  </w:style>
  <w:style w:type="paragraph" w:customStyle="1" w:styleId="Heading21">
    <w:name w:val="Heading 21"/>
    <w:basedOn w:val="Normal"/>
    <w:next w:val="Normal"/>
    <w:pPr>
      <w:outlineLvl w:val="2"/>
    </w:pPr>
    <w:rPr>
      <w:rFonts w:ascii="Georgia" w:eastAsia="Georgia" w:hAnsi="Georgia" w:cs="Georgia"/>
      <w:b/>
      <w:sz w:val="18"/>
      <w:szCs w:val="18"/>
      <w:lang w:eastAsia="en-US"/>
    </w:rPr>
  </w:style>
  <w:style w:type="paragraph" w:styleId="Title">
    <w:name w:val="Title"/>
    <w:basedOn w:val="Normal"/>
    <w:next w:val="Normal"/>
    <w:link w:val="TitleChar"/>
    <w:uiPriority w:val="10"/>
    <w:qFormat/>
    <w:pPr>
      <w:spacing w:line="317" w:lineRule="exact"/>
    </w:pPr>
    <w:rPr>
      <w:rFonts w:eastAsia="Times New Roman"/>
      <w:b/>
      <w:sz w:val="28"/>
      <w:szCs w:val="28"/>
      <w:lang w:eastAsia="en-US"/>
    </w:rPr>
  </w:style>
  <w:style w:type="character" w:customStyle="1" w:styleId="TitleChar">
    <w:name w:val="Title Char"/>
    <w:basedOn w:val="DefaultParagraphFont"/>
    <w:link w:val="Title"/>
    <w:rPr>
      <w:rFonts w:eastAsia="Times New Roman"/>
      <w:b/>
      <w:kern w:val="2"/>
      <w:sz w:val="28"/>
      <w:szCs w:val="28"/>
    </w:rPr>
  </w:style>
  <w:style w:type="paragraph" w:styleId="ListParagraph">
    <w:name w:val="List Paragraph"/>
    <w:basedOn w:val="Normal"/>
    <w:next w:val="Normal"/>
    <w:qFormat/>
    <w:rPr>
      <w:rFonts w:ascii="Georgia" w:eastAsia="Georgia" w:hAnsi="Georgia" w:cs="Georgia"/>
      <w:lang w:eastAsia="en-US"/>
    </w:rPr>
  </w:style>
  <w:style w:type="character" w:customStyle="1" w:styleId="Heading12">
    <w:name w:val="Heading 12"/>
    <w:basedOn w:val="DefaultParagraphFont"/>
    <w:rPr>
      <w:rFonts w:ascii="Times New Roman" w:eastAsia="SimSun" w:hAnsi="Times New Roman" w:cs="Times New Roman"/>
      <w:b/>
      <w:sz w:val="28"/>
      <w:szCs w:val="28"/>
      <w:lang w:eastAsia="zh-CN"/>
    </w:rPr>
  </w:style>
  <w:style w:type="paragraph" w:styleId="NoSpacing">
    <w:name w:val="No Spacing"/>
    <w:next w:val="Normal"/>
    <w:uiPriority w:val="1"/>
    <w:qFormat/>
    <w:rPr>
      <w:sz w:val="21"/>
    </w:rPr>
  </w:style>
  <w:style w:type="character" w:customStyle="1" w:styleId="Heading11">
    <w:name w:val="Heading 11"/>
    <w:basedOn w:val="DefaultParagraphFont"/>
    <w:rPr>
      <w:rFonts w:ascii="Times New Roman" w:eastAsia="SimSun" w:hAnsi="Times New Roman" w:cs="Times New Roman"/>
      <w:b/>
      <w:sz w:val="28"/>
      <w:szCs w:val="28"/>
      <w:lang w:eastAsia="zh-CN"/>
    </w:rPr>
  </w:style>
  <w:style w:type="character" w:customStyle="1" w:styleId="Heading2Char">
    <w:name w:val="Heading 2 Char"/>
    <w:basedOn w:val="DefaultParagraphFont"/>
    <w:link w:val="Heading2"/>
    <w:rPr>
      <w:color w:val="2F5496"/>
      <w:kern w:val="2"/>
      <w:sz w:val="26"/>
      <w:szCs w:val="26"/>
      <w:lang w:eastAsia="zh-CN"/>
    </w:rPr>
  </w:style>
  <w:style w:type="character" w:customStyle="1" w:styleId="Heading3Char">
    <w:name w:val="Heading 3 Char"/>
    <w:basedOn w:val="DefaultParagraphFont"/>
    <w:link w:val="Heading3"/>
    <w:rPr>
      <w:color w:val="1F3763"/>
      <w:kern w:val="2"/>
      <w:sz w:val="24"/>
      <w:szCs w:val="24"/>
      <w:lang w:eastAsia="zh-CN"/>
    </w:rPr>
  </w:style>
  <w:style w:type="character" w:customStyle="1" w:styleId="FooterChar">
    <w:name w:val="Footer Char"/>
    <w:basedOn w:val="DefaultParagraphFont"/>
    <w:link w:val="Footer"/>
    <w:rPr>
      <w:kern w:val="2"/>
      <w:sz w:val="21"/>
      <w:lang w:eastAsia="zh-CN"/>
    </w:rPr>
  </w:style>
  <w:style w:type="paragraph" w:styleId="Footer">
    <w:name w:val="footer"/>
    <w:basedOn w:val="Normal"/>
    <w:next w:val="Normal"/>
    <w:link w:val="FooterChar"/>
    <w:pPr>
      <w:tabs>
        <w:tab w:val="center" w:pos="4680"/>
        <w:tab w:val="right" w:pos="9360"/>
      </w:tabs>
    </w:pPr>
  </w:style>
  <w:style w:type="character" w:customStyle="1" w:styleId="Heading31">
    <w:name w:val="Heading 31"/>
    <w:rPr>
      <w:rFonts w:ascii="Times New Roman" w:eastAsia="SimSun" w:hAnsi="Times New Roman" w:cs="Times New Roman"/>
      <w:b/>
      <w:sz w:val="28"/>
      <w:szCs w:val="28"/>
      <w:lang w:eastAsia="zh-CN"/>
    </w:rPr>
  </w:style>
  <w:style w:type="character" w:customStyle="1" w:styleId="BalloonTextChar">
    <w:name w:val="Balloon Text Char"/>
    <w:basedOn w:val="DefaultParagraphFont"/>
    <w:link w:val="BalloonText"/>
    <w:rPr>
      <w:rFonts w:ascii="Tahoma" w:hAnsi="Tahoma" w:cs="Tahoma"/>
      <w:kern w:val="2"/>
      <w:sz w:val="16"/>
      <w:szCs w:val="16"/>
      <w:lang w:eastAsia="zh-CN"/>
    </w:rPr>
  </w:style>
  <w:style w:type="paragraph" w:styleId="BalloonText">
    <w:name w:val="Balloon Text"/>
    <w:basedOn w:val="Normal"/>
    <w:next w:val="Normal"/>
    <w:link w:val="BalloonTextChar"/>
    <w:rPr>
      <w:rFonts w:ascii="Tahoma" w:hAnsi="Tahoma" w:cs="Tahoma"/>
      <w:sz w:val="16"/>
      <w:szCs w:val="16"/>
    </w:rPr>
  </w:style>
  <w:style w:type="character" w:customStyle="1" w:styleId="HeaderChar">
    <w:name w:val="Header Char"/>
    <w:basedOn w:val="DefaultParagraphFont"/>
    <w:link w:val="Header"/>
    <w:rPr>
      <w:kern w:val="2"/>
      <w:sz w:val="21"/>
      <w:lang w:eastAsia="zh-CN"/>
    </w:rPr>
  </w:style>
  <w:style w:type="paragraph" w:styleId="Header">
    <w:name w:val="header"/>
    <w:basedOn w:val="Normal"/>
    <w:next w:val="Normal"/>
    <w:link w:val="HeaderChar"/>
    <w:pPr>
      <w:tabs>
        <w:tab w:val="center" w:pos="4680"/>
        <w:tab w:val="right" w:pos="9360"/>
      </w:tabs>
    </w:pPr>
  </w:style>
  <w:style w:type="table" w:styleId="TableGrid">
    <w:name w:val="Table Grid"/>
    <w:basedOn w:val="TableNormal"/>
    <w:uiPriority w:val="39"/>
    <w:rsid w:val="00A9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539C"/>
    <w:rPr>
      <w:color w:val="0000FF" w:themeColor="hyperlink"/>
      <w:u w:val="single"/>
    </w:rPr>
  </w:style>
  <w:style w:type="character" w:styleId="UnresolvedMention">
    <w:name w:val="Unresolved Mention"/>
    <w:basedOn w:val="DefaultParagraphFont"/>
    <w:uiPriority w:val="99"/>
    <w:semiHidden/>
    <w:unhideWhenUsed/>
    <w:rsid w:val="0087539C"/>
    <w:rPr>
      <w:color w:val="605E5C"/>
      <w:shd w:val="clear" w:color="auto" w:fill="E1DFDD"/>
    </w:rPr>
  </w:style>
  <w:style w:type="character" w:customStyle="1" w:styleId="Heading4Char">
    <w:name w:val="Heading 4 Char"/>
    <w:basedOn w:val="DefaultParagraphFont"/>
    <w:link w:val="Heading4"/>
    <w:uiPriority w:val="9"/>
    <w:semiHidden/>
    <w:rsid w:val="005D7132"/>
    <w:rPr>
      <w:rFonts w:asciiTheme="majorHAnsi" w:eastAsiaTheme="majorEastAsia" w:hAnsiTheme="majorHAnsi" w:cstheme="majorBidi"/>
      <w:i/>
      <w:iCs/>
      <w:color w:val="365F91" w:themeColor="accent1" w:themeShade="BF"/>
      <w:kern w:val="2"/>
      <w:sz w:val="21"/>
      <w:lang w:eastAsia="zh-CN"/>
    </w:rPr>
  </w:style>
  <w:style w:type="paragraph" w:customStyle="1" w:styleId="Body">
    <w:name w:val="Body"/>
    <w:basedOn w:val="Normal"/>
    <w:rsid w:val="008E70E1"/>
    <w:pPr>
      <w:widowControl/>
      <w:spacing w:after="240"/>
    </w:pPr>
    <w:rPr>
      <w:rFonts w:ascii="Helvetica" w:eastAsia="Times New Roman" w:hAnsi="Helvetica"/>
      <w:kern w:val="0"/>
      <w:sz w:val="20"/>
      <w:lang w:eastAsia="en-US"/>
    </w:rPr>
  </w:style>
  <w:style w:type="paragraph" w:customStyle="1" w:styleId="AcknHead">
    <w:name w:val="Ackn Head"/>
    <w:basedOn w:val="Normal"/>
    <w:rsid w:val="008E70E1"/>
    <w:pPr>
      <w:keepNext/>
      <w:widowControl/>
      <w:spacing w:after="240"/>
      <w:jc w:val="left"/>
    </w:pPr>
    <w:rPr>
      <w:rFonts w:ascii="Helvetica" w:eastAsia="Times New Roman" w:hAnsi="Helvetica"/>
      <w:b/>
      <w:caps/>
      <w:kern w:val="0"/>
      <w:sz w:val="22"/>
      <w:lang w:eastAsia="en-US"/>
    </w:rPr>
  </w:style>
  <w:style w:type="paragraph" w:customStyle="1" w:styleId="ReferHead">
    <w:name w:val="Refer Head"/>
    <w:basedOn w:val="Normal"/>
    <w:rsid w:val="008E70E1"/>
    <w:pPr>
      <w:keepNext/>
      <w:widowControl/>
      <w:spacing w:after="240"/>
      <w:jc w:val="left"/>
    </w:pPr>
    <w:rPr>
      <w:rFonts w:ascii="Helvetica" w:eastAsia="Times New Roman" w:hAnsi="Helvetica"/>
      <w:b/>
      <w:caps/>
      <w:kern w:val="0"/>
      <w:sz w:val="22"/>
      <w:lang w:eastAsia="en-US"/>
    </w:rPr>
  </w:style>
  <w:style w:type="paragraph" w:styleId="FootnoteText">
    <w:name w:val="footnote text"/>
    <w:basedOn w:val="Normal"/>
    <w:link w:val="FootnoteTextChar"/>
    <w:uiPriority w:val="99"/>
    <w:semiHidden/>
    <w:unhideWhenUsed/>
    <w:rsid w:val="00AF2841"/>
    <w:rPr>
      <w:sz w:val="20"/>
    </w:rPr>
  </w:style>
  <w:style w:type="character" w:customStyle="1" w:styleId="FootnoteTextChar">
    <w:name w:val="Footnote Text Char"/>
    <w:basedOn w:val="DefaultParagraphFont"/>
    <w:link w:val="FootnoteText"/>
    <w:uiPriority w:val="99"/>
    <w:semiHidden/>
    <w:rsid w:val="00AF2841"/>
    <w:rPr>
      <w:kern w:val="2"/>
      <w:lang w:eastAsia="zh-CN"/>
    </w:rPr>
  </w:style>
  <w:style w:type="character" w:styleId="FootnoteReference">
    <w:name w:val="footnote reference"/>
    <w:basedOn w:val="DefaultParagraphFont"/>
    <w:uiPriority w:val="99"/>
    <w:semiHidden/>
    <w:unhideWhenUsed/>
    <w:rsid w:val="00AF2841"/>
    <w:rPr>
      <w:vertAlign w:val="superscript"/>
    </w:rPr>
  </w:style>
  <w:style w:type="character" w:styleId="CommentReference">
    <w:name w:val="annotation reference"/>
    <w:basedOn w:val="DefaultParagraphFont"/>
    <w:uiPriority w:val="99"/>
    <w:semiHidden/>
    <w:unhideWhenUsed/>
    <w:rsid w:val="00646C43"/>
    <w:rPr>
      <w:sz w:val="16"/>
      <w:szCs w:val="16"/>
    </w:rPr>
  </w:style>
  <w:style w:type="paragraph" w:styleId="CommentText">
    <w:name w:val="annotation text"/>
    <w:basedOn w:val="Normal"/>
    <w:link w:val="CommentTextChar"/>
    <w:uiPriority w:val="99"/>
    <w:semiHidden/>
    <w:unhideWhenUsed/>
    <w:rsid w:val="00646C43"/>
    <w:rPr>
      <w:sz w:val="20"/>
    </w:rPr>
  </w:style>
  <w:style w:type="character" w:customStyle="1" w:styleId="CommentTextChar">
    <w:name w:val="Comment Text Char"/>
    <w:basedOn w:val="DefaultParagraphFont"/>
    <w:link w:val="CommentText"/>
    <w:uiPriority w:val="99"/>
    <w:semiHidden/>
    <w:rsid w:val="00646C43"/>
    <w:rPr>
      <w:kern w:val="2"/>
      <w:lang w:eastAsia="zh-CN"/>
    </w:rPr>
  </w:style>
  <w:style w:type="paragraph" w:styleId="NormalWeb">
    <w:name w:val="Normal (Web)"/>
    <w:basedOn w:val="Normal"/>
    <w:uiPriority w:val="99"/>
    <w:semiHidden/>
    <w:unhideWhenUsed/>
    <w:rsid w:val="00D12065"/>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939197">
      <w:bodyDiv w:val="1"/>
      <w:marLeft w:val="0"/>
      <w:marRight w:val="0"/>
      <w:marTop w:val="0"/>
      <w:marBottom w:val="0"/>
      <w:divBdr>
        <w:top w:val="none" w:sz="0" w:space="0" w:color="auto"/>
        <w:left w:val="none" w:sz="0" w:space="0" w:color="auto"/>
        <w:bottom w:val="none" w:sz="0" w:space="0" w:color="auto"/>
        <w:right w:val="none" w:sz="0" w:space="0" w:color="auto"/>
      </w:divBdr>
    </w:div>
    <w:div w:id="1619795041">
      <w:bodyDiv w:val="1"/>
      <w:marLeft w:val="0"/>
      <w:marRight w:val="0"/>
      <w:marTop w:val="0"/>
      <w:marBottom w:val="0"/>
      <w:divBdr>
        <w:top w:val="none" w:sz="0" w:space="0" w:color="auto"/>
        <w:left w:val="none" w:sz="0" w:space="0" w:color="auto"/>
        <w:bottom w:val="none" w:sz="0" w:space="0" w:color="auto"/>
        <w:right w:val="none" w:sz="0" w:space="0" w:color="auto"/>
      </w:divBdr>
    </w:div>
    <w:div w:id="1865828048">
      <w:bodyDiv w:val="1"/>
      <w:marLeft w:val="0"/>
      <w:marRight w:val="0"/>
      <w:marTop w:val="0"/>
      <w:marBottom w:val="0"/>
      <w:divBdr>
        <w:top w:val="none" w:sz="0" w:space="0" w:color="auto"/>
        <w:left w:val="none" w:sz="0" w:space="0" w:color="auto"/>
        <w:bottom w:val="none" w:sz="0" w:space="0" w:color="auto"/>
        <w:right w:val="none" w:sz="0" w:space="0" w:color="auto"/>
      </w:divBdr>
      <w:divsChild>
        <w:div w:id="571504361">
          <w:marLeft w:val="0"/>
          <w:marRight w:val="0"/>
          <w:marTop w:val="0"/>
          <w:marBottom w:val="0"/>
          <w:divBdr>
            <w:top w:val="none" w:sz="0" w:space="0" w:color="auto"/>
            <w:left w:val="none" w:sz="0" w:space="0" w:color="auto"/>
            <w:bottom w:val="none" w:sz="0" w:space="0" w:color="auto"/>
            <w:right w:val="none" w:sz="0" w:space="0" w:color="auto"/>
          </w:divBdr>
          <w:divsChild>
            <w:div w:id="934091322">
              <w:marLeft w:val="0"/>
              <w:marRight w:val="0"/>
              <w:marTop w:val="0"/>
              <w:marBottom w:val="0"/>
              <w:divBdr>
                <w:top w:val="none" w:sz="0" w:space="0" w:color="auto"/>
                <w:left w:val="none" w:sz="0" w:space="0" w:color="auto"/>
                <w:bottom w:val="none" w:sz="0" w:space="0" w:color="auto"/>
                <w:right w:val="none" w:sz="0" w:space="0" w:color="auto"/>
              </w:divBdr>
              <w:divsChild>
                <w:div w:id="1562669149">
                  <w:marLeft w:val="0"/>
                  <w:marRight w:val="0"/>
                  <w:marTop w:val="0"/>
                  <w:marBottom w:val="0"/>
                  <w:divBdr>
                    <w:top w:val="none" w:sz="0" w:space="0" w:color="auto"/>
                    <w:left w:val="none" w:sz="0" w:space="0" w:color="auto"/>
                    <w:bottom w:val="none" w:sz="0" w:space="0" w:color="auto"/>
                    <w:right w:val="none" w:sz="0" w:space="0" w:color="auto"/>
                  </w:divBdr>
                  <w:divsChild>
                    <w:div w:id="1129740422">
                      <w:marLeft w:val="0"/>
                      <w:marRight w:val="0"/>
                      <w:marTop w:val="0"/>
                      <w:marBottom w:val="0"/>
                      <w:divBdr>
                        <w:top w:val="none" w:sz="0" w:space="0" w:color="auto"/>
                        <w:left w:val="none" w:sz="0" w:space="0" w:color="auto"/>
                        <w:bottom w:val="none" w:sz="0" w:space="0" w:color="auto"/>
                        <w:right w:val="none" w:sz="0" w:space="0" w:color="auto"/>
                      </w:divBdr>
                      <w:divsChild>
                        <w:div w:id="1794592965">
                          <w:marLeft w:val="0"/>
                          <w:marRight w:val="0"/>
                          <w:marTop w:val="0"/>
                          <w:marBottom w:val="0"/>
                          <w:divBdr>
                            <w:top w:val="none" w:sz="0" w:space="0" w:color="auto"/>
                            <w:left w:val="none" w:sz="0" w:space="0" w:color="auto"/>
                            <w:bottom w:val="none" w:sz="0" w:space="0" w:color="auto"/>
                            <w:right w:val="none" w:sz="0" w:space="0" w:color="auto"/>
                          </w:divBdr>
                          <w:divsChild>
                            <w:div w:id="473332901">
                              <w:marLeft w:val="0"/>
                              <w:marRight w:val="0"/>
                              <w:marTop w:val="0"/>
                              <w:marBottom w:val="0"/>
                              <w:divBdr>
                                <w:top w:val="none" w:sz="0" w:space="0" w:color="auto"/>
                                <w:left w:val="none" w:sz="0" w:space="0" w:color="auto"/>
                                <w:bottom w:val="none" w:sz="0" w:space="0" w:color="auto"/>
                                <w:right w:val="none" w:sz="0" w:space="0" w:color="auto"/>
                              </w:divBdr>
                              <w:divsChild>
                                <w:div w:id="15794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332278">
      <w:bodyDiv w:val="1"/>
      <w:marLeft w:val="0"/>
      <w:marRight w:val="0"/>
      <w:marTop w:val="0"/>
      <w:marBottom w:val="0"/>
      <w:divBdr>
        <w:top w:val="none" w:sz="0" w:space="0" w:color="auto"/>
        <w:left w:val="none" w:sz="0" w:space="0" w:color="auto"/>
        <w:bottom w:val="none" w:sz="0" w:space="0" w:color="auto"/>
        <w:right w:val="none" w:sz="0" w:space="0" w:color="auto"/>
      </w:divBdr>
      <w:divsChild>
        <w:div w:id="1079443532">
          <w:marLeft w:val="0"/>
          <w:marRight w:val="0"/>
          <w:marTop w:val="0"/>
          <w:marBottom w:val="0"/>
          <w:divBdr>
            <w:top w:val="none" w:sz="0" w:space="0" w:color="auto"/>
            <w:left w:val="none" w:sz="0" w:space="0" w:color="auto"/>
            <w:bottom w:val="none" w:sz="0" w:space="0" w:color="auto"/>
            <w:right w:val="none" w:sz="0" w:space="0" w:color="auto"/>
          </w:divBdr>
        </w:div>
      </w:divsChild>
    </w:div>
    <w:div w:id="2038852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1/6629060" TargetMode="External"/><Relationship Id="rId13" Type="http://schemas.openxmlformats.org/officeDocument/2006/relationships/hyperlink" Target="https://doi.org/10.1016/j.bjhh.2016.07.005" TargetMode="External"/><Relationship Id="rId18" Type="http://schemas.openxmlformats.org/officeDocument/2006/relationships/hyperlink" Target="https://doi.org/10.1007/s00018-018-2765-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ahajournals.org/doi/abs/10.1161/circgen.117.001956" TargetMode="External"/><Relationship Id="rId7" Type="http://schemas.openxmlformats.org/officeDocument/2006/relationships/endnotes" Target="endnotes.xml"/><Relationship Id="rId12" Type="http://schemas.openxmlformats.org/officeDocument/2006/relationships/hyperlink" Target="https://doi.org/10.1111/trf.13087" TargetMode="External"/><Relationship Id="rId17" Type="http://schemas.openxmlformats.org/officeDocument/2006/relationships/hyperlink" Target="https://www.cureus.com/articles/289789-karl-landsteiner-1868-1943-a-versatile-blood-scientis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earch.proquest.com/openview/1b33b7541b1257a84c2b3f03399a9e27/1?pq-origsite=gscholar&amp;cbl=2026366&amp;diss=y" TargetMode="External"/><Relationship Id="rId20" Type="http://schemas.openxmlformats.org/officeDocument/2006/relationships/hyperlink" Target="https://doi.org/10.1038/s41598-023-43270-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eurheartj/ehz96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97/CRD.000000000000046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agriculture13081553" TargetMode="External"/><Relationship Id="rId19" Type="http://schemas.openxmlformats.org/officeDocument/2006/relationships/hyperlink" Target="https://ualberta.scholaris.ca/bitstreams/a11ce9e1-304f-49ae-a9af-1529d6e872ef/download" TargetMode="External"/><Relationship Id="rId4" Type="http://schemas.openxmlformats.org/officeDocument/2006/relationships/settings" Target="settings.xml"/><Relationship Id="rId9" Type="http://schemas.openxmlformats.org/officeDocument/2006/relationships/hyperlink" Target="https://onlinelibrary.wiley.com/doi/abs/10.1155/2021/6629060" TargetMode="External"/><Relationship Id="rId14" Type="http://schemas.openxmlformats.org/officeDocument/2006/relationships/hyperlink" Target="https://doi.org/10.1038/s41569-024-01039-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57C2-4D6F-4405-AAD8-B5FE830A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10</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PC New 16</cp:lastModifiedBy>
  <cp:revision>58</cp:revision>
  <dcterms:created xsi:type="dcterms:W3CDTF">1980-01-04T13:29:00Z</dcterms:created>
  <dcterms:modified xsi:type="dcterms:W3CDTF">2026-03-20T05:38:00Z</dcterms:modified>
</cp:coreProperties>
</file>