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50C9F" w14:textId="587C1F68" w:rsidR="0026467A" w:rsidRDefault="0083273D" w:rsidP="00B405BF">
      <w:pPr>
        <w:jc w:val="center"/>
        <w:rPr>
          <w:b/>
          <w:bCs/>
          <w:sz w:val="32"/>
          <w:szCs w:val="32"/>
        </w:rPr>
      </w:pPr>
      <w:r>
        <w:rPr>
          <w:b/>
          <w:bCs/>
          <w:sz w:val="32"/>
          <w:szCs w:val="32"/>
        </w:rPr>
        <w:t>Hemodynamic</w:t>
      </w:r>
      <w:r w:rsidR="007F1E54" w:rsidRPr="0083273D">
        <w:rPr>
          <w:b/>
          <w:bCs/>
          <w:sz w:val="32"/>
          <w:szCs w:val="32"/>
        </w:rPr>
        <w:t xml:space="preserve"> </w:t>
      </w:r>
      <w:r w:rsidR="00AA34AC" w:rsidRPr="0083273D">
        <w:rPr>
          <w:b/>
          <w:bCs/>
          <w:sz w:val="32"/>
          <w:szCs w:val="32"/>
        </w:rPr>
        <w:t>Instability Following Major Surgery: Early Nursing Assessment and Intervention Outcomes</w:t>
      </w:r>
      <w:r w:rsidR="00F728D0">
        <w:rPr>
          <w:b/>
          <w:bCs/>
          <w:sz w:val="32"/>
          <w:szCs w:val="32"/>
        </w:rPr>
        <w:t>:</w:t>
      </w:r>
      <w:r w:rsidR="00D441FA">
        <w:rPr>
          <w:b/>
          <w:bCs/>
          <w:sz w:val="32"/>
          <w:szCs w:val="32"/>
        </w:rPr>
        <w:t xml:space="preserve"> A systematic Re</w:t>
      </w:r>
      <w:bookmarkStart w:id="0" w:name="_GoBack"/>
      <w:bookmarkEnd w:id="0"/>
      <w:r w:rsidR="00D441FA">
        <w:rPr>
          <w:b/>
          <w:bCs/>
          <w:sz w:val="32"/>
          <w:szCs w:val="32"/>
        </w:rPr>
        <w:t>view</w:t>
      </w:r>
    </w:p>
    <w:p w14:paraId="7280E0F0" w14:textId="77777777" w:rsidR="00876BE6" w:rsidRDefault="00876BE6" w:rsidP="00B405BF">
      <w:pPr>
        <w:jc w:val="center"/>
        <w:rPr>
          <w:b/>
          <w:bCs/>
          <w:sz w:val="32"/>
          <w:szCs w:val="32"/>
        </w:rPr>
      </w:pPr>
    </w:p>
    <w:p w14:paraId="13FD5C3F" w14:textId="77777777" w:rsidR="00061DB7" w:rsidRDefault="00061DB7" w:rsidP="000E5BDD">
      <w:pPr>
        <w:jc w:val="both"/>
        <w:rPr>
          <w:b/>
          <w:bCs/>
        </w:rPr>
      </w:pPr>
    </w:p>
    <w:p w14:paraId="5DD5BFE2" w14:textId="7AD9E399" w:rsidR="0026467A" w:rsidRPr="0083273D" w:rsidRDefault="0026467A" w:rsidP="000E5BDD">
      <w:pPr>
        <w:jc w:val="both"/>
        <w:rPr>
          <w:b/>
          <w:bCs/>
        </w:rPr>
      </w:pPr>
      <w:r w:rsidRPr="0083273D">
        <w:rPr>
          <w:b/>
          <w:bCs/>
        </w:rPr>
        <w:t>Abstract</w:t>
      </w:r>
    </w:p>
    <w:p w14:paraId="6693BC6F" w14:textId="573FE7BE" w:rsidR="0026467A" w:rsidRPr="0083273D" w:rsidRDefault="008B7AF4" w:rsidP="000E5BDD">
      <w:pPr>
        <w:jc w:val="both"/>
      </w:pPr>
      <w:r w:rsidRPr="0083273D">
        <w:rPr>
          <w:b/>
          <w:bCs/>
        </w:rPr>
        <w:t>Background</w:t>
      </w:r>
      <w:r w:rsidR="0026467A" w:rsidRPr="0083273D">
        <w:t xml:space="preserve">: After performing a major surgery, patients can experience a range of consequences, some of which can be pronounced and contraindicate any additional treatment. </w:t>
      </w:r>
      <w:r w:rsidR="00C1144B" w:rsidRPr="0083273D">
        <w:t>Early nursing assessment and Intervention is o</w:t>
      </w:r>
      <w:r w:rsidR="0026467A" w:rsidRPr="0083273D">
        <w:t>ne of the initial points of contact for evaluating and addressing this complication</w:t>
      </w:r>
      <w:r w:rsidR="0083273D">
        <w:t>. This is usually carried out by the</w:t>
      </w:r>
      <w:r w:rsidR="0026467A" w:rsidRPr="0083273D">
        <w:t xml:space="preserve"> nursing staff.</w:t>
      </w:r>
    </w:p>
    <w:p w14:paraId="3AD281AE" w14:textId="4DECCB82" w:rsidR="0026467A" w:rsidRPr="0083273D" w:rsidRDefault="00C1144B" w:rsidP="000E5BDD">
      <w:pPr>
        <w:jc w:val="both"/>
      </w:pPr>
      <w:r w:rsidRPr="0083273D">
        <w:rPr>
          <w:b/>
          <w:bCs/>
        </w:rPr>
        <w:t>Aim</w:t>
      </w:r>
      <w:r w:rsidR="0026467A" w:rsidRPr="0083273D">
        <w:t>: The aim of this system</w:t>
      </w:r>
      <w:r w:rsidR="00297C2A">
        <w:t>at</w:t>
      </w:r>
      <w:r w:rsidR="0026467A" w:rsidRPr="0083273D">
        <w:t>ic review is to assess and quantify the impact of nursing assessment and intervention in the early detection of hemodynamic instability after significant surgical procedures</w:t>
      </w:r>
      <w:r w:rsidR="008B7AF4" w:rsidRPr="0083273D">
        <w:t>.</w:t>
      </w:r>
    </w:p>
    <w:p w14:paraId="17A2DDDD" w14:textId="20DECDD8" w:rsidR="0026467A" w:rsidRPr="0083273D" w:rsidRDefault="008B7AF4" w:rsidP="000E5BDD">
      <w:pPr>
        <w:jc w:val="both"/>
      </w:pPr>
      <w:r w:rsidRPr="0083273D">
        <w:rPr>
          <w:b/>
          <w:bCs/>
        </w:rPr>
        <w:t>Method</w:t>
      </w:r>
      <w:r w:rsidR="0026467A" w:rsidRPr="0083273D">
        <w:t xml:space="preserve">: Following the PRISMA 2020 guidelines, a </w:t>
      </w:r>
      <w:r w:rsidR="00D441FA">
        <w:t>systematic review</w:t>
      </w:r>
      <w:r w:rsidR="0026467A" w:rsidRPr="0083273D">
        <w:t xml:space="preserve"> of pertinent literature published </w:t>
      </w:r>
      <w:r w:rsidR="00297C2A">
        <w:t>after 20</w:t>
      </w:r>
      <w:r w:rsidR="00C67620">
        <w:t>0</w:t>
      </w:r>
      <w:r w:rsidR="00297C2A">
        <w:t>0</w:t>
      </w:r>
      <w:r w:rsidR="0026467A" w:rsidRPr="0083273D">
        <w:t xml:space="preserve"> within the databases of PubMed, CINAHL, the Cochrane Library, Scopus, and Embase was conducted. The searches were limited to primary studies that focused on adult populations after having undergone a major surgical procedure and that examined nursing assessment/ intervention protocols. Following this dual screening process, ten studies were selected for the final analysis.</w:t>
      </w:r>
    </w:p>
    <w:p w14:paraId="7648033C" w14:textId="5BC4F6A6" w:rsidR="0026467A" w:rsidRPr="0083273D" w:rsidRDefault="0026467A" w:rsidP="000E5BDD">
      <w:pPr>
        <w:jc w:val="both"/>
      </w:pPr>
      <w:r w:rsidRPr="0083273D">
        <w:rPr>
          <w:b/>
          <w:bCs/>
        </w:rPr>
        <w:t>Findings</w:t>
      </w:r>
      <w:r w:rsidRPr="0083273D">
        <w:t xml:space="preserve">: Nursing interventions </w:t>
      </w:r>
      <w:r w:rsidR="00C1144B" w:rsidRPr="0083273D">
        <w:t>involve</w:t>
      </w:r>
      <w:r w:rsidRPr="0083273D">
        <w:t xml:space="preserve"> assessments through the use of Early Warning Scores and ongoing assessment and monitoring to improve detection and escalation. Nurse-led interventions can include the use of hemodynamic devices (and other nursing protocols)</w:t>
      </w:r>
      <w:r w:rsidR="00297C2A">
        <w:t xml:space="preserve">. This has </w:t>
      </w:r>
      <w:r w:rsidRPr="0083273D">
        <w:t xml:space="preserve">promoted hemodynamic stability in patients, decreased length of hospital stays, and decreased complications without an increase in adverse outcomes. Qualitative data showed that </w:t>
      </w:r>
      <w:r w:rsidR="00297C2A">
        <w:t>nurses</w:t>
      </w:r>
      <w:r w:rsidRPr="0083273D">
        <w:t xml:space="preserve"> were encouraged to use their clinical judgement. Overall, coaching and mentoring were given to the nurses and the results were positive and less ICU </w:t>
      </w:r>
      <w:r w:rsidR="008B7AF4" w:rsidRPr="0083273D">
        <w:t>utilization</w:t>
      </w:r>
      <w:r w:rsidRPr="0083273D">
        <w:t xml:space="preserve"> was reported with the appropriate management of ICU bed availability. Overall, the use of monitoring devices was a welcomed improvement and reduced the incidence of alarm fatigue.</w:t>
      </w:r>
    </w:p>
    <w:p w14:paraId="790CCEF0" w14:textId="4FE94B77" w:rsidR="0026467A" w:rsidRPr="0083273D" w:rsidRDefault="0026467A" w:rsidP="000E5BDD">
      <w:pPr>
        <w:jc w:val="both"/>
      </w:pPr>
      <w:r w:rsidRPr="0083273D">
        <w:rPr>
          <w:b/>
          <w:bCs/>
        </w:rPr>
        <w:t>Conclusion</w:t>
      </w:r>
      <w:r w:rsidRPr="0083273D">
        <w:t xml:space="preserve">: Engaging in early assessments and interventions in nursing is effective in decreasing postoperative </w:t>
      </w:r>
      <w:r w:rsidR="0083273D">
        <w:t>Hemodynamic</w:t>
      </w:r>
      <w:r w:rsidRPr="0083273D">
        <w:t xml:space="preserve"> instability in patients as well as improving their outcomes. Further strengthened training, multidisciplinary team support, and standardized protocols for nursing are encouraged. </w:t>
      </w:r>
    </w:p>
    <w:p w14:paraId="7B6BBD94" w14:textId="71F68301" w:rsidR="0026467A" w:rsidRPr="0083273D" w:rsidRDefault="0026467A" w:rsidP="000E5BDD">
      <w:pPr>
        <w:jc w:val="both"/>
      </w:pPr>
      <w:r w:rsidRPr="0083273D">
        <w:rPr>
          <w:b/>
          <w:bCs/>
        </w:rPr>
        <w:t>Keywords</w:t>
      </w:r>
      <w:r w:rsidRPr="0083273D">
        <w:t xml:space="preserve">: postoperative care, nursing assessments, early warning scores, nurse-led interventions, major surgery, patient outcomes, </w:t>
      </w:r>
      <w:r w:rsidR="0083273D">
        <w:t>Hemodynamic</w:t>
      </w:r>
      <w:r w:rsidRPr="0083273D">
        <w:t xml:space="preserve"> instability</w:t>
      </w:r>
    </w:p>
    <w:p w14:paraId="74DF5680" w14:textId="388A621A" w:rsidR="00465DDE" w:rsidRPr="0083273D" w:rsidRDefault="004A39E9" w:rsidP="000E5BDD">
      <w:pPr>
        <w:jc w:val="both"/>
        <w:rPr>
          <w:b/>
          <w:bCs/>
        </w:rPr>
      </w:pPr>
      <w:r w:rsidRPr="0083273D">
        <w:rPr>
          <w:b/>
          <w:bCs/>
        </w:rPr>
        <w:t>INTRODUCTION</w:t>
      </w:r>
    </w:p>
    <w:p w14:paraId="03A3BB38" w14:textId="522ED7B8" w:rsidR="00465DDE" w:rsidRPr="0083273D" w:rsidRDefault="004A39E9" w:rsidP="000E5BDD">
      <w:pPr>
        <w:jc w:val="both"/>
        <w:rPr>
          <w:b/>
          <w:bCs/>
        </w:rPr>
      </w:pPr>
      <w:r w:rsidRPr="0083273D">
        <w:rPr>
          <w:b/>
          <w:bCs/>
        </w:rPr>
        <w:t>1</w:t>
      </w:r>
      <w:r w:rsidR="00465DDE" w:rsidRPr="0083273D">
        <w:rPr>
          <w:b/>
          <w:bCs/>
        </w:rPr>
        <w:t>.1</w:t>
      </w:r>
      <w:bookmarkStart w:id="1" w:name="_Hlk222917715"/>
      <w:r w:rsidR="00465DDE" w:rsidRPr="0083273D">
        <w:rPr>
          <w:b/>
          <w:bCs/>
        </w:rPr>
        <w:t xml:space="preserve"> International Impact of Postoperative Complications</w:t>
      </w:r>
    </w:p>
    <w:bookmarkEnd w:id="1"/>
    <w:p w14:paraId="5C4F6E5D" w14:textId="6C917D48" w:rsidR="00394F61" w:rsidRPr="0083273D" w:rsidRDefault="00394F61" w:rsidP="000E5BDD">
      <w:pPr>
        <w:jc w:val="both"/>
      </w:pPr>
      <w:r w:rsidRPr="0083273D">
        <w:t xml:space="preserve">Postoperative complications are still a substantial issue in surgical practice, and they affect morbidity and mortality and the use of healthcare resources on a global scale. </w:t>
      </w:r>
      <w:r w:rsidR="00297C2A" w:rsidRPr="00297C2A">
        <w:t>One of the most common and dangerous postoperative complications is hemodynamic instability, defined as the failure to maintain adequate blood pressure, heart rate, cardiac output, or tissue perfusion</w:t>
      </w:r>
      <w:r w:rsidRPr="0083273D">
        <w:t xml:space="preserve">, especially after significant surgeries of the </w:t>
      </w:r>
      <w:r w:rsidRPr="0083273D">
        <w:lastRenderedPageBreak/>
        <w:t xml:space="preserve">abdomen, heart, orthopedics, or vascular systems. </w:t>
      </w:r>
      <w:r w:rsidR="0081029B" w:rsidRPr="0081029B">
        <w:t>Postoperative instability can occur immediately</w:t>
      </w:r>
      <w:r w:rsidR="0081029B">
        <w:t xml:space="preserve"> </w:t>
      </w:r>
      <w:r w:rsidRPr="0083273D">
        <w:t xml:space="preserve">and can be seen in patients after anesthesia in the post-anesthesia care unit (PACU) (Moncada et al., 2020; Nye et al., 2024). Although the incidence rate is highly variable, it is commonly noted to be a significant problem. Up to 59% of patients have reported this issue, with numerous studies and meta-analyses reporting this problem in about 52% - 53% of adult surgical patients (Canet &amp; </w:t>
      </w:r>
      <w:proofErr w:type="spellStart"/>
      <w:r w:rsidRPr="0083273D">
        <w:t>Bellomo</w:t>
      </w:r>
      <w:proofErr w:type="spellEnd"/>
      <w:r w:rsidRPr="0083273D">
        <w:t xml:space="preserve">, 2018; </w:t>
      </w:r>
      <w:proofErr w:type="spellStart"/>
      <w:r w:rsidRPr="0083273D">
        <w:t>Wajekar</w:t>
      </w:r>
      <w:proofErr w:type="spellEnd"/>
      <w:r w:rsidRPr="0083273D">
        <w:t xml:space="preserve"> et al., 2024). The specific cases of this problem were reported to be of low blood pressure (20-30%), high blood pressure, bradycardia and tachycardia, with the most common cases being tachycardia and low blood pressure (Dobrev et al., 2019).</w:t>
      </w:r>
    </w:p>
    <w:p w14:paraId="6E49C132" w14:textId="0F7CCCB4" w:rsidR="00394F61" w:rsidRPr="0083273D" w:rsidRDefault="00394F61" w:rsidP="000E5BDD">
      <w:pPr>
        <w:jc w:val="both"/>
      </w:pPr>
      <w:r w:rsidRPr="0083273D">
        <w:t xml:space="preserve">Such instability can be detrimental to patient outcomes, including increased rates of hospital stay and mortality, prolonged stays, or ICU admissions. For example, patients who undergo </w:t>
      </w:r>
      <w:r w:rsidR="0083273D">
        <w:t>high-</w:t>
      </w:r>
      <w:r w:rsidRPr="0083273D">
        <w:t xml:space="preserve">risk surgery have an in-hospital 30-day mortality rate of 9-28%, while patients who </w:t>
      </w:r>
      <w:r w:rsidR="0083273D">
        <w:t xml:space="preserve">go </w:t>
      </w:r>
      <w:r w:rsidRPr="0083273D">
        <w:t xml:space="preserve">to the wards have lower rates of up to 9% (Canet &amp; Bellomo, 2018). Approximately 18% of patients who have surgery in the world suffer from complications, and in the high-risk patients, even though they undergo less than 15% of the surgery, they contribute to 80% of the in-hospital deaths (Nye et al., 2024; </w:t>
      </w:r>
      <w:proofErr w:type="spellStart"/>
      <w:r w:rsidRPr="0083273D">
        <w:t>Wajekar</w:t>
      </w:r>
      <w:proofErr w:type="spellEnd"/>
      <w:r w:rsidRPr="0083273D">
        <w:t xml:space="preserve"> et al., 2024). Hemodynamic instability can lead to severe organ failure, sepsis, or cardiac arrest, increasing the aforementioned risks (de Araújo Martins-Romeo &amp; Rivera Domínguez, 2023).</w:t>
      </w:r>
    </w:p>
    <w:p w14:paraId="5FA859DE" w14:textId="4D43FE2B" w:rsidR="00394F61" w:rsidRPr="0083273D" w:rsidRDefault="00394F61" w:rsidP="000E5BDD">
      <w:pPr>
        <w:jc w:val="both"/>
      </w:pPr>
      <w:r w:rsidRPr="0083273D">
        <w:t xml:space="preserve">Systemically and economically speaking, the impact of complications like hemodynamic instability is also high. Complications in patients after surgery increase the consumption of health resources, such as postponement of further ICU admissions, the need </w:t>
      </w:r>
      <w:r w:rsidR="0081029B">
        <w:t>for</w:t>
      </w:r>
      <w:r w:rsidRPr="0083273D">
        <w:t xml:space="preserve"> vasopressor support or mechanical ventilation, and increase the hospital stay, sometimes the cost triples compared to uncomplicated patients (Al-Hilli &amp; Wilkerson, 2021; Croke, 2022). In developing countries, </w:t>
      </w:r>
      <w:r w:rsidR="0081029B" w:rsidRPr="0081029B">
        <w:t>limited resources further complicate early detection and management</w:t>
      </w:r>
      <w:r w:rsidR="0081029B">
        <w:t xml:space="preserve"> </w:t>
      </w:r>
      <w:r w:rsidRPr="0083273D">
        <w:t>on the need to provide early and better management of patients (Nye et al., 2024).</w:t>
      </w:r>
    </w:p>
    <w:p w14:paraId="1ECFD8BD" w14:textId="77777777" w:rsidR="00394F61" w:rsidRPr="0083273D" w:rsidRDefault="00394F61" w:rsidP="000E5BDD">
      <w:pPr>
        <w:jc w:val="both"/>
      </w:pPr>
    </w:p>
    <w:p w14:paraId="2259D6FB" w14:textId="170BED11" w:rsidR="00465DDE" w:rsidRPr="0083273D" w:rsidRDefault="00297C2A" w:rsidP="000E5BDD">
      <w:pPr>
        <w:jc w:val="both"/>
        <w:rPr>
          <w:b/>
          <w:bCs/>
        </w:rPr>
      </w:pPr>
      <w:r>
        <w:rPr>
          <w:b/>
          <w:bCs/>
        </w:rPr>
        <w:t>1</w:t>
      </w:r>
      <w:r w:rsidR="00465DDE" w:rsidRPr="0083273D">
        <w:rPr>
          <w:b/>
          <w:bCs/>
        </w:rPr>
        <w:t xml:space="preserve">.2 Pathophysiology of Postoperative </w:t>
      </w:r>
      <w:r w:rsidR="0083273D">
        <w:rPr>
          <w:b/>
          <w:bCs/>
        </w:rPr>
        <w:t>Hemodynamic</w:t>
      </w:r>
      <w:r w:rsidR="00465DDE" w:rsidRPr="0083273D">
        <w:rPr>
          <w:b/>
          <w:bCs/>
        </w:rPr>
        <w:t xml:space="preserve"> Instability</w:t>
      </w:r>
    </w:p>
    <w:p w14:paraId="47EEA1C4" w14:textId="77777777" w:rsidR="00394F61" w:rsidRPr="0083273D" w:rsidRDefault="00394F61" w:rsidP="000E5BDD">
      <w:pPr>
        <w:jc w:val="both"/>
      </w:pPr>
      <w:r w:rsidRPr="0083273D">
        <w:t>During the postoperative phase, multiple overlapping pathophysiology mechanisms result in the disruption of delivery of oxygen and perfusion of the tissues (Canet &amp; Bellomo, 2018). Some causes of concern are the following:</w:t>
      </w:r>
    </w:p>
    <w:p w14:paraId="28C0A6FC" w14:textId="77777777" w:rsidR="00394F61" w:rsidRPr="0083273D" w:rsidRDefault="00394F61" w:rsidP="000E5BDD">
      <w:pPr>
        <w:jc w:val="both"/>
      </w:pPr>
      <w:r w:rsidRPr="0083273D">
        <w:t>Hypovolemia: This situation is caused by a complete loss of blood volume due to intraoperative bleeding, fluid shifts to third-space, or a lack of replacement. There may also be venous pooling, which is called relative hypovolemia (Mutch et al., 1995). The result is less preload, stroke volume, and cardiac output, and leads to hypotension (Mann et al., 2007; Shen et al., 2023).</w:t>
      </w:r>
    </w:p>
    <w:p w14:paraId="01D2CFAB" w14:textId="7295B3F4" w:rsidR="00394F61" w:rsidRPr="0083273D" w:rsidRDefault="00394F61" w:rsidP="000E5BDD">
      <w:pPr>
        <w:jc w:val="both"/>
      </w:pPr>
      <w:r w:rsidRPr="0083273D">
        <w:t xml:space="preserve">Vasodilation: This condition is common after major surgery, and is a direct result of anesthesia, such as a volatile agent or venous block. There is also a component for inflammatory response to surgical stress or cardiopulmonary bypass, or sepsis, and other drug-related reactions (Mutch et al., 1995; </w:t>
      </w:r>
      <w:proofErr w:type="spellStart"/>
      <w:r w:rsidRPr="0083273D">
        <w:t>Dakour-Aridi</w:t>
      </w:r>
      <w:proofErr w:type="spellEnd"/>
      <w:r w:rsidRPr="0083273D">
        <w:t xml:space="preserve"> et al., 2021). </w:t>
      </w:r>
      <w:r w:rsidR="0081029B" w:rsidRPr="0081029B">
        <w:t>This leads to decreased systemic vascular resistance and hypotension</w:t>
      </w:r>
      <w:r w:rsidRPr="0083273D">
        <w:t xml:space="preserve"> (Mann et al., 2007).</w:t>
      </w:r>
    </w:p>
    <w:p w14:paraId="0F75767E" w14:textId="447A8E2A" w:rsidR="00394F61" w:rsidRPr="0083273D" w:rsidRDefault="00394F61" w:rsidP="000E5BDD">
      <w:pPr>
        <w:jc w:val="both"/>
      </w:pPr>
      <w:r w:rsidRPr="0083273D">
        <w:t>Myocardial dysfunction: impairment of contractility, and reduction of ejection fraction and cardiac output, can be cause</w:t>
      </w:r>
      <w:r w:rsidR="0081029B">
        <w:t>d</w:t>
      </w:r>
      <w:r w:rsidRPr="0083273D">
        <w:t xml:space="preserve"> by intraoperative ischemia, low cardiac output syndrome, and preoperative cardiac comorbidity (Dobrev et al., 2019). These situations lead to an increase of acidosis, hypothermia, and loss of resistance to the catecholamines (Canet &amp; Bellomo, 2018; Mann et al., 2007).</w:t>
      </w:r>
    </w:p>
    <w:p w14:paraId="284F6910" w14:textId="77777777" w:rsidR="00394F61" w:rsidRPr="0083273D" w:rsidRDefault="00394F61" w:rsidP="000E5BDD">
      <w:pPr>
        <w:jc w:val="both"/>
      </w:pPr>
      <w:r w:rsidRPr="0083273D">
        <w:lastRenderedPageBreak/>
        <w:t>Loss of blood volume and, therefore, hypovolemia and hypotension, can be caused by active or occult bleeding and can progress to shock if undetected (Shen et al., 2023).</w:t>
      </w:r>
    </w:p>
    <w:p w14:paraId="097E5884" w14:textId="77777777" w:rsidR="00394F61" w:rsidRPr="0083273D" w:rsidRDefault="00394F61" w:rsidP="000E5BDD">
      <w:pPr>
        <w:jc w:val="both"/>
      </w:pPr>
      <w:r w:rsidRPr="0083273D">
        <w:t>Sepsis: an infection or trauma leads to an inflammatory response and severe vasodilation and a capillary leak, as well as depression of the myocardium, and often leads to shock (Canet &amp; Bellomo, 2018; Mann et al., 2007).</w:t>
      </w:r>
    </w:p>
    <w:p w14:paraId="2D6ADCB5" w14:textId="7D31DF91" w:rsidR="00394F61" w:rsidRPr="0083273D" w:rsidRDefault="00394F61" w:rsidP="000E5BDD">
      <w:pPr>
        <w:jc w:val="both"/>
      </w:pPr>
      <w:proofErr w:type="spellStart"/>
      <w:r w:rsidRPr="0083273D">
        <w:t>Anaesthetic</w:t>
      </w:r>
      <w:proofErr w:type="spellEnd"/>
      <w:r w:rsidRPr="0083273D">
        <w:t xml:space="preserve"> effects: Residual effects of induction agents, opioids, or neuromuscular blockers cause early recovery phase vasodilation, bradycardia, or myocardial depression (Mutch et al., 1995; Mann et al., 2007).</w:t>
      </w:r>
      <w:r w:rsidR="008D7037" w:rsidRPr="0083273D">
        <w:t xml:space="preserve"> </w:t>
      </w:r>
      <w:r w:rsidRPr="0083273D">
        <w:t>These mechanisms frequently interact (e.g., hypovolemia compounded by vasodilation) and lead to tissue hypoxia and downstream effects, including acute kidney injury, or multi-organ failure (Canet &amp; Bellomo, 2018; Dobrev et al., 2019).</w:t>
      </w:r>
    </w:p>
    <w:p w14:paraId="6BC753B8" w14:textId="77777777" w:rsidR="00A01C36" w:rsidRPr="0083273D" w:rsidRDefault="00A01C36" w:rsidP="000E5BDD">
      <w:pPr>
        <w:jc w:val="both"/>
      </w:pPr>
    </w:p>
    <w:p w14:paraId="2D41F03D" w14:textId="2C0DDE66" w:rsidR="00465DDE" w:rsidRPr="0083273D" w:rsidRDefault="00297C2A" w:rsidP="000E5BDD">
      <w:pPr>
        <w:jc w:val="both"/>
        <w:rPr>
          <w:b/>
          <w:bCs/>
        </w:rPr>
      </w:pPr>
      <w:r>
        <w:rPr>
          <w:b/>
          <w:bCs/>
        </w:rPr>
        <w:t>1</w:t>
      </w:r>
      <w:r w:rsidR="00465DDE" w:rsidRPr="0083273D">
        <w:rPr>
          <w:b/>
          <w:bCs/>
        </w:rPr>
        <w:t>.3 The Critical Role of Nurses in Early Detection</w:t>
      </w:r>
    </w:p>
    <w:p w14:paraId="4D341ACC" w14:textId="166637ED" w:rsidR="00394F61" w:rsidRPr="0083273D" w:rsidRDefault="00394F61" w:rsidP="000E5BDD">
      <w:pPr>
        <w:jc w:val="both"/>
      </w:pPr>
      <w:r w:rsidRPr="0083273D">
        <w:t xml:space="preserve">Postoperative </w:t>
      </w:r>
      <w:r w:rsidR="0083273D">
        <w:t>Hemodynamic</w:t>
      </w:r>
      <w:r w:rsidRPr="0083273D">
        <w:t xml:space="preserve"> instability is detected and managed by nurses. Their continuous presence at the bedside is a significant factor (Clare, 2020; Bleakley &amp; Cole, 2020). Nurses tend to identify subtle changes prior to the occurrence of significant deterioration (Holder et al., 2023).</w:t>
      </w:r>
    </w:p>
    <w:p w14:paraId="62F4E870" w14:textId="77777777" w:rsidR="00394F61" w:rsidRPr="0083273D" w:rsidRDefault="00394F61" w:rsidP="000E5BDD">
      <w:pPr>
        <w:jc w:val="both"/>
      </w:pPr>
      <w:r w:rsidRPr="0083273D">
        <w:t>The Early Warning Score (EWS) systems such as Modified Early Warning Score and National Early Warning Score, as well as the nurse's “worry” factor, help stratify risk and trigger response. These EWS systems enhance early recognition of complications, timely interventions, and improved clinical outcomes (Holder et al., 2023; Santos et al., 2021).</w:t>
      </w:r>
    </w:p>
    <w:p w14:paraId="6885F2D7" w14:textId="77777777" w:rsidR="00394F61" w:rsidRPr="0083273D" w:rsidRDefault="00394F61" w:rsidP="000E5BDD">
      <w:pPr>
        <w:jc w:val="both"/>
      </w:pPr>
      <w:r w:rsidRPr="0083273D">
        <w:t>The factors affecting the gap include the ratio of nurses to patients, since appropriate staffing means that assessment can be more frequent and detailed, and the fact that monitoring can be too reliant on monitoring devices to the detriment of clinical monitoring (Wilson et al., 2015; Parker et al., 2012). Nurses are required to combine the subjective and the objective, and are therefore the most appropriate personnel to fill the monitoring gaps and take the appropriate action such as fluid challenges, or calling the rapid response teams (Robbins-Welty et al., 2018; Boyle &amp; Murphy-Tighe, 2022).</w:t>
      </w:r>
    </w:p>
    <w:p w14:paraId="75C2205B" w14:textId="2EE5B34B" w:rsidR="00394F61" w:rsidRPr="0083273D" w:rsidRDefault="00394F61" w:rsidP="000E5BDD">
      <w:pPr>
        <w:jc w:val="both"/>
      </w:pPr>
      <w:r w:rsidRPr="0083273D">
        <w:t xml:space="preserve">There are limitations in the existing literature on the burden of postoperative </w:t>
      </w:r>
      <w:r w:rsidR="0083273D">
        <w:t>Hemodynamic</w:t>
      </w:r>
      <w:r w:rsidRPr="0083273D">
        <w:t xml:space="preserve"> instability. Much of the literature focuses on physician-led initiatives such as goal-directed fluid therapy or advanced </w:t>
      </w:r>
      <w:r w:rsidR="0083273D">
        <w:t>Hemodynamic</w:t>
      </w:r>
      <w:r w:rsidRPr="0083273D">
        <w:t xml:space="preserve"> monitoring in the operating theatre or ICU, while there is relatively little literature on nurse-led initiatives in the wards or PACU where most of the primary postoperative monitoring takes place (Schenker et al., 2021; </w:t>
      </w:r>
      <w:proofErr w:type="spellStart"/>
      <w:r w:rsidRPr="0083273D">
        <w:t>McDonall</w:t>
      </w:r>
      <w:proofErr w:type="spellEnd"/>
      <w:r w:rsidRPr="0083273D">
        <w:t xml:space="preserve"> et al., 2022).</w:t>
      </w:r>
    </w:p>
    <w:p w14:paraId="336045BC" w14:textId="77777777" w:rsidR="00394F61" w:rsidRPr="0083273D" w:rsidRDefault="00394F61" w:rsidP="000E5BDD">
      <w:pPr>
        <w:jc w:val="both"/>
      </w:pPr>
      <w:r w:rsidRPr="0083273D">
        <w:t xml:space="preserve">Additionally, there is a paucity of literature that robustly assesses the outcomes of early nursing actions such as the execution of a protocol in the form of frequent assessments or the implementation of an early warning system (EWS) on important outcomes such as the rate of ICU transfers, the degree of complications, or mortality. This gap in the literature underscores the lack of evidence-based recommendations for nursing practice and the existence of gaps in the documented evidence for nurse-led initiatives (Filipe et al., 2024; </w:t>
      </w:r>
      <w:proofErr w:type="spellStart"/>
      <w:r w:rsidRPr="0083273D">
        <w:t>Sunpath</w:t>
      </w:r>
      <w:proofErr w:type="spellEnd"/>
      <w:r w:rsidRPr="0083273D">
        <w:t xml:space="preserve"> et al., 2021).</w:t>
      </w:r>
    </w:p>
    <w:p w14:paraId="08A8E11D" w14:textId="3C5FF7C7" w:rsidR="00465DDE" w:rsidRPr="0083273D" w:rsidRDefault="00394F61" w:rsidP="000E5BDD">
      <w:pPr>
        <w:jc w:val="both"/>
      </w:pPr>
      <w:r w:rsidRPr="0083273D">
        <w:t xml:space="preserve">The purpose of this systematic review is to analyze the impact of early nursing assessment and intervention on patients who become </w:t>
      </w:r>
      <w:r w:rsidR="0083273D">
        <w:t>Hemodynamic</w:t>
      </w:r>
      <w:r w:rsidRPr="0083273D">
        <w:t xml:space="preserve">ally unstable after undergoing major surgery. It aims to find out the impact of timely nurse-led identification and intervention on the outcomes (Kaur &amp; Mikes, </w:t>
      </w:r>
      <w:r w:rsidRPr="0083273D">
        <w:lastRenderedPageBreak/>
        <w:t>2025; Robbins-Welty et al., 2018).</w:t>
      </w:r>
      <w:r w:rsidR="000E5BDD" w:rsidRPr="0083273D">
        <w:t xml:space="preserve"> These outcomes include: rates of transfers to </w:t>
      </w:r>
      <w:r w:rsidR="0083273D">
        <w:t>ICU</w:t>
      </w:r>
      <w:r w:rsidR="000E5BDD" w:rsidRPr="0083273D">
        <w:t xml:space="preserve">, occurrences of cardiac arrest, development of organ failure, 30-day mortality, </w:t>
      </w:r>
      <w:r w:rsidR="0083273D">
        <w:t xml:space="preserve">and </w:t>
      </w:r>
      <w:r w:rsidR="000E5BDD" w:rsidRPr="0083273D">
        <w:t>duration of hospital stay</w:t>
      </w:r>
    </w:p>
    <w:p w14:paraId="35B3732E" w14:textId="2F40C877" w:rsidR="00465DDE" w:rsidRPr="0083273D" w:rsidRDefault="00465DDE" w:rsidP="000E5BDD">
      <w:pPr>
        <w:jc w:val="both"/>
      </w:pPr>
      <w:r w:rsidRPr="0083273D">
        <w:t xml:space="preserve">The primary hypothesis is that early and structured nursing assessments (e.g. documentation and analysis of trends in vital signs, application of EWS, and use of clinical judgement) result in greater </w:t>
      </w:r>
      <w:r w:rsidR="0083273D">
        <w:t>Hemodynamic</w:t>
      </w:r>
      <w:r w:rsidRPr="0083273D">
        <w:t xml:space="preserve"> stabilization and improved outcomes compared to all other nursing assessments that are considered standard and that do not incorporate this element.</w:t>
      </w:r>
    </w:p>
    <w:p w14:paraId="51EF6829" w14:textId="77777777" w:rsidR="00465DDE" w:rsidRPr="0083273D" w:rsidRDefault="00465DDE" w:rsidP="000E5BDD">
      <w:pPr>
        <w:jc w:val="both"/>
        <w:rPr>
          <w:b/>
          <w:bCs/>
        </w:rPr>
      </w:pPr>
    </w:p>
    <w:p w14:paraId="7294A8A9" w14:textId="1C82C30D" w:rsidR="00465DDE" w:rsidRPr="0083273D" w:rsidRDefault="00394F61" w:rsidP="000E5BDD">
      <w:pPr>
        <w:jc w:val="both"/>
        <w:rPr>
          <w:b/>
          <w:bCs/>
        </w:rPr>
      </w:pPr>
      <w:r w:rsidRPr="0083273D">
        <w:rPr>
          <w:b/>
          <w:bCs/>
        </w:rPr>
        <w:t>2. METHODOLOGY</w:t>
      </w:r>
    </w:p>
    <w:p w14:paraId="2464340F" w14:textId="29ECE536" w:rsidR="001D4108" w:rsidRPr="0083273D" w:rsidRDefault="001D4108" w:rsidP="000E5BDD">
      <w:pPr>
        <w:jc w:val="both"/>
        <w:rPr>
          <w:b/>
          <w:bCs/>
        </w:rPr>
      </w:pPr>
      <w:r w:rsidRPr="0083273D">
        <w:rPr>
          <w:b/>
          <w:bCs/>
        </w:rPr>
        <w:t>2.1 Study Design and Research Protocol</w:t>
      </w:r>
    </w:p>
    <w:p w14:paraId="0335F5C5" w14:textId="258C638E" w:rsidR="001D4108" w:rsidRPr="0083273D" w:rsidRDefault="001D4108" w:rsidP="000E5BDD">
      <w:pPr>
        <w:jc w:val="both"/>
      </w:pPr>
      <w:r w:rsidRPr="0083273D">
        <w:t xml:space="preserve">This systematic review aims to outline the evidence regarding the effectiveness of the early nursing assessment and intervention of </w:t>
      </w:r>
      <w:r w:rsidR="0083273D">
        <w:t>Hemodynamic</w:t>
      </w:r>
      <w:r w:rsidRPr="0083273D">
        <w:t xml:space="preserve"> instability after major surgical procedures. The review is conducted using some of the most rigorous and transparent methodologies that adhere to the protocols delineated in the PRISMA 2020 statement </w:t>
      </w:r>
      <w:r w:rsidR="00AB331C" w:rsidRPr="0083273D">
        <w:t xml:space="preserve">(Page et al., 2021) </w:t>
      </w:r>
      <w:r w:rsidRPr="0083273D">
        <w:t>to ensure comprehensive coverage of all facets of the review while minimizing bias and improving replicability.</w:t>
      </w:r>
    </w:p>
    <w:p w14:paraId="647B4545" w14:textId="629F7782" w:rsidR="001D4108" w:rsidRPr="0083273D" w:rsidRDefault="001D4108" w:rsidP="000E5BDD">
      <w:pPr>
        <w:jc w:val="both"/>
      </w:pPr>
      <w:r w:rsidRPr="0083273D">
        <w:t xml:space="preserve">This review’s protocol was developed </w:t>
      </w:r>
      <w:r w:rsidR="00297C2A" w:rsidRPr="00297C2A">
        <w:t xml:space="preserve">prior to the data extraction phase but was not registered in PROSPERO due to time </w:t>
      </w:r>
      <w:proofErr w:type="gramStart"/>
      <w:r w:rsidR="00297C2A" w:rsidRPr="00297C2A">
        <w:t>constraints.</w:t>
      </w:r>
      <w:r w:rsidR="00463BFD" w:rsidRPr="0083273D">
        <w:t>.</w:t>
      </w:r>
      <w:proofErr w:type="gramEnd"/>
      <w:r w:rsidR="00463BFD" w:rsidRPr="0083273D">
        <w:t xml:space="preserve"> However, no variation to the </w:t>
      </w:r>
      <w:r w:rsidR="0083273D" w:rsidRPr="0083273D">
        <w:t>protocol</w:t>
      </w:r>
      <w:r w:rsidR="00463BFD" w:rsidRPr="0083273D">
        <w:t xml:space="preserve"> was done from development to execution.</w:t>
      </w:r>
    </w:p>
    <w:p w14:paraId="4AD71501" w14:textId="4746E08D" w:rsidR="001D4108" w:rsidRPr="0083273D" w:rsidRDefault="001D4108" w:rsidP="000E5BDD">
      <w:pPr>
        <w:jc w:val="both"/>
      </w:pPr>
      <w:r w:rsidRPr="0083273D">
        <w:t>The review will utilize a narrative synthesis approach to integrate data, and a meta-analysis will be performed where sufficiently homogeneous data is available (for example, with respect to binary outcomes such as the rates of transfer to ICU or the rates of mortality in 30 days). In the absence of such data and in the presence of significant heterogeneity, the qualitative synthesis of the findings will be performed through the use of tables, thematic groups, and summary narratives.</w:t>
      </w:r>
    </w:p>
    <w:p w14:paraId="183ED642" w14:textId="5D91DCF0" w:rsidR="001D4108" w:rsidRPr="0083273D" w:rsidRDefault="001D4108" w:rsidP="000E5BDD">
      <w:pPr>
        <w:jc w:val="both"/>
        <w:rPr>
          <w:b/>
          <w:bCs/>
        </w:rPr>
      </w:pPr>
      <w:r w:rsidRPr="0083273D">
        <w:rPr>
          <w:b/>
          <w:bCs/>
        </w:rPr>
        <w:t>2.2 Eligibility Criteria</w:t>
      </w:r>
    </w:p>
    <w:p w14:paraId="67DF88F8" w14:textId="29579742" w:rsidR="001D4108" w:rsidRPr="0083273D" w:rsidRDefault="001D4108" w:rsidP="000E5BDD">
      <w:pPr>
        <w:jc w:val="both"/>
      </w:pPr>
      <w:r w:rsidRPr="0083273D">
        <w:t>The criteri</w:t>
      </w:r>
      <w:r w:rsidR="00B84424" w:rsidRPr="0083273D">
        <w:t>a</w:t>
      </w:r>
      <w:r w:rsidRPr="0083273D">
        <w:t xml:space="preserve"> for eligibility </w:t>
      </w:r>
      <w:r w:rsidR="00AB7032" w:rsidRPr="0083273D">
        <w:t>were</w:t>
      </w:r>
      <w:r w:rsidRPr="0083273D">
        <w:t xml:space="preserve"> developed using the PICOS criteria (Population, Intervention, Comparison, Outcomes, Study design) model in order to establish a framework for study selection</w:t>
      </w:r>
      <w:r w:rsidR="0027346E" w:rsidRPr="0083273D">
        <w:t xml:space="preserve"> (Amir-</w:t>
      </w:r>
      <w:proofErr w:type="spellStart"/>
      <w:r w:rsidR="0027346E" w:rsidRPr="0083273D">
        <w:t>Behghadami</w:t>
      </w:r>
      <w:proofErr w:type="spellEnd"/>
      <w:r w:rsidR="0027346E" w:rsidRPr="0083273D">
        <w:t xml:space="preserve"> and </w:t>
      </w:r>
      <w:proofErr w:type="spellStart"/>
      <w:r w:rsidR="0027346E" w:rsidRPr="0083273D">
        <w:t>Janati</w:t>
      </w:r>
      <w:proofErr w:type="spellEnd"/>
      <w:r w:rsidR="0027346E" w:rsidRPr="0083273D">
        <w:t>, 2020)</w:t>
      </w:r>
      <w:r w:rsidRPr="0083273D">
        <w:t>.</w:t>
      </w:r>
    </w:p>
    <w:p w14:paraId="7A01BB9A" w14:textId="6A9BB104" w:rsidR="001D4108" w:rsidRPr="0083273D" w:rsidRDefault="001D4108" w:rsidP="000E5BDD">
      <w:pPr>
        <w:jc w:val="both"/>
      </w:pPr>
      <w:r w:rsidRPr="0083273D">
        <w:rPr>
          <w:b/>
          <w:bCs/>
        </w:rPr>
        <w:t>Population</w:t>
      </w:r>
      <w:r w:rsidRPr="0083273D">
        <w:t xml:space="preserve">: </w:t>
      </w:r>
      <w:proofErr w:type="spellStart"/>
      <w:r w:rsidR="00AB7032" w:rsidRPr="0083273D">
        <w:t>Reaearch</w:t>
      </w:r>
      <w:proofErr w:type="spellEnd"/>
      <w:r w:rsidR="00AB7032" w:rsidRPr="0083273D">
        <w:t xml:space="preserve"> papers on </w:t>
      </w:r>
      <w:r w:rsidRPr="0083273D">
        <w:t xml:space="preserve">Adult patients (≥18 years) who had major surgery (e.g., abdominal, thoracic, cardiac, vascular, orthopedic, etc.) and who had or were potentially susceptible to having postoperative </w:t>
      </w:r>
      <w:r w:rsidR="0083273D">
        <w:t>Hemodynamic</w:t>
      </w:r>
      <w:r w:rsidRPr="0083273D">
        <w:t xml:space="preserve"> instability. This includes patients who are unstable in the post-</w:t>
      </w:r>
      <w:proofErr w:type="spellStart"/>
      <w:r w:rsidRPr="0083273D">
        <w:t>anaesthesia</w:t>
      </w:r>
      <w:proofErr w:type="spellEnd"/>
      <w:r w:rsidRPr="0083273D">
        <w:t xml:space="preserve"> care unit (PACU), surgical wards, or initial phases of the ICU. Studies were excluded if they involved </w:t>
      </w:r>
      <w:r w:rsidR="0083273D" w:rsidRPr="0083273D">
        <w:t>pediatric</w:t>
      </w:r>
      <w:r w:rsidRPr="0083273D">
        <w:t xml:space="preserve"> patients, minor/day-case surgery, or non-surgical critical care. </w:t>
      </w:r>
    </w:p>
    <w:p w14:paraId="66C4DAD4" w14:textId="4125581C" w:rsidR="001D4108" w:rsidRPr="0083273D" w:rsidRDefault="001D4108" w:rsidP="000E5BDD">
      <w:pPr>
        <w:jc w:val="both"/>
      </w:pPr>
      <w:r w:rsidRPr="0083273D">
        <w:rPr>
          <w:b/>
          <w:bCs/>
        </w:rPr>
        <w:t>Intervention/Exposure</w:t>
      </w:r>
      <w:r w:rsidRPr="0083273D">
        <w:t xml:space="preserve">: Early nursing assessment and/or intervention regarding </w:t>
      </w:r>
      <w:r w:rsidR="0083273D">
        <w:t>Hemodynamic</w:t>
      </w:r>
      <w:r w:rsidRPr="0083273D">
        <w:t xml:space="preserve"> instability, which may include the use of certain structured tools (e.g. Early Warning Score systems like NEWS or MEWS, trend monitoring of vital signs, or implementation of the ABCDE assessment), recognition via clinical judgement, use of protocols (e.g., fluid challenges, or escalation to rapid response teams), or nursing intervention (e.g., positioning, providing oxygen, or calling the multidisciplinary team). It is expected that the nursing role in interventions will include the early detection of issues (usually within the first 24-48 hours of surgery). </w:t>
      </w:r>
    </w:p>
    <w:p w14:paraId="45EACCA3" w14:textId="57AF3EC6" w:rsidR="001D4108" w:rsidRPr="0083273D" w:rsidRDefault="001D4108" w:rsidP="000E5BDD">
      <w:pPr>
        <w:jc w:val="both"/>
      </w:pPr>
      <w:r w:rsidRPr="0083273D">
        <w:rPr>
          <w:b/>
          <w:bCs/>
        </w:rPr>
        <w:lastRenderedPageBreak/>
        <w:t>Comparison</w:t>
      </w:r>
      <w:r w:rsidRPr="0083273D">
        <w:t xml:space="preserve">: Other than </w:t>
      </w:r>
      <w:proofErr w:type="spellStart"/>
      <w:r w:rsidR="0083273D">
        <w:t>toutine</w:t>
      </w:r>
      <w:proofErr w:type="spellEnd"/>
      <w:r w:rsidR="0083273D">
        <w:t xml:space="preserve"> </w:t>
      </w:r>
      <w:r w:rsidRPr="0083273D">
        <w:t>postoperative care, the absence of early structured nursing assessments/interventions, a focus on delayed recognition</w:t>
      </w:r>
      <w:r w:rsidR="0083273D">
        <w:t xml:space="preserve"> of deterioration rather than early detection</w:t>
      </w:r>
      <w:r w:rsidRPr="0083273D">
        <w:t xml:space="preserve">, or having a physician-centered approach. </w:t>
      </w:r>
    </w:p>
    <w:p w14:paraId="6F486237" w14:textId="6D6A2B0B" w:rsidR="001D4108" w:rsidRPr="0083273D" w:rsidRDefault="001D4108" w:rsidP="000E5BDD">
      <w:pPr>
        <w:jc w:val="both"/>
        <w:rPr>
          <w:b/>
          <w:bCs/>
        </w:rPr>
      </w:pPr>
      <w:r w:rsidRPr="0083273D">
        <w:rPr>
          <w:b/>
          <w:bCs/>
        </w:rPr>
        <w:t>Outcomes</w:t>
      </w:r>
    </w:p>
    <w:p w14:paraId="06E67822" w14:textId="5750E445" w:rsidR="001D4108" w:rsidRPr="0083273D" w:rsidRDefault="001D4108" w:rsidP="000E5BDD">
      <w:pPr>
        <w:jc w:val="both"/>
      </w:pPr>
      <w:r w:rsidRPr="0083273D">
        <w:t xml:space="preserve">Primary: </w:t>
      </w:r>
      <w:r w:rsidR="000E5BDD" w:rsidRPr="0083273D">
        <w:t>Reports</w:t>
      </w:r>
      <w:r w:rsidRPr="0083273D">
        <w:t xml:space="preserve"> on the number of instances of </w:t>
      </w:r>
      <w:proofErr w:type="spellStart"/>
      <w:r w:rsidRPr="0083273D">
        <w:t>unfavourable</w:t>
      </w:r>
      <w:proofErr w:type="spellEnd"/>
      <w:r w:rsidRPr="0083273D">
        <w:t xml:space="preserve"> outcomes due to instability of the patient's </w:t>
      </w:r>
      <w:r w:rsidR="0083273D">
        <w:t>Hemodynamic</w:t>
      </w:r>
      <w:r w:rsidRPr="0083273D">
        <w:t xml:space="preserve"> status, which includes ICU transfer rates, number of cardiac arrests, instances of organ failure (e.g., acute kidney failure, acute respiratory failure), 30-day mortality.</w:t>
      </w:r>
    </w:p>
    <w:p w14:paraId="2E882B3B" w14:textId="59EE7D97" w:rsidR="001D4108" w:rsidRPr="0083273D" w:rsidRDefault="001D4108" w:rsidP="000E5BDD">
      <w:pPr>
        <w:jc w:val="both"/>
      </w:pPr>
      <w:r w:rsidRPr="0083273D">
        <w:t>Secondary indicators include length of hospital stay, time to hemodynamic stabilization, complication rates (e.g., sepsis, prolonged ventilation), resource utilization (e.g., vasopressor/ICU days), and patient safety indicators (e.g., failure-to-rescue rates).</w:t>
      </w:r>
    </w:p>
    <w:p w14:paraId="0236077F" w14:textId="1CDF468F" w:rsidR="001D4108" w:rsidRPr="0083273D" w:rsidRDefault="001D4108" w:rsidP="000E5BDD">
      <w:pPr>
        <w:jc w:val="both"/>
      </w:pPr>
      <w:r w:rsidRPr="0083273D">
        <w:t xml:space="preserve">Study Design: </w:t>
      </w:r>
      <w:r w:rsidR="00061C40" w:rsidRPr="0083273D">
        <w:t>the following study designs were considered: r</w:t>
      </w:r>
      <w:r w:rsidRPr="0083273D">
        <w:t>andomized controlled trials (RCT), quasi-experimental, prospective or retrospective cohort, and observation studies with a comparison group. To balance high quality and feasibility, we excluded case reports, case series without comparison, editorials, reviews, conference abstracts (unless the full text is available), and studies in a language other than English.</w:t>
      </w:r>
      <w:r w:rsidR="0027346E" w:rsidRPr="0083273D">
        <w:t xml:space="preserve"> </w:t>
      </w:r>
      <w:r w:rsidRPr="0083273D">
        <w:t>Studies were included if they were published on or after January 1, 20</w:t>
      </w:r>
      <w:r w:rsidR="0027346E" w:rsidRPr="0083273D">
        <w:t>10</w:t>
      </w:r>
      <w:r w:rsidRPr="0083273D">
        <w:t xml:space="preserve">, to include current nursing practices, </w:t>
      </w:r>
      <w:r w:rsidR="0083273D" w:rsidRPr="0083273D">
        <w:t>anesthesia</w:t>
      </w:r>
      <w:r w:rsidRPr="0083273D">
        <w:t xml:space="preserve"> techniques, and monitoring.</w:t>
      </w:r>
    </w:p>
    <w:p w14:paraId="04A79F57" w14:textId="20528DA7" w:rsidR="001D4108" w:rsidRPr="0083273D" w:rsidRDefault="001D4108" w:rsidP="000E5BDD">
      <w:pPr>
        <w:jc w:val="both"/>
        <w:rPr>
          <w:b/>
          <w:bCs/>
        </w:rPr>
      </w:pPr>
      <w:r w:rsidRPr="0083273D">
        <w:rPr>
          <w:b/>
          <w:bCs/>
        </w:rPr>
        <w:t>2.3 Information Sources and Search Strategy</w:t>
      </w:r>
    </w:p>
    <w:p w14:paraId="1E8A58CD" w14:textId="43F7B3AD" w:rsidR="001D4108" w:rsidRPr="0083273D" w:rsidRDefault="00B15158" w:rsidP="000E5BDD">
      <w:pPr>
        <w:jc w:val="both"/>
      </w:pPr>
      <w:r w:rsidRPr="0083273D">
        <w:t>A</w:t>
      </w:r>
      <w:r w:rsidR="001D4108" w:rsidRPr="0083273D">
        <w:t xml:space="preserve"> comprehensive electronic literature search </w:t>
      </w:r>
      <w:r w:rsidRPr="0083273D">
        <w:t xml:space="preserve">was conducted </w:t>
      </w:r>
      <w:r w:rsidR="001D4108" w:rsidRPr="0083273D">
        <w:t xml:space="preserve">to locate pertinent studies. </w:t>
      </w:r>
      <w:r w:rsidRPr="0083273D">
        <w:t>The search was based on</w:t>
      </w:r>
      <w:r w:rsidR="001D4108" w:rsidRPr="0083273D">
        <w:t xml:space="preserve"> nursing, allied health, and biomedical literature</w:t>
      </w:r>
      <w:r w:rsidRPr="0083273D">
        <w:t>. T</w:t>
      </w:r>
      <w:r w:rsidR="001D4108" w:rsidRPr="0083273D">
        <w:t>he following databases were searched:</w:t>
      </w:r>
      <w:r w:rsidR="0027346E" w:rsidRPr="0083273D">
        <w:t xml:space="preserve"> </w:t>
      </w:r>
      <w:r w:rsidR="001D4108" w:rsidRPr="0083273D">
        <w:t>PubMed/MEDLINE (biomedical focus)</w:t>
      </w:r>
      <w:r w:rsidR="0027346E" w:rsidRPr="0083273D">
        <w:t xml:space="preserve">, </w:t>
      </w:r>
      <w:r w:rsidR="001D4108" w:rsidRPr="0083273D">
        <w:t>CINAHL (Cumulative Index to Nursing and Allied Health Literature; nursing-specific)</w:t>
      </w:r>
      <w:r w:rsidR="00A27DB6" w:rsidRPr="0083273D">
        <w:t xml:space="preserve">, </w:t>
      </w:r>
      <w:r w:rsidR="001D4108" w:rsidRPr="0083273D">
        <w:t>Cochrane Library (including Cochrane Database of Systematic Reviews and CENTRAL for trials)</w:t>
      </w:r>
      <w:r w:rsidR="00A27DB6" w:rsidRPr="0083273D">
        <w:t xml:space="preserve">, </w:t>
      </w:r>
      <w:r w:rsidR="001D4108" w:rsidRPr="0083273D">
        <w:t>Scopus (multidisciplinary, broad coverage)</w:t>
      </w:r>
      <w:r w:rsidR="00A27DB6" w:rsidRPr="0083273D">
        <w:t xml:space="preserve">, </w:t>
      </w:r>
      <w:r w:rsidR="001D4108" w:rsidRPr="0083273D">
        <w:t xml:space="preserve">Embase (strong coverage of pharmacology, </w:t>
      </w:r>
      <w:r w:rsidR="0083273D" w:rsidRPr="0083273D">
        <w:t>anesthesia</w:t>
      </w:r>
      <w:r w:rsidR="001D4108" w:rsidRPr="0083273D">
        <w:t>, and surgical outcomes)</w:t>
      </w:r>
      <w:r w:rsidR="00A27DB6" w:rsidRPr="0083273D">
        <w:t xml:space="preserve">, </w:t>
      </w:r>
      <w:r w:rsidR="001D4108" w:rsidRPr="0083273D">
        <w:t>Other sources included:</w:t>
      </w:r>
      <w:r w:rsidR="00A27DB6" w:rsidRPr="0083273D">
        <w:t xml:space="preserve"> </w:t>
      </w:r>
      <w:r w:rsidR="001D4108" w:rsidRPr="0083273D">
        <w:t xml:space="preserve">Grey literature using Google Scholar and </w:t>
      </w:r>
      <w:proofErr w:type="spellStart"/>
      <w:r w:rsidR="001D4108" w:rsidRPr="0083273D">
        <w:t>OpenGrey</w:t>
      </w:r>
      <w:proofErr w:type="spellEnd"/>
      <w:r w:rsidR="001D4108" w:rsidRPr="0083273D">
        <w:t>.</w:t>
      </w:r>
      <w:r w:rsidR="00A27DB6" w:rsidRPr="0083273D">
        <w:t xml:space="preserve"> </w:t>
      </w:r>
      <w:r w:rsidR="001D4108" w:rsidRPr="0083273D">
        <w:t xml:space="preserve">Initially, there were no language restrictions, but due to the limited resources, only full-text articles in English were included. Studies in other languages </w:t>
      </w:r>
      <w:r w:rsidRPr="0083273D">
        <w:t>were excluded and</w:t>
      </w:r>
      <w:r w:rsidR="001D4108" w:rsidRPr="0083273D">
        <w:t xml:space="preserve"> documented in the PRISMA flow diagram</w:t>
      </w:r>
      <w:r w:rsidRPr="0083273D">
        <w:t xml:space="preserve"> (figure 1)</w:t>
      </w:r>
      <w:r w:rsidR="001D4108" w:rsidRPr="0083273D">
        <w:t>.</w:t>
      </w:r>
    </w:p>
    <w:p w14:paraId="2D4521B9" w14:textId="5FD0C14E" w:rsidR="001D4108" w:rsidRPr="0083273D" w:rsidRDefault="001D4108" w:rsidP="000E5BDD">
      <w:pPr>
        <w:jc w:val="both"/>
      </w:pPr>
      <w:r w:rsidRPr="0083273D">
        <w:t>References were managed to allow for deduplication using EndNote</w:t>
      </w:r>
      <w:r w:rsidR="00061C40" w:rsidRPr="0083273D">
        <w:t xml:space="preserve"> (Khalil et al., 2022)</w:t>
      </w:r>
      <w:r w:rsidRPr="0083273D">
        <w:t xml:space="preserve"> and screening was done using Covidence or Rayyan</w:t>
      </w:r>
      <w:r w:rsidR="00C364A2" w:rsidRPr="0083273D">
        <w:t xml:space="preserve"> (Khalil et al., 2022)</w:t>
      </w:r>
      <w:r w:rsidRPr="0083273D">
        <w:t>.</w:t>
      </w:r>
      <w:r w:rsidR="007369AA" w:rsidRPr="0083273D">
        <w:t xml:space="preserve"> </w:t>
      </w:r>
      <w:r w:rsidR="00C364A2" w:rsidRPr="0083273D">
        <w:t xml:space="preserve">The title and abstracts were </w:t>
      </w:r>
      <w:r w:rsidRPr="0083273D">
        <w:t xml:space="preserve">screened and the full texts for the eligibility criteria. The selection process </w:t>
      </w:r>
      <w:r w:rsidR="007369AA" w:rsidRPr="0083273D">
        <w:t>is</w:t>
      </w:r>
      <w:r w:rsidRPr="0083273D">
        <w:t xml:space="preserve"> presented in a PRISMA flow diagram</w:t>
      </w:r>
      <w:r w:rsidR="007369AA" w:rsidRPr="0083273D">
        <w:t xml:space="preserve"> depicted Figure 1</w:t>
      </w:r>
      <w:r w:rsidRPr="0083273D">
        <w:t>.</w:t>
      </w:r>
    </w:p>
    <w:p w14:paraId="08CDAA7E" w14:textId="1B9F4389" w:rsidR="00FD7C3B" w:rsidRPr="0083273D" w:rsidRDefault="00FD7C3B" w:rsidP="000E5BDD">
      <w:pPr>
        <w:jc w:val="both"/>
        <w:rPr>
          <w:b/>
          <w:bCs/>
        </w:rPr>
      </w:pPr>
      <w:r w:rsidRPr="0083273D">
        <w:rPr>
          <w:b/>
          <w:bCs/>
        </w:rPr>
        <w:t>2.</w:t>
      </w:r>
      <w:r w:rsidR="00297C2A">
        <w:rPr>
          <w:b/>
          <w:bCs/>
        </w:rPr>
        <w:t>4</w:t>
      </w:r>
      <w:r w:rsidRPr="0083273D">
        <w:rPr>
          <w:b/>
          <w:bCs/>
        </w:rPr>
        <w:t xml:space="preserve"> Study Selection and Data Extraction Process</w:t>
      </w:r>
    </w:p>
    <w:p w14:paraId="72ACF256" w14:textId="6EB21E84" w:rsidR="00FD7C3B" w:rsidRPr="0083273D" w:rsidRDefault="00FD7C3B" w:rsidP="000E5BDD">
      <w:pPr>
        <w:jc w:val="both"/>
      </w:pPr>
      <w:r w:rsidRPr="0083273D">
        <w:t xml:space="preserve">For the sake of clarity and minimizing selection bias, the study selection process, </w:t>
      </w:r>
      <w:r w:rsidR="00C364A2" w:rsidRPr="0083273D">
        <w:t>was</w:t>
      </w:r>
      <w:r w:rsidRPr="0083273D">
        <w:t xml:space="preserve"> conducted in accordance with the guidelines of PRISMA 2020, </w:t>
      </w:r>
      <w:r w:rsidR="00C364A2" w:rsidRPr="0083273D">
        <w:t xml:space="preserve">and </w:t>
      </w:r>
      <w:r w:rsidRPr="0083273D">
        <w:t>was done in two stages.</w:t>
      </w:r>
      <w:r w:rsidR="004B68BD" w:rsidRPr="0083273D">
        <w:t xml:space="preserve"> First, e</w:t>
      </w:r>
      <w:r w:rsidR="00C364A2" w:rsidRPr="0083273D">
        <w:t>valuation of</w:t>
      </w:r>
      <w:r w:rsidRPr="0083273D">
        <w:t xml:space="preserve"> all titles and abstracts </w:t>
      </w:r>
      <w:r w:rsidR="00C364A2" w:rsidRPr="0083273D">
        <w:t>were carried out and were</w:t>
      </w:r>
      <w:r w:rsidRPr="0083273D">
        <w:t xml:space="preserve"> compared with the </w:t>
      </w:r>
      <w:r w:rsidR="0083273D" w:rsidRPr="0083273D">
        <w:t>eligibility</w:t>
      </w:r>
      <w:r w:rsidRPr="0083273D">
        <w:t xml:space="preserve"> criteria defined in Section 2.2. Any irrelevant record was excluded at this stage.</w:t>
      </w:r>
    </w:p>
    <w:p w14:paraId="1060CEF6" w14:textId="0895AD4C" w:rsidR="00FD7C3B" w:rsidRPr="0083273D" w:rsidRDefault="00E51099" w:rsidP="000E5BDD">
      <w:pPr>
        <w:jc w:val="both"/>
      </w:pPr>
      <w:r w:rsidRPr="0083273D">
        <w:t xml:space="preserve">The </w:t>
      </w:r>
      <w:r w:rsidR="00FD7C3B" w:rsidRPr="0083273D">
        <w:t xml:space="preserve">full-texts </w:t>
      </w:r>
      <w:r w:rsidRPr="0083273D">
        <w:t>and abstract of qualified papers were evaluated at the stage</w:t>
      </w:r>
      <w:r w:rsidR="00FD7C3B" w:rsidRPr="0083273D">
        <w:t>. Exclusion at the full-text stage was done for</w:t>
      </w:r>
      <w:r w:rsidRPr="0083273D">
        <w:t xml:space="preserve"> some</w:t>
      </w:r>
      <w:r w:rsidR="00FD7C3B" w:rsidRPr="0083273D">
        <w:t xml:space="preserve"> specific record</w:t>
      </w:r>
      <w:r w:rsidRPr="0083273D">
        <w:t xml:space="preserve">s. Exclusion count and reason for exclusion was documented at each stage of the selection process. Some of the reason for full text ineligibility includes: </w:t>
      </w:r>
      <w:r w:rsidR="00FD7C3B" w:rsidRPr="0083273D">
        <w:t xml:space="preserve">wrong population, no focus on nursing, irrelevant outcomes, study design not eligible, etc. For this part of the process, a PRISMA </w:t>
      </w:r>
      <w:r w:rsidR="00FD7C3B" w:rsidRPr="0083273D">
        <w:lastRenderedPageBreak/>
        <w:t xml:space="preserve">flow diagram </w:t>
      </w:r>
      <w:r w:rsidRPr="0083273D">
        <w:t xml:space="preserve">(figure 1) was used </w:t>
      </w:r>
      <w:r w:rsidR="00FD7C3B" w:rsidRPr="0083273D">
        <w:t>to capture the number of records identified, screened, eligible and ineligible excluded, and the reasons for exclusion.</w:t>
      </w:r>
    </w:p>
    <w:p w14:paraId="3C1A11C4" w14:textId="4F2904C1" w:rsidR="00FD7C3B" w:rsidRPr="0083273D" w:rsidRDefault="00FD7C3B" w:rsidP="000E5BDD">
      <w:pPr>
        <w:jc w:val="both"/>
      </w:pPr>
      <w:r w:rsidRPr="0083273D">
        <w:t xml:space="preserve">Data extraction was </w:t>
      </w:r>
      <w:r w:rsidR="00E51099" w:rsidRPr="0083273D">
        <w:t xml:space="preserve">then </w:t>
      </w:r>
      <w:r w:rsidRPr="0083273D">
        <w:t xml:space="preserve">completed by </w:t>
      </w:r>
      <w:r w:rsidR="00E51099" w:rsidRPr="0083273D">
        <w:t xml:space="preserve">using </w:t>
      </w:r>
      <w:r w:rsidRPr="0083273D">
        <w:t>a standardized, piloted framework for data extraction, developed by Covidence and Microsoft Excel</w:t>
      </w:r>
      <w:r w:rsidR="004B68BD" w:rsidRPr="0083273D">
        <w:t xml:space="preserve"> (McDonald et al., 2023)</w:t>
      </w:r>
      <w:r w:rsidRPr="0083273D">
        <w:t>. The information extracted was:</w:t>
      </w:r>
      <w:r w:rsidR="004B68BD" w:rsidRPr="0083273D">
        <w:t xml:space="preserve"> </w:t>
      </w:r>
      <w:r w:rsidRPr="0083273D">
        <w:t>Study characteristics: author(s), study country/setting, year of publication, study design, sample size, participant demographics (e.g., age, comorbidities), type of major surgery.</w:t>
      </w:r>
    </w:p>
    <w:p w14:paraId="5C9D3D22" w14:textId="0F90BBF0" w:rsidR="00FD7C3B" w:rsidRPr="0083273D" w:rsidRDefault="00FD7C3B" w:rsidP="000E5BDD">
      <w:pPr>
        <w:jc w:val="both"/>
      </w:pPr>
      <w:r w:rsidRPr="0083273D">
        <w:t>Intervention/exposure specifics: Explanation of nursing assessment methods (e.g., EWS/NEWS/MEWS, protocols for monitoring vital signs), timing of assessments (e.g., immediate post-operative, assessments in first 24-48 hours), specific actions taken (e.g., Fluid administration, escalation protocols), nursing-patient ratio or staffing context where available.</w:t>
      </w:r>
    </w:p>
    <w:p w14:paraId="2189C104" w14:textId="6FFC2887" w:rsidR="00FD7C3B" w:rsidRPr="0083273D" w:rsidRDefault="00FD7C3B" w:rsidP="000E5BDD">
      <w:pPr>
        <w:jc w:val="both"/>
      </w:pPr>
      <w:r w:rsidRPr="0083273D">
        <w:t>Outcomes: Primary (ICU transfer, cardiac arrest, organ failing, 30-day mortality) and secondary (hospital stay duration, stabilization, complications), along with measures of impact (odds, risks, mean) and available confidence intervals and p-values.</w:t>
      </w:r>
    </w:p>
    <w:p w14:paraId="6DD2677F" w14:textId="77777777" w:rsidR="00FD7C3B" w:rsidRPr="0083273D" w:rsidRDefault="00FD7C3B" w:rsidP="000E5BDD">
      <w:pPr>
        <w:jc w:val="both"/>
      </w:pPr>
    </w:p>
    <w:p w14:paraId="1E8F94C6" w14:textId="4D5119EE" w:rsidR="00FD7C3B" w:rsidRPr="0083273D" w:rsidRDefault="00FD7C3B" w:rsidP="000E5BDD">
      <w:pPr>
        <w:jc w:val="both"/>
        <w:rPr>
          <w:b/>
          <w:bCs/>
        </w:rPr>
      </w:pPr>
      <w:r w:rsidRPr="0083273D">
        <w:rPr>
          <w:b/>
          <w:bCs/>
        </w:rPr>
        <w:t>2.</w:t>
      </w:r>
      <w:r w:rsidR="00297C2A">
        <w:rPr>
          <w:b/>
          <w:bCs/>
        </w:rPr>
        <w:t>5</w:t>
      </w:r>
      <w:r w:rsidRPr="0083273D">
        <w:rPr>
          <w:b/>
          <w:bCs/>
        </w:rPr>
        <w:t xml:space="preserve"> Bias and Quality Assessment</w:t>
      </w:r>
    </w:p>
    <w:p w14:paraId="020A961B" w14:textId="7DA642E6" w:rsidR="007745F0" w:rsidRPr="0083273D" w:rsidRDefault="0083273D" w:rsidP="000E5BDD">
      <w:pPr>
        <w:jc w:val="both"/>
      </w:pPr>
      <w:r>
        <w:t xml:space="preserve">The methodological quality and the risk of bias </w:t>
      </w:r>
      <w:r w:rsidR="007745F0" w:rsidRPr="0083273D">
        <w:t>of the included studies was assessed by a single reviewer to evaluate internal validity and identify potential sources of systematic error. To enhance consistency, the assessment criteria and domain-specific guidance were carefully reviewed prior to evaluation. All judgments were documented systematically.</w:t>
      </w:r>
    </w:p>
    <w:p w14:paraId="52B65252" w14:textId="2AE2F666" w:rsidR="00FD7C3B" w:rsidRPr="0083273D" w:rsidRDefault="00FD7C3B" w:rsidP="000E5BDD">
      <w:pPr>
        <w:jc w:val="both"/>
      </w:pPr>
      <w:r w:rsidRPr="0083273D">
        <w:t xml:space="preserve">For randomized controlled trials (RCTs): The revised Cochrane </w:t>
      </w:r>
      <w:proofErr w:type="spellStart"/>
      <w:r w:rsidRPr="0083273D">
        <w:t>RoB</w:t>
      </w:r>
      <w:proofErr w:type="spellEnd"/>
      <w:r w:rsidRPr="0083273D">
        <w:t xml:space="preserve"> Tool (</w:t>
      </w:r>
      <w:proofErr w:type="spellStart"/>
      <w:r w:rsidRPr="0083273D">
        <w:t>RoB</w:t>
      </w:r>
      <w:proofErr w:type="spellEnd"/>
      <w:r w:rsidRPr="0083273D">
        <w:t xml:space="preserve"> 2) was used which focuses on the domain of the randomization process and deviations from the intervention intended, and related to the missing outcome, and the outcome measurement and the selection of the reported outcome result. Each domain was assessed and overall, there was a </w:t>
      </w:r>
      <w:proofErr w:type="spellStart"/>
      <w:r w:rsidRPr="0083273D">
        <w:t>RoB</w:t>
      </w:r>
      <w:proofErr w:type="spellEnd"/>
      <w:r w:rsidRPr="0083273D">
        <w:t xml:space="preserve"> judgment made</w:t>
      </w:r>
      <w:r w:rsidR="007745F0" w:rsidRPr="0083273D">
        <w:t xml:space="preserve"> (</w:t>
      </w:r>
      <w:proofErr w:type="spellStart"/>
      <w:r w:rsidR="007745F0" w:rsidRPr="0083273D">
        <w:t>Minozzi</w:t>
      </w:r>
      <w:proofErr w:type="spellEnd"/>
      <w:r w:rsidR="007745F0" w:rsidRPr="0083273D">
        <w:t xml:space="preserve"> et al., 2020)</w:t>
      </w:r>
      <w:r w:rsidRPr="0083273D">
        <w:t>.</w:t>
      </w:r>
      <w:r w:rsidR="007745F0" w:rsidRPr="0083273D">
        <w:t xml:space="preserve"> </w:t>
      </w:r>
      <w:r w:rsidRPr="0083273D">
        <w:t>For studies that are non-randomized (like cohort, quasi-experimental, and observational)</w:t>
      </w:r>
      <w:r w:rsidR="008143BF" w:rsidRPr="0083273D">
        <w:t xml:space="preserve">, </w:t>
      </w:r>
      <w:r w:rsidRPr="0083273D">
        <w:t xml:space="preserve">The </w:t>
      </w:r>
      <w:r w:rsidR="008143BF" w:rsidRPr="0083273D">
        <w:t>ROBINS-I tool (</w:t>
      </w:r>
      <w:r w:rsidRPr="0083273D">
        <w:t xml:space="preserve">Risk Of </w:t>
      </w:r>
      <w:r w:rsidR="008143BF" w:rsidRPr="0083273D">
        <w:t>bias in non-</w:t>
      </w:r>
      <w:r w:rsidR="0083273D" w:rsidRPr="0083273D">
        <w:t>randomized</w:t>
      </w:r>
      <w:r w:rsidR="008143BF" w:rsidRPr="0083273D">
        <w:t xml:space="preserve"> studies of interventions) </w:t>
      </w:r>
      <w:r w:rsidR="007745F0" w:rsidRPr="0083273D">
        <w:t xml:space="preserve">was applied. This tool evaluates bias across the domains of confounding, selection of participants, classification of interventions, deviations from intended interventions, missing data, measurement of outcomes, and selection of the reported result. Studies were judged as having low, moderate, serious, or critical risk of bias, or as having no information. </w:t>
      </w:r>
      <w:r w:rsidRPr="0083273D">
        <w:t xml:space="preserve">For other observational designs </w:t>
      </w:r>
      <w:r w:rsidR="008143BF" w:rsidRPr="0083273D">
        <w:t xml:space="preserve">like </w:t>
      </w:r>
      <w:r w:rsidRPr="0083273D">
        <w:t>some cohort studies</w:t>
      </w:r>
      <w:r w:rsidR="008143BF" w:rsidRPr="0083273D">
        <w:t xml:space="preserve">, </w:t>
      </w:r>
      <w:r w:rsidRPr="0083273D">
        <w:t xml:space="preserve">The Newcastle-Ottawa Scale (NOS) </w:t>
      </w:r>
      <w:r w:rsidR="007745F0" w:rsidRPr="0083273D">
        <w:t xml:space="preserve">(Carra et al., 2025) </w:t>
      </w:r>
      <w:r w:rsidRPr="0083273D">
        <w:t>was used as a supplementary tool for cohort studies, scoring on the selection, comparability, and outcome/exposure domains.</w:t>
      </w:r>
    </w:p>
    <w:p w14:paraId="542BAE5E" w14:textId="6DBF0A9F" w:rsidR="00FD7C3B" w:rsidRPr="0083273D" w:rsidRDefault="00FD7C3B" w:rsidP="000E5BDD">
      <w:pPr>
        <w:jc w:val="both"/>
        <w:rPr>
          <w:b/>
          <w:bCs/>
        </w:rPr>
      </w:pPr>
      <w:r w:rsidRPr="0083273D">
        <w:rPr>
          <w:b/>
          <w:bCs/>
        </w:rPr>
        <w:t>2.</w:t>
      </w:r>
      <w:r w:rsidR="00297C2A">
        <w:rPr>
          <w:b/>
          <w:bCs/>
        </w:rPr>
        <w:t>6</w:t>
      </w:r>
      <w:r w:rsidRPr="0083273D">
        <w:rPr>
          <w:b/>
          <w:bCs/>
        </w:rPr>
        <w:t xml:space="preserve"> Synthesis Methods  </w:t>
      </w:r>
    </w:p>
    <w:p w14:paraId="19E3FBD8" w14:textId="196AB15D" w:rsidR="00FD7C3B" w:rsidRPr="0083273D" w:rsidRDefault="00FD7C3B" w:rsidP="000E5BDD">
      <w:pPr>
        <w:jc w:val="both"/>
      </w:pPr>
      <w:r w:rsidRPr="0083273D">
        <w:t xml:space="preserve">The synthesis of data has been done in accordance with the 2020 PRISMA guidelines and given anticipated heterogeneity in terms of study design, population, interventions, and outcome measures, primarily qualitative (narrative) synthesis was adopted in the case of the nursing-focused postoperative studies.  </w:t>
      </w:r>
    </w:p>
    <w:p w14:paraId="1836A99E" w14:textId="2D22ED7D" w:rsidR="00FD7C3B" w:rsidRPr="0083273D" w:rsidRDefault="00FD7C3B" w:rsidP="000E5BDD">
      <w:pPr>
        <w:jc w:val="both"/>
      </w:pPr>
      <w:r w:rsidRPr="0083273D">
        <w:t xml:space="preserve">Narrative synthesis: In grouping studies, a thematic approach was adopted focusing on dominant elements (for example, type of nursing assessment tool, intervention timing, surgery type, specific outcomes). Patterns, similarities, and differences have been documented, and the possible cause of </w:t>
      </w:r>
      <w:r w:rsidRPr="0083273D">
        <w:lastRenderedPageBreak/>
        <w:t>variance has been discussed (e.g., nurse staffing, patient co-morbidities, setting). To ease comparison, tables and figures have been used to present study characteristics, interventions, and outcomes.</w:t>
      </w:r>
    </w:p>
    <w:p w14:paraId="55011544" w14:textId="2FFDB0CC" w:rsidR="00FD7C3B" w:rsidRPr="0083273D" w:rsidRDefault="00FD7C3B" w:rsidP="000E5BDD">
      <w:pPr>
        <w:jc w:val="both"/>
      </w:pPr>
      <w:r w:rsidRPr="0083273D">
        <w:t>If sufficient studies provided comparable outcomes, an attempt was made to conduct a quantitative synthesis using random-effects meta-analysis, which accounts for expected clinical heterogeneity. When outcomes were comparable, such as dichotomous data on ICU transfers, or 30-day mortality with the same definitions and follow-up periods, quantitative synthesis was planned. Effect estimates (e.g., risk ratios with 95% confidence intervals), were calculated using Review Manager (</w:t>
      </w:r>
      <w:proofErr w:type="spellStart"/>
      <w:r w:rsidRPr="0083273D">
        <w:t>RevMan</w:t>
      </w:r>
      <w:proofErr w:type="spellEnd"/>
      <w:r w:rsidRPr="0083273D">
        <w:t xml:space="preserve">) or R. Heterogeneity was measured using the I² statistic and the Chi² test, with substantial heterogeneity (I² &gt; 50%) triggering further investigation through subgroup analysis and/or sensitivity analysis. </w:t>
      </w:r>
    </w:p>
    <w:p w14:paraId="005C4C7C" w14:textId="74259884" w:rsidR="00FD7C3B" w:rsidRPr="0083273D" w:rsidRDefault="00FD7C3B" w:rsidP="000E5BDD">
      <w:pPr>
        <w:jc w:val="both"/>
      </w:pPr>
      <w:r w:rsidRPr="0083273D">
        <w:t>For the planned subgroup analysis, variables included type of surgery (e.g., cardiac vs. non-cardiac), timing of the nursing assessment (e.g., &lt; 24 hours vs. later), and study type (RCT vs. observational). For sensitivity analysis, the studies with a high risk of bias (</w:t>
      </w:r>
      <w:proofErr w:type="spellStart"/>
      <w:r w:rsidRPr="0083273D">
        <w:t>RoB</w:t>
      </w:r>
      <w:proofErr w:type="spellEnd"/>
      <w:r w:rsidRPr="0083273D">
        <w:t xml:space="preserve">) or studies with imputed data were excluded to </w:t>
      </w:r>
      <w:r w:rsidR="0081029B">
        <w:t>s</w:t>
      </w:r>
      <w:r w:rsidRPr="0083273D">
        <w:t>ee the impact of those studies</w:t>
      </w:r>
      <w:r w:rsidR="0083273D">
        <w:t xml:space="preserve"> on the overall finding</w:t>
      </w:r>
      <w:r w:rsidRPr="0083273D">
        <w:t>.</w:t>
      </w:r>
    </w:p>
    <w:p w14:paraId="2F21F59F" w14:textId="79F03BBB" w:rsidR="0026467A" w:rsidRPr="0083273D" w:rsidRDefault="0026467A" w:rsidP="000E5BDD">
      <w:pPr>
        <w:jc w:val="both"/>
      </w:pPr>
      <w:r w:rsidRPr="0083273D">
        <w:t xml:space="preserve">The initial phase of </w:t>
      </w:r>
      <w:r w:rsidR="00356412">
        <w:t>this</w:t>
      </w:r>
      <w:r w:rsidRPr="0083273D">
        <w:t xml:space="preserve"> systematic review included a multi-database search (PubMed/MEDLINE, CINAHL, Cochrane Library, Scopus, and Embase), which resulted in a collated total of </w:t>
      </w:r>
      <w:r w:rsidR="00AE33BD" w:rsidRPr="0083273D">
        <w:t>1198. 605 duplicates were removed and 111 records were filtered out due to language restriction</w:t>
      </w:r>
      <w:r w:rsidRPr="0083273D">
        <w:t xml:space="preserve">. </w:t>
      </w:r>
      <w:r w:rsidR="00AE33BD" w:rsidRPr="0083273D">
        <w:t>T</w:t>
      </w:r>
      <w:r w:rsidRPr="0083273D">
        <w:t>itle and abstract screenings</w:t>
      </w:r>
      <w:r w:rsidR="00AE33BD" w:rsidRPr="0083273D">
        <w:t xml:space="preserve"> were done on the remaining 482.</w:t>
      </w:r>
      <w:r w:rsidR="00356412">
        <w:t>F</w:t>
      </w:r>
      <w:r w:rsidRPr="0083273D">
        <w:t>ull-text articles were assessed for eligibility against the pre-defined PICOS criteria (Section 2.2).  Ultimately, 10 studies aligned with all criteria and were included in this systematic review. Reasons for exclusion at the full-text stage were: lack of emphasis on nursing-led early assessment/interventions (n=</w:t>
      </w:r>
      <w:r w:rsidR="00556678" w:rsidRPr="0083273D">
        <w:t>20</w:t>
      </w:r>
      <w:r w:rsidRPr="0083273D">
        <w:t xml:space="preserve">), non-postoperative or non-major surgery settings </w:t>
      </w:r>
      <w:r w:rsidR="00556678" w:rsidRPr="0083273D">
        <w:t>or</w:t>
      </w:r>
      <w:r w:rsidRPr="0083273D">
        <w:t xml:space="preserve"> ineligible study designs (e.g., reviews, case reports; n=</w:t>
      </w:r>
      <w:r w:rsidR="00556678" w:rsidRPr="0083273D">
        <w:t>5</w:t>
      </w:r>
      <w:r w:rsidRPr="0083273D">
        <w:t>), and lack of sufficient outcome data (n=</w:t>
      </w:r>
      <w:r w:rsidR="00556678" w:rsidRPr="0083273D">
        <w:t>4</w:t>
      </w:r>
      <w:r w:rsidRPr="0083273D">
        <w:t>).</w:t>
      </w:r>
    </w:p>
    <w:p w14:paraId="3BE5FF0E" w14:textId="5B6CEA9A" w:rsidR="0026467A" w:rsidRPr="0083273D" w:rsidRDefault="00F57777" w:rsidP="000E5BDD">
      <w:pPr>
        <w:jc w:val="both"/>
        <w:rPr>
          <w:b/>
          <w:bCs/>
        </w:rPr>
      </w:pPr>
      <w:r>
        <w:rPr>
          <w:b/>
          <w:bCs/>
        </w:rPr>
        <w:t>3. Results</w:t>
      </w:r>
    </w:p>
    <w:p w14:paraId="67C74052" w14:textId="42E8554C" w:rsidR="0026467A" w:rsidRDefault="0026467A" w:rsidP="000E5BDD">
      <w:pPr>
        <w:jc w:val="both"/>
        <w:rPr>
          <w:b/>
          <w:bCs/>
        </w:rPr>
      </w:pPr>
      <w:r w:rsidRPr="0083273D">
        <w:rPr>
          <w:b/>
          <w:bCs/>
        </w:rPr>
        <w:t>3.2 Study Characteristics</w:t>
      </w:r>
    </w:p>
    <w:p w14:paraId="3F60053E" w14:textId="77777777" w:rsidR="004F063C" w:rsidRDefault="004F063C" w:rsidP="004F063C">
      <w:pPr>
        <w:jc w:val="both"/>
      </w:pPr>
      <w:r>
        <w:t xml:space="preserve">The 10 included studies were published between 2006 and 2025 which reflects the changing nursing practices in postoperative monitoring and intervention. There was a wide variety of study types including quality improvement projects (AlSaeed et al., 2025; </w:t>
      </w:r>
      <w:proofErr w:type="spellStart"/>
      <w:r>
        <w:t>Huppmann</w:t>
      </w:r>
      <w:proofErr w:type="spellEnd"/>
      <w:r>
        <w:t xml:space="preserve">, 2023), prospective follow-up/observational studies (Abebe et al., 2022; van Rossum et al., 2023), and retrospective observational/cohort studies (Jacob et al., 2024; Chiang et al., 2025) as well as qualitative studies (Currey et al., 2006; van Rossum et al., 2021; Lavoie et al., 2024), and quasi-experimental/intervention studies (Ahmed, 2019). </w:t>
      </w:r>
    </w:p>
    <w:p w14:paraId="61B5E061" w14:textId="77777777" w:rsidR="004F063C" w:rsidRDefault="004F063C" w:rsidP="004F063C">
      <w:pPr>
        <w:jc w:val="both"/>
      </w:pPr>
    </w:p>
    <w:p w14:paraId="629AF5A4" w14:textId="0A2A028C" w:rsidR="004F063C" w:rsidRDefault="004F063C" w:rsidP="004F063C">
      <w:pPr>
        <w:jc w:val="both"/>
      </w:pPr>
      <w:r>
        <w:t xml:space="preserve">Most of the subjects were adult patients who had undergone major cardiac surgery, and more general ICU/critical care patients where surgery was included (Chiang et al., 2025; </w:t>
      </w:r>
      <w:proofErr w:type="spellStart"/>
      <w:r>
        <w:t>Huppmann</w:t>
      </w:r>
      <w:proofErr w:type="spellEnd"/>
      <w:r>
        <w:t>, 2023). The study settings were post-</w:t>
      </w:r>
      <w:proofErr w:type="spellStart"/>
      <w:r>
        <w:t>anaesthesia</w:t>
      </w:r>
      <w:proofErr w:type="spellEnd"/>
      <w:r>
        <w:t xml:space="preserve"> care units (PACU), cardiac surgical ICUs (CVICU/SICU), surgical wards, and general ICUs.</w:t>
      </w:r>
      <w:r w:rsidR="00F57777">
        <w:t xml:space="preserve"> </w:t>
      </w:r>
      <w:r>
        <w:t>The nursing interventions and assessments focused mostly on the early detection and early response to the concerns</w:t>
      </w:r>
      <w:r w:rsidR="00DF3AC0">
        <w:t xml:space="preserve">, </w:t>
      </w:r>
      <w:r>
        <w:t>the continuous monitoring of vital signs (van Rossum et al., 2021; van Rossum et al., 2023</w:t>
      </w:r>
      <w:r w:rsidR="00F57777">
        <w:t>), clinical</w:t>
      </w:r>
      <w:r>
        <w:t xml:space="preserve"> decision-making/judging the clinical stability or bleeding (Currey et al., 2006; Lavoie et al., 2024</w:t>
      </w:r>
      <w:r w:rsidR="00F57777">
        <w:t>), nurse-</w:t>
      </w:r>
      <w:r>
        <w:t>initiated mobility (AlSaeed et al., 2025; Ahmed, 2019), or application of hemodynamic devices (</w:t>
      </w:r>
      <w:proofErr w:type="spellStart"/>
      <w:r>
        <w:t>Huppmann</w:t>
      </w:r>
      <w:proofErr w:type="spellEnd"/>
      <w:r>
        <w:t>, 2023).  Parameters were routinely monitored (i.e., HR, BP, SpO2, urine output) often combined with escalation criterion or action(s) directed toward a specific goal.</w:t>
      </w:r>
    </w:p>
    <w:p w14:paraId="6235D95B" w14:textId="77777777" w:rsidR="00F57777" w:rsidRPr="0083273D" w:rsidRDefault="004F063C" w:rsidP="00F57777">
      <w:pPr>
        <w:jc w:val="both"/>
        <w:rPr>
          <w:b/>
          <w:bCs/>
        </w:rPr>
      </w:pPr>
      <w:r>
        <w:lastRenderedPageBreak/>
        <w:t xml:space="preserve">The range of sample sizes included small qualitative samples </w:t>
      </w:r>
      <w:r w:rsidR="00DF3AC0">
        <w:t xml:space="preserve">like </w:t>
      </w:r>
      <w:r>
        <w:t>6–39 nurses</w:t>
      </w:r>
      <w:r w:rsidR="00DF3AC0">
        <w:t xml:space="preserve"> (</w:t>
      </w:r>
      <w:r>
        <w:t xml:space="preserve">van Rossum et al., 2021; Currey et al., 2006; Lavoie et al., 2024) to very large cohorts </w:t>
      </w:r>
      <w:r w:rsidR="00DF3AC0">
        <w:t>up to</w:t>
      </w:r>
      <w:r>
        <w:t xml:space="preserve"> 3,710 patients</w:t>
      </w:r>
      <w:r w:rsidR="00DF3AC0">
        <w:t xml:space="preserve"> (</w:t>
      </w:r>
      <w:r>
        <w:t xml:space="preserve">Jacob et al., 2024) or </w:t>
      </w:r>
      <w:r w:rsidR="00DF3AC0">
        <w:t>up to</w:t>
      </w:r>
      <w:r>
        <w:t xml:space="preserve"> 268</w:t>
      </w:r>
      <w:r w:rsidR="00DF3AC0" w:rsidRPr="00DF3AC0">
        <w:t xml:space="preserve"> </w:t>
      </w:r>
      <w:r w:rsidR="00DF3AC0">
        <w:t>case audits (</w:t>
      </w:r>
      <w:proofErr w:type="spellStart"/>
      <w:r>
        <w:t>Huppmann</w:t>
      </w:r>
      <w:proofErr w:type="spellEnd"/>
      <w:r>
        <w:t xml:space="preserve">, 2023), with homogeneity due to the differences of the design. Primary endpoints included: </w:t>
      </w:r>
      <w:proofErr w:type="spellStart"/>
      <w:r>
        <w:t>haemodynamic</w:t>
      </w:r>
      <w:proofErr w:type="spellEnd"/>
      <w:r>
        <w:t xml:space="preserve"> stability and remaining complications (e.g., sepsis, organ failures), rates of ICU/HDU transfers, length of stay (LOS), mortality, adverse events (e.g., cardiac arrest), and tool performance (e.g., sensitivity, number of alarms). Principal findings identified and confirmed the importance of early nursing-led initiatives for improving detection and intervention and possible mitigations of adverse events, for which case management acknowledged (e.g., alarm fatigue, heavy workload, clinical judgment).</w:t>
      </w:r>
    </w:p>
    <w:p w14:paraId="46E069CD" w14:textId="77777777" w:rsidR="00F57777" w:rsidRPr="0083273D" w:rsidRDefault="00F57777" w:rsidP="00F57777">
      <w:pPr>
        <w:jc w:val="both"/>
        <w:rPr>
          <w:b/>
          <w:bCs/>
        </w:rPr>
      </w:pPr>
      <w:r w:rsidRPr="0083273D">
        <w:rPr>
          <w:b/>
          <w:bCs/>
          <w:noProof/>
        </w:rPr>
        <w:drawing>
          <wp:inline distT="0" distB="0" distL="0" distR="0" wp14:anchorId="4097142E" wp14:editId="7EEE0E16">
            <wp:extent cx="5934075" cy="5400675"/>
            <wp:effectExtent l="0" t="0" r="9525" b="9525"/>
            <wp:docPr id="1685400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5400675"/>
                    </a:xfrm>
                    <a:prstGeom prst="rect">
                      <a:avLst/>
                    </a:prstGeom>
                    <a:noFill/>
                    <a:ln>
                      <a:noFill/>
                    </a:ln>
                  </pic:spPr>
                </pic:pic>
              </a:graphicData>
            </a:graphic>
          </wp:inline>
        </w:drawing>
      </w:r>
    </w:p>
    <w:p w14:paraId="2A47ACF9" w14:textId="77777777" w:rsidR="00F57777" w:rsidRPr="0083273D" w:rsidRDefault="00F57777" w:rsidP="00F57777">
      <w:pPr>
        <w:jc w:val="both"/>
        <w:rPr>
          <w:b/>
          <w:bCs/>
        </w:rPr>
      </w:pPr>
      <w:r w:rsidRPr="0083273D">
        <w:rPr>
          <w:b/>
          <w:bCs/>
        </w:rPr>
        <w:t>Figure 1: PRISMA flow diagram for study selection</w:t>
      </w:r>
    </w:p>
    <w:p w14:paraId="1AC39B95" w14:textId="77777777" w:rsidR="00F57777" w:rsidRPr="0083273D" w:rsidRDefault="00F57777" w:rsidP="00F57777">
      <w:pPr>
        <w:jc w:val="both"/>
      </w:pPr>
      <w:r w:rsidRPr="0083273D">
        <w:t xml:space="preserve">The studies selected pertain most directly to early nursing assessment and interventions postoperatively in </w:t>
      </w:r>
      <w:r>
        <w:t>Hemodynamic</w:t>
      </w:r>
      <w:r w:rsidRPr="0083273D">
        <w:t>ally unstable patients with emphasis on outcomes of achieving stability, transfer to the ICU, reduction of morbidity, and mortality.</w:t>
      </w:r>
    </w:p>
    <w:p w14:paraId="4FFB8F73" w14:textId="5D3475C6" w:rsidR="004F063C" w:rsidRPr="004F063C" w:rsidRDefault="004F063C" w:rsidP="000E5BDD">
      <w:pPr>
        <w:jc w:val="both"/>
      </w:pPr>
    </w:p>
    <w:p w14:paraId="22DF80F5" w14:textId="352559BE" w:rsidR="0026467A" w:rsidRPr="0083273D" w:rsidRDefault="0026467A" w:rsidP="000E5BDD">
      <w:pPr>
        <w:jc w:val="both"/>
        <w:rPr>
          <w:b/>
          <w:bCs/>
        </w:rPr>
      </w:pPr>
      <w:r w:rsidRPr="0083273D">
        <w:rPr>
          <w:b/>
          <w:bCs/>
        </w:rPr>
        <w:t>3.</w:t>
      </w:r>
      <w:r w:rsidR="00F57777">
        <w:rPr>
          <w:b/>
          <w:bCs/>
        </w:rPr>
        <w:t>2</w:t>
      </w:r>
      <w:r w:rsidRPr="0083273D">
        <w:rPr>
          <w:b/>
          <w:bCs/>
        </w:rPr>
        <w:t xml:space="preserve"> Synthesis of Findings</w:t>
      </w:r>
    </w:p>
    <w:p w14:paraId="36DE15EF" w14:textId="4BD4507F" w:rsidR="0026467A" w:rsidRPr="0083273D" w:rsidRDefault="0026467A" w:rsidP="000E5BDD">
      <w:pPr>
        <w:jc w:val="both"/>
      </w:pPr>
      <w:r w:rsidRPr="0083273D">
        <w:t xml:space="preserve">A narrative synthesis was performed and findings are organized thematically around nursing assessments, interventions, and outcomes pertaining to the early identification and management of postoperative </w:t>
      </w:r>
      <w:r w:rsidR="0083273D">
        <w:t>Hemodynamic</w:t>
      </w:r>
      <w:r w:rsidRPr="0083273D">
        <w:t xml:space="preserve"> instability.</w:t>
      </w:r>
      <w:r w:rsidR="00ED23DA" w:rsidRPr="0083273D">
        <w:t xml:space="preserve"> Findings are grouped thematically around nursing assessments, interventions, and outcomes related to early detection and management of postoperative </w:t>
      </w:r>
      <w:r w:rsidR="0083273D">
        <w:t>Hemodynamic</w:t>
      </w:r>
      <w:r w:rsidR="00ED23DA" w:rsidRPr="0083273D">
        <w:t xml:space="preserve"> instability.</w:t>
      </w:r>
    </w:p>
    <w:p w14:paraId="670FAB89" w14:textId="39B9456B" w:rsidR="0026467A" w:rsidRPr="0083273D" w:rsidRDefault="0026467A" w:rsidP="000E5BDD">
      <w:pPr>
        <w:jc w:val="both"/>
      </w:pPr>
      <w:r w:rsidRPr="0083273D">
        <w:rPr>
          <w:b/>
          <w:bCs/>
        </w:rPr>
        <w:t xml:space="preserve">Nursing </w:t>
      </w:r>
      <w:r w:rsidR="007911EF" w:rsidRPr="0083273D">
        <w:rPr>
          <w:b/>
          <w:bCs/>
        </w:rPr>
        <w:t>Evaluation/Assessments</w:t>
      </w:r>
      <w:r w:rsidR="00ED23DA" w:rsidRPr="0083273D">
        <w:t>:</w:t>
      </w:r>
      <w:r w:rsidRPr="0083273D">
        <w:t xml:space="preserve"> </w:t>
      </w:r>
    </w:p>
    <w:p w14:paraId="55E19AF7" w14:textId="553DC49C" w:rsidR="009B40FF" w:rsidRPr="0083273D" w:rsidRDefault="009B40FF" w:rsidP="009B40FF">
      <w:pPr>
        <w:jc w:val="both"/>
      </w:pPr>
      <w:r w:rsidRPr="0083273D">
        <w:t xml:space="preserve">To identify hemodynamic instability in a timely manner, structured frequent multi-faceted assessments were done. In the post-anesthesia care unit, routine, risk-free, non-invasive, and continuous cardiac monitoring systems and hemodynamic systems were performed 15 min and 30 min intervals after the 2-hour arrival period. The following are recorded: heart rate (HR), systolic/diastolic blood pressure (SBP/DBP), mean arterial pressure (MAP), and peripheral oxygen saturation (SpO2). </w:t>
      </w:r>
      <w:r w:rsidR="00F57777" w:rsidRPr="00F57777">
        <w:t>Hemodynamic instability was defined as HR &gt;100 bpm</w:t>
      </w:r>
      <w:r w:rsidRPr="0083273D">
        <w:t xml:space="preserve">, a change in MAP (20 percent positive or negative) from the reference baseline, or a reference MAP of 20 and SpO2 instability (Abebe et al, 2022).  </w:t>
      </w:r>
    </w:p>
    <w:p w14:paraId="462122DE" w14:textId="03B6D9E9" w:rsidR="009B40FF" w:rsidRPr="0083273D" w:rsidRDefault="009B40FF" w:rsidP="009B40FF">
      <w:pPr>
        <w:jc w:val="both"/>
      </w:pPr>
      <w:r w:rsidRPr="0083273D">
        <w:t xml:space="preserve">While in surgical wards and cardiology units, Early Warning Systems (NEWS 2 or MEWS equivalents)  aggregately monitored vital signs (respiratory rate, SpO2, supplemental oxygen requirement, SBP, pulse rate, level of consciousness, body temperature) and set a threshold (NEWS greater than or equal to 5) that warranted automatic trigger and flagging calls for clinical interventions; in fact, hypoxemia and the need for oxygen elevates score (Jacob et al, 2024; van Rossum et al, 2023). The continuous, wireless monitoring systems of vital signs (HR, RR, SpO 2, temperature) were integrated with manual assessments, or provided real time trend analytics, and were associated with the over inflated, and even, hyped, sensitivity for early detection (80% continuous wireless monitoring systems vs. 40% manual EWS) sensitivity, of </w:t>
      </w:r>
      <w:r w:rsidR="00C67620" w:rsidRPr="00C67620">
        <w:t xml:space="preserve">potentially overestimated sensitivity </w:t>
      </w:r>
      <w:r w:rsidRPr="0083273D">
        <w:t>(van Rossum et al, 2023).</w:t>
      </w:r>
    </w:p>
    <w:p w14:paraId="00436A1B" w14:textId="62628229" w:rsidR="009B40FF" w:rsidRPr="0083273D" w:rsidRDefault="009B40FF" w:rsidP="009B40FF">
      <w:pPr>
        <w:jc w:val="both"/>
      </w:pPr>
      <w:r w:rsidRPr="0083273D">
        <w:t>Subjective clinical judgement and objective data were combined as a strategy to augment the complexity, nuance, and sophistication of the recognition of developing complications, later differential(laboratory) diagnoses, and particularly, the recognition and assessments of developing hemodynamic complications (van Rossum et al., 2021; Currey et al., 2006). For post-cardiac surgery bleeding scenarios, multiple data points were used to assess and classify bleeding type(s) and urgency, including but not limited to, chest drainage tube volume/flow rates (e.g., &gt;100-200 mL/</w:t>
      </w:r>
      <w:proofErr w:type="spellStart"/>
      <w:r w:rsidRPr="0083273D">
        <w:t>hr</w:t>
      </w:r>
      <w:proofErr w:type="spellEnd"/>
      <w:r w:rsidRPr="0083273D">
        <w:t xml:space="preserve"> concerning for surgical bleeding); bright red, clinically active, bleeding drainage; hemodynamic instability evidenced by his/ her unstable blood pressure, presence of tachycardia, low cardiac output, oliguria, elevated lactate); and laboratory results were clinically assessed for trending down of hemoglobin and up of PTT/INR (Lavoie et al., 2024). Peripheral pulses, and HR, BP, and mean arterial pressure (MAP), central venous pressure (CVP), temperature and, capillary refill time (CRT) were all evaluated pre operatively, and the post- ambulation of patients were a part of the assessments (Ahmed, 2019).</w:t>
      </w:r>
    </w:p>
    <w:p w14:paraId="354A3DEA" w14:textId="77777777" w:rsidR="009B40FF" w:rsidRPr="0083273D" w:rsidRDefault="009B40FF" w:rsidP="009B40FF">
      <w:pPr>
        <w:jc w:val="both"/>
      </w:pPr>
    </w:p>
    <w:p w14:paraId="3F6B257F" w14:textId="63ADF3B4" w:rsidR="009B40FF" w:rsidRPr="0083273D" w:rsidRDefault="009B40FF" w:rsidP="009B40FF">
      <w:pPr>
        <w:jc w:val="both"/>
        <w:rPr>
          <w:b/>
          <w:bCs/>
        </w:rPr>
      </w:pPr>
      <w:r w:rsidRPr="0083273D">
        <w:rPr>
          <w:b/>
          <w:bCs/>
        </w:rPr>
        <w:t>Nursing Interventions</w:t>
      </w:r>
    </w:p>
    <w:p w14:paraId="326189B3" w14:textId="20B27D05" w:rsidR="009B40FF" w:rsidRPr="0083273D" w:rsidRDefault="009B40FF" w:rsidP="009B40FF">
      <w:pPr>
        <w:jc w:val="both"/>
      </w:pPr>
      <w:r w:rsidRPr="0083273D">
        <w:t xml:space="preserve">Numerous patient-centered interventions are designed and implemented to address or prevent hemodynamic instability. In early mobility protocols, patients received preoperative education, were </w:t>
      </w:r>
      <w:r w:rsidRPr="0083273D">
        <w:lastRenderedPageBreak/>
        <w:t>assisted with safe ambulation (quick 5-10-minute walks post-</w:t>
      </w:r>
      <w:proofErr w:type="spellStart"/>
      <w:r w:rsidRPr="0083273D">
        <w:t>extubation</w:t>
      </w:r>
      <w:proofErr w:type="spellEnd"/>
      <w:r w:rsidRPr="0083273D">
        <w:t>, with chest belt support to stabilize the sternum and tubes), and their vitals were monitored pre, intra, and post-to the ambulation to ensure hemodynamic stability (AlSaeed et al., 2025; Ahmed, 2019).</w:t>
      </w:r>
    </w:p>
    <w:p w14:paraId="22077846" w14:textId="7338C36C" w:rsidR="009B40FF" w:rsidRPr="0083273D" w:rsidRDefault="009B40FF" w:rsidP="009B40FF">
      <w:pPr>
        <w:jc w:val="both"/>
      </w:pPr>
      <w:r w:rsidRPr="0083273D">
        <w:t xml:space="preserve">The implementation of hemodynamic monitoring protocols included the determination of eligibility (including the presence of an arterial line, </w:t>
      </w:r>
      <w:proofErr w:type="spellStart"/>
      <w:r w:rsidRPr="0083273D">
        <w:t>hypotensiveness</w:t>
      </w:r>
      <w:proofErr w:type="spellEnd"/>
      <w:r w:rsidRPr="0083273D">
        <w:t xml:space="preserve">, recent </w:t>
      </w:r>
      <w:proofErr w:type="spellStart"/>
      <w:r w:rsidRPr="0083273D">
        <w:t>bolusing</w:t>
      </w:r>
      <w:proofErr w:type="spellEnd"/>
      <w:r w:rsidRPr="0083273D">
        <w:t xml:space="preserve"> of fluids or use of vasopressors), the use of minimally invasive monitoring devices (for example, </w:t>
      </w:r>
      <w:proofErr w:type="spellStart"/>
      <w:r w:rsidRPr="0083273D">
        <w:t>FloTrac</w:t>
      </w:r>
      <w:proofErr w:type="spellEnd"/>
      <w:r w:rsidRPr="0083273D">
        <w:t>™), and the accomplishment of goal-directed therapy which included undertaking of intravenous fluid therapy (crystalloids or colloids) which was responsive to volume variation of stroke volume (SVV) at the threshold of &gt;10-12%, repetition of fluid challenges until stroke volume increase was &lt;10%, administration of vasopressors or inotropes to achieve stroke volume of 60-100 mL/beat and mean artery pressure (MAP) of ≥65 mmHg, and the prevention of hyperthermia (</w:t>
      </w:r>
      <w:proofErr w:type="spellStart"/>
      <w:r w:rsidRPr="0083273D">
        <w:t>Huppmann</w:t>
      </w:r>
      <w:proofErr w:type="spellEnd"/>
      <w:r w:rsidRPr="0083273D">
        <w:t xml:space="preserve">, 2023). </w:t>
      </w:r>
    </w:p>
    <w:p w14:paraId="29702417" w14:textId="7D82241A" w:rsidR="009B40FF" w:rsidRPr="0083273D" w:rsidRDefault="009B40FF" w:rsidP="009B40FF">
      <w:pPr>
        <w:jc w:val="both"/>
      </w:pPr>
      <w:r w:rsidRPr="0083273D">
        <w:t xml:space="preserve">In the instance of postoperative bleeding and hemodynamic compromise, the use of fluid resuscitation (which included titrated crystalloids/colloids paired with the use of a vasopressor) as well as the administration of blood products in addition to the management of the chest tube (including adjustment of suction, </w:t>
      </w:r>
      <w:r w:rsidR="00F57777">
        <w:t>where</w:t>
      </w:r>
      <w:r w:rsidRPr="0083273D">
        <w:t xml:space="preserve"> the protocol-allowed), maintenance of normothermia (with the use of blankets or heated air), and adjustment of ventilation/sedation (Lavoie et al., 2024). Monitoring alarms or a high EWS threshold triggered physical re-assessments, repeated assessments of the patient’s vitals, blood work/imaging, and escalation of care to physicians or rapid response teams (van Rossum et al., 2021; Jacob et al., 2024; Currey et al., 2006). Dynamic machine-learning-enhanced early warning systems offered an opportunity to have fluid interventions, vasoactive titration, or escalation with reduced alarm fatigue due to the lead time of 7-21 hours (Chiang et al., 2025).</w:t>
      </w:r>
    </w:p>
    <w:p w14:paraId="080E10B0" w14:textId="5F0845C4" w:rsidR="009B40FF" w:rsidRPr="0083273D" w:rsidRDefault="009B40FF" w:rsidP="009B40FF">
      <w:pPr>
        <w:jc w:val="both"/>
        <w:rPr>
          <w:b/>
          <w:bCs/>
        </w:rPr>
      </w:pPr>
      <w:r w:rsidRPr="0083273D">
        <w:rPr>
          <w:b/>
          <w:bCs/>
        </w:rPr>
        <w:t>Outcomes</w:t>
      </w:r>
    </w:p>
    <w:p w14:paraId="6B8D9912" w14:textId="5346E779" w:rsidR="009B40FF" w:rsidRPr="0083273D" w:rsidRDefault="009B40FF" w:rsidP="009B40FF">
      <w:pPr>
        <w:jc w:val="both"/>
      </w:pPr>
      <w:r w:rsidRPr="0083273D">
        <w:t>These actions were associated with meaningful clinical improvements. Early ambulation and mobility therapies were positively correlated with SBP, DBP, and MAP increases, improved capillary refill time, increased CVP and temperature, and shortened hospital and ICU stays, without increased adverse events (Ahmed, 2019; AlSaeed et al., 2025). Protocols for hemodynamic monitoring increased the rate of shock recognition by 60%, and were potentially associated with decreased acute kidney injury, fluid overload, and morbidity, as well as decreased ICU days, hospital stays, and ventilator dependence (</w:t>
      </w:r>
      <w:proofErr w:type="spellStart"/>
      <w:r w:rsidRPr="0083273D">
        <w:t>Huppmann</w:t>
      </w:r>
      <w:proofErr w:type="spellEnd"/>
      <w:r w:rsidRPr="0083273D">
        <w:t xml:space="preserve">, 2023). </w:t>
      </w:r>
    </w:p>
    <w:p w14:paraId="323645CB" w14:textId="77777777" w:rsidR="009B40FF" w:rsidRPr="0083273D" w:rsidRDefault="009B40FF" w:rsidP="009B40FF">
      <w:pPr>
        <w:jc w:val="both"/>
      </w:pPr>
      <w:r w:rsidRPr="0083273D">
        <w:t>Structured Early Warning System (EWS) and continuous monitoring facilitated the earlier identification of complications (especially hemodynamic issues). This resulted in more timely escalations (e.g. 4.4% Critical Care Outreach Team referrals, and 23.5%, and 11.1% HDU and ITU transfers) and improved assessment of risk for sepsis and cardiac arrest, although NEWS by itself had little predictive value for mortality (Jacob et al., 2024; van Rossum et al., 2023). A 59.47% instability rate demonstrates the value of frequent assessments in preventing complications (Abebe et al., 2022). Qualitative studies showed that proactive, judgment-based actions were correlated with less deterioration (Currey et al., 2006; Lavoie et al., 2024; van Rossum et al., 2021).</w:t>
      </w:r>
    </w:p>
    <w:p w14:paraId="7609A233" w14:textId="192E47CE" w:rsidR="00107C7F" w:rsidRPr="0083273D" w:rsidRDefault="00AE4854" w:rsidP="000E5BDD">
      <w:pPr>
        <w:jc w:val="both"/>
      </w:pPr>
      <w:r>
        <w:t xml:space="preserve">Table 1: </w:t>
      </w:r>
      <w:r w:rsidR="00C67620" w:rsidRPr="00C67620">
        <w:rPr>
          <w:b/>
          <w:bCs/>
        </w:rPr>
        <w:t>Nursing Interventions Across Different Surgical Populations</w:t>
      </w:r>
    </w:p>
    <w:tbl>
      <w:tblPr>
        <w:tblStyle w:val="TableGrid"/>
        <w:tblW w:w="10695" w:type="dxa"/>
        <w:tblInd w:w="-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900"/>
        <w:gridCol w:w="1440"/>
        <w:gridCol w:w="1710"/>
        <w:gridCol w:w="1080"/>
        <w:gridCol w:w="1800"/>
        <w:gridCol w:w="2865"/>
      </w:tblGrid>
      <w:tr w:rsidR="0026467A" w:rsidRPr="0083273D" w14:paraId="253BE917" w14:textId="77777777" w:rsidTr="00356412">
        <w:tc>
          <w:tcPr>
            <w:tcW w:w="900" w:type="dxa"/>
            <w:tcBorders>
              <w:top w:val="single" w:sz="4" w:space="0" w:color="auto"/>
              <w:bottom w:val="single" w:sz="4" w:space="0" w:color="auto"/>
            </w:tcBorders>
            <w:hideMark/>
          </w:tcPr>
          <w:p w14:paraId="64408764" w14:textId="77777777" w:rsidR="0026467A" w:rsidRPr="0083273D" w:rsidRDefault="0026467A" w:rsidP="000E5BDD">
            <w:pPr>
              <w:jc w:val="both"/>
              <w:rPr>
                <w:rFonts w:cstheme="minorHAnsi"/>
                <w:b/>
                <w:bCs/>
                <w:sz w:val="18"/>
                <w:szCs w:val="18"/>
              </w:rPr>
            </w:pPr>
            <w:r w:rsidRPr="0083273D">
              <w:rPr>
                <w:rFonts w:cstheme="minorHAnsi"/>
                <w:b/>
                <w:bCs/>
                <w:sz w:val="18"/>
                <w:szCs w:val="18"/>
              </w:rPr>
              <w:t>Author/Year</w:t>
            </w:r>
          </w:p>
        </w:tc>
        <w:tc>
          <w:tcPr>
            <w:tcW w:w="900" w:type="dxa"/>
            <w:tcBorders>
              <w:top w:val="single" w:sz="4" w:space="0" w:color="auto"/>
              <w:bottom w:val="single" w:sz="4" w:space="0" w:color="auto"/>
            </w:tcBorders>
            <w:hideMark/>
          </w:tcPr>
          <w:p w14:paraId="1A96EAC3" w14:textId="77777777" w:rsidR="0026467A" w:rsidRPr="0083273D" w:rsidRDefault="0026467A" w:rsidP="000E5BDD">
            <w:pPr>
              <w:jc w:val="both"/>
              <w:rPr>
                <w:rFonts w:cstheme="minorHAnsi"/>
                <w:b/>
                <w:bCs/>
                <w:sz w:val="18"/>
                <w:szCs w:val="18"/>
              </w:rPr>
            </w:pPr>
            <w:r w:rsidRPr="0083273D">
              <w:rPr>
                <w:rFonts w:cstheme="minorHAnsi"/>
                <w:b/>
                <w:bCs/>
                <w:sz w:val="18"/>
                <w:szCs w:val="18"/>
              </w:rPr>
              <w:t>Design</w:t>
            </w:r>
          </w:p>
        </w:tc>
        <w:tc>
          <w:tcPr>
            <w:tcW w:w="1440" w:type="dxa"/>
            <w:tcBorders>
              <w:top w:val="single" w:sz="4" w:space="0" w:color="auto"/>
              <w:bottom w:val="single" w:sz="4" w:space="0" w:color="auto"/>
            </w:tcBorders>
            <w:hideMark/>
          </w:tcPr>
          <w:p w14:paraId="2AB8EFBE" w14:textId="77777777" w:rsidR="0026467A" w:rsidRPr="0083273D" w:rsidRDefault="0026467A" w:rsidP="000E5BDD">
            <w:pPr>
              <w:jc w:val="both"/>
              <w:rPr>
                <w:rFonts w:cstheme="minorHAnsi"/>
                <w:b/>
                <w:bCs/>
                <w:sz w:val="18"/>
                <w:szCs w:val="18"/>
              </w:rPr>
            </w:pPr>
            <w:r w:rsidRPr="0083273D">
              <w:rPr>
                <w:rFonts w:cstheme="minorHAnsi"/>
                <w:b/>
                <w:bCs/>
                <w:sz w:val="18"/>
                <w:szCs w:val="18"/>
              </w:rPr>
              <w:t>Population/Surgery Type</w:t>
            </w:r>
          </w:p>
        </w:tc>
        <w:tc>
          <w:tcPr>
            <w:tcW w:w="1710" w:type="dxa"/>
            <w:tcBorders>
              <w:top w:val="single" w:sz="4" w:space="0" w:color="auto"/>
              <w:bottom w:val="single" w:sz="4" w:space="0" w:color="auto"/>
            </w:tcBorders>
            <w:hideMark/>
          </w:tcPr>
          <w:p w14:paraId="13D208A5" w14:textId="77777777" w:rsidR="0026467A" w:rsidRPr="0083273D" w:rsidRDefault="0026467A" w:rsidP="000E5BDD">
            <w:pPr>
              <w:jc w:val="both"/>
              <w:rPr>
                <w:rFonts w:cstheme="minorHAnsi"/>
                <w:b/>
                <w:bCs/>
                <w:sz w:val="18"/>
                <w:szCs w:val="18"/>
              </w:rPr>
            </w:pPr>
            <w:r w:rsidRPr="0083273D">
              <w:rPr>
                <w:rFonts w:cstheme="minorHAnsi"/>
                <w:b/>
                <w:bCs/>
                <w:sz w:val="18"/>
                <w:szCs w:val="18"/>
              </w:rPr>
              <w:t>Nursing Interventions/Assessment</w:t>
            </w:r>
          </w:p>
        </w:tc>
        <w:tc>
          <w:tcPr>
            <w:tcW w:w="1080" w:type="dxa"/>
            <w:tcBorders>
              <w:top w:val="single" w:sz="4" w:space="0" w:color="auto"/>
              <w:bottom w:val="single" w:sz="4" w:space="0" w:color="auto"/>
            </w:tcBorders>
            <w:hideMark/>
          </w:tcPr>
          <w:p w14:paraId="7BA25364" w14:textId="77777777" w:rsidR="0026467A" w:rsidRPr="0083273D" w:rsidRDefault="0026467A" w:rsidP="000E5BDD">
            <w:pPr>
              <w:jc w:val="both"/>
              <w:rPr>
                <w:rFonts w:cstheme="minorHAnsi"/>
                <w:b/>
                <w:bCs/>
                <w:sz w:val="18"/>
                <w:szCs w:val="18"/>
              </w:rPr>
            </w:pPr>
            <w:r w:rsidRPr="0083273D">
              <w:rPr>
                <w:rFonts w:cstheme="minorHAnsi"/>
                <w:b/>
                <w:bCs/>
                <w:sz w:val="18"/>
                <w:szCs w:val="18"/>
              </w:rPr>
              <w:t>Sample Size</w:t>
            </w:r>
          </w:p>
        </w:tc>
        <w:tc>
          <w:tcPr>
            <w:tcW w:w="1800" w:type="dxa"/>
            <w:tcBorders>
              <w:top w:val="single" w:sz="4" w:space="0" w:color="auto"/>
              <w:bottom w:val="single" w:sz="4" w:space="0" w:color="auto"/>
            </w:tcBorders>
            <w:hideMark/>
          </w:tcPr>
          <w:p w14:paraId="1D661F0A" w14:textId="77777777" w:rsidR="0026467A" w:rsidRPr="0083273D" w:rsidRDefault="0026467A" w:rsidP="000E5BDD">
            <w:pPr>
              <w:jc w:val="both"/>
              <w:rPr>
                <w:rFonts w:cstheme="minorHAnsi"/>
                <w:b/>
                <w:bCs/>
                <w:sz w:val="18"/>
                <w:szCs w:val="18"/>
              </w:rPr>
            </w:pPr>
            <w:r w:rsidRPr="0083273D">
              <w:rPr>
                <w:rFonts w:cstheme="minorHAnsi"/>
                <w:b/>
                <w:bCs/>
                <w:sz w:val="18"/>
                <w:szCs w:val="18"/>
              </w:rPr>
              <w:t>Key Outcomes</w:t>
            </w:r>
          </w:p>
        </w:tc>
        <w:tc>
          <w:tcPr>
            <w:tcW w:w="2865" w:type="dxa"/>
            <w:tcBorders>
              <w:top w:val="single" w:sz="4" w:space="0" w:color="auto"/>
              <w:bottom w:val="single" w:sz="4" w:space="0" w:color="auto"/>
            </w:tcBorders>
            <w:hideMark/>
          </w:tcPr>
          <w:p w14:paraId="71C171E9" w14:textId="77777777" w:rsidR="0026467A" w:rsidRPr="0083273D" w:rsidRDefault="0026467A" w:rsidP="000E5BDD">
            <w:pPr>
              <w:jc w:val="both"/>
              <w:rPr>
                <w:rFonts w:cstheme="minorHAnsi"/>
                <w:b/>
                <w:bCs/>
                <w:sz w:val="18"/>
                <w:szCs w:val="18"/>
              </w:rPr>
            </w:pPr>
            <w:r w:rsidRPr="0083273D">
              <w:rPr>
                <w:rFonts w:cstheme="minorHAnsi"/>
                <w:b/>
                <w:bCs/>
                <w:sz w:val="18"/>
                <w:szCs w:val="18"/>
              </w:rPr>
              <w:t>Main Findings</w:t>
            </w:r>
          </w:p>
        </w:tc>
      </w:tr>
      <w:tr w:rsidR="0026467A" w:rsidRPr="0083273D" w14:paraId="39F43F92" w14:textId="77777777" w:rsidTr="00356412">
        <w:tc>
          <w:tcPr>
            <w:tcW w:w="900" w:type="dxa"/>
            <w:tcBorders>
              <w:top w:val="single" w:sz="4" w:space="0" w:color="auto"/>
            </w:tcBorders>
            <w:hideMark/>
          </w:tcPr>
          <w:p w14:paraId="0669CB22" w14:textId="77777777" w:rsidR="0026467A" w:rsidRPr="0083273D" w:rsidRDefault="0026467A" w:rsidP="000E5BDD">
            <w:pPr>
              <w:jc w:val="both"/>
              <w:rPr>
                <w:rFonts w:cstheme="minorHAnsi"/>
                <w:sz w:val="18"/>
                <w:szCs w:val="18"/>
              </w:rPr>
            </w:pPr>
            <w:r w:rsidRPr="0083273D">
              <w:rPr>
                <w:rFonts w:cstheme="minorHAnsi"/>
                <w:sz w:val="18"/>
                <w:szCs w:val="18"/>
              </w:rPr>
              <w:lastRenderedPageBreak/>
              <w:t>AlSaeed et al. (2025)</w:t>
            </w:r>
          </w:p>
        </w:tc>
        <w:tc>
          <w:tcPr>
            <w:tcW w:w="900" w:type="dxa"/>
            <w:tcBorders>
              <w:top w:val="single" w:sz="4" w:space="0" w:color="auto"/>
            </w:tcBorders>
            <w:hideMark/>
          </w:tcPr>
          <w:p w14:paraId="23A29E89" w14:textId="77777777" w:rsidR="0026467A" w:rsidRPr="0083273D" w:rsidRDefault="0026467A" w:rsidP="000E5BDD">
            <w:pPr>
              <w:jc w:val="both"/>
              <w:rPr>
                <w:rFonts w:cstheme="minorHAnsi"/>
                <w:sz w:val="18"/>
                <w:szCs w:val="18"/>
              </w:rPr>
            </w:pPr>
            <w:r w:rsidRPr="0083273D">
              <w:rPr>
                <w:rFonts w:cstheme="minorHAnsi"/>
                <w:sz w:val="18"/>
                <w:szCs w:val="18"/>
              </w:rPr>
              <w:t>Nurse-led quality improvement project</w:t>
            </w:r>
          </w:p>
        </w:tc>
        <w:tc>
          <w:tcPr>
            <w:tcW w:w="1440" w:type="dxa"/>
            <w:tcBorders>
              <w:top w:val="single" w:sz="4" w:space="0" w:color="auto"/>
            </w:tcBorders>
            <w:hideMark/>
          </w:tcPr>
          <w:p w14:paraId="30A8B6AD" w14:textId="77777777" w:rsidR="0026467A" w:rsidRPr="0083273D" w:rsidRDefault="0026467A" w:rsidP="000E5BDD">
            <w:pPr>
              <w:jc w:val="both"/>
              <w:rPr>
                <w:rFonts w:cstheme="minorHAnsi"/>
                <w:sz w:val="18"/>
                <w:szCs w:val="18"/>
              </w:rPr>
            </w:pPr>
            <w:r w:rsidRPr="0083273D">
              <w:rPr>
                <w:rFonts w:cstheme="minorHAnsi"/>
                <w:sz w:val="18"/>
                <w:szCs w:val="18"/>
              </w:rPr>
              <w:t>Post-cardiac surgery patients on vasoactive medication (CVICU)</w:t>
            </w:r>
          </w:p>
        </w:tc>
        <w:tc>
          <w:tcPr>
            <w:tcW w:w="1710" w:type="dxa"/>
            <w:tcBorders>
              <w:top w:val="single" w:sz="4" w:space="0" w:color="auto"/>
            </w:tcBorders>
            <w:hideMark/>
          </w:tcPr>
          <w:p w14:paraId="5374DA92" w14:textId="77777777" w:rsidR="0026467A" w:rsidRPr="0083273D" w:rsidRDefault="0026467A" w:rsidP="000E5BDD">
            <w:pPr>
              <w:jc w:val="both"/>
              <w:rPr>
                <w:rFonts w:cstheme="minorHAnsi"/>
                <w:sz w:val="18"/>
                <w:szCs w:val="18"/>
              </w:rPr>
            </w:pPr>
            <w:r w:rsidRPr="0083273D">
              <w:rPr>
                <w:rFonts w:cstheme="minorHAnsi"/>
                <w:sz w:val="18"/>
                <w:szCs w:val="18"/>
              </w:rPr>
              <w:t>Early mobility protocol using Banner Mobility Assessment Tool; nurse education and initiation criteria</w:t>
            </w:r>
          </w:p>
        </w:tc>
        <w:tc>
          <w:tcPr>
            <w:tcW w:w="1080" w:type="dxa"/>
            <w:tcBorders>
              <w:top w:val="single" w:sz="4" w:space="0" w:color="auto"/>
            </w:tcBorders>
            <w:hideMark/>
          </w:tcPr>
          <w:p w14:paraId="44F1F711" w14:textId="77777777" w:rsidR="0026467A" w:rsidRPr="0083273D" w:rsidRDefault="0026467A" w:rsidP="000E5BDD">
            <w:pPr>
              <w:jc w:val="both"/>
              <w:rPr>
                <w:rFonts w:cstheme="minorHAnsi"/>
                <w:sz w:val="18"/>
                <w:szCs w:val="18"/>
              </w:rPr>
            </w:pPr>
            <w:r w:rsidRPr="0083273D">
              <w:rPr>
                <w:rFonts w:cstheme="minorHAnsi"/>
                <w:sz w:val="18"/>
                <w:szCs w:val="18"/>
              </w:rPr>
              <w:t>Nurses: 40 educated; Patients: pre=27, post=45 (24 early mobility)</w:t>
            </w:r>
          </w:p>
        </w:tc>
        <w:tc>
          <w:tcPr>
            <w:tcW w:w="1800" w:type="dxa"/>
            <w:tcBorders>
              <w:top w:val="single" w:sz="4" w:space="0" w:color="auto"/>
            </w:tcBorders>
            <w:hideMark/>
          </w:tcPr>
          <w:p w14:paraId="11A033D3" w14:textId="0254A16E" w:rsidR="0026467A" w:rsidRPr="0083273D" w:rsidRDefault="0026467A" w:rsidP="000E5BDD">
            <w:pPr>
              <w:jc w:val="both"/>
              <w:rPr>
                <w:rFonts w:cstheme="minorHAnsi"/>
                <w:sz w:val="18"/>
                <w:szCs w:val="18"/>
              </w:rPr>
            </w:pPr>
            <w:r w:rsidRPr="0083273D">
              <w:rPr>
                <w:rFonts w:cstheme="minorHAnsi"/>
                <w:sz w:val="18"/>
                <w:szCs w:val="18"/>
              </w:rPr>
              <w:t>ICU mobility scores, hospital/ICU LOS, adverse events, nurse knowledge/</w:t>
            </w:r>
            <w:r w:rsidR="00356412">
              <w:rPr>
                <w:rFonts w:cstheme="minorHAnsi"/>
                <w:sz w:val="18"/>
                <w:szCs w:val="18"/>
              </w:rPr>
              <w:t>confidence</w:t>
            </w:r>
          </w:p>
        </w:tc>
        <w:tc>
          <w:tcPr>
            <w:tcW w:w="2865" w:type="dxa"/>
            <w:tcBorders>
              <w:top w:val="single" w:sz="4" w:space="0" w:color="auto"/>
            </w:tcBorders>
            <w:hideMark/>
          </w:tcPr>
          <w:p w14:paraId="49F0E7AA" w14:textId="77777777" w:rsidR="0026467A" w:rsidRPr="0083273D" w:rsidRDefault="0026467A" w:rsidP="000E5BDD">
            <w:pPr>
              <w:jc w:val="both"/>
              <w:rPr>
                <w:rFonts w:cstheme="minorHAnsi"/>
                <w:sz w:val="18"/>
                <w:szCs w:val="18"/>
              </w:rPr>
            </w:pPr>
            <w:r w:rsidRPr="0083273D">
              <w:rPr>
                <w:rFonts w:cstheme="minorHAnsi"/>
                <w:sz w:val="18"/>
                <w:szCs w:val="18"/>
              </w:rPr>
              <w:t>Safe and feasible; improved mobility scores (p&lt;0.001), nurse confidence (p&lt;0.01), reduced LOS; no increase in adverse events</w:t>
            </w:r>
          </w:p>
        </w:tc>
      </w:tr>
      <w:tr w:rsidR="0026467A" w:rsidRPr="0083273D" w14:paraId="03039D43" w14:textId="77777777" w:rsidTr="00356412">
        <w:tc>
          <w:tcPr>
            <w:tcW w:w="900" w:type="dxa"/>
            <w:hideMark/>
          </w:tcPr>
          <w:p w14:paraId="6A37A392" w14:textId="77777777" w:rsidR="0026467A" w:rsidRPr="0083273D" w:rsidRDefault="0026467A" w:rsidP="000E5BDD">
            <w:pPr>
              <w:jc w:val="both"/>
              <w:rPr>
                <w:rFonts w:cstheme="minorHAnsi"/>
                <w:sz w:val="18"/>
                <w:szCs w:val="18"/>
              </w:rPr>
            </w:pPr>
            <w:r w:rsidRPr="0083273D">
              <w:rPr>
                <w:rFonts w:cstheme="minorHAnsi"/>
                <w:sz w:val="18"/>
                <w:szCs w:val="18"/>
              </w:rPr>
              <w:t>Abebe et al. (2022)</w:t>
            </w:r>
          </w:p>
        </w:tc>
        <w:tc>
          <w:tcPr>
            <w:tcW w:w="900" w:type="dxa"/>
            <w:hideMark/>
          </w:tcPr>
          <w:p w14:paraId="738B0894" w14:textId="77777777" w:rsidR="0026467A" w:rsidRPr="0083273D" w:rsidRDefault="0026467A" w:rsidP="000E5BDD">
            <w:pPr>
              <w:jc w:val="both"/>
              <w:rPr>
                <w:rFonts w:cstheme="minorHAnsi"/>
                <w:sz w:val="18"/>
                <w:szCs w:val="18"/>
              </w:rPr>
            </w:pPr>
            <w:r w:rsidRPr="0083273D">
              <w:rPr>
                <w:rFonts w:cstheme="minorHAnsi"/>
                <w:sz w:val="18"/>
                <w:szCs w:val="18"/>
              </w:rPr>
              <w:t>Prospective follow-up observational</w:t>
            </w:r>
          </w:p>
        </w:tc>
        <w:tc>
          <w:tcPr>
            <w:tcW w:w="1440" w:type="dxa"/>
            <w:hideMark/>
          </w:tcPr>
          <w:p w14:paraId="37D50F3A" w14:textId="77777777" w:rsidR="0026467A" w:rsidRPr="0083273D" w:rsidRDefault="0026467A" w:rsidP="000E5BDD">
            <w:pPr>
              <w:jc w:val="both"/>
              <w:rPr>
                <w:rFonts w:cstheme="minorHAnsi"/>
                <w:sz w:val="18"/>
                <w:szCs w:val="18"/>
              </w:rPr>
            </w:pPr>
            <w:r w:rsidRPr="0083273D">
              <w:rPr>
                <w:rFonts w:cstheme="minorHAnsi"/>
                <w:sz w:val="18"/>
                <w:szCs w:val="18"/>
              </w:rPr>
              <w:t>Adult patients in PACU after mixed major surgeries (abdominal, neurologic, gynecologic, orthopedic)</w:t>
            </w:r>
          </w:p>
        </w:tc>
        <w:tc>
          <w:tcPr>
            <w:tcW w:w="1710" w:type="dxa"/>
            <w:hideMark/>
          </w:tcPr>
          <w:p w14:paraId="03B5E87C" w14:textId="77777777" w:rsidR="0026467A" w:rsidRPr="0083273D" w:rsidRDefault="0026467A" w:rsidP="000E5BDD">
            <w:pPr>
              <w:jc w:val="both"/>
              <w:rPr>
                <w:rFonts w:cstheme="minorHAnsi"/>
                <w:sz w:val="18"/>
                <w:szCs w:val="18"/>
              </w:rPr>
            </w:pPr>
            <w:r w:rsidRPr="0083273D">
              <w:rPr>
                <w:rFonts w:cstheme="minorHAnsi"/>
                <w:sz w:val="18"/>
                <w:szCs w:val="18"/>
              </w:rPr>
              <w:t>Routine hemodynamic monitoring (HR, BP, SpO2 every 15–30 min); chart review/observation (limited protocol-driven nursing focus)</w:t>
            </w:r>
          </w:p>
        </w:tc>
        <w:tc>
          <w:tcPr>
            <w:tcW w:w="1080" w:type="dxa"/>
            <w:hideMark/>
          </w:tcPr>
          <w:p w14:paraId="74A48A4D" w14:textId="77777777" w:rsidR="0026467A" w:rsidRPr="0083273D" w:rsidRDefault="0026467A" w:rsidP="000E5BDD">
            <w:pPr>
              <w:jc w:val="both"/>
              <w:rPr>
                <w:rFonts w:cstheme="minorHAnsi"/>
                <w:sz w:val="18"/>
                <w:szCs w:val="18"/>
              </w:rPr>
            </w:pPr>
            <w:r w:rsidRPr="0083273D">
              <w:rPr>
                <w:rFonts w:cstheme="minorHAnsi"/>
                <w:sz w:val="18"/>
                <w:szCs w:val="18"/>
              </w:rPr>
              <w:t>417 patients</w:t>
            </w:r>
          </w:p>
        </w:tc>
        <w:tc>
          <w:tcPr>
            <w:tcW w:w="1800" w:type="dxa"/>
            <w:hideMark/>
          </w:tcPr>
          <w:p w14:paraId="675AA115" w14:textId="77777777" w:rsidR="0026467A" w:rsidRPr="0083273D" w:rsidRDefault="0026467A" w:rsidP="000E5BDD">
            <w:pPr>
              <w:jc w:val="both"/>
              <w:rPr>
                <w:rFonts w:cstheme="minorHAnsi"/>
                <w:sz w:val="18"/>
                <w:szCs w:val="18"/>
              </w:rPr>
            </w:pPr>
            <w:r w:rsidRPr="0083273D">
              <w:rPr>
                <w:rFonts w:cstheme="minorHAnsi"/>
                <w:sz w:val="18"/>
                <w:szCs w:val="18"/>
              </w:rPr>
              <w:t>Incidence of instability (59.47%), predictors (e.g., ASA III, beta-blockers), complications (respiratory events)</w:t>
            </w:r>
          </w:p>
        </w:tc>
        <w:tc>
          <w:tcPr>
            <w:tcW w:w="2865" w:type="dxa"/>
            <w:hideMark/>
          </w:tcPr>
          <w:p w14:paraId="1AE29F3D" w14:textId="77777777" w:rsidR="0026467A" w:rsidRPr="0083273D" w:rsidRDefault="0026467A" w:rsidP="000E5BDD">
            <w:pPr>
              <w:jc w:val="both"/>
              <w:rPr>
                <w:rFonts w:cstheme="minorHAnsi"/>
                <w:sz w:val="18"/>
                <w:szCs w:val="18"/>
              </w:rPr>
            </w:pPr>
            <w:r w:rsidRPr="0083273D">
              <w:rPr>
                <w:rFonts w:cstheme="minorHAnsi"/>
                <w:sz w:val="18"/>
                <w:szCs w:val="18"/>
              </w:rPr>
              <w:t>High incidence linked to intraoperative factors and comorbidities; associated with adverse events; calls for risk prediction tools</w:t>
            </w:r>
          </w:p>
        </w:tc>
      </w:tr>
      <w:tr w:rsidR="0026467A" w:rsidRPr="0083273D" w14:paraId="120DC2C0" w14:textId="77777777" w:rsidTr="00356412">
        <w:tc>
          <w:tcPr>
            <w:tcW w:w="900" w:type="dxa"/>
            <w:hideMark/>
          </w:tcPr>
          <w:p w14:paraId="3CB4CC5C" w14:textId="77777777" w:rsidR="0026467A" w:rsidRPr="0083273D" w:rsidRDefault="0026467A" w:rsidP="000E5BDD">
            <w:pPr>
              <w:jc w:val="both"/>
              <w:rPr>
                <w:rFonts w:cstheme="minorHAnsi"/>
                <w:sz w:val="18"/>
                <w:szCs w:val="18"/>
              </w:rPr>
            </w:pPr>
            <w:r w:rsidRPr="0083273D">
              <w:rPr>
                <w:rFonts w:cstheme="minorHAnsi"/>
                <w:sz w:val="18"/>
                <w:szCs w:val="18"/>
              </w:rPr>
              <w:t>Currey et al. (2006)</w:t>
            </w:r>
          </w:p>
        </w:tc>
        <w:tc>
          <w:tcPr>
            <w:tcW w:w="900" w:type="dxa"/>
            <w:hideMark/>
          </w:tcPr>
          <w:p w14:paraId="7F10C807" w14:textId="77777777" w:rsidR="0026467A" w:rsidRPr="0083273D" w:rsidRDefault="0026467A" w:rsidP="000E5BDD">
            <w:pPr>
              <w:jc w:val="both"/>
              <w:rPr>
                <w:rFonts w:cstheme="minorHAnsi"/>
                <w:sz w:val="18"/>
                <w:szCs w:val="18"/>
              </w:rPr>
            </w:pPr>
            <w:r w:rsidRPr="0083273D">
              <w:rPr>
                <w:rFonts w:cstheme="minorHAnsi"/>
                <w:sz w:val="18"/>
                <w:szCs w:val="18"/>
              </w:rPr>
              <w:t>Exploratory qualitative (interviews + observation)</w:t>
            </w:r>
          </w:p>
        </w:tc>
        <w:tc>
          <w:tcPr>
            <w:tcW w:w="1440" w:type="dxa"/>
            <w:hideMark/>
          </w:tcPr>
          <w:p w14:paraId="41D6A6E2" w14:textId="77777777" w:rsidR="0026467A" w:rsidRPr="0083273D" w:rsidRDefault="0026467A" w:rsidP="000E5BDD">
            <w:pPr>
              <w:jc w:val="both"/>
              <w:rPr>
                <w:rFonts w:cstheme="minorHAnsi"/>
                <w:sz w:val="18"/>
                <w:szCs w:val="18"/>
              </w:rPr>
            </w:pPr>
            <w:r w:rsidRPr="0083273D">
              <w:rPr>
                <w:rFonts w:cstheme="minorHAnsi"/>
                <w:sz w:val="18"/>
                <w:szCs w:val="18"/>
              </w:rPr>
              <w:t>Post-cardiac surgery patients (nurses in immediate 2-hour recovery)</w:t>
            </w:r>
          </w:p>
        </w:tc>
        <w:tc>
          <w:tcPr>
            <w:tcW w:w="1710" w:type="dxa"/>
            <w:hideMark/>
          </w:tcPr>
          <w:p w14:paraId="62CD0D22" w14:textId="2962FBD5" w:rsidR="0026467A" w:rsidRPr="0083273D" w:rsidRDefault="0026467A" w:rsidP="000E5BDD">
            <w:pPr>
              <w:jc w:val="both"/>
              <w:rPr>
                <w:rFonts w:cstheme="minorHAnsi"/>
                <w:sz w:val="18"/>
                <w:szCs w:val="18"/>
              </w:rPr>
            </w:pPr>
            <w:r w:rsidRPr="0083273D">
              <w:rPr>
                <w:rFonts w:cstheme="minorHAnsi"/>
                <w:sz w:val="18"/>
                <w:szCs w:val="18"/>
              </w:rPr>
              <w:t xml:space="preserve">Nurses' perceptions of clinical decision-making for </w:t>
            </w:r>
            <w:r w:rsidR="0083273D">
              <w:rPr>
                <w:rFonts w:cstheme="minorHAnsi"/>
                <w:sz w:val="18"/>
                <w:szCs w:val="18"/>
              </w:rPr>
              <w:t>Hemodynamic</w:t>
            </w:r>
            <w:r w:rsidRPr="0083273D">
              <w:rPr>
                <w:rFonts w:cstheme="minorHAnsi"/>
                <w:sz w:val="18"/>
                <w:szCs w:val="18"/>
              </w:rPr>
              <w:t xml:space="preserve"> instability; handover, monitoring, responsibility</w:t>
            </w:r>
          </w:p>
        </w:tc>
        <w:tc>
          <w:tcPr>
            <w:tcW w:w="1080" w:type="dxa"/>
            <w:hideMark/>
          </w:tcPr>
          <w:p w14:paraId="6F7DB3CE" w14:textId="77777777" w:rsidR="0026467A" w:rsidRPr="0083273D" w:rsidRDefault="0026467A" w:rsidP="000E5BDD">
            <w:pPr>
              <w:jc w:val="both"/>
              <w:rPr>
                <w:rFonts w:cstheme="minorHAnsi"/>
                <w:sz w:val="18"/>
                <w:szCs w:val="18"/>
              </w:rPr>
            </w:pPr>
            <w:r w:rsidRPr="0083273D">
              <w:rPr>
                <w:rFonts w:cstheme="minorHAnsi"/>
                <w:sz w:val="18"/>
                <w:szCs w:val="18"/>
              </w:rPr>
              <w:t>38 nurses</w:t>
            </w:r>
          </w:p>
        </w:tc>
        <w:tc>
          <w:tcPr>
            <w:tcW w:w="1800" w:type="dxa"/>
            <w:hideMark/>
          </w:tcPr>
          <w:p w14:paraId="4467D99A" w14:textId="77777777" w:rsidR="0026467A" w:rsidRPr="0083273D" w:rsidRDefault="0026467A" w:rsidP="000E5BDD">
            <w:pPr>
              <w:jc w:val="both"/>
              <w:rPr>
                <w:rFonts w:cstheme="minorHAnsi"/>
                <w:sz w:val="18"/>
                <w:szCs w:val="18"/>
              </w:rPr>
            </w:pPr>
            <w:r w:rsidRPr="0083273D">
              <w:rPr>
                <w:rFonts w:cstheme="minorHAnsi"/>
                <w:sz w:val="18"/>
                <w:szCs w:val="18"/>
              </w:rPr>
              <w:t>Themes: decision-making processes, feelings of responsibility, resource needs</w:t>
            </w:r>
          </w:p>
        </w:tc>
        <w:tc>
          <w:tcPr>
            <w:tcW w:w="2865" w:type="dxa"/>
            <w:hideMark/>
          </w:tcPr>
          <w:p w14:paraId="5F13B4D9" w14:textId="77777777" w:rsidR="0026467A" w:rsidRPr="0083273D" w:rsidRDefault="0026467A" w:rsidP="000E5BDD">
            <w:pPr>
              <w:jc w:val="both"/>
              <w:rPr>
                <w:rFonts w:cstheme="minorHAnsi"/>
                <w:sz w:val="18"/>
                <w:szCs w:val="18"/>
              </w:rPr>
            </w:pPr>
            <w:r w:rsidRPr="0083273D">
              <w:rPr>
                <w:rFonts w:cstheme="minorHAnsi"/>
                <w:sz w:val="18"/>
                <w:szCs w:val="18"/>
              </w:rPr>
              <w:t>Nurses felt daunted yet stimulated; experience influenced perceptions but highlighted need for supervision/resources; safety concerns tied to processes</w:t>
            </w:r>
          </w:p>
        </w:tc>
      </w:tr>
      <w:tr w:rsidR="0026467A" w:rsidRPr="0083273D" w14:paraId="7F21F822" w14:textId="77777777" w:rsidTr="00356412">
        <w:tc>
          <w:tcPr>
            <w:tcW w:w="900" w:type="dxa"/>
            <w:hideMark/>
          </w:tcPr>
          <w:p w14:paraId="34F4F207" w14:textId="77777777" w:rsidR="0026467A" w:rsidRPr="0083273D" w:rsidRDefault="0026467A" w:rsidP="000E5BDD">
            <w:pPr>
              <w:jc w:val="both"/>
              <w:rPr>
                <w:rFonts w:cstheme="minorHAnsi"/>
                <w:sz w:val="18"/>
                <w:szCs w:val="18"/>
              </w:rPr>
            </w:pPr>
            <w:r w:rsidRPr="0083273D">
              <w:rPr>
                <w:rFonts w:cstheme="minorHAnsi"/>
                <w:sz w:val="18"/>
                <w:szCs w:val="18"/>
              </w:rPr>
              <w:t>van Rossum et al. (2021)</w:t>
            </w:r>
          </w:p>
        </w:tc>
        <w:tc>
          <w:tcPr>
            <w:tcW w:w="900" w:type="dxa"/>
            <w:hideMark/>
          </w:tcPr>
          <w:p w14:paraId="33F5CBD0" w14:textId="77777777" w:rsidR="0026467A" w:rsidRPr="0083273D" w:rsidRDefault="0026467A" w:rsidP="000E5BDD">
            <w:pPr>
              <w:jc w:val="both"/>
              <w:rPr>
                <w:rFonts w:cstheme="minorHAnsi"/>
                <w:sz w:val="18"/>
                <w:szCs w:val="18"/>
              </w:rPr>
            </w:pPr>
            <w:r w:rsidRPr="0083273D">
              <w:rPr>
                <w:rFonts w:cstheme="minorHAnsi"/>
                <w:sz w:val="18"/>
                <w:szCs w:val="18"/>
              </w:rPr>
              <w:t>Qualitative semi-structured interview study</w:t>
            </w:r>
          </w:p>
        </w:tc>
        <w:tc>
          <w:tcPr>
            <w:tcW w:w="1440" w:type="dxa"/>
            <w:hideMark/>
          </w:tcPr>
          <w:p w14:paraId="7798B929" w14:textId="77777777" w:rsidR="0026467A" w:rsidRPr="0083273D" w:rsidRDefault="0026467A" w:rsidP="000E5BDD">
            <w:pPr>
              <w:jc w:val="both"/>
              <w:rPr>
                <w:rFonts w:cstheme="minorHAnsi"/>
                <w:sz w:val="18"/>
                <w:szCs w:val="18"/>
              </w:rPr>
            </w:pPr>
            <w:r w:rsidRPr="0083273D">
              <w:rPr>
                <w:rFonts w:cstheme="minorHAnsi"/>
                <w:sz w:val="18"/>
                <w:szCs w:val="18"/>
              </w:rPr>
              <w:t>Post-esophagectomy patients on surgical ward</w:t>
            </w:r>
          </w:p>
        </w:tc>
        <w:tc>
          <w:tcPr>
            <w:tcW w:w="1710" w:type="dxa"/>
            <w:hideMark/>
          </w:tcPr>
          <w:p w14:paraId="3904487D" w14:textId="77777777" w:rsidR="0026467A" w:rsidRPr="0083273D" w:rsidRDefault="0026467A" w:rsidP="000E5BDD">
            <w:pPr>
              <w:jc w:val="both"/>
              <w:rPr>
                <w:rFonts w:cstheme="minorHAnsi"/>
                <w:sz w:val="18"/>
                <w:szCs w:val="18"/>
              </w:rPr>
            </w:pPr>
            <w:r w:rsidRPr="0083273D">
              <w:rPr>
                <w:rFonts w:cstheme="minorHAnsi"/>
                <w:sz w:val="18"/>
                <w:szCs w:val="18"/>
              </w:rPr>
              <w:t>Expectations/perceptions of continuous vital signs monitoring (HR, RR, SpO2, temp) for early complication recognition (incl. hemodynamic)</w:t>
            </w:r>
          </w:p>
        </w:tc>
        <w:tc>
          <w:tcPr>
            <w:tcW w:w="1080" w:type="dxa"/>
            <w:hideMark/>
          </w:tcPr>
          <w:p w14:paraId="745DC125" w14:textId="77777777" w:rsidR="0026467A" w:rsidRPr="0083273D" w:rsidRDefault="0026467A" w:rsidP="000E5BDD">
            <w:pPr>
              <w:jc w:val="both"/>
              <w:rPr>
                <w:rFonts w:cstheme="minorHAnsi"/>
                <w:sz w:val="18"/>
                <w:szCs w:val="18"/>
              </w:rPr>
            </w:pPr>
            <w:r w:rsidRPr="0083273D">
              <w:rPr>
                <w:rFonts w:cstheme="minorHAnsi"/>
                <w:sz w:val="18"/>
                <w:szCs w:val="18"/>
              </w:rPr>
              <w:t>6 nurses + 6 surgeons</w:t>
            </w:r>
          </w:p>
        </w:tc>
        <w:tc>
          <w:tcPr>
            <w:tcW w:w="1800" w:type="dxa"/>
            <w:hideMark/>
          </w:tcPr>
          <w:p w14:paraId="4BC78B32" w14:textId="77777777" w:rsidR="0026467A" w:rsidRPr="0083273D" w:rsidRDefault="0026467A" w:rsidP="000E5BDD">
            <w:pPr>
              <w:jc w:val="both"/>
              <w:rPr>
                <w:rFonts w:cstheme="minorHAnsi"/>
                <w:sz w:val="18"/>
                <w:szCs w:val="18"/>
              </w:rPr>
            </w:pPr>
            <w:r w:rsidRPr="0083273D">
              <w:rPr>
                <w:rFonts w:cstheme="minorHAnsi"/>
                <w:sz w:val="18"/>
                <w:szCs w:val="18"/>
              </w:rPr>
              <w:t>Benefits/barriers to early detection, time gain, integration with nurse judgement</w:t>
            </w:r>
          </w:p>
        </w:tc>
        <w:tc>
          <w:tcPr>
            <w:tcW w:w="2865" w:type="dxa"/>
            <w:hideMark/>
          </w:tcPr>
          <w:p w14:paraId="4133E697" w14:textId="77777777" w:rsidR="0026467A" w:rsidRPr="0083273D" w:rsidRDefault="0026467A" w:rsidP="000E5BDD">
            <w:pPr>
              <w:jc w:val="both"/>
              <w:rPr>
                <w:rFonts w:cstheme="minorHAnsi"/>
                <w:sz w:val="18"/>
                <w:szCs w:val="18"/>
              </w:rPr>
            </w:pPr>
            <w:r w:rsidRPr="0083273D">
              <w:rPr>
                <w:rFonts w:cstheme="minorHAnsi"/>
                <w:sz w:val="18"/>
                <w:szCs w:val="18"/>
              </w:rPr>
              <w:t>Continuous monitoring enables trend detection and earlier intervention; complements nurse judgement; barriers include alarms, workload, training needs</w:t>
            </w:r>
          </w:p>
        </w:tc>
      </w:tr>
      <w:tr w:rsidR="0026467A" w:rsidRPr="0083273D" w14:paraId="7D199EFB" w14:textId="77777777" w:rsidTr="00356412">
        <w:tc>
          <w:tcPr>
            <w:tcW w:w="900" w:type="dxa"/>
            <w:hideMark/>
          </w:tcPr>
          <w:p w14:paraId="553922EA" w14:textId="77777777" w:rsidR="0026467A" w:rsidRPr="0083273D" w:rsidRDefault="0026467A" w:rsidP="000E5BDD">
            <w:pPr>
              <w:jc w:val="both"/>
              <w:rPr>
                <w:rFonts w:cstheme="minorHAnsi"/>
                <w:sz w:val="18"/>
                <w:szCs w:val="18"/>
              </w:rPr>
            </w:pPr>
            <w:r w:rsidRPr="0083273D">
              <w:rPr>
                <w:rFonts w:cstheme="minorHAnsi"/>
                <w:sz w:val="18"/>
                <w:szCs w:val="18"/>
              </w:rPr>
              <w:t>Ahmed (2019)</w:t>
            </w:r>
          </w:p>
        </w:tc>
        <w:tc>
          <w:tcPr>
            <w:tcW w:w="900" w:type="dxa"/>
            <w:hideMark/>
          </w:tcPr>
          <w:p w14:paraId="0BFD60E0" w14:textId="77777777" w:rsidR="0026467A" w:rsidRPr="0083273D" w:rsidRDefault="0026467A" w:rsidP="000E5BDD">
            <w:pPr>
              <w:jc w:val="both"/>
              <w:rPr>
                <w:rFonts w:cstheme="minorHAnsi"/>
                <w:sz w:val="18"/>
                <w:szCs w:val="18"/>
              </w:rPr>
            </w:pPr>
            <w:r w:rsidRPr="0083273D">
              <w:rPr>
                <w:rFonts w:cstheme="minorHAnsi"/>
                <w:sz w:val="18"/>
                <w:szCs w:val="18"/>
              </w:rPr>
              <w:t>Quasi-experimental/interventional</w:t>
            </w:r>
          </w:p>
        </w:tc>
        <w:tc>
          <w:tcPr>
            <w:tcW w:w="1440" w:type="dxa"/>
            <w:hideMark/>
          </w:tcPr>
          <w:p w14:paraId="127A1A24" w14:textId="77777777" w:rsidR="0026467A" w:rsidRPr="0083273D" w:rsidRDefault="0026467A" w:rsidP="000E5BDD">
            <w:pPr>
              <w:jc w:val="both"/>
              <w:rPr>
                <w:rFonts w:cstheme="minorHAnsi"/>
                <w:sz w:val="18"/>
                <w:szCs w:val="18"/>
              </w:rPr>
            </w:pPr>
            <w:r w:rsidRPr="0083273D">
              <w:rPr>
                <w:rFonts w:cstheme="minorHAnsi"/>
                <w:sz w:val="18"/>
                <w:szCs w:val="18"/>
              </w:rPr>
              <w:t>Post-cardiac surgery patients</w:t>
            </w:r>
          </w:p>
        </w:tc>
        <w:tc>
          <w:tcPr>
            <w:tcW w:w="1710" w:type="dxa"/>
            <w:hideMark/>
          </w:tcPr>
          <w:p w14:paraId="7149835C" w14:textId="77777777" w:rsidR="0026467A" w:rsidRPr="0083273D" w:rsidRDefault="0026467A" w:rsidP="000E5BDD">
            <w:pPr>
              <w:jc w:val="both"/>
              <w:rPr>
                <w:rFonts w:cstheme="minorHAnsi"/>
                <w:sz w:val="18"/>
                <w:szCs w:val="18"/>
              </w:rPr>
            </w:pPr>
            <w:r w:rsidRPr="0083273D">
              <w:rPr>
                <w:rFonts w:cstheme="minorHAnsi"/>
                <w:sz w:val="18"/>
                <w:szCs w:val="18"/>
              </w:rPr>
              <w:t>Early ambulation intervention; monitoring of hemodynamic (BP, HR) and perfusion indices</w:t>
            </w:r>
          </w:p>
        </w:tc>
        <w:tc>
          <w:tcPr>
            <w:tcW w:w="1080" w:type="dxa"/>
            <w:hideMark/>
          </w:tcPr>
          <w:p w14:paraId="2C4147AD" w14:textId="4995C542" w:rsidR="0026467A" w:rsidRPr="0083273D" w:rsidRDefault="0026467A" w:rsidP="000E5BDD">
            <w:pPr>
              <w:jc w:val="both"/>
              <w:rPr>
                <w:rFonts w:cstheme="minorHAnsi"/>
                <w:sz w:val="18"/>
                <w:szCs w:val="18"/>
              </w:rPr>
            </w:pPr>
            <w:r w:rsidRPr="0083273D">
              <w:rPr>
                <w:rFonts w:cstheme="minorHAnsi"/>
                <w:sz w:val="18"/>
                <w:szCs w:val="18"/>
              </w:rPr>
              <w:t>60 patients (control + intervention groups)</w:t>
            </w:r>
          </w:p>
        </w:tc>
        <w:tc>
          <w:tcPr>
            <w:tcW w:w="1800" w:type="dxa"/>
            <w:hideMark/>
          </w:tcPr>
          <w:p w14:paraId="5F677703" w14:textId="77777777" w:rsidR="0026467A" w:rsidRPr="0083273D" w:rsidRDefault="0026467A" w:rsidP="000E5BDD">
            <w:pPr>
              <w:jc w:val="both"/>
              <w:rPr>
                <w:rFonts w:cstheme="minorHAnsi"/>
                <w:sz w:val="18"/>
                <w:szCs w:val="18"/>
              </w:rPr>
            </w:pPr>
            <w:r w:rsidRPr="0083273D">
              <w:rPr>
                <w:rFonts w:cstheme="minorHAnsi"/>
                <w:sz w:val="18"/>
                <w:szCs w:val="18"/>
              </w:rPr>
              <w:t>Changes in BP, HR, perfusion indices post-ambulation</w:t>
            </w:r>
          </w:p>
        </w:tc>
        <w:tc>
          <w:tcPr>
            <w:tcW w:w="2865" w:type="dxa"/>
            <w:hideMark/>
          </w:tcPr>
          <w:p w14:paraId="1F4D8CA7" w14:textId="77777777" w:rsidR="0026467A" w:rsidRPr="0083273D" w:rsidRDefault="0026467A" w:rsidP="000E5BDD">
            <w:pPr>
              <w:jc w:val="both"/>
              <w:rPr>
                <w:rFonts w:cstheme="minorHAnsi"/>
                <w:sz w:val="18"/>
                <w:szCs w:val="18"/>
              </w:rPr>
            </w:pPr>
            <w:r w:rsidRPr="0083273D">
              <w:rPr>
                <w:rFonts w:cstheme="minorHAnsi"/>
                <w:sz w:val="18"/>
                <w:szCs w:val="18"/>
              </w:rPr>
              <w:t>Early ambulation significantly improved hemodynamic stability and perfusion indices compared to standard care</w:t>
            </w:r>
          </w:p>
        </w:tc>
      </w:tr>
      <w:tr w:rsidR="0026467A" w:rsidRPr="0083273D" w14:paraId="1A8055D7" w14:textId="77777777" w:rsidTr="00356412">
        <w:tc>
          <w:tcPr>
            <w:tcW w:w="900" w:type="dxa"/>
            <w:hideMark/>
          </w:tcPr>
          <w:p w14:paraId="5AF50BDA" w14:textId="77777777" w:rsidR="0026467A" w:rsidRPr="0083273D" w:rsidRDefault="0026467A" w:rsidP="000E5BDD">
            <w:pPr>
              <w:jc w:val="both"/>
              <w:rPr>
                <w:rFonts w:cstheme="minorHAnsi"/>
                <w:sz w:val="18"/>
                <w:szCs w:val="18"/>
              </w:rPr>
            </w:pPr>
            <w:r w:rsidRPr="0083273D">
              <w:rPr>
                <w:rFonts w:cstheme="minorHAnsi"/>
                <w:sz w:val="18"/>
                <w:szCs w:val="18"/>
              </w:rPr>
              <w:t>Lavoie et al. (2024)</w:t>
            </w:r>
          </w:p>
        </w:tc>
        <w:tc>
          <w:tcPr>
            <w:tcW w:w="900" w:type="dxa"/>
            <w:hideMark/>
          </w:tcPr>
          <w:p w14:paraId="05D49007" w14:textId="77777777" w:rsidR="0026467A" w:rsidRPr="0083273D" w:rsidRDefault="0026467A" w:rsidP="000E5BDD">
            <w:pPr>
              <w:jc w:val="both"/>
              <w:rPr>
                <w:rFonts w:cstheme="minorHAnsi"/>
                <w:sz w:val="18"/>
                <w:szCs w:val="18"/>
              </w:rPr>
            </w:pPr>
            <w:r w:rsidRPr="0083273D">
              <w:rPr>
                <w:rFonts w:cstheme="minorHAnsi"/>
                <w:sz w:val="18"/>
                <w:szCs w:val="18"/>
              </w:rPr>
              <w:t>Dimensional analysis (qualitative, semi-structured interviews)</w:t>
            </w:r>
          </w:p>
        </w:tc>
        <w:tc>
          <w:tcPr>
            <w:tcW w:w="1440" w:type="dxa"/>
            <w:hideMark/>
          </w:tcPr>
          <w:p w14:paraId="46A60A40" w14:textId="77777777" w:rsidR="0026467A" w:rsidRPr="0083273D" w:rsidRDefault="0026467A" w:rsidP="000E5BDD">
            <w:pPr>
              <w:jc w:val="both"/>
              <w:rPr>
                <w:rFonts w:cstheme="minorHAnsi"/>
                <w:sz w:val="18"/>
                <w:szCs w:val="18"/>
              </w:rPr>
            </w:pPr>
            <w:r w:rsidRPr="0083273D">
              <w:rPr>
                <w:rFonts w:cstheme="minorHAnsi"/>
                <w:sz w:val="18"/>
                <w:szCs w:val="18"/>
              </w:rPr>
              <w:t>Experienced ICU nurses managing post-cardiac surgery bleeding (hemodynamic implications)</w:t>
            </w:r>
          </w:p>
        </w:tc>
        <w:tc>
          <w:tcPr>
            <w:tcW w:w="1710" w:type="dxa"/>
            <w:hideMark/>
          </w:tcPr>
          <w:p w14:paraId="6AE40B72" w14:textId="77777777" w:rsidR="0026467A" w:rsidRPr="0083273D" w:rsidRDefault="0026467A" w:rsidP="000E5BDD">
            <w:pPr>
              <w:jc w:val="both"/>
              <w:rPr>
                <w:rFonts w:cstheme="minorHAnsi"/>
                <w:sz w:val="18"/>
                <w:szCs w:val="18"/>
              </w:rPr>
            </w:pPr>
            <w:r w:rsidRPr="0083273D">
              <w:rPr>
                <w:rFonts w:cstheme="minorHAnsi"/>
                <w:sz w:val="18"/>
                <w:szCs w:val="18"/>
              </w:rPr>
              <w:t>Clinical decision-making processes for bleeding (</w:t>
            </w:r>
            <w:proofErr w:type="spellStart"/>
            <w:r w:rsidRPr="0083273D">
              <w:rPr>
                <w:rFonts w:cstheme="minorHAnsi"/>
                <w:sz w:val="18"/>
                <w:szCs w:val="18"/>
              </w:rPr>
              <w:t>haemorrhagic</w:t>
            </w:r>
            <w:proofErr w:type="spellEnd"/>
            <w:r w:rsidRPr="0083273D">
              <w:rPr>
                <w:rFonts w:cstheme="minorHAnsi"/>
                <w:sz w:val="18"/>
                <w:szCs w:val="18"/>
              </w:rPr>
              <w:t>/hypovolemic dimensions, cues, actions)</w:t>
            </w:r>
          </w:p>
        </w:tc>
        <w:tc>
          <w:tcPr>
            <w:tcW w:w="1080" w:type="dxa"/>
            <w:hideMark/>
          </w:tcPr>
          <w:p w14:paraId="4997F838" w14:textId="77777777" w:rsidR="0026467A" w:rsidRPr="0083273D" w:rsidRDefault="0026467A" w:rsidP="000E5BDD">
            <w:pPr>
              <w:jc w:val="both"/>
              <w:rPr>
                <w:rFonts w:cstheme="minorHAnsi"/>
                <w:sz w:val="18"/>
                <w:szCs w:val="18"/>
              </w:rPr>
            </w:pPr>
            <w:r w:rsidRPr="0083273D">
              <w:rPr>
                <w:rFonts w:cstheme="minorHAnsi"/>
                <w:sz w:val="18"/>
                <w:szCs w:val="18"/>
              </w:rPr>
              <w:t>39 experienced nurses</w:t>
            </w:r>
          </w:p>
        </w:tc>
        <w:tc>
          <w:tcPr>
            <w:tcW w:w="1800" w:type="dxa"/>
            <w:hideMark/>
          </w:tcPr>
          <w:p w14:paraId="661A5415" w14:textId="77777777" w:rsidR="0026467A" w:rsidRPr="0083273D" w:rsidRDefault="0026467A" w:rsidP="000E5BDD">
            <w:pPr>
              <w:jc w:val="both"/>
              <w:rPr>
                <w:rFonts w:cstheme="minorHAnsi"/>
                <w:sz w:val="18"/>
                <w:szCs w:val="18"/>
              </w:rPr>
            </w:pPr>
            <w:r w:rsidRPr="0083273D">
              <w:rPr>
                <w:rFonts w:cstheme="minorHAnsi"/>
                <w:sz w:val="18"/>
                <w:szCs w:val="18"/>
              </w:rPr>
              <w:t>Themes in recognition, bleeding types (normal/medical/surgical/tamponade), decision pathways</w:t>
            </w:r>
          </w:p>
        </w:tc>
        <w:tc>
          <w:tcPr>
            <w:tcW w:w="2865" w:type="dxa"/>
            <w:hideMark/>
          </w:tcPr>
          <w:p w14:paraId="1B189E5F" w14:textId="77777777" w:rsidR="0026467A" w:rsidRPr="0083273D" w:rsidRDefault="0026467A" w:rsidP="000E5BDD">
            <w:pPr>
              <w:jc w:val="both"/>
              <w:rPr>
                <w:rFonts w:cstheme="minorHAnsi"/>
                <w:sz w:val="18"/>
                <w:szCs w:val="18"/>
              </w:rPr>
            </w:pPr>
            <w:r w:rsidRPr="0083273D">
              <w:rPr>
                <w:rFonts w:cstheme="minorHAnsi"/>
                <w:sz w:val="18"/>
                <w:szCs w:val="18"/>
              </w:rPr>
              <w:t>Nurses used dimensional understanding to guide actions; underscores need for updated protocols and quality improvement in bleeding management</w:t>
            </w:r>
          </w:p>
        </w:tc>
      </w:tr>
      <w:tr w:rsidR="0026467A" w:rsidRPr="0083273D" w14:paraId="388984F1" w14:textId="77777777" w:rsidTr="00356412">
        <w:tc>
          <w:tcPr>
            <w:tcW w:w="900" w:type="dxa"/>
            <w:hideMark/>
          </w:tcPr>
          <w:p w14:paraId="4869DCD7" w14:textId="77777777" w:rsidR="0026467A" w:rsidRPr="0083273D" w:rsidRDefault="0026467A" w:rsidP="000E5BDD">
            <w:pPr>
              <w:jc w:val="both"/>
              <w:rPr>
                <w:rFonts w:cstheme="minorHAnsi"/>
                <w:sz w:val="18"/>
                <w:szCs w:val="18"/>
              </w:rPr>
            </w:pPr>
            <w:r w:rsidRPr="0083273D">
              <w:rPr>
                <w:rFonts w:cstheme="minorHAnsi"/>
                <w:sz w:val="18"/>
                <w:szCs w:val="18"/>
              </w:rPr>
              <w:t>Chiang et al. (2025)</w:t>
            </w:r>
          </w:p>
        </w:tc>
        <w:tc>
          <w:tcPr>
            <w:tcW w:w="900" w:type="dxa"/>
            <w:hideMark/>
          </w:tcPr>
          <w:p w14:paraId="204A05BD" w14:textId="77777777" w:rsidR="0026467A" w:rsidRPr="0083273D" w:rsidRDefault="0026467A" w:rsidP="000E5BDD">
            <w:pPr>
              <w:jc w:val="both"/>
              <w:rPr>
                <w:rFonts w:cstheme="minorHAnsi"/>
                <w:sz w:val="18"/>
                <w:szCs w:val="18"/>
              </w:rPr>
            </w:pPr>
            <w:r w:rsidRPr="0083273D">
              <w:rPr>
                <w:rFonts w:cstheme="minorHAnsi"/>
                <w:sz w:val="18"/>
                <w:szCs w:val="18"/>
              </w:rPr>
              <w:t>Multicohort development/validation (retrospective/prospective)</w:t>
            </w:r>
          </w:p>
        </w:tc>
        <w:tc>
          <w:tcPr>
            <w:tcW w:w="1440" w:type="dxa"/>
            <w:hideMark/>
          </w:tcPr>
          <w:p w14:paraId="52CAF123" w14:textId="77777777" w:rsidR="0026467A" w:rsidRPr="0083273D" w:rsidRDefault="0026467A" w:rsidP="000E5BDD">
            <w:pPr>
              <w:jc w:val="both"/>
              <w:rPr>
                <w:rFonts w:cstheme="minorHAnsi"/>
                <w:sz w:val="18"/>
                <w:szCs w:val="18"/>
              </w:rPr>
            </w:pPr>
            <w:r w:rsidRPr="0083273D">
              <w:rPr>
                <w:rFonts w:cstheme="minorHAnsi"/>
                <w:sz w:val="18"/>
                <w:szCs w:val="18"/>
              </w:rPr>
              <w:t>ICU patients (incl. surgical subgroups)</w:t>
            </w:r>
          </w:p>
        </w:tc>
        <w:tc>
          <w:tcPr>
            <w:tcW w:w="1710" w:type="dxa"/>
            <w:hideMark/>
          </w:tcPr>
          <w:p w14:paraId="4E919E83" w14:textId="77777777" w:rsidR="0026467A" w:rsidRPr="0083273D" w:rsidRDefault="0026467A" w:rsidP="000E5BDD">
            <w:pPr>
              <w:jc w:val="both"/>
              <w:rPr>
                <w:rFonts w:cstheme="minorHAnsi"/>
                <w:sz w:val="18"/>
                <w:szCs w:val="18"/>
              </w:rPr>
            </w:pPr>
            <w:r w:rsidRPr="0083273D">
              <w:rPr>
                <w:rFonts w:cstheme="minorHAnsi"/>
                <w:sz w:val="18"/>
                <w:szCs w:val="18"/>
              </w:rPr>
              <w:t>Dynamic time-varying ML-based EWS for predicting instability (nursing-relevant via reduced alarms/early alerts)</w:t>
            </w:r>
          </w:p>
        </w:tc>
        <w:tc>
          <w:tcPr>
            <w:tcW w:w="1080" w:type="dxa"/>
            <w:hideMark/>
          </w:tcPr>
          <w:p w14:paraId="437AD66A" w14:textId="77777777" w:rsidR="0026467A" w:rsidRPr="0083273D" w:rsidRDefault="0026467A" w:rsidP="000E5BDD">
            <w:pPr>
              <w:jc w:val="both"/>
              <w:rPr>
                <w:rFonts w:cstheme="minorHAnsi"/>
                <w:sz w:val="18"/>
                <w:szCs w:val="18"/>
              </w:rPr>
            </w:pPr>
            <w:r w:rsidRPr="0083273D">
              <w:rPr>
                <w:rFonts w:cstheme="minorHAnsi"/>
                <w:sz w:val="18"/>
                <w:szCs w:val="18"/>
              </w:rPr>
              <w:t>VGHTPE cohorts: 18,438 + 700; MIMIC-IV: 47,492</w:t>
            </w:r>
          </w:p>
        </w:tc>
        <w:tc>
          <w:tcPr>
            <w:tcW w:w="1800" w:type="dxa"/>
            <w:hideMark/>
          </w:tcPr>
          <w:p w14:paraId="5A807DA4" w14:textId="77777777" w:rsidR="0026467A" w:rsidRPr="0083273D" w:rsidRDefault="0026467A" w:rsidP="000E5BDD">
            <w:pPr>
              <w:jc w:val="both"/>
              <w:rPr>
                <w:rFonts w:cstheme="minorHAnsi"/>
                <w:sz w:val="18"/>
                <w:szCs w:val="18"/>
              </w:rPr>
            </w:pPr>
            <w:r w:rsidRPr="0083273D">
              <w:rPr>
                <w:rFonts w:cstheme="minorHAnsi"/>
                <w:sz w:val="18"/>
                <w:szCs w:val="18"/>
              </w:rPr>
              <w:t>Prediction accuracy (AUROC 0.82–0.93), lead time, false alarms</w:t>
            </w:r>
          </w:p>
        </w:tc>
        <w:tc>
          <w:tcPr>
            <w:tcW w:w="2865" w:type="dxa"/>
            <w:hideMark/>
          </w:tcPr>
          <w:p w14:paraId="0E60F451" w14:textId="77777777" w:rsidR="0026467A" w:rsidRPr="0083273D" w:rsidRDefault="0026467A" w:rsidP="000E5BDD">
            <w:pPr>
              <w:jc w:val="both"/>
              <w:rPr>
                <w:rFonts w:cstheme="minorHAnsi"/>
                <w:sz w:val="18"/>
                <w:szCs w:val="18"/>
              </w:rPr>
            </w:pPr>
            <w:r w:rsidRPr="0083273D">
              <w:rPr>
                <w:rFonts w:cstheme="minorHAnsi"/>
                <w:sz w:val="18"/>
                <w:szCs w:val="18"/>
              </w:rPr>
              <w:t>High predictive performance; enables earlier intervention; strong in surgical contexts; reduces alarm burden</w:t>
            </w:r>
          </w:p>
        </w:tc>
      </w:tr>
      <w:tr w:rsidR="0026467A" w:rsidRPr="0083273D" w14:paraId="7023409C" w14:textId="77777777" w:rsidTr="00356412">
        <w:tc>
          <w:tcPr>
            <w:tcW w:w="900" w:type="dxa"/>
            <w:hideMark/>
          </w:tcPr>
          <w:p w14:paraId="0EBDF043" w14:textId="77777777" w:rsidR="0026467A" w:rsidRPr="0083273D" w:rsidRDefault="0026467A" w:rsidP="000E5BDD">
            <w:pPr>
              <w:jc w:val="both"/>
              <w:rPr>
                <w:rFonts w:cstheme="minorHAnsi"/>
                <w:sz w:val="18"/>
                <w:szCs w:val="18"/>
              </w:rPr>
            </w:pPr>
            <w:r w:rsidRPr="0083273D">
              <w:rPr>
                <w:rFonts w:cstheme="minorHAnsi"/>
                <w:sz w:val="18"/>
                <w:szCs w:val="18"/>
              </w:rPr>
              <w:t xml:space="preserve">van Rossum </w:t>
            </w:r>
            <w:r w:rsidRPr="0083273D">
              <w:rPr>
                <w:rFonts w:cstheme="minorHAnsi"/>
                <w:sz w:val="18"/>
                <w:szCs w:val="18"/>
              </w:rPr>
              <w:lastRenderedPageBreak/>
              <w:t>et al. (2023)</w:t>
            </w:r>
          </w:p>
        </w:tc>
        <w:tc>
          <w:tcPr>
            <w:tcW w:w="900" w:type="dxa"/>
            <w:hideMark/>
          </w:tcPr>
          <w:p w14:paraId="27B70498" w14:textId="77777777" w:rsidR="0026467A" w:rsidRPr="0083273D" w:rsidRDefault="0026467A" w:rsidP="000E5BDD">
            <w:pPr>
              <w:jc w:val="both"/>
              <w:rPr>
                <w:rFonts w:cstheme="minorHAnsi"/>
                <w:sz w:val="18"/>
                <w:szCs w:val="18"/>
              </w:rPr>
            </w:pPr>
            <w:r w:rsidRPr="0083273D">
              <w:rPr>
                <w:rFonts w:cstheme="minorHAnsi"/>
                <w:sz w:val="18"/>
                <w:szCs w:val="18"/>
              </w:rPr>
              <w:lastRenderedPageBreak/>
              <w:t xml:space="preserve">Retrospective </w:t>
            </w:r>
            <w:r w:rsidRPr="0083273D">
              <w:rPr>
                <w:rFonts w:cstheme="minorHAnsi"/>
                <w:sz w:val="18"/>
                <w:szCs w:val="18"/>
              </w:rPr>
              <w:lastRenderedPageBreak/>
              <w:t>observational</w:t>
            </w:r>
          </w:p>
        </w:tc>
        <w:tc>
          <w:tcPr>
            <w:tcW w:w="1440" w:type="dxa"/>
            <w:hideMark/>
          </w:tcPr>
          <w:p w14:paraId="33381549" w14:textId="77777777" w:rsidR="0026467A" w:rsidRPr="0083273D" w:rsidRDefault="0026467A" w:rsidP="000E5BDD">
            <w:pPr>
              <w:jc w:val="both"/>
              <w:rPr>
                <w:rFonts w:cstheme="minorHAnsi"/>
                <w:sz w:val="18"/>
                <w:szCs w:val="18"/>
              </w:rPr>
            </w:pPr>
            <w:r w:rsidRPr="0083273D">
              <w:rPr>
                <w:rFonts w:cstheme="minorHAnsi"/>
                <w:sz w:val="18"/>
                <w:szCs w:val="18"/>
              </w:rPr>
              <w:lastRenderedPageBreak/>
              <w:t>Surgical ward patients (esophageal/gas</w:t>
            </w:r>
            <w:r w:rsidRPr="0083273D">
              <w:rPr>
                <w:rFonts w:cstheme="minorHAnsi"/>
                <w:sz w:val="18"/>
                <w:szCs w:val="18"/>
              </w:rPr>
              <w:lastRenderedPageBreak/>
              <w:t>tric resection, hip fracture)</w:t>
            </w:r>
          </w:p>
        </w:tc>
        <w:tc>
          <w:tcPr>
            <w:tcW w:w="1710" w:type="dxa"/>
            <w:hideMark/>
          </w:tcPr>
          <w:p w14:paraId="099551BD" w14:textId="77777777" w:rsidR="0026467A" w:rsidRPr="0083273D" w:rsidRDefault="0026467A" w:rsidP="000E5BDD">
            <w:pPr>
              <w:jc w:val="both"/>
              <w:rPr>
                <w:rFonts w:cstheme="minorHAnsi"/>
                <w:sz w:val="18"/>
                <w:szCs w:val="18"/>
              </w:rPr>
            </w:pPr>
            <w:r w:rsidRPr="0083273D">
              <w:rPr>
                <w:rFonts w:cstheme="minorHAnsi"/>
                <w:sz w:val="18"/>
                <w:szCs w:val="18"/>
              </w:rPr>
              <w:lastRenderedPageBreak/>
              <w:t xml:space="preserve">EWS supported by continuous wireless vital signs </w:t>
            </w:r>
            <w:r w:rsidRPr="0083273D">
              <w:rPr>
                <w:rFonts w:cstheme="minorHAnsi"/>
                <w:sz w:val="18"/>
                <w:szCs w:val="18"/>
              </w:rPr>
              <w:lastRenderedPageBreak/>
              <w:t>monitoring (HR, RR, SpO2, temp); compared to manual nurse EWS</w:t>
            </w:r>
          </w:p>
        </w:tc>
        <w:tc>
          <w:tcPr>
            <w:tcW w:w="1080" w:type="dxa"/>
            <w:hideMark/>
          </w:tcPr>
          <w:p w14:paraId="406D6653" w14:textId="77777777" w:rsidR="0026467A" w:rsidRPr="0083273D" w:rsidRDefault="0026467A" w:rsidP="000E5BDD">
            <w:pPr>
              <w:jc w:val="both"/>
              <w:rPr>
                <w:rFonts w:cstheme="minorHAnsi"/>
                <w:sz w:val="18"/>
                <w:szCs w:val="18"/>
              </w:rPr>
            </w:pPr>
            <w:r w:rsidRPr="0083273D">
              <w:rPr>
                <w:rFonts w:cstheme="minorHAnsi"/>
                <w:sz w:val="18"/>
                <w:szCs w:val="18"/>
              </w:rPr>
              <w:lastRenderedPageBreak/>
              <w:t xml:space="preserve">46 patients (14 with </w:t>
            </w:r>
            <w:r w:rsidRPr="0083273D">
              <w:rPr>
                <w:rFonts w:cstheme="minorHAnsi"/>
                <w:sz w:val="18"/>
                <w:szCs w:val="18"/>
              </w:rPr>
              <w:lastRenderedPageBreak/>
              <w:t>complications)</w:t>
            </w:r>
          </w:p>
        </w:tc>
        <w:tc>
          <w:tcPr>
            <w:tcW w:w="1800" w:type="dxa"/>
            <w:hideMark/>
          </w:tcPr>
          <w:p w14:paraId="3FFB4D80" w14:textId="77777777" w:rsidR="0026467A" w:rsidRPr="0083273D" w:rsidRDefault="0026467A" w:rsidP="000E5BDD">
            <w:pPr>
              <w:jc w:val="both"/>
              <w:rPr>
                <w:rFonts w:cstheme="minorHAnsi"/>
                <w:sz w:val="18"/>
                <w:szCs w:val="18"/>
              </w:rPr>
            </w:pPr>
            <w:r w:rsidRPr="0083273D">
              <w:rPr>
                <w:rFonts w:cstheme="minorHAnsi"/>
                <w:sz w:val="18"/>
                <w:szCs w:val="18"/>
              </w:rPr>
              <w:lastRenderedPageBreak/>
              <w:t xml:space="preserve">Alarm sensitivity/specificity, prediction of </w:t>
            </w:r>
            <w:r w:rsidRPr="0083273D">
              <w:rPr>
                <w:rFonts w:cstheme="minorHAnsi"/>
                <w:sz w:val="18"/>
                <w:szCs w:val="18"/>
              </w:rPr>
              <w:lastRenderedPageBreak/>
              <w:t>complications, false alarm rates</w:t>
            </w:r>
          </w:p>
        </w:tc>
        <w:tc>
          <w:tcPr>
            <w:tcW w:w="2865" w:type="dxa"/>
            <w:hideMark/>
          </w:tcPr>
          <w:p w14:paraId="26D90F0E" w14:textId="77777777" w:rsidR="0026467A" w:rsidRPr="0083273D" w:rsidRDefault="0026467A" w:rsidP="000E5BDD">
            <w:pPr>
              <w:jc w:val="both"/>
              <w:rPr>
                <w:rFonts w:cstheme="minorHAnsi"/>
                <w:sz w:val="18"/>
                <w:szCs w:val="18"/>
              </w:rPr>
            </w:pPr>
            <w:r w:rsidRPr="0083273D">
              <w:rPr>
                <w:rFonts w:cstheme="minorHAnsi"/>
                <w:sz w:val="18"/>
                <w:szCs w:val="18"/>
              </w:rPr>
              <w:lastRenderedPageBreak/>
              <w:t xml:space="preserve">Sensor-based EWS showed higher sensitivity (80% early detection) </w:t>
            </w:r>
            <w:r w:rsidRPr="0083273D">
              <w:rPr>
                <w:rFonts w:cstheme="minorHAnsi"/>
                <w:sz w:val="18"/>
                <w:szCs w:val="18"/>
              </w:rPr>
              <w:lastRenderedPageBreak/>
              <w:t>than manual; useful but high false positives; RR/SpO2 key contributors</w:t>
            </w:r>
          </w:p>
        </w:tc>
      </w:tr>
      <w:tr w:rsidR="0026467A" w:rsidRPr="0083273D" w14:paraId="0FFBCF29" w14:textId="77777777" w:rsidTr="00356412">
        <w:tc>
          <w:tcPr>
            <w:tcW w:w="900" w:type="dxa"/>
            <w:hideMark/>
          </w:tcPr>
          <w:p w14:paraId="1372872D" w14:textId="77777777" w:rsidR="0026467A" w:rsidRPr="0083273D" w:rsidRDefault="0026467A" w:rsidP="000E5BDD">
            <w:pPr>
              <w:jc w:val="both"/>
              <w:rPr>
                <w:rFonts w:cstheme="minorHAnsi"/>
                <w:sz w:val="18"/>
                <w:szCs w:val="18"/>
              </w:rPr>
            </w:pPr>
            <w:r w:rsidRPr="0083273D">
              <w:rPr>
                <w:rFonts w:cstheme="minorHAnsi"/>
                <w:sz w:val="18"/>
                <w:szCs w:val="18"/>
              </w:rPr>
              <w:lastRenderedPageBreak/>
              <w:t>Jacob et al. (2024)</w:t>
            </w:r>
          </w:p>
        </w:tc>
        <w:tc>
          <w:tcPr>
            <w:tcW w:w="900" w:type="dxa"/>
            <w:hideMark/>
          </w:tcPr>
          <w:p w14:paraId="2BB88F68" w14:textId="77777777" w:rsidR="0026467A" w:rsidRPr="0083273D" w:rsidRDefault="0026467A" w:rsidP="000E5BDD">
            <w:pPr>
              <w:jc w:val="both"/>
              <w:rPr>
                <w:rFonts w:cstheme="minorHAnsi"/>
                <w:sz w:val="18"/>
                <w:szCs w:val="18"/>
              </w:rPr>
            </w:pPr>
            <w:r w:rsidRPr="0083273D">
              <w:rPr>
                <w:rFonts w:cstheme="minorHAnsi"/>
                <w:sz w:val="18"/>
                <w:szCs w:val="18"/>
              </w:rPr>
              <w:t>Retrospective observational cohort</w:t>
            </w:r>
          </w:p>
        </w:tc>
        <w:tc>
          <w:tcPr>
            <w:tcW w:w="1440" w:type="dxa"/>
            <w:hideMark/>
          </w:tcPr>
          <w:p w14:paraId="62625C40" w14:textId="77777777" w:rsidR="0026467A" w:rsidRPr="0083273D" w:rsidRDefault="0026467A" w:rsidP="000E5BDD">
            <w:pPr>
              <w:jc w:val="both"/>
              <w:rPr>
                <w:rFonts w:cstheme="minorHAnsi"/>
                <w:sz w:val="18"/>
                <w:szCs w:val="18"/>
              </w:rPr>
            </w:pPr>
            <w:r w:rsidRPr="0083273D">
              <w:rPr>
                <w:rFonts w:cstheme="minorHAnsi"/>
                <w:sz w:val="18"/>
                <w:szCs w:val="18"/>
              </w:rPr>
              <w:t>Post-cardiac surgery patients (elective/non-elective, incl. CABG)</w:t>
            </w:r>
          </w:p>
        </w:tc>
        <w:tc>
          <w:tcPr>
            <w:tcW w:w="1710" w:type="dxa"/>
            <w:hideMark/>
          </w:tcPr>
          <w:p w14:paraId="7279EA6C" w14:textId="77777777" w:rsidR="0026467A" w:rsidRPr="0083273D" w:rsidRDefault="0026467A" w:rsidP="000E5BDD">
            <w:pPr>
              <w:jc w:val="both"/>
              <w:rPr>
                <w:rFonts w:cstheme="minorHAnsi"/>
                <w:sz w:val="18"/>
                <w:szCs w:val="18"/>
              </w:rPr>
            </w:pPr>
            <w:r w:rsidRPr="0083273D">
              <w:rPr>
                <w:rFonts w:cstheme="minorHAnsi"/>
                <w:sz w:val="18"/>
                <w:szCs w:val="18"/>
              </w:rPr>
              <w:t>NEWS 2 from routine vital signs (RR, SpO2, systolic BP, pulse, consciousness, temp); threshold ≥5 for CCOT escalation</w:t>
            </w:r>
          </w:p>
        </w:tc>
        <w:tc>
          <w:tcPr>
            <w:tcW w:w="1080" w:type="dxa"/>
            <w:hideMark/>
          </w:tcPr>
          <w:p w14:paraId="4A233602" w14:textId="77777777" w:rsidR="0026467A" w:rsidRPr="0083273D" w:rsidRDefault="0026467A" w:rsidP="000E5BDD">
            <w:pPr>
              <w:jc w:val="both"/>
              <w:rPr>
                <w:rFonts w:cstheme="minorHAnsi"/>
                <w:sz w:val="18"/>
                <w:szCs w:val="18"/>
              </w:rPr>
            </w:pPr>
            <w:r w:rsidRPr="0083273D">
              <w:rPr>
                <w:rFonts w:cstheme="minorHAnsi"/>
                <w:sz w:val="18"/>
                <w:szCs w:val="18"/>
              </w:rPr>
              <w:t>3,710 patients (162 CCOT referrals)</w:t>
            </w:r>
          </w:p>
        </w:tc>
        <w:tc>
          <w:tcPr>
            <w:tcW w:w="1800" w:type="dxa"/>
            <w:hideMark/>
          </w:tcPr>
          <w:p w14:paraId="43DBBF78" w14:textId="77777777" w:rsidR="0026467A" w:rsidRPr="0083273D" w:rsidRDefault="0026467A" w:rsidP="000E5BDD">
            <w:pPr>
              <w:jc w:val="both"/>
              <w:rPr>
                <w:rFonts w:cstheme="minorHAnsi"/>
                <w:sz w:val="18"/>
                <w:szCs w:val="18"/>
              </w:rPr>
            </w:pPr>
            <w:r w:rsidRPr="0083273D">
              <w:rPr>
                <w:rFonts w:cstheme="minorHAnsi"/>
                <w:sz w:val="18"/>
                <w:szCs w:val="18"/>
              </w:rPr>
              <w:t xml:space="preserve">Escalation/transfers (HDU/ITU), mortality, sepsis, cardiac arrest, </w:t>
            </w:r>
            <w:proofErr w:type="spellStart"/>
            <w:r w:rsidRPr="0083273D">
              <w:rPr>
                <w:rFonts w:cstheme="minorHAnsi"/>
                <w:sz w:val="18"/>
                <w:szCs w:val="18"/>
              </w:rPr>
              <w:t>resternotomy</w:t>
            </w:r>
            <w:proofErr w:type="spellEnd"/>
          </w:p>
        </w:tc>
        <w:tc>
          <w:tcPr>
            <w:tcW w:w="2865" w:type="dxa"/>
            <w:hideMark/>
          </w:tcPr>
          <w:p w14:paraId="604D4924" w14:textId="77777777" w:rsidR="0026467A" w:rsidRPr="0083273D" w:rsidRDefault="0026467A" w:rsidP="000E5BDD">
            <w:pPr>
              <w:jc w:val="both"/>
              <w:rPr>
                <w:rFonts w:cstheme="minorHAnsi"/>
                <w:sz w:val="18"/>
                <w:szCs w:val="18"/>
              </w:rPr>
            </w:pPr>
            <w:r w:rsidRPr="0083273D">
              <w:rPr>
                <w:rFonts w:cstheme="minorHAnsi"/>
                <w:sz w:val="18"/>
                <w:szCs w:val="18"/>
              </w:rPr>
              <w:t>NEWS ≥5 associated with sepsis and escalations; linked to transfers/arrests but suboptimal for mortality prediction; often requires clinical judgement</w:t>
            </w:r>
          </w:p>
        </w:tc>
      </w:tr>
      <w:tr w:rsidR="0026467A" w:rsidRPr="0083273D" w14:paraId="40D0E90B" w14:textId="77777777" w:rsidTr="00356412">
        <w:tc>
          <w:tcPr>
            <w:tcW w:w="900" w:type="dxa"/>
            <w:hideMark/>
          </w:tcPr>
          <w:p w14:paraId="4A470CA5" w14:textId="77777777" w:rsidR="0026467A" w:rsidRPr="0083273D" w:rsidRDefault="0026467A" w:rsidP="000E5BDD">
            <w:pPr>
              <w:jc w:val="both"/>
              <w:rPr>
                <w:rFonts w:cstheme="minorHAnsi"/>
                <w:sz w:val="18"/>
                <w:szCs w:val="18"/>
              </w:rPr>
            </w:pPr>
            <w:proofErr w:type="spellStart"/>
            <w:r w:rsidRPr="0083273D">
              <w:rPr>
                <w:rFonts w:cstheme="minorHAnsi"/>
                <w:sz w:val="18"/>
                <w:szCs w:val="18"/>
              </w:rPr>
              <w:t>Huppmann</w:t>
            </w:r>
            <w:proofErr w:type="spellEnd"/>
            <w:r w:rsidRPr="0083273D">
              <w:rPr>
                <w:rFonts w:cstheme="minorHAnsi"/>
                <w:sz w:val="18"/>
                <w:szCs w:val="18"/>
              </w:rPr>
              <w:t xml:space="preserve"> (2023)</w:t>
            </w:r>
          </w:p>
        </w:tc>
        <w:tc>
          <w:tcPr>
            <w:tcW w:w="900" w:type="dxa"/>
            <w:hideMark/>
          </w:tcPr>
          <w:p w14:paraId="22BCEAFD" w14:textId="77777777" w:rsidR="0026467A" w:rsidRPr="0083273D" w:rsidRDefault="0026467A" w:rsidP="000E5BDD">
            <w:pPr>
              <w:jc w:val="both"/>
              <w:rPr>
                <w:rFonts w:cstheme="minorHAnsi"/>
                <w:sz w:val="18"/>
                <w:szCs w:val="18"/>
              </w:rPr>
            </w:pPr>
            <w:r w:rsidRPr="0083273D">
              <w:rPr>
                <w:rFonts w:cstheme="minorHAnsi"/>
                <w:sz w:val="18"/>
                <w:szCs w:val="18"/>
              </w:rPr>
              <w:t>Quality improvement (DNP project/audit)</w:t>
            </w:r>
          </w:p>
        </w:tc>
        <w:tc>
          <w:tcPr>
            <w:tcW w:w="1440" w:type="dxa"/>
            <w:hideMark/>
          </w:tcPr>
          <w:p w14:paraId="448FA59B" w14:textId="77777777" w:rsidR="0026467A" w:rsidRPr="0083273D" w:rsidRDefault="0026467A" w:rsidP="000E5BDD">
            <w:pPr>
              <w:jc w:val="both"/>
              <w:rPr>
                <w:rFonts w:cstheme="minorHAnsi"/>
                <w:sz w:val="18"/>
                <w:szCs w:val="18"/>
              </w:rPr>
            </w:pPr>
            <w:r w:rsidRPr="0083273D">
              <w:rPr>
                <w:rFonts w:cstheme="minorHAnsi"/>
                <w:sz w:val="18"/>
                <w:szCs w:val="18"/>
              </w:rPr>
              <w:t>Postoperative SICU patients (emergency/acute surgeries, shock states)</w:t>
            </w:r>
          </w:p>
        </w:tc>
        <w:tc>
          <w:tcPr>
            <w:tcW w:w="1710" w:type="dxa"/>
            <w:hideMark/>
          </w:tcPr>
          <w:p w14:paraId="55D0FFE7" w14:textId="77777777" w:rsidR="0026467A" w:rsidRPr="0083273D" w:rsidRDefault="0026467A" w:rsidP="000E5BDD">
            <w:pPr>
              <w:jc w:val="both"/>
              <w:rPr>
                <w:rFonts w:cstheme="minorHAnsi"/>
                <w:sz w:val="18"/>
                <w:szCs w:val="18"/>
              </w:rPr>
            </w:pPr>
            <w:r w:rsidRPr="0083273D">
              <w:rPr>
                <w:rFonts w:cstheme="minorHAnsi"/>
                <w:sz w:val="18"/>
                <w:szCs w:val="18"/>
              </w:rPr>
              <w:t xml:space="preserve">Nurse-driven protocol for </w:t>
            </w:r>
            <w:proofErr w:type="spellStart"/>
            <w:r w:rsidRPr="0083273D">
              <w:rPr>
                <w:rFonts w:cstheme="minorHAnsi"/>
                <w:sz w:val="18"/>
                <w:szCs w:val="18"/>
              </w:rPr>
              <w:t>FloTrac</w:t>
            </w:r>
            <w:proofErr w:type="spellEnd"/>
            <w:r w:rsidRPr="0083273D">
              <w:rPr>
                <w:rFonts w:cstheme="minorHAnsi"/>
                <w:sz w:val="18"/>
                <w:szCs w:val="18"/>
              </w:rPr>
              <w:t>™ hemodynamic monitoring device; goal-directed therapy algorithm</w:t>
            </w:r>
          </w:p>
        </w:tc>
        <w:tc>
          <w:tcPr>
            <w:tcW w:w="1080" w:type="dxa"/>
            <w:hideMark/>
          </w:tcPr>
          <w:p w14:paraId="4DF61D87" w14:textId="77777777" w:rsidR="0026467A" w:rsidRPr="0083273D" w:rsidRDefault="0026467A" w:rsidP="000E5BDD">
            <w:pPr>
              <w:jc w:val="both"/>
              <w:rPr>
                <w:rFonts w:cstheme="minorHAnsi"/>
                <w:sz w:val="18"/>
                <w:szCs w:val="18"/>
              </w:rPr>
            </w:pPr>
            <w:r w:rsidRPr="0083273D">
              <w:rPr>
                <w:rFonts w:cstheme="minorHAnsi"/>
                <w:sz w:val="18"/>
                <w:szCs w:val="18"/>
              </w:rPr>
              <w:t>268 audited cases; 25 qualifying</w:t>
            </w:r>
          </w:p>
        </w:tc>
        <w:tc>
          <w:tcPr>
            <w:tcW w:w="1800" w:type="dxa"/>
            <w:hideMark/>
          </w:tcPr>
          <w:p w14:paraId="75D7B15C" w14:textId="77777777" w:rsidR="0026467A" w:rsidRPr="0083273D" w:rsidRDefault="0026467A" w:rsidP="000E5BDD">
            <w:pPr>
              <w:jc w:val="both"/>
              <w:rPr>
                <w:rFonts w:cstheme="minorHAnsi"/>
                <w:sz w:val="18"/>
                <w:szCs w:val="18"/>
              </w:rPr>
            </w:pPr>
            <w:r w:rsidRPr="0083273D">
              <w:rPr>
                <w:rFonts w:cstheme="minorHAnsi"/>
                <w:sz w:val="18"/>
                <w:szCs w:val="18"/>
              </w:rPr>
              <w:t>Monitoring application rates, shock recognition, complications, LOS, ventilator days</w:t>
            </w:r>
          </w:p>
        </w:tc>
        <w:tc>
          <w:tcPr>
            <w:tcW w:w="2865" w:type="dxa"/>
            <w:hideMark/>
          </w:tcPr>
          <w:p w14:paraId="6EBC1725" w14:textId="77777777" w:rsidR="0026467A" w:rsidRPr="0083273D" w:rsidRDefault="0026467A" w:rsidP="000E5BDD">
            <w:pPr>
              <w:jc w:val="both"/>
              <w:rPr>
                <w:rFonts w:cstheme="minorHAnsi"/>
                <w:sz w:val="18"/>
                <w:szCs w:val="18"/>
              </w:rPr>
            </w:pPr>
            <w:r w:rsidRPr="0083273D">
              <w:rPr>
                <w:rFonts w:cstheme="minorHAnsi"/>
                <w:sz w:val="18"/>
                <w:szCs w:val="18"/>
              </w:rPr>
              <w:t>Increased use (0% to 60%); improved recognition; safe/feasible; potential reductions in morbidities, ICU/hospital stay</w:t>
            </w:r>
          </w:p>
        </w:tc>
      </w:tr>
    </w:tbl>
    <w:p w14:paraId="29502783" w14:textId="77777777" w:rsidR="00107C7F" w:rsidRPr="0083273D" w:rsidRDefault="00107C7F" w:rsidP="000E5BDD">
      <w:pPr>
        <w:jc w:val="both"/>
      </w:pPr>
    </w:p>
    <w:p w14:paraId="1057E525" w14:textId="77777777" w:rsidR="007B1C97" w:rsidRPr="0083273D" w:rsidRDefault="007B1C97" w:rsidP="000E5BDD">
      <w:pPr>
        <w:jc w:val="both"/>
      </w:pPr>
    </w:p>
    <w:p w14:paraId="3BA5D24B" w14:textId="3509757A" w:rsidR="0026467A" w:rsidRPr="0083273D" w:rsidRDefault="00F57777" w:rsidP="000E5BDD">
      <w:pPr>
        <w:jc w:val="both"/>
        <w:rPr>
          <w:b/>
          <w:bCs/>
        </w:rPr>
      </w:pPr>
      <w:r>
        <w:rPr>
          <w:b/>
          <w:bCs/>
        </w:rPr>
        <w:t xml:space="preserve">4. </w:t>
      </w:r>
      <w:r w:rsidR="0026467A" w:rsidRPr="0083273D">
        <w:rPr>
          <w:b/>
          <w:bCs/>
        </w:rPr>
        <w:t>Discussion</w:t>
      </w:r>
    </w:p>
    <w:p w14:paraId="73A78F7C" w14:textId="06BFE525" w:rsidR="0026467A" w:rsidRPr="0083273D" w:rsidRDefault="0026467A" w:rsidP="000E5BDD">
      <w:pPr>
        <w:jc w:val="both"/>
      </w:pPr>
      <w:r w:rsidRPr="0083273D">
        <w:t>This systematic review collates data from ten studies regarding the early nursing evaluation and interventions for hemodynamic instability post major surgery, particularly with respect to the cardiac and thoracic surgeries. The results indicate moderate support towards the review's aims: early nursing strategies such as Early Warning Score (NEWS/MEWS/EWS) and Clinical Judgement and Protocol Driven Action have been shown to improve the detection of hemodynamic instabilities and the timeliness with which nursing staff escalate treatments and therefore, are potentially associated with improving hemodynamic outcomes, reducing LOS, improving nursing staff's resource consumption, and reducing the complication rates of post operative patients.</w:t>
      </w:r>
    </w:p>
    <w:p w14:paraId="74EC1360" w14:textId="1EFBD1F4" w:rsidR="00E6329B" w:rsidRPr="0083273D" w:rsidRDefault="00E6329B" w:rsidP="00E6329B">
      <w:pPr>
        <w:jc w:val="both"/>
      </w:pPr>
      <w:r w:rsidRPr="0083273D">
        <w:t>The studies show that regular and systematic analysis—such as repeated measurements of non-invasive vital signs in the PACU, aggregation of the NEWS on the wards, and monitoring of the trends—allows for the detection of instability indicators (e.g. tachycardia, hypotension, desaturation, abnormal drains) prior to clinical deterioration. Changes involving titration of fluids/vasopressors according to stroke volume variation, ambulation assists with stability checks, maintenance of normothermia, and escalation pathways (e.g. activating the rapid response team) improved stability measurements (e.g. MAP, SBP, DBP, and CRT) and resulted in shorter lengths of stay (LOS), and increased shock recognition, and fewer complications. Qualitative accounts further show how the integration of objective data and subjective cues can help drive anticipatory measures in complex scenarios, such as bleeding or response-dependent vasoactive situations. These factors support the premise of early, nurse-integrated actions reducing the number of ICU/HDU transfers, and the risks of cardiac arrests, organ failure, 30-day mortality and length of stay in hospitals in comparison to approaches that are less structured.</w:t>
      </w:r>
    </w:p>
    <w:p w14:paraId="1FB0517F" w14:textId="46762D61" w:rsidR="00E6329B" w:rsidRPr="0083273D" w:rsidRDefault="00C67620" w:rsidP="00E6329B">
      <w:pPr>
        <w:jc w:val="both"/>
      </w:pPr>
      <w:r w:rsidRPr="00C67620">
        <w:t>The observed benefits may be explained by underlying pathophysiological mechanisms</w:t>
      </w:r>
      <w:r>
        <w:t xml:space="preserve"> </w:t>
      </w:r>
      <w:r w:rsidR="00E6329B" w:rsidRPr="0083273D">
        <w:t xml:space="preserve">for postoperative </w:t>
      </w:r>
      <w:r w:rsidR="0083273D">
        <w:t>Hemodynamic</w:t>
      </w:r>
      <w:r w:rsidR="00E6329B" w:rsidRPr="0083273D">
        <w:t xml:space="preserve"> instability caused by hypovolemia, peripheral vasodilation, myocardial impairment, bleeding and residual </w:t>
      </w:r>
      <w:r w:rsidR="00356412" w:rsidRPr="0083273D">
        <w:t>anesthetic</w:t>
      </w:r>
      <w:r w:rsidR="00E6329B" w:rsidRPr="0083273D">
        <w:t xml:space="preserve">, resulting in insufficient perfusion of tissues which in the absence of intervention can lead to shock and multiple organ dysfunction. Evaluations based on frequency and trends, for instance, increased heart rate, the drop in peripheral oxygen saturation, and increased drain </w:t>
      </w:r>
      <w:r w:rsidR="00E6329B" w:rsidRPr="0083273D">
        <w:lastRenderedPageBreak/>
        <w:t>output, are able to capture changes quickly (in real-time, or near real-time), in such a manner that they are able to enable the correction of pre-loads, after-loads, or myocardial contractility prior to the decompensation of the system. Interventions based on a goal aimed at a specific target are meant to address quantitatively and qualitatively the perfusion of the tissues and the deliverance of oxygen to them by adjusting the stroke volume (SV) and mean arterial pressure (MAP), thus stopping the chain processes that lead to hypovolemic or distributive shock. Active monitoring combined with alerts is much better than at rest intervals during examinations, and the prevention of instability from hypothermia and secondary instability from immobility by means of the maintenance of normothermia during immobility is of importance. Alert fatigue, burden from alerts, and threshold-based interventions can decrease their positive effect, but the combination of these approaches with clinical judgment strikes a balance between the positive and negative effects, which is the explanation for the positive impacts in the studies.</w:t>
      </w:r>
    </w:p>
    <w:p w14:paraId="4A334649" w14:textId="77777777" w:rsidR="00E6329B" w:rsidRPr="0083273D" w:rsidRDefault="00E6329B" w:rsidP="00E6329B">
      <w:pPr>
        <w:jc w:val="both"/>
      </w:pPr>
    </w:p>
    <w:p w14:paraId="500A25D8" w14:textId="542A4330" w:rsidR="00E6329B" w:rsidRPr="0083273D" w:rsidRDefault="00E6329B" w:rsidP="00E6329B">
      <w:pPr>
        <w:jc w:val="both"/>
        <w:rPr>
          <w:b/>
          <w:bCs/>
        </w:rPr>
      </w:pPr>
      <w:r w:rsidRPr="0083273D">
        <w:rPr>
          <w:b/>
          <w:bCs/>
        </w:rPr>
        <w:t>Practical Implications</w:t>
      </w:r>
    </w:p>
    <w:p w14:paraId="305ABEF7" w14:textId="3B2B49CF" w:rsidR="00E6329B" w:rsidRPr="0083273D" w:rsidRDefault="00E6329B" w:rsidP="00E6329B">
      <w:pPr>
        <w:jc w:val="both"/>
      </w:pPr>
      <w:r w:rsidRPr="0083273D">
        <w:t xml:space="preserve">There must be an emphasis on improved integrated evaluation systems that include NEWS 2 with specific postoperative thresholds and include continuous evaluation in postoperative monitoring in the PACU, ICU, and surgical units. There is also a need to include embedded algorithms in standard operational processes for fluid titration based on stroke volume variation (SVV), and for early mobility (with stability monitoring) as well as for management of chest tubes/bleeding. Trend interpretation and alarm fatigue, as well as threshold for escalation and </w:t>
      </w:r>
      <w:r w:rsidR="00356412" w:rsidRPr="0083273D">
        <w:t>high-risk</w:t>
      </w:r>
      <w:r w:rsidRPr="0083273D">
        <w:t xml:space="preserve"> scenario simulations should be the focus of education. Adequate staffing, reduced alarms through smart alarm filtering, and multidisciplinary team (e.g. Rapid response collaborative nurse-physician) work are also essential to carry out these or most of these recommendations. Aligned with early intervention and resource utilization, recommendations include risk management initiatives, and avenues for integration of earlier detection drives into the institutional postoperative guidelines, as well as the quality improvement processes of the controlling body of the institution.</w:t>
      </w:r>
    </w:p>
    <w:p w14:paraId="245CC7FF" w14:textId="77777777" w:rsidR="00E6329B" w:rsidRPr="0083273D" w:rsidRDefault="00E6329B" w:rsidP="00E6329B">
      <w:pPr>
        <w:jc w:val="both"/>
      </w:pPr>
    </w:p>
    <w:p w14:paraId="157BCCBF" w14:textId="515F45D9" w:rsidR="00E6329B" w:rsidRPr="0083273D" w:rsidRDefault="00E6329B" w:rsidP="00E6329B">
      <w:pPr>
        <w:jc w:val="both"/>
        <w:rPr>
          <w:b/>
          <w:bCs/>
        </w:rPr>
      </w:pPr>
      <w:r w:rsidRPr="0083273D">
        <w:rPr>
          <w:b/>
          <w:bCs/>
        </w:rPr>
        <w:t xml:space="preserve">Patient and Healthcare Impacts </w:t>
      </w:r>
    </w:p>
    <w:p w14:paraId="13C43F1B" w14:textId="5244A9B7" w:rsidR="00E6329B" w:rsidRPr="0083273D" w:rsidRDefault="00E6329B" w:rsidP="00E6329B">
      <w:pPr>
        <w:jc w:val="both"/>
      </w:pPr>
      <w:r w:rsidRPr="0083273D">
        <w:t>Patients can benefit from approaches that prevent exacerbating their condition, allowing for shorter hospital or ICU stays and a higher likelihood of a better recovery. This is especially important for high-risk patients, such as elderly patients or patients with multiple comorbidities who undergo cardiac surgery, as the likelihood of developing complications such as acute kidney injuries, sepsis, and prolonged ventilation is decreased. Healthcare systems also stand to benefit because the associated costs are reduced, such as those due to fewer patient transfers and escalations to higher levels of care, and shorter lengths of stay. Additionally, their systems can be made to comply with global safety standards by addressing problems related to the failure to rescue and value-based care. Suggested actions include rolling out customized Early Warning System (EWS) thresholds in cardiac and major surgical wards and establishing continuous and wireless patient monitoring systems. Furthermore, regular audits should be established to track patient outcomes, such as the frequency of patient escalations, patient deaths, and the length of patient hospital stays. Finally, in settings with few available resources, low-cost and high-impact nursing education should be prioritized.</w:t>
      </w:r>
    </w:p>
    <w:p w14:paraId="56D1A8A9" w14:textId="37119B44" w:rsidR="00E6329B" w:rsidRPr="0083273D" w:rsidRDefault="00E6329B" w:rsidP="00E6329B">
      <w:pPr>
        <w:jc w:val="both"/>
        <w:rPr>
          <w:b/>
          <w:bCs/>
        </w:rPr>
      </w:pPr>
      <w:r w:rsidRPr="0083273D">
        <w:rPr>
          <w:b/>
          <w:bCs/>
        </w:rPr>
        <w:lastRenderedPageBreak/>
        <w:t>Strengths and Limitations of the study</w:t>
      </w:r>
    </w:p>
    <w:p w14:paraId="444052AE" w14:textId="12E8C330" w:rsidR="00E6329B" w:rsidRPr="0083273D" w:rsidRDefault="00E6329B" w:rsidP="00E6329B">
      <w:pPr>
        <w:jc w:val="both"/>
      </w:pPr>
      <w:r w:rsidRPr="0083273D">
        <w:t xml:space="preserve">The Strengths include the tailored PICOS framework, the methodical dual screening and extraction, and the inclusion of varying study designs (qualitative, observational, quality improvement) from which to gather the most inclusive insight on bedside actions and their effects. The focus on direct contributions of nursing is a noteworthy and important inclusion considering the gap in the literature. Limitations include the wide range of conflicting definitions on </w:t>
      </w:r>
      <w:r w:rsidR="0083273D">
        <w:t>Hemodynamic</w:t>
      </w:r>
      <w:r w:rsidRPr="0083273D">
        <w:t xml:space="preserve"> instability, ‘major surgery’, and the various outcome metrics, which, in absence of a meta-analysis, limits direct comparisons. Given the majority of studies are observational, single-center, and small-sized, the studies are more susceptible to bias (e.g. confounding, selection, and lack of blinding). Less than half of the studies considered populations undergoing non-cardiac major surgery or evaluated long-term outcomes, and the likelihood of publication bias is present. The dominance of studies set in cardiac/thoracic surgery and the deficient representation of diverse global contexts may impact the extent to which findings can be generalized.</w:t>
      </w:r>
    </w:p>
    <w:p w14:paraId="15A0459D" w14:textId="34AFAB20" w:rsidR="00E6329B" w:rsidRPr="0083273D" w:rsidRDefault="00E6329B" w:rsidP="00E6329B">
      <w:pPr>
        <w:jc w:val="both"/>
        <w:rPr>
          <w:b/>
          <w:bCs/>
        </w:rPr>
      </w:pPr>
      <w:r w:rsidRPr="0083273D">
        <w:rPr>
          <w:b/>
          <w:bCs/>
        </w:rPr>
        <w:t>Future perspectives</w:t>
      </w:r>
    </w:p>
    <w:p w14:paraId="2036E311" w14:textId="13AB318A" w:rsidR="00E6329B" w:rsidRPr="0083273D" w:rsidRDefault="00E6329B" w:rsidP="00E6329B">
      <w:pPr>
        <w:jc w:val="both"/>
      </w:pPr>
      <w:r w:rsidRPr="0083273D">
        <w:t xml:space="preserve">Relative to assessment protocols and goal directed intervention protocols, future research should focus on random control trials (RCTs) across a wider range of surgical types (including: abdominal, </w:t>
      </w:r>
      <w:proofErr w:type="spellStart"/>
      <w:r w:rsidRPr="0083273D">
        <w:t>orthopaedic</w:t>
      </w:r>
      <w:proofErr w:type="spellEnd"/>
      <w:r w:rsidRPr="0083273D">
        <w:t xml:space="preserve"> and vascular) and in a greater range of surgical settings (including middle- and low-income countries). These studies should focus on standardized criteria for assessment of injury, and on longer-term assessment of (post-operative) mortality, recovery, function and (post-operative) quality of life to determine deficits in assessments post-surgery. Other key areas for future research include alarm optimization (and other machine learning algorithms), as well as research into cost vs benefit of these approaches, and barriers to implementation of these approaches (using a combination of qualitative and quantitative research approaches). Long-term study designs should be employed to assess rare, and severe, outcomes including, but not limited to, cardiac arrest, and, the failure of one or more organ systems.</w:t>
      </w:r>
    </w:p>
    <w:p w14:paraId="74B1D465" w14:textId="77777777" w:rsidR="00E6329B" w:rsidRPr="0083273D" w:rsidRDefault="00E6329B" w:rsidP="00E6329B">
      <w:pPr>
        <w:jc w:val="both"/>
      </w:pPr>
      <w:r w:rsidRPr="0083273D">
        <w:t>In conclusion, there is evidence supporting the need to evaluate and intervene, in a post-operative flow/pressure framework, early and quickly. This and actions taken on the front lines of the post-surgery units are the key to stopping the escalation of poor outcomes and improving the outcomes themselves. Standardized post-surgical care is a key to improving patient safety and, as outlined above, research needs to be done to ensure these approaches are optimal to post-surgical care.</w:t>
      </w:r>
    </w:p>
    <w:p w14:paraId="2332E565" w14:textId="77777777" w:rsidR="0026467A" w:rsidRPr="0083273D" w:rsidRDefault="0026467A" w:rsidP="000E5BDD">
      <w:pPr>
        <w:jc w:val="both"/>
        <w:rPr>
          <w:b/>
          <w:bCs/>
        </w:rPr>
      </w:pPr>
    </w:p>
    <w:p w14:paraId="729709DD" w14:textId="77777777" w:rsidR="0026467A" w:rsidRPr="0083273D" w:rsidRDefault="0026467A" w:rsidP="000E5BDD">
      <w:pPr>
        <w:jc w:val="both"/>
        <w:rPr>
          <w:b/>
          <w:bCs/>
        </w:rPr>
      </w:pPr>
      <w:r w:rsidRPr="0083273D">
        <w:rPr>
          <w:b/>
          <w:bCs/>
        </w:rPr>
        <w:t>Conclusion</w:t>
      </w:r>
    </w:p>
    <w:p w14:paraId="276249A4" w14:textId="18B6C489" w:rsidR="0026467A" w:rsidRPr="0083273D" w:rsidRDefault="0026467A" w:rsidP="000E5BDD">
      <w:pPr>
        <w:jc w:val="both"/>
      </w:pPr>
      <w:r w:rsidRPr="0083273D">
        <w:t xml:space="preserve">There is moderate evidence that early nursing assessment and intervention of patients with major surgery and post-operative </w:t>
      </w:r>
      <w:r w:rsidR="0083273D">
        <w:t>Hemodynamic</w:t>
      </w:r>
      <w:r w:rsidRPr="0083273D">
        <w:t xml:space="preserve"> instability is of significant h</w:t>
      </w:r>
      <w:r w:rsidR="00356412">
        <w:t>ealth</w:t>
      </w:r>
      <w:r w:rsidRPr="0083273D">
        <w:t xml:space="preserve"> benefit. The combination of clinical judgement and nursing protocols, including the provision of early mobility and application of a </w:t>
      </w:r>
      <w:r w:rsidR="0083273D">
        <w:t>Hemodynamic</w:t>
      </w:r>
      <w:r w:rsidRPr="0083273D">
        <w:t xml:space="preserve"> device, use of structured assessment tools, including EWS and NEWS, as well as continuous monitoring, and other measures improve the timely identification of patients and the early escalation of care, and reduce a number of adverse outcomes (e.g., ICU transfers, complications, length of stay) and morbidity of patients without compromising safety. This research demonstrates the further need to empower nurses at the front line of care to manage the health of patients in imminent danger of developing shock and organ failures. To ensure optimum safety of patients and the effective use of limited </w:t>
      </w:r>
      <w:r w:rsidRPr="0083273D">
        <w:lastRenderedPageBreak/>
        <w:t>health care resources, healthcare providers need to adopt and implement their nurse protocols and remove barriers to alarm fatigue. There is a need for further research, particularly well-structured RCTs in diverse branches of surgery, to improve the evidence base and guide the wider use of the protocols.</w:t>
      </w:r>
    </w:p>
    <w:p w14:paraId="67B7757F" w14:textId="77777777" w:rsidR="00107C7F" w:rsidRPr="0083273D" w:rsidRDefault="00107C7F" w:rsidP="000E5BDD">
      <w:pPr>
        <w:jc w:val="both"/>
      </w:pPr>
    </w:p>
    <w:p w14:paraId="1045F3C0" w14:textId="77777777" w:rsidR="00B65B8F" w:rsidRPr="00005ED1" w:rsidRDefault="00B65B8F" w:rsidP="00B65B8F">
      <w:pPr>
        <w:pStyle w:val="NoSpacing"/>
        <w:rPr>
          <w:rFonts w:ascii="Arial" w:hAnsi="Arial" w:cs="Arial"/>
          <w:highlight w:val="yellow"/>
        </w:rPr>
      </w:pPr>
      <w:bookmarkStart w:id="2" w:name="_Hlk218868534"/>
      <w:r w:rsidRPr="00005ED1">
        <w:rPr>
          <w:rFonts w:ascii="Arial" w:hAnsi="Arial" w:cs="Arial"/>
          <w:highlight w:val="yellow"/>
        </w:rPr>
        <w:t>Disclaimer (Artificial intelligence)</w:t>
      </w:r>
    </w:p>
    <w:p w14:paraId="66A4B85B" w14:textId="77777777" w:rsidR="00B65B8F" w:rsidRPr="00005ED1" w:rsidRDefault="00B65B8F" w:rsidP="00B65B8F">
      <w:pPr>
        <w:pStyle w:val="NoSpacing"/>
        <w:rPr>
          <w:rFonts w:ascii="Arial" w:hAnsi="Arial" w:cs="Arial"/>
          <w:highlight w:val="yellow"/>
        </w:rPr>
      </w:pPr>
    </w:p>
    <w:p w14:paraId="58417052" w14:textId="77777777" w:rsidR="00B65B8F" w:rsidRDefault="00B65B8F" w:rsidP="00B65B8F">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64FFD61C" w14:textId="77777777" w:rsidR="00B65B8F" w:rsidRDefault="00B65B8F" w:rsidP="00556678">
      <w:pPr>
        <w:jc w:val="both"/>
        <w:rPr>
          <w:b/>
          <w:bCs/>
        </w:rPr>
      </w:pPr>
    </w:p>
    <w:p w14:paraId="54617308" w14:textId="77777777" w:rsidR="00B65B8F" w:rsidRDefault="00B65B8F" w:rsidP="00556678">
      <w:pPr>
        <w:jc w:val="both"/>
        <w:rPr>
          <w:b/>
          <w:bCs/>
        </w:rPr>
      </w:pPr>
    </w:p>
    <w:p w14:paraId="71B1A95F" w14:textId="45C5E7FB" w:rsidR="00556678" w:rsidRPr="0083273D" w:rsidRDefault="00556678" w:rsidP="00556678">
      <w:pPr>
        <w:jc w:val="both"/>
        <w:rPr>
          <w:b/>
          <w:bCs/>
        </w:rPr>
      </w:pPr>
      <w:r w:rsidRPr="0083273D">
        <w:rPr>
          <w:b/>
          <w:bCs/>
        </w:rPr>
        <w:t>References</w:t>
      </w:r>
    </w:p>
    <w:p w14:paraId="47BB99EC" w14:textId="77777777" w:rsidR="00556678" w:rsidRPr="0083273D" w:rsidRDefault="00556678" w:rsidP="00556678">
      <w:pPr>
        <w:ind w:left="360" w:hanging="360"/>
        <w:jc w:val="both"/>
      </w:pPr>
      <w:r w:rsidRPr="0083273D">
        <w:t xml:space="preserve">Abebe, M. M., </w:t>
      </w:r>
      <w:proofErr w:type="spellStart"/>
      <w:r w:rsidRPr="0083273D">
        <w:t>Arefayne</w:t>
      </w:r>
      <w:proofErr w:type="spellEnd"/>
      <w:r w:rsidRPr="0083273D">
        <w:t>, N. R., Temesgen, M. M., &amp; Admass, B. A. (2022). Incidence and predictive factors associated with hemodynamic instability among adult surgical patients in the post-anesthesia care unit, 2021: A prospective follow up study. </w:t>
      </w:r>
      <w:r w:rsidRPr="0083273D">
        <w:rPr>
          <w:i/>
          <w:iCs/>
        </w:rPr>
        <w:t>Annals of medicine and surgery (2012)</w:t>
      </w:r>
      <w:r w:rsidRPr="0083273D">
        <w:t>, </w:t>
      </w:r>
      <w:r w:rsidRPr="0083273D">
        <w:rPr>
          <w:i/>
          <w:iCs/>
        </w:rPr>
        <w:t>74</w:t>
      </w:r>
      <w:r w:rsidRPr="0083273D">
        <w:t>, 103321. https://doi.org/10.1016/j.amsu.2022.103321</w:t>
      </w:r>
    </w:p>
    <w:p w14:paraId="1C7B7BCD" w14:textId="77777777" w:rsidR="00556678" w:rsidRPr="0083273D" w:rsidRDefault="00556678" w:rsidP="00556678">
      <w:pPr>
        <w:ind w:left="360" w:hanging="360"/>
        <w:jc w:val="both"/>
      </w:pPr>
      <w:r w:rsidRPr="0083273D">
        <w:t xml:space="preserve">Ahmed, H. H. (2019). The Effect of early ambulation on hemodynamic and perfusion indices </w:t>
      </w:r>
      <w:proofErr w:type="gramStart"/>
      <w:r w:rsidRPr="0083273D">
        <w:t>post</w:t>
      </w:r>
      <w:proofErr w:type="gramEnd"/>
      <w:r w:rsidRPr="0083273D">
        <w:t xml:space="preserve"> cardiac surgery. </w:t>
      </w:r>
      <w:r w:rsidRPr="0083273D">
        <w:rPr>
          <w:i/>
          <w:iCs/>
        </w:rPr>
        <w:t>American Journal of Nursing</w:t>
      </w:r>
      <w:r w:rsidRPr="0083273D">
        <w:t>, </w:t>
      </w:r>
      <w:r w:rsidRPr="0083273D">
        <w:rPr>
          <w:i/>
          <w:iCs/>
        </w:rPr>
        <w:t>7</w:t>
      </w:r>
      <w:r w:rsidRPr="0083273D">
        <w:t>(4), 490-498. DOI:10.12691/ajnr-7-4-11</w:t>
      </w:r>
    </w:p>
    <w:p w14:paraId="484930FB" w14:textId="77777777" w:rsidR="00556678" w:rsidRPr="0083273D" w:rsidRDefault="00556678" w:rsidP="00556678">
      <w:pPr>
        <w:ind w:left="360" w:hanging="360"/>
        <w:jc w:val="both"/>
      </w:pPr>
      <w:r w:rsidRPr="0083273D">
        <w:t>Al-Hilli, Z., &amp; Wilkerson, A. (2021). Breast Surgery: Management of Postoperative Complications Following Operations for Breast Cancer. </w:t>
      </w:r>
      <w:r w:rsidRPr="0083273D">
        <w:rPr>
          <w:i/>
          <w:iCs/>
        </w:rPr>
        <w:t>The Surgical clinics of North America</w:t>
      </w:r>
      <w:r w:rsidRPr="0083273D">
        <w:t>, </w:t>
      </w:r>
      <w:r w:rsidRPr="0083273D">
        <w:rPr>
          <w:i/>
          <w:iCs/>
        </w:rPr>
        <w:t>101</w:t>
      </w:r>
      <w:r w:rsidRPr="0083273D">
        <w:t xml:space="preserve">(5), 845–863. </w:t>
      </w:r>
      <w:hyperlink r:id="rId8" w:history="1">
        <w:r w:rsidRPr="0083273D">
          <w:rPr>
            <w:rStyle w:val="Hyperlink"/>
          </w:rPr>
          <w:t>https://doi.org/10.1016/j.suc.2021.06.014</w:t>
        </w:r>
      </w:hyperlink>
    </w:p>
    <w:p w14:paraId="3AE8DEEE" w14:textId="77777777" w:rsidR="00556678" w:rsidRPr="0083273D" w:rsidRDefault="00556678" w:rsidP="00556678">
      <w:pPr>
        <w:ind w:left="360" w:hanging="360"/>
        <w:jc w:val="both"/>
      </w:pPr>
      <w:r w:rsidRPr="0083273D">
        <w:t xml:space="preserve">AlSaeed, S., </w:t>
      </w:r>
      <w:proofErr w:type="spellStart"/>
      <w:r w:rsidRPr="0083273D">
        <w:t>AlJohi</w:t>
      </w:r>
      <w:proofErr w:type="spellEnd"/>
      <w:r w:rsidRPr="0083273D">
        <w:t xml:space="preserve">, A. A., </w:t>
      </w:r>
      <w:proofErr w:type="spellStart"/>
      <w:r w:rsidRPr="0083273D">
        <w:t>Alohali</w:t>
      </w:r>
      <w:proofErr w:type="spellEnd"/>
      <w:r w:rsidRPr="0083273D">
        <w:t xml:space="preserve">, A., </w:t>
      </w:r>
      <w:proofErr w:type="spellStart"/>
      <w:r w:rsidRPr="0083273D">
        <w:t>Almojel</w:t>
      </w:r>
      <w:proofErr w:type="spellEnd"/>
      <w:r w:rsidRPr="0083273D">
        <w:t xml:space="preserve">, A. A., </w:t>
      </w:r>
      <w:proofErr w:type="spellStart"/>
      <w:r w:rsidRPr="0083273D">
        <w:t>Bagazi</w:t>
      </w:r>
      <w:proofErr w:type="spellEnd"/>
      <w:r w:rsidRPr="0083273D">
        <w:t>, A. A., &amp; Solis, R. M. (2025). Early Mobility for Post-Cardiac Surgery Patients on Vasoactive Medication: A Nurse-Led Quality Improvement Project. </w:t>
      </w:r>
      <w:r w:rsidRPr="0083273D">
        <w:rPr>
          <w:i/>
          <w:iCs/>
        </w:rPr>
        <w:t>Nursing in critical care</w:t>
      </w:r>
      <w:r w:rsidRPr="0083273D">
        <w:t>, </w:t>
      </w:r>
      <w:r w:rsidRPr="0083273D">
        <w:rPr>
          <w:i/>
          <w:iCs/>
        </w:rPr>
        <w:t>30</w:t>
      </w:r>
      <w:r w:rsidRPr="0083273D">
        <w:t>(5), e70133. https://doi.org/10.1111/nicc.70133</w:t>
      </w:r>
    </w:p>
    <w:p w14:paraId="12BD30D2" w14:textId="77777777" w:rsidR="00556678" w:rsidRPr="0083273D" w:rsidRDefault="00556678" w:rsidP="00556678">
      <w:pPr>
        <w:ind w:left="360" w:hanging="360"/>
        <w:jc w:val="both"/>
      </w:pPr>
      <w:r w:rsidRPr="0083273D">
        <w:t>Amir-</w:t>
      </w:r>
      <w:proofErr w:type="spellStart"/>
      <w:r w:rsidRPr="0083273D">
        <w:t>Behghadami</w:t>
      </w:r>
      <w:proofErr w:type="spellEnd"/>
      <w:r w:rsidRPr="0083273D">
        <w:t xml:space="preserve">, M., &amp; </w:t>
      </w:r>
      <w:proofErr w:type="spellStart"/>
      <w:r w:rsidRPr="0083273D">
        <w:t>Janati</w:t>
      </w:r>
      <w:proofErr w:type="spellEnd"/>
      <w:r w:rsidRPr="0083273D">
        <w:t>, A. (2020). Population, Intervention, Comparison, Outcomes and Study (PICOS) design as a framework to formulate eligibility criteria in systematic reviews. </w:t>
      </w:r>
      <w:r w:rsidRPr="0083273D">
        <w:rPr>
          <w:i/>
          <w:iCs/>
        </w:rPr>
        <w:t xml:space="preserve">Emergency medicine </w:t>
      </w:r>
      <w:proofErr w:type="gramStart"/>
      <w:r w:rsidRPr="0083273D">
        <w:rPr>
          <w:i/>
          <w:iCs/>
        </w:rPr>
        <w:t>journal :</w:t>
      </w:r>
      <w:proofErr w:type="gramEnd"/>
      <w:r w:rsidRPr="0083273D">
        <w:rPr>
          <w:i/>
          <w:iCs/>
        </w:rPr>
        <w:t xml:space="preserve"> EMJ</w:t>
      </w:r>
      <w:r w:rsidRPr="0083273D">
        <w:t>, </w:t>
      </w:r>
      <w:r w:rsidRPr="0083273D">
        <w:rPr>
          <w:i/>
          <w:iCs/>
        </w:rPr>
        <w:t>37</w:t>
      </w:r>
      <w:r w:rsidRPr="0083273D">
        <w:t>(6), 387. https://doi.org/10.1136/emermed-2020-209567</w:t>
      </w:r>
    </w:p>
    <w:p w14:paraId="7F06B264" w14:textId="77777777" w:rsidR="00556678" w:rsidRPr="0083273D" w:rsidRDefault="00556678" w:rsidP="00556678">
      <w:pPr>
        <w:ind w:left="360" w:hanging="360"/>
        <w:jc w:val="both"/>
      </w:pPr>
      <w:r w:rsidRPr="0083273D">
        <w:t>Bleakley, G., &amp; Cole, M. (2020). Recognition and management of sepsis: the nurse's role. </w:t>
      </w:r>
      <w:r w:rsidRPr="0083273D">
        <w:rPr>
          <w:i/>
          <w:iCs/>
        </w:rPr>
        <w:t>British journal of nursing (Mark Allen Publishing)</w:t>
      </w:r>
      <w:r w:rsidRPr="0083273D">
        <w:t>, </w:t>
      </w:r>
      <w:r w:rsidRPr="0083273D">
        <w:rPr>
          <w:i/>
          <w:iCs/>
        </w:rPr>
        <w:t>29</w:t>
      </w:r>
      <w:r w:rsidRPr="0083273D">
        <w:t xml:space="preserve">(21), 1248–1251. </w:t>
      </w:r>
      <w:hyperlink r:id="rId9" w:history="1">
        <w:r w:rsidRPr="0083273D">
          <w:rPr>
            <w:rStyle w:val="Hyperlink"/>
          </w:rPr>
          <w:t>https://doi.org/10.12968/bjon.2020.29.21.1248</w:t>
        </w:r>
      </w:hyperlink>
    </w:p>
    <w:p w14:paraId="3EF698D2" w14:textId="77777777" w:rsidR="00556678" w:rsidRPr="0083273D" w:rsidRDefault="00556678" w:rsidP="00556678">
      <w:pPr>
        <w:ind w:left="360" w:hanging="360"/>
        <w:jc w:val="both"/>
      </w:pPr>
      <w:r w:rsidRPr="0083273D">
        <w:t>Boyle, M., &amp; Murphy-Tighe, S. (2022). An integrative review of community nurse-led interventions to identify and respond to domestic abuse in the postnatal period. </w:t>
      </w:r>
      <w:r w:rsidRPr="0083273D">
        <w:rPr>
          <w:i/>
          <w:iCs/>
        </w:rPr>
        <w:t>Journal of advanced nursing</w:t>
      </w:r>
      <w:r w:rsidRPr="0083273D">
        <w:t>, </w:t>
      </w:r>
      <w:r w:rsidRPr="0083273D">
        <w:rPr>
          <w:i/>
          <w:iCs/>
        </w:rPr>
        <w:t>78</w:t>
      </w:r>
      <w:r w:rsidRPr="0083273D">
        <w:t>(6), 1601–1617. https://doi.org/10.1111/jan.15213</w:t>
      </w:r>
    </w:p>
    <w:p w14:paraId="719203A9" w14:textId="77777777" w:rsidR="00556678" w:rsidRPr="0083273D" w:rsidRDefault="00556678" w:rsidP="00556678">
      <w:pPr>
        <w:ind w:left="360" w:hanging="360"/>
        <w:jc w:val="both"/>
      </w:pPr>
      <w:r w:rsidRPr="0083273D">
        <w:t>Canet, E., &amp; Bellomo, R. (2018). Perioperative renal protection. </w:t>
      </w:r>
      <w:r w:rsidRPr="0083273D">
        <w:rPr>
          <w:i/>
          <w:iCs/>
        </w:rPr>
        <w:t>Current opinion in critical care</w:t>
      </w:r>
      <w:r w:rsidRPr="0083273D">
        <w:t>, </w:t>
      </w:r>
      <w:r w:rsidRPr="0083273D">
        <w:rPr>
          <w:i/>
          <w:iCs/>
        </w:rPr>
        <w:t>24</w:t>
      </w:r>
      <w:r w:rsidRPr="0083273D">
        <w:t xml:space="preserve">(6), 568–574. </w:t>
      </w:r>
      <w:hyperlink r:id="rId10" w:history="1">
        <w:r w:rsidRPr="0083273D">
          <w:rPr>
            <w:rStyle w:val="Hyperlink"/>
          </w:rPr>
          <w:t>https://doi.org/10.1097/MCC.0000000000000560</w:t>
        </w:r>
      </w:hyperlink>
    </w:p>
    <w:p w14:paraId="09A36727" w14:textId="77777777" w:rsidR="00556678" w:rsidRPr="0083273D" w:rsidRDefault="00556678" w:rsidP="00556678">
      <w:pPr>
        <w:ind w:left="360" w:hanging="360"/>
        <w:jc w:val="both"/>
      </w:pPr>
      <w:r w:rsidRPr="0083273D">
        <w:t xml:space="preserve">Carra, M. C., </w:t>
      </w:r>
      <w:proofErr w:type="spellStart"/>
      <w:r w:rsidRPr="0083273D">
        <w:t>Romandini</w:t>
      </w:r>
      <w:proofErr w:type="spellEnd"/>
      <w:r w:rsidRPr="0083273D">
        <w:t xml:space="preserve">, P., &amp; </w:t>
      </w:r>
      <w:proofErr w:type="spellStart"/>
      <w:r w:rsidRPr="0083273D">
        <w:t>Romandini</w:t>
      </w:r>
      <w:proofErr w:type="spellEnd"/>
      <w:r w:rsidRPr="0083273D">
        <w:t>, M. (2025). Risk of Bias Evaluation of Cross-Sectional Studies: Adaptation of the Newcastle-Ottawa Scale. </w:t>
      </w:r>
      <w:r w:rsidRPr="0083273D">
        <w:rPr>
          <w:i/>
          <w:iCs/>
        </w:rPr>
        <w:t>Journal of periodontal research</w:t>
      </w:r>
      <w:r w:rsidRPr="0083273D">
        <w:t xml:space="preserve">, 10.1111/jre.13405. </w:t>
      </w:r>
      <w:r w:rsidRPr="0083273D">
        <w:rPr>
          <w:i/>
          <w:iCs/>
        </w:rPr>
        <w:t>Advance online publication</w:t>
      </w:r>
      <w:r w:rsidRPr="0083273D">
        <w:t>. https://doi.org/10.1111/jre.13405</w:t>
      </w:r>
    </w:p>
    <w:p w14:paraId="79FCCE8D" w14:textId="77777777" w:rsidR="00155FBD" w:rsidRPr="0083273D" w:rsidRDefault="00155FBD" w:rsidP="00556678">
      <w:pPr>
        <w:ind w:left="360" w:hanging="360"/>
        <w:jc w:val="both"/>
      </w:pPr>
      <w:r w:rsidRPr="0083273D">
        <w:lastRenderedPageBreak/>
        <w:t xml:space="preserve">Chiang DH, Jiang Z, Tian C, Wang CY. Development and validation of a dynamic early warning system with time-varying machine learning models for predicting hemodynamic instability in critical care: a multicohort study. Crit Care. 2025 Jul 23;29(1):318. </w:t>
      </w:r>
      <w:proofErr w:type="spellStart"/>
      <w:r w:rsidRPr="0083273D">
        <w:t>doi</w:t>
      </w:r>
      <w:proofErr w:type="spellEnd"/>
      <w:r w:rsidRPr="0083273D">
        <w:t>: 10.1186/s13054-025-05553-x. PMID: 40702538; PMCID: PMC12285179.</w:t>
      </w:r>
    </w:p>
    <w:p w14:paraId="41590CE7" w14:textId="4FD00280" w:rsidR="00556678" w:rsidRPr="0083273D" w:rsidRDefault="00556678" w:rsidP="00556678">
      <w:pPr>
        <w:ind w:left="360" w:hanging="360"/>
        <w:jc w:val="both"/>
      </w:pPr>
      <w:r w:rsidRPr="0083273D">
        <w:t>Clare C. S. (2020). Role of the nurse in acute stroke care. </w:t>
      </w:r>
      <w:r w:rsidRPr="0083273D">
        <w:rPr>
          <w:i/>
          <w:iCs/>
        </w:rPr>
        <w:t>Nursing standard (Royal College of Nursing (Great Britain</w:t>
      </w:r>
      <w:proofErr w:type="gramStart"/>
      <w:r w:rsidRPr="0083273D">
        <w:rPr>
          <w:i/>
          <w:iCs/>
        </w:rPr>
        <w:t>) :</w:t>
      </w:r>
      <w:proofErr w:type="gramEnd"/>
      <w:r w:rsidRPr="0083273D">
        <w:rPr>
          <w:i/>
          <w:iCs/>
        </w:rPr>
        <w:t xml:space="preserve"> 1987)</w:t>
      </w:r>
      <w:r w:rsidRPr="0083273D">
        <w:t>, </w:t>
      </w:r>
      <w:r w:rsidRPr="0083273D">
        <w:rPr>
          <w:i/>
          <w:iCs/>
        </w:rPr>
        <w:t>35</w:t>
      </w:r>
      <w:r w:rsidRPr="0083273D">
        <w:t>(4), 75–82. https://doi.org/10.7748/ns.2020.e11482</w:t>
      </w:r>
    </w:p>
    <w:p w14:paraId="1050D928" w14:textId="77777777" w:rsidR="00556678" w:rsidRPr="0083273D" w:rsidRDefault="00556678" w:rsidP="00556678">
      <w:pPr>
        <w:ind w:left="360" w:hanging="360"/>
        <w:jc w:val="both"/>
      </w:pPr>
      <w:r w:rsidRPr="0083273D">
        <w:t>Croke L. (2022). Preventing Postoperative Pulmonary Complications. </w:t>
      </w:r>
      <w:r w:rsidRPr="0083273D">
        <w:rPr>
          <w:i/>
          <w:iCs/>
        </w:rPr>
        <w:t>AORN journal</w:t>
      </w:r>
      <w:r w:rsidRPr="0083273D">
        <w:t>, </w:t>
      </w:r>
      <w:r w:rsidRPr="0083273D">
        <w:rPr>
          <w:i/>
          <w:iCs/>
        </w:rPr>
        <w:t>116</w:t>
      </w:r>
      <w:r w:rsidRPr="0083273D">
        <w:t>(6), P7–P10. https://doi.org/10.1002/aorn.13840</w:t>
      </w:r>
    </w:p>
    <w:p w14:paraId="08A781D7" w14:textId="720EAD26" w:rsidR="00556678" w:rsidRPr="0083273D" w:rsidRDefault="00556678" w:rsidP="00556678">
      <w:pPr>
        <w:ind w:left="360" w:hanging="360"/>
        <w:jc w:val="both"/>
      </w:pPr>
      <w:r w:rsidRPr="0083273D">
        <w:t xml:space="preserve">Currey, J., Browne, J., &amp; Botti, M. (2006). </w:t>
      </w:r>
      <w:r w:rsidR="0083273D">
        <w:t>Hemodynamic</w:t>
      </w:r>
      <w:r w:rsidRPr="0083273D">
        <w:t xml:space="preserve"> instability after cardiac surgery: nurses' perceptions of clinical decision-making. </w:t>
      </w:r>
      <w:r w:rsidRPr="0083273D">
        <w:rPr>
          <w:i/>
          <w:iCs/>
        </w:rPr>
        <w:t>Journal of clinical nursing</w:t>
      </w:r>
      <w:r w:rsidRPr="0083273D">
        <w:t>, </w:t>
      </w:r>
      <w:r w:rsidRPr="0083273D">
        <w:rPr>
          <w:i/>
          <w:iCs/>
        </w:rPr>
        <w:t>15</w:t>
      </w:r>
      <w:r w:rsidRPr="0083273D">
        <w:t>(9), 1081–1090. https://doi.org/10.1111/j.1365-2702.2006.01392.x</w:t>
      </w:r>
    </w:p>
    <w:p w14:paraId="1D2CD253" w14:textId="77777777" w:rsidR="00556678" w:rsidRPr="0083273D" w:rsidRDefault="00556678" w:rsidP="00556678">
      <w:pPr>
        <w:ind w:left="360" w:hanging="360"/>
        <w:jc w:val="both"/>
      </w:pPr>
      <w:proofErr w:type="spellStart"/>
      <w:r w:rsidRPr="0083273D">
        <w:t>Dakour-Aridi</w:t>
      </w:r>
      <w:proofErr w:type="spellEnd"/>
      <w:r w:rsidRPr="0083273D">
        <w:t xml:space="preserve">, H., Cui, C. L., Barleben, A., Schermerhorn, M. L., Eldrup-Jorgensen, J., &amp; Malas, M. B. (2021). Poststent ballooning during </w:t>
      </w:r>
      <w:proofErr w:type="spellStart"/>
      <w:r w:rsidRPr="0083273D">
        <w:t>transcarotid</w:t>
      </w:r>
      <w:proofErr w:type="spellEnd"/>
      <w:r w:rsidRPr="0083273D">
        <w:t xml:space="preserve"> artery revascularization. </w:t>
      </w:r>
      <w:r w:rsidRPr="0083273D">
        <w:rPr>
          <w:i/>
          <w:iCs/>
        </w:rPr>
        <w:t>Journal of vascular surgery</w:t>
      </w:r>
      <w:r w:rsidRPr="0083273D">
        <w:t>, </w:t>
      </w:r>
      <w:r w:rsidRPr="0083273D">
        <w:rPr>
          <w:i/>
          <w:iCs/>
        </w:rPr>
        <w:t>73</w:t>
      </w:r>
      <w:r w:rsidRPr="0083273D">
        <w:t>(6), 2041–2049.e1. https://doi.org/10.1016/j.jvs.2020.10.071</w:t>
      </w:r>
    </w:p>
    <w:p w14:paraId="5B8D7CFD" w14:textId="77777777" w:rsidR="00556678" w:rsidRPr="0083273D" w:rsidRDefault="00556678" w:rsidP="00556678">
      <w:pPr>
        <w:ind w:left="360" w:hanging="360"/>
        <w:jc w:val="both"/>
      </w:pPr>
      <w:r w:rsidRPr="002C74B5">
        <w:rPr>
          <w:lang w:val="es-US"/>
        </w:rPr>
        <w:t xml:space="preserve">de Araújo </w:t>
      </w:r>
      <w:proofErr w:type="spellStart"/>
      <w:r w:rsidRPr="002C74B5">
        <w:rPr>
          <w:lang w:val="es-US"/>
        </w:rPr>
        <w:t>Martins</w:t>
      </w:r>
      <w:proofErr w:type="spellEnd"/>
      <w:r w:rsidRPr="002C74B5">
        <w:rPr>
          <w:lang w:val="es-US"/>
        </w:rPr>
        <w:t xml:space="preserve">-Romeo, D., &amp; Rivera Domínguez, A. (2023). </w:t>
      </w:r>
      <w:r w:rsidRPr="0083273D">
        <w:t>Complications after abdominal surgery. </w:t>
      </w:r>
      <w:proofErr w:type="spellStart"/>
      <w:r w:rsidRPr="0083273D">
        <w:rPr>
          <w:i/>
          <w:iCs/>
        </w:rPr>
        <w:t>Radiologia</w:t>
      </w:r>
      <w:proofErr w:type="spellEnd"/>
      <w:r w:rsidRPr="0083273D">
        <w:t>, </w:t>
      </w:r>
      <w:r w:rsidRPr="0083273D">
        <w:rPr>
          <w:i/>
          <w:iCs/>
        </w:rPr>
        <w:t>65 Suppl 1</w:t>
      </w:r>
      <w:r w:rsidRPr="0083273D">
        <w:t>, S99–S108. https://doi.org/10.1016/j.rxeng.2022.09.012</w:t>
      </w:r>
    </w:p>
    <w:p w14:paraId="5E00D0A6" w14:textId="77777777" w:rsidR="00556678" w:rsidRPr="0083273D" w:rsidRDefault="00556678" w:rsidP="00556678">
      <w:pPr>
        <w:ind w:left="360" w:hanging="360"/>
        <w:jc w:val="both"/>
      </w:pPr>
      <w:r w:rsidRPr="0083273D">
        <w:t xml:space="preserve">Dobrev, D., Aguilar, M., Heijman, J., Guichard, J. B., &amp; </w:t>
      </w:r>
      <w:proofErr w:type="spellStart"/>
      <w:r w:rsidRPr="0083273D">
        <w:t>Nattel</w:t>
      </w:r>
      <w:proofErr w:type="spellEnd"/>
      <w:r w:rsidRPr="0083273D">
        <w:t>, S. (2019). Postoperative atrial fibrillation: mechanisms, manifestations and management. </w:t>
      </w:r>
      <w:r w:rsidRPr="0083273D">
        <w:rPr>
          <w:i/>
          <w:iCs/>
        </w:rPr>
        <w:t>Nature reviews. Cardiology</w:t>
      </w:r>
      <w:r w:rsidRPr="0083273D">
        <w:t>, </w:t>
      </w:r>
      <w:r w:rsidRPr="0083273D">
        <w:rPr>
          <w:i/>
          <w:iCs/>
        </w:rPr>
        <w:t>16</w:t>
      </w:r>
      <w:r w:rsidRPr="0083273D">
        <w:t xml:space="preserve">(7), 417–436. </w:t>
      </w:r>
      <w:hyperlink r:id="rId11" w:history="1">
        <w:r w:rsidRPr="0083273D">
          <w:rPr>
            <w:rStyle w:val="Hyperlink"/>
          </w:rPr>
          <w:t>https://doi.org/10.1038/s41569-019-0166-5</w:t>
        </w:r>
      </w:hyperlink>
    </w:p>
    <w:p w14:paraId="29656150" w14:textId="77777777" w:rsidR="00556678" w:rsidRPr="0083273D" w:rsidRDefault="00556678" w:rsidP="00556678">
      <w:pPr>
        <w:ind w:left="360" w:hanging="360"/>
        <w:jc w:val="both"/>
      </w:pPr>
      <w:r w:rsidRPr="002C74B5">
        <w:rPr>
          <w:lang w:val="es-US"/>
        </w:rPr>
        <w:t xml:space="preserve">Filipe, S., </w:t>
      </w:r>
      <w:proofErr w:type="spellStart"/>
      <w:r w:rsidRPr="002C74B5">
        <w:rPr>
          <w:lang w:val="es-US"/>
        </w:rPr>
        <w:t>Martins</w:t>
      </w:r>
      <w:proofErr w:type="spellEnd"/>
      <w:r w:rsidRPr="002C74B5">
        <w:rPr>
          <w:lang w:val="es-US"/>
        </w:rPr>
        <w:t xml:space="preserve">, T., Santos-Costa, P., Paiva-Santos, F., </w:t>
      </w:r>
      <w:proofErr w:type="spellStart"/>
      <w:r w:rsidRPr="002C74B5">
        <w:rPr>
          <w:lang w:val="es-US"/>
        </w:rPr>
        <w:t>Castilho</w:t>
      </w:r>
      <w:proofErr w:type="spellEnd"/>
      <w:r w:rsidRPr="002C74B5">
        <w:rPr>
          <w:lang w:val="es-US"/>
        </w:rPr>
        <w:t xml:space="preserve">, A., &amp; Bastos, C. (2024). </w:t>
      </w:r>
      <w:r w:rsidRPr="0083273D">
        <w:t>Effectiveness of A Nurse-Led Multimodal Intervention in Preventing Blood Culture Contamination: A Before-and-After Study. </w:t>
      </w:r>
      <w:r w:rsidRPr="0083273D">
        <w:rPr>
          <w:i/>
          <w:iCs/>
        </w:rPr>
        <w:t>Healthcare (Basel, Switzerland)</w:t>
      </w:r>
      <w:r w:rsidRPr="0083273D">
        <w:t>, </w:t>
      </w:r>
      <w:r w:rsidRPr="0083273D">
        <w:rPr>
          <w:i/>
          <w:iCs/>
        </w:rPr>
        <w:t>12</w:t>
      </w:r>
      <w:r w:rsidRPr="0083273D">
        <w:t>(17), 1735. https://doi.org/10.3390/healthcare12171735</w:t>
      </w:r>
    </w:p>
    <w:p w14:paraId="31530CC9" w14:textId="59F097A1" w:rsidR="00556678" w:rsidRPr="0083273D" w:rsidRDefault="00556678" w:rsidP="00556678">
      <w:pPr>
        <w:ind w:left="360" w:hanging="360"/>
        <w:jc w:val="both"/>
      </w:pPr>
      <w:r w:rsidRPr="0083273D">
        <w:t xml:space="preserve">Holder, A. L., Khanna, A. K., Scott, M. J., Rossetti, S. C., Rinehart, J. B., Linn, D. D., Weichert, J., &amp; Dellinger, R. P. (2023). A Delphi Process to Identify Relevant Outcomes That May Be Associated </w:t>
      </w:r>
      <w:proofErr w:type="gramStart"/>
      <w:r w:rsidRPr="0083273D">
        <w:t>With</w:t>
      </w:r>
      <w:proofErr w:type="gramEnd"/>
      <w:r w:rsidRPr="0083273D">
        <w:t xml:space="preserve"> a Predictive Analytic Tool to Detect Hemodynamic Deterioration in the Intensive Care Unit. </w:t>
      </w:r>
      <w:proofErr w:type="spellStart"/>
      <w:r w:rsidRPr="0083273D">
        <w:rPr>
          <w:i/>
          <w:iCs/>
        </w:rPr>
        <w:t>Cureus</w:t>
      </w:r>
      <w:proofErr w:type="spellEnd"/>
      <w:r w:rsidRPr="0083273D">
        <w:t>, </w:t>
      </w:r>
      <w:r w:rsidRPr="0083273D">
        <w:rPr>
          <w:i/>
          <w:iCs/>
        </w:rPr>
        <w:t>15</w:t>
      </w:r>
      <w:r w:rsidRPr="0083273D">
        <w:t xml:space="preserve">(12), e50169. </w:t>
      </w:r>
      <w:hyperlink r:id="rId12" w:history="1">
        <w:r w:rsidR="0039009A" w:rsidRPr="0083273D">
          <w:rPr>
            <w:rStyle w:val="Hyperlink"/>
          </w:rPr>
          <w:t>https://doi.org/10.7759/cureus.50169</w:t>
        </w:r>
      </w:hyperlink>
    </w:p>
    <w:p w14:paraId="4F4A8212" w14:textId="77777777" w:rsidR="0039009A" w:rsidRPr="0083273D" w:rsidRDefault="0039009A" w:rsidP="0039009A">
      <w:pPr>
        <w:ind w:left="360" w:hanging="360"/>
        <w:jc w:val="both"/>
      </w:pPr>
      <w:proofErr w:type="spellStart"/>
      <w:r w:rsidRPr="0083273D">
        <w:t>Huppmann</w:t>
      </w:r>
      <w:proofErr w:type="spellEnd"/>
      <w:r w:rsidRPr="0083273D">
        <w:t>, S. E. (2023). Surviving shock: Nurse driven protocol for application of hemodynamic monitoring device. University of Maryland School of Nursing Scholar Archive. https://archive.hshsl.umaryland.edu/bitstreams/1ceb30a8-f95f-475c-a505-9c6504c3678a/download</w:t>
      </w:r>
    </w:p>
    <w:p w14:paraId="5A1E42E0" w14:textId="77777777" w:rsidR="00556678" w:rsidRPr="0083273D" w:rsidRDefault="00556678" w:rsidP="00556678">
      <w:pPr>
        <w:ind w:left="360" w:hanging="360"/>
        <w:jc w:val="both"/>
      </w:pPr>
      <w:r w:rsidRPr="0083273D">
        <w:t>Kaur, K., &amp; Mikes, B. A. (2025). Retinopathy of Prematurity. In </w:t>
      </w:r>
      <w:proofErr w:type="spellStart"/>
      <w:r w:rsidRPr="0083273D">
        <w:rPr>
          <w:i/>
          <w:iCs/>
        </w:rPr>
        <w:t>StatPearls</w:t>
      </w:r>
      <w:proofErr w:type="spellEnd"/>
      <w:r w:rsidRPr="0083273D">
        <w:t xml:space="preserve">. </w:t>
      </w:r>
      <w:proofErr w:type="spellStart"/>
      <w:r w:rsidRPr="0083273D">
        <w:t>StatPearls</w:t>
      </w:r>
      <w:proofErr w:type="spellEnd"/>
      <w:r w:rsidRPr="0083273D">
        <w:t xml:space="preserve"> Publishing.</w:t>
      </w:r>
    </w:p>
    <w:p w14:paraId="55F86CA2" w14:textId="77777777" w:rsidR="00556678" w:rsidRPr="0083273D" w:rsidRDefault="00556678" w:rsidP="00556678">
      <w:pPr>
        <w:ind w:left="360" w:hanging="360"/>
        <w:jc w:val="both"/>
      </w:pPr>
      <w:r w:rsidRPr="0083273D">
        <w:t xml:space="preserve">Khalil, H., Ameen, D., &amp; </w:t>
      </w:r>
      <w:proofErr w:type="spellStart"/>
      <w:r w:rsidRPr="0083273D">
        <w:t>Zarnegar</w:t>
      </w:r>
      <w:proofErr w:type="spellEnd"/>
      <w:r w:rsidRPr="0083273D">
        <w:t>, A. (2022). Tools to support the automation of systematic reviews: a scoping review. </w:t>
      </w:r>
      <w:r w:rsidRPr="0083273D">
        <w:rPr>
          <w:i/>
          <w:iCs/>
        </w:rPr>
        <w:t>Journal of clinical epidemiology</w:t>
      </w:r>
      <w:r w:rsidRPr="0083273D">
        <w:t>, </w:t>
      </w:r>
      <w:r w:rsidRPr="0083273D">
        <w:rPr>
          <w:i/>
          <w:iCs/>
        </w:rPr>
        <w:t>144</w:t>
      </w:r>
      <w:r w:rsidRPr="0083273D">
        <w:t>, 22–42. https://doi.org/10.1016/j.jclinepi.2021.12.005</w:t>
      </w:r>
    </w:p>
    <w:p w14:paraId="366C53DA" w14:textId="77777777" w:rsidR="00556678" w:rsidRPr="0083273D" w:rsidRDefault="00556678" w:rsidP="00556678">
      <w:pPr>
        <w:ind w:left="360" w:hanging="360"/>
        <w:jc w:val="both"/>
      </w:pPr>
      <w:r w:rsidRPr="0083273D">
        <w:t xml:space="preserve">Lavoie, P., </w:t>
      </w:r>
      <w:proofErr w:type="spellStart"/>
      <w:r w:rsidRPr="0083273D">
        <w:t>Arbour</w:t>
      </w:r>
      <w:proofErr w:type="spellEnd"/>
      <w:r w:rsidRPr="0083273D">
        <w:t xml:space="preserve">, C., Garneau, A. B., Côté, J., </w:t>
      </w:r>
      <w:proofErr w:type="spellStart"/>
      <w:r w:rsidRPr="0083273D">
        <w:t>Crétaz</w:t>
      </w:r>
      <w:proofErr w:type="spellEnd"/>
      <w:r w:rsidRPr="0083273D">
        <w:t>, M., Denault, A., Gosselin, É., Lapierre, A., Mailhot, T., &amp; Tessier, V. (2024). A dimensional analysis of experienced intensive care unit nurses' clinical decision-making for bleeding after cardiac surgery. </w:t>
      </w:r>
      <w:r w:rsidRPr="0083273D">
        <w:rPr>
          <w:i/>
          <w:iCs/>
        </w:rPr>
        <w:t>Nursing in critical care</w:t>
      </w:r>
      <w:r w:rsidRPr="0083273D">
        <w:t>, </w:t>
      </w:r>
      <w:r w:rsidRPr="0083273D">
        <w:rPr>
          <w:i/>
          <w:iCs/>
        </w:rPr>
        <w:t>29</w:t>
      </w:r>
      <w:r w:rsidRPr="0083273D">
        <w:t>(5), 1119–1131. https://doi.org/10.1111/nicc.13116</w:t>
      </w:r>
    </w:p>
    <w:p w14:paraId="74D9933B" w14:textId="2E06D787" w:rsidR="00556678" w:rsidRPr="0083273D" w:rsidRDefault="00556678" w:rsidP="00556678">
      <w:pPr>
        <w:ind w:left="360" w:hanging="360"/>
        <w:jc w:val="both"/>
      </w:pPr>
      <w:r w:rsidRPr="0083273D">
        <w:lastRenderedPageBreak/>
        <w:t xml:space="preserve">Mann, C. J., Kendall, S., Lip, G. Y., &amp; Guideline Development Group for the NICE clinical guideline for the management of atrial fibrillation (2007). Acute management of atrial fibrillation with acute </w:t>
      </w:r>
      <w:r w:rsidR="0083273D">
        <w:t>Hemodynamic</w:t>
      </w:r>
      <w:r w:rsidRPr="0083273D">
        <w:t xml:space="preserve"> instability and in the postoperative setting. </w:t>
      </w:r>
      <w:r w:rsidRPr="0083273D">
        <w:rPr>
          <w:i/>
          <w:iCs/>
        </w:rPr>
        <w:t>Heart (British Cardiac Society)</w:t>
      </w:r>
      <w:r w:rsidRPr="0083273D">
        <w:t>, </w:t>
      </w:r>
      <w:r w:rsidRPr="0083273D">
        <w:rPr>
          <w:i/>
          <w:iCs/>
        </w:rPr>
        <w:t>93</w:t>
      </w:r>
      <w:r w:rsidRPr="0083273D">
        <w:t>(1), 45–47. https://doi.org/10.1136/hrt.2006.099929</w:t>
      </w:r>
    </w:p>
    <w:p w14:paraId="59F231BF" w14:textId="77777777" w:rsidR="00556678" w:rsidRPr="0083273D" w:rsidRDefault="00556678" w:rsidP="00556678">
      <w:pPr>
        <w:ind w:left="360" w:hanging="360"/>
        <w:jc w:val="both"/>
      </w:pPr>
      <w:r w:rsidRPr="0083273D">
        <w:t xml:space="preserve">McDonald, N., Little, N., </w:t>
      </w:r>
      <w:proofErr w:type="spellStart"/>
      <w:r w:rsidRPr="0083273D">
        <w:t>Kriellaars</w:t>
      </w:r>
      <w:proofErr w:type="spellEnd"/>
      <w:r w:rsidRPr="0083273D">
        <w:t>, D., Doupe, M. B., Giesbrecht, G., &amp; Pryce, R. T. (2023). Database quality assessment in research in paramedicine: a scoping review. </w:t>
      </w:r>
      <w:r w:rsidRPr="0083273D">
        <w:rPr>
          <w:i/>
          <w:iCs/>
        </w:rPr>
        <w:t>Scandinavian journal of trauma, resuscitation and emergency medicine</w:t>
      </w:r>
      <w:r w:rsidRPr="0083273D">
        <w:t>, </w:t>
      </w:r>
      <w:r w:rsidRPr="0083273D">
        <w:rPr>
          <w:i/>
          <w:iCs/>
        </w:rPr>
        <w:t>31</w:t>
      </w:r>
      <w:r w:rsidRPr="0083273D">
        <w:t xml:space="preserve">(1), 78. </w:t>
      </w:r>
      <w:hyperlink r:id="rId13" w:history="1">
        <w:r w:rsidRPr="0083273D">
          <w:rPr>
            <w:rStyle w:val="Hyperlink"/>
          </w:rPr>
          <w:t>https://doi.org/10.1186/s13049-023-01145-2</w:t>
        </w:r>
      </w:hyperlink>
    </w:p>
    <w:p w14:paraId="3B6B5B35" w14:textId="77777777" w:rsidR="00556678" w:rsidRPr="002C74B5" w:rsidRDefault="00556678" w:rsidP="00556678">
      <w:pPr>
        <w:ind w:left="360" w:hanging="360"/>
        <w:jc w:val="both"/>
        <w:rPr>
          <w:lang w:val="es-US"/>
        </w:rPr>
      </w:pPr>
      <w:proofErr w:type="spellStart"/>
      <w:r w:rsidRPr="0083273D">
        <w:t>McDonall</w:t>
      </w:r>
      <w:proofErr w:type="spellEnd"/>
      <w:r w:rsidRPr="0083273D">
        <w:t>, J., Redley, B., Livingston, P., Hutchinson, A., de Steiger, R., &amp; Botti, M. (2022). A Nurse-Led Multimedia Intervention to Increase Patient Participation in Recovery After Knee Arthroplasty: Hybrid Type II Implementation Study. </w:t>
      </w:r>
      <w:r w:rsidRPr="002C74B5">
        <w:rPr>
          <w:i/>
          <w:iCs/>
          <w:lang w:val="es-US"/>
        </w:rPr>
        <w:t xml:space="preserve">JMIR human </w:t>
      </w:r>
      <w:proofErr w:type="spellStart"/>
      <w:r w:rsidRPr="002C74B5">
        <w:rPr>
          <w:i/>
          <w:iCs/>
          <w:lang w:val="es-US"/>
        </w:rPr>
        <w:t>factors</w:t>
      </w:r>
      <w:proofErr w:type="spellEnd"/>
      <w:r w:rsidRPr="002C74B5">
        <w:rPr>
          <w:lang w:val="es-US"/>
        </w:rPr>
        <w:t>, </w:t>
      </w:r>
      <w:r w:rsidRPr="002C74B5">
        <w:rPr>
          <w:i/>
          <w:iCs/>
          <w:lang w:val="es-US"/>
        </w:rPr>
        <w:t>9</w:t>
      </w:r>
      <w:r w:rsidRPr="002C74B5">
        <w:rPr>
          <w:lang w:val="es-US"/>
        </w:rPr>
        <w:t>(2), e36959. https://doi.org/10.2196/36959</w:t>
      </w:r>
    </w:p>
    <w:p w14:paraId="2096CC88" w14:textId="77777777" w:rsidR="00556678" w:rsidRPr="0083273D" w:rsidRDefault="00556678" w:rsidP="00556678">
      <w:pPr>
        <w:ind w:left="360" w:hanging="360"/>
        <w:jc w:val="both"/>
      </w:pPr>
      <w:proofErr w:type="spellStart"/>
      <w:r w:rsidRPr="002C74B5">
        <w:rPr>
          <w:lang w:val="es-US"/>
        </w:rPr>
        <w:t>Minozzi</w:t>
      </w:r>
      <w:proofErr w:type="spellEnd"/>
      <w:r w:rsidRPr="002C74B5">
        <w:rPr>
          <w:lang w:val="es-US"/>
        </w:rPr>
        <w:t xml:space="preserve">, S., </w:t>
      </w:r>
      <w:proofErr w:type="spellStart"/>
      <w:r w:rsidRPr="002C74B5">
        <w:rPr>
          <w:lang w:val="es-US"/>
        </w:rPr>
        <w:t>Cinquini</w:t>
      </w:r>
      <w:proofErr w:type="spellEnd"/>
      <w:r w:rsidRPr="002C74B5">
        <w:rPr>
          <w:lang w:val="es-US"/>
        </w:rPr>
        <w:t xml:space="preserve">, M., </w:t>
      </w:r>
      <w:proofErr w:type="spellStart"/>
      <w:r w:rsidRPr="002C74B5">
        <w:rPr>
          <w:lang w:val="es-US"/>
        </w:rPr>
        <w:t>Gianola</w:t>
      </w:r>
      <w:proofErr w:type="spellEnd"/>
      <w:r w:rsidRPr="002C74B5">
        <w:rPr>
          <w:lang w:val="es-US"/>
        </w:rPr>
        <w:t xml:space="preserve">, S., </w:t>
      </w:r>
      <w:proofErr w:type="spellStart"/>
      <w:r w:rsidRPr="002C74B5">
        <w:rPr>
          <w:lang w:val="es-US"/>
        </w:rPr>
        <w:t>Gonzalez</w:t>
      </w:r>
      <w:proofErr w:type="spellEnd"/>
      <w:r w:rsidRPr="002C74B5">
        <w:rPr>
          <w:lang w:val="es-US"/>
        </w:rPr>
        <w:t xml:space="preserve">-Lorenzo, M., &amp; Banzi, R. (2020). </w:t>
      </w:r>
      <w:r w:rsidRPr="0083273D">
        <w:t>The revised Cochrane risk of bias tool for randomized trials (</w:t>
      </w:r>
      <w:proofErr w:type="spellStart"/>
      <w:r w:rsidRPr="0083273D">
        <w:t>RoB</w:t>
      </w:r>
      <w:proofErr w:type="spellEnd"/>
      <w:r w:rsidRPr="0083273D">
        <w:t xml:space="preserve"> 2) showed low interrater reliability and challenges in its application. </w:t>
      </w:r>
      <w:r w:rsidRPr="0083273D">
        <w:rPr>
          <w:i/>
          <w:iCs/>
        </w:rPr>
        <w:t>Journal of clinical epidemiology</w:t>
      </w:r>
      <w:r w:rsidRPr="0083273D">
        <w:t>, </w:t>
      </w:r>
      <w:r w:rsidRPr="0083273D">
        <w:rPr>
          <w:i/>
          <w:iCs/>
        </w:rPr>
        <w:t>126</w:t>
      </w:r>
      <w:r w:rsidRPr="0083273D">
        <w:t>, 37–44. https://doi.org/10.1016/j.jclinepi.2020.06.015</w:t>
      </w:r>
    </w:p>
    <w:p w14:paraId="543153CC" w14:textId="77777777" w:rsidR="00556678" w:rsidRPr="002C74B5" w:rsidRDefault="00556678" w:rsidP="00556678">
      <w:pPr>
        <w:ind w:left="360" w:hanging="360"/>
        <w:jc w:val="both"/>
        <w:rPr>
          <w:lang w:val="es-US"/>
        </w:rPr>
      </w:pPr>
      <w:r w:rsidRPr="0083273D">
        <w:t xml:space="preserve">Moncada, I., </w:t>
      </w:r>
      <w:proofErr w:type="spellStart"/>
      <w:r w:rsidRPr="0083273D">
        <w:t>Ascensios</w:t>
      </w:r>
      <w:proofErr w:type="spellEnd"/>
      <w:r w:rsidRPr="0083273D">
        <w:t xml:space="preserve">, J., López, I., </w:t>
      </w:r>
      <w:proofErr w:type="spellStart"/>
      <w:r w:rsidRPr="0083273D">
        <w:t>Subirá</w:t>
      </w:r>
      <w:proofErr w:type="spellEnd"/>
      <w:r w:rsidRPr="0083273D">
        <w:t xml:space="preserve">, D., &amp; </w:t>
      </w:r>
      <w:proofErr w:type="spellStart"/>
      <w:r w:rsidRPr="0083273D">
        <w:t>Krisnappa</w:t>
      </w:r>
      <w:proofErr w:type="spellEnd"/>
      <w:r w:rsidRPr="0083273D">
        <w:t xml:space="preserve">, P. (2020). Intraoperative and postoperative complications of penile implant surgery. Diagnosis and treatment. </w:t>
      </w:r>
      <w:r w:rsidRPr="002C74B5">
        <w:rPr>
          <w:lang w:val="es-US"/>
        </w:rPr>
        <w:t>Complicaciones intraoperatorias y postoperatorias de la cirugía de prótesis de pene. Diagnóstico y tratamiento. </w:t>
      </w:r>
      <w:r w:rsidRPr="002C74B5">
        <w:rPr>
          <w:i/>
          <w:iCs/>
          <w:lang w:val="es-US"/>
        </w:rPr>
        <w:t xml:space="preserve">Actas </w:t>
      </w:r>
      <w:proofErr w:type="spellStart"/>
      <w:r w:rsidRPr="002C74B5">
        <w:rPr>
          <w:i/>
          <w:iCs/>
          <w:lang w:val="es-US"/>
        </w:rPr>
        <w:t>urologicas</w:t>
      </w:r>
      <w:proofErr w:type="spellEnd"/>
      <w:r w:rsidRPr="002C74B5">
        <w:rPr>
          <w:i/>
          <w:iCs/>
          <w:lang w:val="es-US"/>
        </w:rPr>
        <w:t xml:space="preserve"> </w:t>
      </w:r>
      <w:proofErr w:type="spellStart"/>
      <w:r w:rsidRPr="002C74B5">
        <w:rPr>
          <w:i/>
          <w:iCs/>
          <w:lang w:val="es-US"/>
        </w:rPr>
        <w:t>espanolas</w:t>
      </w:r>
      <w:proofErr w:type="spellEnd"/>
      <w:r w:rsidRPr="002C74B5">
        <w:rPr>
          <w:lang w:val="es-US"/>
        </w:rPr>
        <w:t>, </w:t>
      </w:r>
      <w:r w:rsidRPr="002C74B5">
        <w:rPr>
          <w:i/>
          <w:iCs/>
          <w:lang w:val="es-US"/>
        </w:rPr>
        <w:t>44</w:t>
      </w:r>
      <w:r w:rsidRPr="002C74B5">
        <w:rPr>
          <w:lang w:val="es-US"/>
        </w:rPr>
        <w:t>(5), 357–366. https://doi.org/10.1016/j.acuro.2020.01.014</w:t>
      </w:r>
    </w:p>
    <w:p w14:paraId="0368A383" w14:textId="73D555DB" w:rsidR="00556678" w:rsidRPr="0083273D" w:rsidRDefault="00556678" w:rsidP="00556678">
      <w:pPr>
        <w:ind w:left="360" w:hanging="360"/>
        <w:jc w:val="both"/>
      </w:pPr>
      <w:r w:rsidRPr="0083273D">
        <w:t xml:space="preserve">Mutch, W. A., White, I. W., Donen, N., Thomson, I. R., Rosenbloom, M., Cheang, M., &amp; West, M. (1995). </w:t>
      </w:r>
      <w:r w:rsidR="0083273D">
        <w:t>Hemodynamic</w:t>
      </w:r>
      <w:r w:rsidRPr="0083273D">
        <w:t xml:space="preserve"> instability and myocardial </w:t>
      </w:r>
      <w:proofErr w:type="spellStart"/>
      <w:r w:rsidRPr="0083273D">
        <w:t>ischaemia</w:t>
      </w:r>
      <w:proofErr w:type="spellEnd"/>
      <w:r w:rsidRPr="0083273D">
        <w:t xml:space="preserve"> during carotid endarterectomy: a comparison of propofol and isoflurane. </w:t>
      </w:r>
      <w:r w:rsidRPr="0083273D">
        <w:rPr>
          <w:i/>
          <w:iCs/>
        </w:rPr>
        <w:t xml:space="preserve">Canadian journal of </w:t>
      </w:r>
      <w:proofErr w:type="spellStart"/>
      <w:r w:rsidRPr="0083273D">
        <w:rPr>
          <w:i/>
          <w:iCs/>
        </w:rPr>
        <w:t>anaesthesia</w:t>
      </w:r>
      <w:proofErr w:type="spellEnd"/>
      <w:r w:rsidRPr="0083273D">
        <w:rPr>
          <w:i/>
          <w:iCs/>
        </w:rPr>
        <w:t xml:space="preserve"> = Journal </w:t>
      </w:r>
      <w:proofErr w:type="spellStart"/>
      <w:r w:rsidRPr="0083273D">
        <w:rPr>
          <w:i/>
          <w:iCs/>
        </w:rPr>
        <w:t>canadien</w:t>
      </w:r>
      <w:proofErr w:type="spellEnd"/>
      <w:r w:rsidRPr="0083273D">
        <w:rPr>
          <w:i/>
          <w:iCs/>
        </w:rPr>
        <w:t xml:space="preserve"> </w:t>
      </w:r>
      <w:proofErr w:type="spellStart"/>
      <w:r w:rsidRPr="0083273D">
        <w:rPr>
          <w:i/>
          <w:iCs/>
        </w:rPr>
        <w:t>d'anesthesie</w:t>
      </w:r>
      <w:proofErr w:type="spellEnd"/>
      <w:r w:rsidRPr="0083273D">
        <w:t>, </w:t>
      </w:r>
      <w:r w:rsidRPr="0083273D">
        <w:rPr>
          <w:i/>
          <w:iCs/>
        </w:rPr>
        <w:t>42</w:t>
      </w:r>
      <w:r w:rsidRPr="0083273D">
        <w:t>(7), 577–587. https://doi.org/10.1007/BF03011874</w:t>
      </w:r>
    </w:p>
    <w:p w14:paraId="6055895E" w14:textId="77777777" w:rsidR="00556678" w:rsidRPr="0083273D" w:rsidRDefault="00556678" w:rsidP="00556678">
      <w:pPr>
        <w:ind w:left="360" w:hanging="360"/>
        <w:jc w:val="both"/>
      </w:pPr>
      <w:r w:rsidRPr="0083273D">
        <w:t>Nye, H. E., Shen, E. P., &amp; Baig, F. (2024). Postoperative Complications. </w:t>
      </w:r>
      <w:r w:rsidRPr="0083273D">
        <w:rPr>
          <w:i/>
          <w:iCs/>
        </w:rPr>
        <w:t>The Medical clinics of North America</w:t>
      </w:r>
      <w:r w:rsidRPr="0083273D">
        <w:t>, </w:t>
      </w:r>
      <w:r w:rsidRPr="0083273D">
        <w:rPr>
          <w:i/>
          <w:iCs/>
        </w:rPr>
        <w:t>108</w:t>
      </w:r>
      <w:r w:rsidRPr="0083273D">
        <w:t xml:space="preserve">(6), 1201–1214. </w:t>
      </w:r>
      <w:hyperlink r:id="rId14" w:history="1">
        <w:r w:rsidRPr="0083273D">
          <w:rPr>
            <w:rStyle w:val="Hyperlink"/>
          </w:rPr>
          <w:t>https://doi.org/10.1016/j.mcna.2024.04.011</w:t>
        </w:r>
      </w:hyperlink>
    </w:p>
    <w:p w14:paraId="4C83BE81" w14:textId="77777777" w:rsidR="00556678" w:rsidRPr="0083273D" w:rsidRDefault="00556678" w:rsidP="00556678">
      <w:pPr>
        <w:ind w:left="360" w:hanging="360"/>
        <w:jc w:val="both"/>
      </w:pPr>
      <w:r w:rsidRPr="0083273D">
        <w:t xml:space="preserve">Page, M. J., McKenzie, J. E., Bossuyt, P. M., </w:t>
      </w:r>
      <w:proofErr w:type="spellStart"/>
      <w:r w:rsidRPr="0083273D">
        <w:t>Boutron</w:t>
      </w:r>
      <w:proofErr w:type="spellEnd"/>
      <w:r w:rsidRPr="0083273D">
        <w:t xml:space="preserve">, I., Hoffmann, T. C., Mulrow, C. D., </w:t>
      </w:r>
      <w:proofErr w:type="spellStart"/>
      <w:r w:rsidRPr="0083273D">
        <w:t>Shamseer</w:t>
      </w:r>
      <w:proofErr w:type="spellEnd"/>
      <w:r w:rsidRPr="0083273D">
        <w:t>, L., Tetzlaff, J. M., Akl, E. A., Brennan, S. E., Chou, R., Glanville, J., Grimshaw, J. M., Hróbjartsson, A., Lalu, M. M., Li, T., Loder, E. W., Mayo-Wilson, E., McDonald, S., McGuinness, L. A., … Moher, D. (2021). The PRISMA 2020 statement: an updated guideline for reporting systematic reviews. </w:t>
      </w:r>
      <w:r w:rsidRPr="0083273D">
        <w:rPr>
          <w:i/>
          <w:iCs/>
        </w:rPr>
        <w:t>BMJ (Clinical research ed.)</w:t>
      </w:r>
      <w:r w:rsidRPr="0083273D">
        <w:t>, </w:t>
      </w:r>
      <w:r w:rsidRPr="0083273D">
        <w:rPr>
          <w:i/>
          <w:iCs/>
        </w:rPr>
        <w:t>372</w:t>
      </w:r>
      <w:r w:rsidRPr="0083273D">
        <w:t>, n71. https://doi.org/10.1136/bmj.n71</w:t>
      </w:r>
    </w:p>
    <w:p w14:paraId="75302F28" w14:textId="77777777" w:rsidR="00556678" w:rsidRPr="0083273D" w:rsidRDefault="00556678" w:rsidP="00556678">
      <w:pPr>
        <w:ind w:left="360" w:hanging="360"/>
        <w:jc w:val="both"/>
      </w:pPr>
      <w:r w:rsidRPr="0083273D">
        <w:t xml:space="preserve">Parker, R. M., </w:t>
      </w:r>
      <w:proofErr w:type="spellStart"/>
      <w:r w:rsidRPr="0083273D">
        <w:t>Desborough</w:t>
      </w:r>
      <w:proofErr w:type="spellEnd"/>
      <w:r w:rsidRPr="0083273D">
        <w:t xml:space="preserve">, J. L., &amp; Forrest, L. E. (2012). Stakeholder perceptions of a nurse led walk-in </w:t>
      </w:r>
      <w:proofErr w:type="spellStart"/>
      <w:r w:rsidRPr="0083273D">
        <w:t>centre</w:t>
      </w:r>
      <w:proofErr w:type="spellEnd"/>
      <w:r w:rsidRPr="0083273D">
        <w:t>. </w:t>
      </w:r>
      <w:r w:rsidRPr="0083273D">
        <w:rPr>
          <w:i/>
          <w:iCs/>
        </w:rPr>
        <w:t>BMC health services research</w:t>
      </w:r>
      <w:r w:rsidRPr="0083273D">
        <w:t>, </w:t>
      </w:r>
      <w:r w:rsidRPr="0083273D">
        <w:rPr>
          <w:i/>
          <w:iCs/>
        </w:rPr>
        <w:t>12</w:t>
      </w:r>
      <w:r w:rsidRPr="0083273D">
        <w:t xml:space="preserve">, 382. </w:t>
      </w:r>
      <w:hyperlink r:id="rId15" w:history="1">
        <w:r w:rsidRPr="0083273D">
          <w:rPr>
            <w:rStyle w:val="Hyperlink"/>
          </w:rPr>
          <w:t>https://doi.org/10.1186/1472-6963-12-382</w:t>
        </w:r>
      </w:hyperlink>
    </w:p>
    <w:p w14:paraId="548DF8A2" w14:textId="77777777" w:rsidR="00556678" w:rsidRPr="0083273D" w:rsidRDefault="00556678" w:rsidP="00556678">
      <w:pPr>
        <w:ind w:left="360" w:hanging="360"/>
        <w:jc w:val="both"/>
      </w:pPr>
      <w:r w:rsidRPr="0083273D">
        <w:t xml:space="preserve">Robbins-Welty, G. A., </w:t>
      </w:r>
      <w:proofErr w:type="spellStart"/>
      <w:r w:rsidRPr="0083273D">
        <w:t>Mueser</w:t>
      </w:r>
      <w:proofErr w:type="spellEnd"/>
      <w:r w:rsidRPr="0083273D">
        <w:t xml:space="preserve">, L., Mitchell, C., Pope, N., Arnold, R., Park, S., White, D., Smith, K. J., Reynolds, C., Rosenzweig, M., </w:t>
      </w:r>
      <w:proofErr w:type="spellStart"/>
      <w:r w:rsidRPr="0083273D">
        <w:t>Bakitas</w:t>
      </w:r>
      <w:proofErr w:type="spellEnd"/>
      <w:r w:rsidRPr="0083273D">
        <w:t>, M., &amp; Schenker, Y. (2018). Interventionist training and intervention fidelity monitoring and maintenance for CONNECT, a nurse-led primary palliative care in oncology trial. </w:t>
      </w:r>
      <w:r w:rsidRPr="0083273D">
        <w:rPr>
          <w:i/>
          <w:iCs/>
        </w:rPr>
        <w:t>Contemporary clinical trials communications</w:t>
      </w:r>
      <w:r w:rsidRPr="0083273D">
        <w:t>, </w:t>
      </w:r>
      <w:r w:rsidRPr="0083273D">
        <w:rPr>
          <w:i/>
          <w:iCs/>
        </w:rPr>
        <w:t>10</w:t>
      </w:r>
      <w:r w:rsidRPr="0083273D">
        <w:t>, 57–61. https://doi.org/10.1016/j.conctc.2018.03.006</w:t>
      </w:r>
    </w:p>
    <w:p w14:paraId="6588364A" w14:textId="77777777" w:rsidR="00556678" w:rsidRPr="0083273D" w:rsidRDefault="00556678" w:rsidP="00556678">
      <w:pPr>
        <w:ind w:left="360" w:hanging="360"/>
        <w:jc w:val="both"/>
      </w:pPr>
      <w:r w:rsidRPr="0083273D">
        <w:t xml:space="preserve">Santos, C. D., Grek, A. A., Ojard, M. M., Propst, J. A., Hastings, J. J., Krider, T. L., Villar, D. C., Sanghavi, D. K., Freeman, W. D., &amp; Siegel, J. L. (2021). C19TM: A nurse practitioner and physician assistant-led telemonitoring initiative ensures timely transfer of critically ill coronavirus disease 2019 </w:t>
      </w:r>
      <w:r w:rsidRPr="0083273D">
        <w:lastRenderedPageBreak/>
        <w:t>patients. </w:t>
      </w:r>
      <w:r w:rsidRPr="0083273D">
        <w:rPr>
          <w:i/>
          <w:iCs/>
        </w:rPr>
        <w:t>Journal of the American Association of Nurse Practitioners</w:t>
      </w:r>
      <w:r w:rsidRPr="0083273D">
        <w:t>, </w:t>
      </w:r>
      <w:r w:rsidRPr="0083273D">
        <w:rPr>
          <w:i/>
          <w:iCs/>
        </w:rPr>
        <w:t>33</w:t>
      </w:r>
      <w:r w:rsidRPr="0083273D">
        <w:t xml:space="preserve">(12), 1120–1124. </w:t>
      </w:r>
      <w:hyperlink r:id="rId16" w:history="1">
        <w:r w:rsidRPr="0083273D">
          <w:rPr>
            <w:rStyle w:val="Hyperlink"/>
          </w:rPr>
          <w:t>https://doi.org/10.1097/JXX.0000000000000558</w:t>
        </w:r>
      </w:hyperlink>
    </w:p>
    <w:p w14:paraId="3597B41D" w14:textId="77777777" w:rsidR="00556678" w:rsidRPr="0083273D" w:rsidRDefault="00556678" w:rsidP="00556678">
      <w:pPr>
        <w:ind w:left="360" w:hanging="360"/>
        <w:jc w:val="both"/>
      </w:pPr>
      <w:r w:rsidRPr="0083273D">
        <w:t xml:space="preserve">Schenker, Y., Althouse, A. D., Rosenzweig, M., White, D. B., Chu, E., Smith, K. J., </w:t>
      </w:r>
      <w:proofErr w:type="spellStart"/>
      <w:r w:rsidRPr="0083273D">
        <w:t>Resick</w:t>
      </w:r>
      <w:proofErr w:type="spellEnd"/>
      <w:r w:rsidRPr="0083273D">
        <w:t xml:space="preserve">, J. M., Belin, S., Park, S. Y., Smith, T. J., </w:t>
      </w:r>
      <w:proofErr w:type="spellStart"/>
      <w:r w:rsidRPr="0083273D">
        <w:t>Bakitas</w:t>
      </w:r>
      <w:proofErr w:type="spellEnd"/>
      <w:r w:rsidRPr="0083273D">
        <w:t xml:space="preserve">, M. A., &amp; Arnold, R. M. (2021). Effect of an Oncology Nurse-Led Primary Palliative Care Intervention on Patients </w:t>
      </w:r>
      <w:proofErr w:type="gramStart"/>
      <w:r w:rsidRPr="0083273D">
        <w:t>With</w:t>
      </w:r>
      <w:proofErr w:type="gramEnd"/>
      <w:r w:rsidRPr="0083273D">
        <w:t xml:space="preserve"> Advanced Cancer: The CONNECT Cluster Randomized Clinical Trial. </w:t>
      </w:r>
      <w:r w:rsidRPr="0083273D">
        <w:rPr>
          <w:i/>
          <w:iCs/>
        </w:rPr>
        <w:t>JAMA internal medicine</w:t>
      </w:r>
      <w:r w:rsidRPr="0083273D">
        <w:t>, </w:t>
      </w:r>
      <w:r w:rsidRPr="0083273D">
        <w:rPr>
          <w:i/>
          <w:iCs/>
        </w:rPr>
        <w:t>181</w:t>
      </w:r>
      <w:r w:rsidRPr="0083273D">
        <w:t>(11), 1451–1460. https://doi.org/10.1001/jamainternmed.2021.5185</w:t>
      </w:r>
    </w:p>
    <w:p w14:paraId="17E58059" w14:textId="77777777" w:rsidR="00556678" w:rsidRPr="0083273D" w:rsidRDefault="00556678" w:rsidP="00556678">
      <w:pPr>
        <w:ind w:left="360" w:hanging="360"/>
        <w:jc w:val="both"/>
      </w:pPr>
      <w:r w:rsidRPr="0083273D">
        <w:t>Shen, Y., Xiao, M., Weng, J., Yang, L., Feng, Y., Ye, Y., &amp; Zheng, P. (2023). Diagnosis and treatment of postoperative bleeding in patients after gastrectomy: a retrospective case series study. </w:t>
      </w:r>
      <w:r w:rsidRPr="0083273D">
        <w:rPr>
          <w:i/>
          <w:iCs/>
        </w:rPr>
        <w:t>Journal of gastrointestinal oncology</w:t>
      </w:r>
      <w:r w:rsidRPr="0083273D">
        <w:t>, </w:t>
      </w:r>
      <w:r w:rsidRPr="0083273D">
        <w:rPr>
          <w:i/>
          <w:iCs/>
        </w:rPr>
        <w:t>14</w:t>
      </w:r>
      <w:r w:rsidRPr="0083273D">
        <w:t>(1), 110–118. https://doi.org/10.21037/jgo-22-1203</w:t>
      </w:r>
    </w:p>
    <w:p w14:paraId="5A799891" w14:textId="77777777" w:rsidR="00556678" w:rsidRPr="0083273D" w:rsidRDefault="00556678" w:rsidP="00556678">
      <w:pPr>
        <w:ind w:left="360" w:hanging="360"/>
        <w:jc w:val="both"/>
      </w:pPr>
      <w:proofErr w:type="spellStart"/>
      <w:r w:rsidRPr="0083273D">
        <w:t>Sunpath</w:t>
      </w:r>
      <w:proofErr w:type="spellEnd"/>
      <w:r w:rsidRPr="0083273D">
        <w:t>, H., Pillay, S., Hatlen, T., Murphy, R. A., Marconi, V. C., Moosa, M. S., Naidoo, K., &amp; Siedner, M. J. (2021). A nurse-led intervention to improve management of virological failure in public sector HIV clinics in Durban, South Africa: A pre- and post-implementation evaluation. </w:t>
      </w:r>
      <w:r w:rsidRPr="0083273D">
        <w:rPr>
          <w:i/>
          <w:iCs/>
        </w:rPr>
        <w:t xml:space="preserve">South African medical journal = </w:t>
      </w:r>
      <w:proofErr w:type="spellStart"/>
      <w:r w:rsidRPr="0083273D">
        <w:rPr>
          <w:i/>
          <w:iCs/>
        </w:rPr>
        <w:t>Suid-Afrikaanse</w:t>
      </w:r>
      <w:proofErr w:type="spellEnd"/>
      <w:r w:rsidRPr="0083273D">
        <w:rPr>
          <w:i/>
          <w:iCs/>
        </w:rPr>
        <w:t xml:space="preserve"> </w:t>
      </w:r>
      <w:proofErr w:type="spellStart"/>
      <w:r w:rsidRPr="0083273D">
        <w:rPr>
          <w:i/>
          <w:iCs/>
        </w:rPr>
        <w:t>tydskrif</w:t>
      </w:r>
      <w:proofErr w:type="spellEnd"/>
      <w:r w:rsidRPr="0083273D">
        <w:rPr>
          <w:i/>
          <w:iCs/>
        </w:rPr>
        <w:t xml:space="preserve"> </w:t>
      </w:r>
      <w:proofErr w:type="spellStart"/>
      <w:r w:rsidRPr="0083273D">
        <w:rPr>
          <w:i/>
          <w:iCs/>
        </w:rPr>
        <w:t>vir</w:t>
      </w:r>
      <w:proofErr w:type="spellEnd"/>
      <w:r w:rsidRPr="0083273D">
        <w:rPr>
          <w:i/>
          <w:iCs/>
        </w:rPr>
        <w:t xml:space="preserve"> </w:t>
      </w:r>
      <w:proofErr w:type="spellStart"/>
      <w:r w:rsidRPr="0083273D">
        <w:rPr>
          <w:i/>
          <w:iCs/>
        </w:rPr>
        <w:t>geneeskunde</w:t>
      </w:r>
      <w:proofErr w:type="spellEnd"/>
      <w:r w:rsidRPr="0083273D">
        <w:t>, </w:t>
      </w:r>
      <w:r w:rsidRPr="0083273D">
        <w:rPr>
          <w:i/>
          <w:iCs/>
        </w:rPr>
        <w:t>111</w:t>
      </w:r>
      <w:r w:rsidRPr="0083273D">
        <w:t xml:space="preserve">(4), 299–303. </w:t>
      </w:r>
      <w:hyperlink r:id="rId17" w:history="1">
        <w:r w:rsidRPr="0083273D">
          <w:rPr>
            <w:rStyle w:val="Hyperlink"/>
          </w:rPr>
          <w:t>https://doi.org/10.7196/SAMJ.2021.v111i4.15432</w:t>
        </w:r>
      </w:hyperlink>
    </w:p>
    <w:p w14:paraId="05DEE266" w14:textId="77777777" w:rsidR="00556678" w:rsidRPr="0083273D" w:rsidRDefault="00556678" w:rsidP="00556678">
      <w:pPr>
        <w:ind w:left="360" w:hanging="360"/>
        <w:jc w:val="both"/>
      </w:pPr>
      <w:r w:rsidRPr="0083273D">
        <w:t xml:space="preserve">van Rossum, M. C., </w:t>
      </w:r>
      <w:proofErr w:type="spellStart"/>
      <w:r w:rsidRPr="0083273D">
        <w:t>Bekhuis</w:t>
      </w:r>
      <w:proofErr w:type="spellEnd"/>
      <w:r w:rsidRPr="0083273D">
        <w:t xml:space="preserve">, R. E. M., Wang, Y., Hegeman, J. H., Folbert, E. C., </w:t>
      </w:r>
      <w:proofErr w:type="spellStart"/>
      <w:r w:rsidRPr="0083273D">
        <w:t>Vollenbroek</w:t>
      </w:r>
      <w:proofErr w:type="spellEnd"/>
      <w:r w:rsidRPr="0083273D">
        <w:t>-Hutten, M. M. R., Kalkman, C. J., Kouwenhoven, E. A., &amp; Hermens, H. J. (2023). Early Warning Scores to Support Continuous Wireless Vital Sign Monitoring for Complication Prediction in Patients on Surgical Wards: Retrospective Observational Study. </w:t>
      </w:r>
      <w:r w:rsidRPr="0083273D">
        <w:rPr>
          <w:i/>
          <w:iCs/>
        </w:rPr>
        <w:t>JMIR perioperative medicine</w:t>
      </w:r>
      <w:r w:rsidRPr="0083273D">
        <w:t>, </w:t>
      </w:r>
      <w:r w:rsidRPr="0083273D">
        <w:rPr>
          <w:i/>
          <w:iCs/>
        </w:rPr>
        <w:t>6</w:t>
      </w:r>
      <w:r w:rsidRPr="0083273D">
        <w:t>, e44483. https://doi.org/10.2196/44483</w:t>
      </w:r>
    </w:p>
    <w:p w14:paraId="52A00FDC" w14:textId="77777777" w:rsidR="00556678" w:rsidRPr="0083273D" w:rsidRDefault="00556678" w:rsidP="00556678">
      <w:pPr>
        <w:ind w:left="360" w:hanging="360"/>
        <w:jc w:val="both"/>
      </w:pPr>
      <w:r w:rsidRPr="0083273D">
        <w:t xml:space="preserve">van Rossum, M., </w:t>
      </w:r>
      <w:proofErr w:type="spellStart"/>
      <w:r w:rsidRPr="0083273D">
        <w:t>Leenen</w:t>
      </w:r>
      <w:proofErr w:type="spellEnd"/>
      <w:r w:rsidRPr="0083273D">
        <w:t xml:space="preserve">, J., Kingma, F., </w:t>
      </w:r>
      <w:proofErr w:type="spellStart"/>
      <w:r w:rsidRPr="0083273D">
        <w:t>Breteler</w:t>
      </w:r>
      <w:proofErr w:type="spellEnd"/>
      <w:r w:rsidRPr="0083273D">
        <w:t xml:space="preserve">, M., van </w:t>
      </w:r>
      <w:proofErr w:type="spellStart"/>
      <w:r w:rsidRPr="0083273D">
        <w:t>Hillegersberg</w:t>
      </w:r>
      <w:proofErr w:type="spellEnd"/>
      <w:r w:rsidRPr="0083273D">
        <w:t xml:space="preserve">, R., </w:t>
      </w:r>
      <w:proofErr w:type="spellStart"/>
      <w:r w:rsidRPr="0083273D">
        <w:t>Ruurda</w:t>
      </w:r>
      <w:proofErr w:type="spellEnd"/>
      <w:r w:rsidRPr="0083273D">
        <w:t xml:space="preserve">, J., Kouwenhoven, E., van Det, M., </w:t>
      </w:r>
      <w:proofErr w:type="spellStart"/>
      <w:r w:rsidRPr="0083273D">
        <w:t>Luyer</w:t>
      </w:r>
      <w:proofErr w:type="spellEnd"/>
      <w:r w:rsidRPr="0083273D">
        <w:t xml:space="preserve">, M., </w:t>
      </w:r>
      <w:proofErr w:type="spellStart"/>
      <w:r w:rsidRPr="0083273D">
        <w:t>Nieuwenhuijzen</w:t>
      </w:r>
      <w:proofErr w:type="spellEnd"/>
      <w:r w:rsidRPr="0083273D">
        <w:t>, G., Kalkman, C., &amp; Hermens, H. (2021). Expectations of Continuous Vital Signs Monitoring for Recognizing Complications After Esophagectomy: Interview Study Among Nurses and Surgeons. </w:t>
      </w:r>
      <w:r w:rsidRPr="0083273D">
        <w:rPr>
          <w:i/>
          <w:iCs/>
        </w:rPr>
        <w:t>JMIR perioperative medicine</w:t>
      </w:r>
      <w:r w:rsidRPr="0083273D">
        <w:t>, </w:t>
      </w:r>
      <w:r w:rsidRPr="0083273D">
        <w:rPr>
          <w:i/>
          <w:iCs/>
        </w:rPr>
        <w:t>4</w:t>
      </w:r>
      <w:r w:rsidRPr="0083273D">
        <w:t>(1), e22387. https://doi.org/10.2196/22387</w:t>
      </w:r>
    </w:p>
    <w:p w14:paraId="0725D564" w14:textId="77777777" w:rsidR="00556678" w:rsidRPr="0083273D" w:rsidRDefault="00556678" w:rsidP="00556678">
      <w:pPr>
        <w:ind w:left="360" w:hanging="360"/>
        <w:jc w:val="both"/>
      </w:pPr>
      <w:proofErr w:type="spellStart"/>
      <w:r w:rsidRPr="002C74B5">
        <w:rPr>
          <w:lang w:val="es-US"/>
        </w:rPr>
        <w:t>Wajekar</w:t>
      </w:r>
      <w:proofErr w:type="spellEnd"/>
      <w:r w:rsidRPr="002C74B5">
        <w:rPr>
          <w:lang w:val="es-US"/>
        </w:rPr>
        <w:t xml:space="preserve">, A., </w:t>
      </w:r>
      <w:proofErr w:type="spellStart"/>
      <w:r w:rsidRPr="002C74B5">
        <w:rPr>
          <w:lang w:val="es-US"/>
        </w:rPr>
        <w:t>Solanki</w:t>
      </w:r>
      <w:proofErr w:type="spellEnd"/>
      <w:r w:rsidRPr="002C74B5">
        <w:rPr>
          <w:lang w:val="es-US"/>
        </w:rPr>
        <w:t xml:space="preserve">, S. L., Cata, J., &amp; </w:t>
      </w:r>
      <w:proofErr w:type="spellStart"/>
      <w:r w:rsidRPr="002C74B5">
        <w:rPr>
          <w:lang w:val="es-US"/>
        </w:rPr>
        <w:t>Gottumukkala</w:t>
      </w:r>
      <w:proofErr w:type="spellEnd"/>
      <w:r w:rsidRPr="002C74B5">
        <w:rPr>
          <w:lang w:val="es-US"/>
        </w:rPr>
        <w:t xml:space="preserve">, V. (2024). </w:t>
      </w:r>
      <w:r w:rsidRPr="0083273D">
        <w:t xml:space="preserve">Postoperative Complications Result in Poor Oncological Outcomes: What Is the </w:t>
      </w:r>
      <w:proofErr w:type="gramStart"/>
      <w:r w:rsidRPr="0083273D">
        <w:t>Evidence?.</w:t>
      </w:r>
      <w:proofErr w:type="gramEnd"/>
      <w:r w:rsidRPr="0083273D">
        <w:t> </w:t>
      </w:r>
      <w:r w:rsidRPr="0083273D">
        <w:rPr>
          <w:i/>
          <w:iCs/>
        </w:rPr>
        <w:t>Current oncology (Toronto, Ont.)</w:t>
      </w:r>
      <w:r w:rsidRPr="0083273D">
        <w:t>, </w:t>
      </w:r>
      <w:r w:rsidRPr="0083273D">
        <w:rPr>
          <w:i/>
          <w:iCs/>
        </w:rPr>
        <w:t>31</w:t>
      </w:r>
      <w:r w:rsidRPr="0083273D">
        <w:t xml:space="preserve">(8), 4632–4655. </w:t>
      </w:r>
      <w:hyperlink r:id="rId18" w:history="1">
        <w:r w:rsidRPr="0083273D">
          <w:rPr>
            <w:rStyle w:val="Hyperlink"/>
          </w:rPr>
          <w:t>https://doi.org/10.3390/curroncol31080346</w:t>
        </w:r>
      </w:hyperlink>
    </w:p>
    <w:p w14:paraId="51780A36" w14:textId="77777777" w:rsidR="00556678" w:rsidRPr="0083273D" w:rsidRDefault="00556678" w:rsidP="00556678">
      <w:pPr>
        <w:ind w:left="360" w:hanging="360"/>
        <w:jc w:val="both"/>
      </w:pPr>
      <w:r w:rsidRPr="0083273D">
        <w:t xml:space="preserve">Wilson, R., Godfrey, C. M., Sears, K., </w:t>
      </w:r>
      <w:proofErr w:type="spellStart"/>
      <w:r w:rsidRPr="0083273D">
        <w:t>Medves</w:t>
      </w:r>
      <w:proofErr w:type="spellEnd"/>
      <w:r w:rsidRPr="0083273D">
        <w:t>, J., Ross-White, A., &amp; Lambert, N. (2015). Exploring conceptual and theoretical frameworks for nurse practitioner education: a scoping review protocol. </w:t>
      </w:r>
      <w:r w:rsidRPr="0083273D">
        <w:rPr>
          <w:i/>
          <w:iCs/>
        </w:rPr>
        <w:t>JBI database of systematic reviews and implementation reports</w:t>
      </w:r>
      <w:r w:rsidRPr="0083273D">
        <w:t>, </w:t>
      </w:r>
      <w:r w:rsidRPr="0083273D">
        <w:rPr>
          <w:i/>
          <w:iCs/>
        </w:rPr>
        <w:t>13</w:t>
      </w:r>
      <w:r w:rsidRPr="0083273D">
        <w:t>(10), 146–155. https://doi.org/10.11124/jbisrir-2015-2150</w:t>
      </w:r>
    </w:p>
    <w:p w14:paraId="1ED3C870" w14:textId="77777777" w:rsidR="00045455" w:rsidRPr="0083273D" w:rsidRDefault="00045455" w:rsidP="000E5BDD">
      <w:pPr>
        <w:jc w:val="both"/>
      </w:pPr>
    </w:p>
    <w:sectPr w:rsidR="00045455" w:rsidRPr="0083273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590BA" w14:textId="77777777" w:rsidR="00C772DE" w:rsidRDefault="00C772DE" w:rsidP="00061DB7">
      <w:pPr>
        <w:spacing w:after="0" w:line="240" w:lineRule="auto"/>
      </w:pPr>
      <w:r>
        <w:separator/>
      </w:r>
    </w:p>
  </w:endnote>
  <w:endnote w:type="continuationSeparator" w:id="0">
    <w:p w14:paraId="40CEE89A" w14:textId="77777777" w:rsidR="00C772DE" w:rsidRDefault="00C772DE" w:rsidP="00061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63A2" w14:textId="77777777" w:rsidR="00061DB7" w:rsidRDefault="00061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D1992" w14:textId="77777777" w:rsidR="00061DB7" w:rsidRDefault="00061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C8BA4" w14:textId="77777777" w:rsidR="00061DB7" w:rsidRDefault="00061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29F44" w14:textId="77777777" w:rsidR="00C772DE" w:rsidRDefault="00C772DE" w:rsidP="00061DB7">
      <w:pPr>
        <w:spacing w:after="0" w:line="240" w:lineRule="auto"/>
      </w:pPr>
      <w:r>
        <w:separator/>
      </w:r>
    </w:p>
  </w:footnote>
  <w:footnote w:type="continuationSeparator" w:id="0">
    <w:p w14:paraId="0BBB181E" w14:textId="77777777" w:rsidR="00C772DE" w:rsidRDefault="00C772DE" w:rsidP="00061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58E0F" w14:textId="474E0D91" w:rsidR="00061DB7" w:rsidRDefault="00C772DE">
    <w:pPr>
      <w:pStyle w:val="Header"/>
    </w:pPr>
    <w:r>
      <w:rPr>
        <w:noProof/>
      </w:rPr>
      <w:pict w14:anchorId="44032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7958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D1BB" w14:textId="28CD849E" w:rsidR="00061DB7" w:rsidRDefault="00C772DE">
    <w:pPr>
      <w:pStyle w:val="Header"/>
    </w:pPr>
    <w:r>
      <w:rPr>
        <w:noProof/>
      </w:rPr>
      <w:pict w14:anchorId="4AD00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7958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FFB8" w14:textId="3E043DE9" w:rsidR="00061DB7" w:rsidRDefault="00C772DE">
    <w:pPr>
      <w:pStyle w:val="Header"/>
    </w:pPr>
    <w:r>
      <w:rPr>
        <w:noProof/>
      </w:rPr>
      <w:pict w14:anchorId="7550F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7957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28D"/>
    <w:multiLevelType w:val="multilevel"/>
    <w:tmpl w:val="1B86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7355B"/>
    <w:multiLevelType w:val="multilevel"/>
    <w:tmpl w:val="683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13476"/>
    <w:multiLevelType w:val="multilevel"/>
    <w:tmpl w:val="95CE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F251B"/>
    <w:multiLevelType w:val="multilevel"/>
    <w:tmpl w:val="7D06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15086"/>
    <w:multiLevelType w:val="multilevel"/>
    <w:tmpl w:val="BFD4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B38A6"/>
    <w:multiLevelType w:val="multilevel"/>
    <w:tmpl w:val="0D44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26AB2"/>
    <w:multiLevelType w:val="multilevel"/>
    <w:tmpl w:val="0B30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968C5"/>
    <w:multiLevelType w:val="hybridMultilevel"/>
    <w:tmpl w:val="23A4B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16555"/>
    <w:multiLevelType w:val="multilevel"/>
    <w:tmpl w:val="5B82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22649"/>
    <w:multiLevelType w:val="multilevel"/>
    <w:tmpl w:val="E09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E2755"/>
    <w:multiLevelType w:val="multilevel"/>
    <w:tmpl w:val="4A1C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C6D15"/>
    <w:multiLevelType w:val="multilevel"/>
    <w:tmpl w:val="0DB0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F7570"/>
    <w:multiLevelType w:val="multilevel"/>
    <w:tmpl w:val="456E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8140A"/>
    <w:multiLevelType w:val="multilevel"/>
    <w:tmpl w:val="DD222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4"/>
  </w:num>
  <w:num w:numId="5">
    <w:abstractNumId w:val="9"/>
  </w:num>
  <w:num w:numId="6">
    <w:abstractNumId w:val="3"/>
  </w:num>
  <w:num w:numId="7">
    <w:abstractNumId w:val="0"/>
  </w:num>
  <w:num w:numId="8">
    <w:abstractNumId w:val="10"/>
  </w:num>
  <w:num w:numId="9">
    <w:abstractNumId w:val="13"/>
  </w:num>
  <w:num w:numId="10">
    <w:abstractNumId w:val="2"/>
  </w:num>
  <w:num w:numId="11">
    <w:abstractNumId w:val="11"/>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3NTY2NzU0MjQ0sTRT0lEKTi0uzszPAykwqgUA1yHxRSwAAAA="/>
  </w:docVars>
  <w:rsids>
    <w:rsidRoot w:val="007F1E54"/>
    <w:rsid w:val="000434D8"/>
    <w:rsid w:val="00045455"/>
    <w:rsid w:val="00061C40"/>
    <w:rsid w:val="00061DB7"/>
    <w:rsid w:val="00071E65"/>
    <w:rsid w:val="00097DB6"/>
    <w:rsid w:val="000A0EF5"/>
    <w:rsid w:val="000E5BDD"/>
    <w:rsid w:val="001069B3"/>
    <w:rsid w:val="00107C7F"/>
    <w:rsid w:val="00145C7F"/>
    <w:rsid w:val="00155FBD"/>
    <w:rsid w:val="001711EE"/>
    <w:rsid w:val="001D4108"/>
    <w:rsid w:val="001E4ED7"/>
    <w:rsid w:val="00224A07"/>
    <w:rsid w:val="002562CC"/>
    <w:rsid w:val="002579E5"/>
    <w:rsid w:val="0026467A"/>
    <w:rsid w:val="0027346E"/>
    <w:rsid w:val="00283F09"/>
    <w:rsid w:val="00290C2E"/>
    <w:rsid w:val="00297C2A"/>
    <w:rsid w:val="002C74B5"/>
    <w:rsid w:val="00356412"/>
    <w:rsid w:val="0039009A"/>
    <w:rsid w:val="00392F21"/>
    <w:rsid w:val="00394F61"/>
    <w:rsid w:val="003C25C7"/>
    <w:rsid w:val="00463BFD"/>
    <w:rsid w:val="00465DDE"/>
    <w:rsid w:val="00492BB7"/>
    <w:rsid w:val="004A39E9"/>
    <w:rsid w:val="004B68BD"/>
    <w:rsid w:val="004C29F9"/>
    <w:rsid w:val="004F063C"/>
    <w:rsid w:val="00540BE7"/>
    <w:rsid w:val="00556678"/>
    <w:rsid w:val="00583FEE"/>
    <w:rsid w:val="005877C7"/>
    <w:rsid w:val="006263D1"/>
    <w:rsid w:val="007369AA"/>
    <w:rsid w:val="00767231"/>
    <w:rsid w:val="007745F0"/>
    <w:rsid w:val="007911EF"/>
    <w:rsid w:val="007B1C97"/>
    <w:rsid w:val="007F1E54"/>
    <w:rsid w:val="0081029B"/>
    <w:rsid w:val="008143BF"/>
    <w:rsid w:val="00815479"/>
    <w:rsid w:val="0083273D"/>
    <w:rsid w:val="00876BE6"/>
    <w:rsid w:val="008B4A78"/>
    <w:rsid w:val="008B7AF4"/>
    <w:rsid w:val="008D5E53"/>
    <w:rsid w:val="008D7037"/>
    <w:rsid w:val="00915AFD"/>
    <w:rsid w:val="009B30C1"/>
    <w:rsid w:val="009B40FF"/>
    <w:rsid w:val="00A01C36"/>
    <w:rsid w:val="00A27DB6"/>
    <w:rsid w:val="00AA34AC"/>
    <w:rsid w:val="00AB331C"/>
    <w:rsid w:val="00AB7032"/>
    <w:rsid w:val="00AD57D0"/>
    <w:rsid w:val="00AE33BD"/>
    <w:rsid w:val="00AE4854"/>
    <w:rsid w:val="00B15158"/>
    <w:rsid w:val="00B405BF"/>
    <w:rsid w:val="00B65B8F"/>
    <w:rsid w:val="00B73A57"/>
    <w:rsid w:val="00B84424"/>
    <w:rsid w:val="00BA6A20"/>
    <w:rsid w:val="00C1144B"/>
    <w:rsid w:val="00C364A2"/>
    <w:rsid w:val="00C54741"/>
    <w:rsid w:val="00C67620"/>
    <w:rsid w:val="00C772DE"/>
    <w:rsid w:val="00C77E9B"/>
    <w:rsid w:val="00CC3F06"/>
    <w:rsid w:val="00D441FA"/>
    <w:rsid w:val="00D902A6"/>
    <w:rsid w:val="00DD58CE"/>
    <w:rsid w:val="00DE56CA"/>
    <w:rsid w:val="00DF3AC0"/>
    <w:rsid w:val="00E22A75"/>
    <w:rsid w:val="00E47A00"/>
    <w:rsid w:val="00E5063E"/>
    <w:rsid w:val="00E51099"/>
    <w:rsid w:val="00E6329B"/>
    <w:rsid w:val="00ED23DA"/>
    <w:rsid w:val="00EE23B4"/>
    <w:rsid w:val="00EE2A94"/>
    <w:rsid w:val="00F22988"/>
    <w:rsid w:val="00F57777"/>
    <w:rsid w:val="00F728D0"/>
    <w:rsid w:val="00F94CCA"/>
    <w:rsid w:val="00FD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32E55D"/>
  <w15:chartTrackingRefBased/>
  <w15:docId w15:val="{866509FB-F2D9-470A-984C-C5E9C161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E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F1E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F1E5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7F1E5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F1E5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F1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E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E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54"/>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7F1E5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7F1E54"/>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rsid w:val="007F1E54"/>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7F1E54"/>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7F1E5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F1E5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F1E5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F1E5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F1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E5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F1E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E5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F1E54"/>
    <w:pPr>
      <w:spacing w:before="160"/>
      <w:jc w:val="center"/>
    </w:pPr>
    <w:rPr>
      <w:i/>
      <w:iCs/>
      <w:color w:val="404040" w:themeColor="text1" w:themeTint="BF"/>
    </w:rPr>
  </w:style>
  <w:style w:type="character" w:customStyle="1" w:styleId="QuoteChar">
    <w:name w:val="Quote Char"/>
    <w:basedOn w:val="DefaultParagraphFont"/>
    <w:link w:val="Quote"/>
    <w:uiPriority w:val="29"/>
    <w:rsid w:val="007F1E54"/>
    <w:rPr>
      <w:i/>
      <w:iCs/>
      <w:color w:val="404040" w:themeColor="text1" w:themeTint="BF"/>
      <w:lang w:val="en-GB"/>
    </w:rPr>
  </w:style>
  <w:style w:type="paragraph" w:styleId="ListParagraph">
    <w:name w:val="List Paragraph"/>
    <w:basedOn w:val="Normal"/>
    <w:uiPriority w:val="34"/>
    <w:qFormat/>
    <w:rsid w:val="007F1E54"/>
    <w:pPr>
      <w:ind w:left="720"/>
      <w:contextualSpacing/>
    </w:pPr>
  </w:style>
  <w:style w:type="character" w:styleId="IntenseEmphasis">
    <w:name w:val="Intense Emphasis"/>
    <w:basedOn w:val="DefaultParagraphFont"/>
    <w:uiPriority w:val="21"/>
    <w:qFormat/>
    <w:rsid w:val="007F1E54"/>
    <w:rPr>
      <w:i/>
      <w:iCs/>
      <w:color w:val="2E74B5" w:themeColor="accent1" w:themeShade="BF"/>
    </w:rPr>
  </w:style>
  <w:style w:type="paragraph" w:styleId="IntenseQuote">
    <w:name w:val="Intense Quote"/>
    <w:basedOn w:val="Normal"/>
    <w:next w:val="Normal"/>
    <w:link w:val="IntenseQuoteChar"/>
    <w:uiPriority w:val="30"/>
    <w:qFormat/>
    <w:rsid w:val="007F1E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1E54"/>
    <w:rPr>
      <w:i/>
      <w:iCs/>
      <w:color w:val="2E74B5" w:themeColor="accent1" w:themeShade="BF"/>
      <w:lang w:val="en-GB"/>
    </w:rPr>
  </w:style>
  <w:style w:type="character" w:styleId="IntenseReference">
    <w:name w:val="Intense Reference"/>
    <w:basedOn w:val="DefaultParagraphFont"/>
    <w:uiPriority w:val="32"/>
    <w:qFormat/>
    <w:rsid w:val="007F1E54"/>
    <w:rPr>
      <w:b/>
      <w:bCs/>
      <w:smallCaps/>
      <w:color w:val="2E74B5" w:themeColor="accent1" w:themeShade="BF"/>
      <w:spacing w:val="5"/>
    </w:rPr>
  </w:style>
  <w:style w:type="paragraph" w:styleId="NormalWeb">
    <w:name w:val="Normal (Web)"/>
    <w:basedOn w:val="Normal"/>
    <w:uiPriority w:val="99"/>
    <w:semiHidden/>
    <w:unhideWhenUsed/>
    <w:rsid w:val="00492BB7"/>
    <w:rPr>
      <w:rFonts w:ascii="Times New Roman" w:hAnsi="Times New Roman" w:cs="Times New Roman"/>
      <w:sz w:val="24"/>
      <w:szCs w:val="24"/>
    </w:rPr>
  </w:style>
  <w:style w:type="character" w:styleId="Hyperlink">
    <w:name w:val="Hyperlink"/>
    <w:basedOn w:val="DefaultParagraphFont"/>
    <w:uiPriority w:val="99"/>
    <w:unhideWhenUsed/>
    <w:rsid w:val="00767231"/>
    <w:rPr>
      <w:color w:val="0563C1" w:themeColor="hyperlink"/>
      <w:u w:val="single"/>
    </w:rPr>
  </w:style>
  <w:style w:type="character" w:styleId="UnresolvedMention">
    <w:name w:val="Unresolved Mention"/>
    <w:basedOn w:val="DefaultParagraphFont"/>
    <w:uiPriority w:val="99"/>
    <w:semiHidden/>
    <w:unhideWhenUsed/>
    <w:rsid w:val="00767231"/>
    <w:rPr>
      <w:color w:val="605E5C"/>
      <w:shd w:val="clear" w:color="auto" w:fill="E1DFDD"/>
    </w:rPr>
  </w:style>
  <w:style w:type="table" w:styleId="TableGrid">
    <w:name w:val="Table Grid"/>
    <w:basedOn w:val="TableNormal"/>
    <w:uiPriority w:val="39"/>
    <w:rsid w:val="0081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DB7"/>
  </w:style>
  <w:style w:type="paragraph" w:styleId="Footer">
    <w:name w:val="footer"/>
    <w:basedOn w:val="Normal"/>
    <w:link w:val="FooterChar"/>
    <w:uiPriority w:val="99"/>
    <w:unhideWhenUsed/>
    <w:rsid w:val="0006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DB7"/>
  </w:style>
  <w:style w:type="paragraph" w:styleId="NoSpacing">
    <w:name w:val="No Spacing"/>
    <w:uiPriority w:val="1"/>
    <w:qFormat/>
    <w:rsid w:val="00B65B8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018">
      <w:bodyDiv w:val="1"/>
      <w:marLeft w:val="0"/>
      <w:marRight w:val="0"/>
      <w:marTop w:val="0"/>
      <w:marBottom w:val="0"/>
      <w:divBdr>
        <w:top w:val="none" w:sz="0" w:space="0" w:color="auto"/>
        <w:left w:val="none" w:sz="0" w:space="0" w:color="auto"/>
        <w:bottom w:val="none" w:sz="0" w:space="0" w:color="auto"/>
        <w:right w:val="none" w:sz="0" w:space="0" w:color="auto"/>
      </w:divBdr>
    </w:div>
    <w:div w:id="106388609">
      <w:bodyDiv w:val="1"/>
      <w:marLeft w:val="0"/>
      <w:marRight w:val="0"/>
      <w:marTop w:val="0"/>
      <w:marBottom w:val="0"/>
      <w:divBdr>
        <w:top w:val="none" w:sz="0" w:space="0" w:color="auto"/>
        <w:left w:val="none" w:sz="0" w:space="0" w:color="auto"/>
        <w:bottom w:val="none" w:sz="0" w:space="0" w:color="auto"/>
        <w:right w:val="none" w:sz="0" w:space="0" w:color="auto"/>
      </w:divBdr>
    </w:div>
    <w:div w:id="126164847">
      <w:bodyDiv w:val="1"/>
      <w:marLeft w:val="0"/>
      <w:marRight w:val="0"/>
      <w:marTop w:val="0"/>
      <w:marBottom w:val="0"/>
      <w:divBdr>
        <w:top w:val="none" w:sz="0" w:space="0" w:color="auto"/>
        <w:left w:val="none" w:sz="0" w:space="0" w:color="auto"/>
        <w:bottom w:val="none" w:sz="0" w:space="0" w:color="auto"/>
        <w:right w:val="none" w:sz="0" w:space="0" w:color="auto"/>
      </w:divBdr>
    </w:div>
    <w:div w:id="189611013">
      <w:bodyDiv w:val="1"/>
      <w:marLeft w:val="0"/>
      <w:marRight w:val="0"/>
      <w:marTop w:val="0"/>
      <w:marBottom w:val="0"/>
      <w:divBdr>
        <w:top w:val="none" w:sz="0" w:space="0" w:color="auto"/>
        <w:left w:val="none" w:sz="0" w:space="0" w:color="auto"/>
        <w:bottom w:val="none" w:sz="0" w:space="0" w:color="auto"/>
        <w:right w:val="none" w:sz="0" w:space="0" w:color="auto"/>
      </w:divBdr>
    </w:div>
    <w:div w:id="200362108">
      <w:bodyDiv w:val="1"/>
      <w:marLeft w:val="0"/>
      <w:marRight w:val="0"/>
      <w:marTop w:val="0"/>
      <w:marBottom w:val="0"/>
      <w:divBdr>
        <w:top w:val="none" w:sz="0" w:space="0" w:color="auto"/>
        <w:left w:val="none" w:sz="0" w:space="0" w:color="auto"/>
        <w:bottom w:val="none" w:sz="0" w:space="0" w:color="auto"/>
        <w:right w:val="none" w:sz="0" w:space="0" w:color="auto"/>
      </w:divBdr>
    </w:div>
    <w:div w:id="206526519">
      <w:bodyDiv w:val="1"/>
      <w:marLeft w:val="0"/>
      <w:marRight w:val="0"/>
      <w:marTop w:val="0"/>
      <w:marBottom w:val="0"/>
      <w:divBdr>
        <w:top w:val="none" w:sz="0" w:space="0" w:color="auto"/>
        <w:left w:val="none" w:sz="0" w:space="0" w:color="auto"/>
        <w:bottom w:val="none" w:sz="0" w:space="0" w:color="auto"/>
        <w:right w:val="none" w:sz="0" w:space="0" w:color="auto"/>
      </w:divBdr>
    </w:div>
    <w:div w:id="268467816">
      <w:bodyDiv w:val="1"/>
      <w:marLeft w:val="0"/>
      <w:marRight w:val="0"/>
      <w:marTop w:val="0"/>
      <w:marBottom w:val="0"/>
      <w:divBdr>
        <w:top w:val="none" w:sz="0" w:space="0" w:color="auto"/>
        <w:left w:val="none" w:sz="0" w:space="0" w:color="auto"/>
        <w:bottom w:val="none" w:sz="0" w:space="0" w:color="auto"/>
        <w:right w:val="none" w:sz="0" w:space="0" w:color="auto"/>
      </w:divBdr>
    </w:div>
    <w:div w:id="274295352">
      <w:bodyDiv w:val="1"/>
      <w:marLeft w:val="0"/>
      <w:marRight w:val="0"/>
      <w:marTop w:val="0"/>
      <w:marBottom w:val="0"/>
      <w:divBdr>
        <w:top w:val="none" w:sz="0" w:space="0" w:color="auto"/>
        <w:left w:val="none" w:sz="0" w:space="0" w:color="auto"/>
        <w:bottom w:val="none" w:sz="0" w:space="0" w:color="auto"/>
        <w:right w:val="none" w:sz="0" w:space="0" w:color="auto"/>
      </w:divBdr>
    </w:div>
    <w:div w:id="316306967">
      <w:bodyDiv w:val="1"/>
      <w:marLeft w:val="0"/>
      <w:marRight w:val="0"/>
      <w:marTop w:val="0"/>
      <w:marBottom w:val="0"/>
      <w:divBdr>
        <w:top w:val="none" w:sz="0" w:space="0" w:color="auto"/>
        <w:left w:val="none" w:sz="0" w:space="0" w:color="auto"/>
        <w:bottom w:val="none" w:sz="0" w:space="0" w:color="auto"/>
        <w:right w:val="none" w:sz="0" w:space="0" w:color="auto"/>
      </w:divBdr>
    </w:div>
    <w:div w:id="376392887">
      <w:bodyDiv w:val="1"/>
      <w:marLeft w:val="0"/>
      <w:marRight w:val="0"/>
      <w:marTop w:val="0"/>
      <w:marBottom w:val="0"/>
      <w:divBdr>
        <w:top w:val="none" w:sz="0" w:space="0" w:color="auto"/>
        <w:left w:val="none" w:sz="0" w:space="0" w:color="auto"/>
        <w:bottom w:val="none" w:sz="0" w:space="0" w:color="auto"/>
        <w:right w:val="none" w:sz="0" w:space="0" w:color="auto"/>
      </w:divBdr>
    </w:div>
    <w:div w:id="497616027">
      <w:bodyDiv w:val="1"/>
      <w:marLeft w:val="0"/>
      <w:marRight w:val="0"/>
      <w:marTop w:val="0"/>
      <w:marBottom w:val="0"/>
      <w:divBdr>
        <w:top w:val="none" w:sz="0" w:space="0" w:color="auto"/>
        <w:left w:val="none" w:sz="0" w:space="0" w:color="auto"/>
        <w:bottom w:val="none" w:sz="0" w:space="0" w:color="auto"/>
        <w:right w:val="none" w:sz="0" w:space="0" w:color="auto"/>
      </w:divBdr>
    </w:div>
    <w:div w:id="538467737">
      <w:bodyDiv w:val="1"/>
      <w:marLeft w:val="0"/>
      <w:marRight w:val="0"/>
      <w:marTop w:val="0"/>
      <w:marBottom w:val="0"/>
      <w:divBdr>
        <w:top w:val="none" w:sz="0" w:space="0" w:color="auto"/>
        <w:left w:val="none" w:sz="0" w:space="0" w:color="auto"/>
        <w:bottom w:val="none" w:sz="0" w:space="0" w:color="auto"/>
        <w:right w:val="none" w:sz="0" w:space="0" w:color="auto"/>
      </w:divBdr>
    </w:div>
    <w:div w:id="567109836">
      <w:bodyDiv w:val="1"/>
      <w:marLeft w:val="0"/>
      <w:marRight w:val="0"/>
      <w:marTop w:val="0"/>
      <w:marBottom w:val="0"/>
      <w:divBdr>
        <w:top w:val="none" w:sz="0" w:space="0" w:color="auto"/>
        <w:left w:val="none" w:sz="0" w:space="0" w:color="auto"/>
        <w:bottom w:val="none" w:sz="0" w:space="0" w:color="auto"/>
        <w:right w:val="none" w:sz="0" w:space="0" w:color="auto"/>
      </w:divBdr>
    </w:div>
    <w:div w:id="654072841">
      <w:bodyDiv w:val="1"/>
      <w:marLeft w:val="0"/>
      <w:marRight w:val="0"/>
      <w:marTop w:val="0"/>
      <w:marBottom w:val="0"/>
      <w:divBdr>
        <w:top w:val="none" w:sz="0" w:space="0" w:color="auto"/>
        <w:left w:val="none" w:sz="0" w:space="0" w:color="auto"/>
        <w:bottom w:val="none" w:sz="0" w:space="0" w:color="auto"/>
        <w:right w:val="none" w:sz="0" w:space="0" w:color="auto"/>
      </w:divBdr>
    </w:div>
    <w:div w:id="771247923">
      <w:bodyDiv w:val="1"/>
      <w:marLeft w:val="0"/>
      <w:marRight w:val="0"/>
      <w:marTop w:val="0"/>
      <w:marBottom w:val="0"/>
      <w:divBdr>
        <w:top w:val="none" w:sz="0" w:space="0" w:color="auto"/>
        <w:left w:val="none" w:sz="0" w:space="0" w:color="auto"/>
        <w:bottom w:val="none" w:sz="0" w:space="0" w:color="auto"/>
        <w:right w:val="none" w:sz="0" w:space="0" w:color="auto"/>
      </w:divBdr>
    </w:div>
    <w:div w:id="815417996">
      <w:bodyDiv w:val="1"/>
      <w:marLeft w:val="0"/>
      <w:marRight w:val="0"/>
      <w:marTop w:val="0"/>
      <w:marBottom w:val="0"/>
      <w:divBdr>
        <w:top w:val="none" w:sz="0" w:space="0" w:color="auto"/>
        <w:left w:val="none" w:sz="0" w:space="0" w:color="auto"/>
        <w:bottom w:val="none" w:sz="0" w:space="0" w:color="auto"/>
        <w:right w:val="none" w:sz="0" w:space="0" w:color="auto"/>
      </w:divBdr>
    </w:div>
    <w:div w:id="914778653">
      <w:bodyDiv w:val="1"/>
      <w:marLeft w:val="0"/>
      <w:marRight w:val="0"/>
      <w:marTop w:val="0"/>
      <w:marBottom w:val="0"/>
      <w:divBdr>
        <w:top w:val="none" w:sz="0" w:space="0" w:color="auto"/>
        <w:left w:val="none" w:sz="0" w:space="0" w:color="auto"/>
        <w:bottom w:val="none" w:sz="0" w:space="0" w:color="auto"/>
        <w:right w:val="none" w:sz="0" w:space="0" w:color="auto"/>
      </w:divBdr>
    </w:div>
    <w:div w:id="942029424">
      <w:bodyDiv w:val="1"/>
      <w:marLeft w:val="0"/>
      <w:marRight w:val="0"/>
      <w:marTop w:val="0"/>
      <w:marBottom w:val="0"/>
      <w:divBdr>
        <w:top w:val="none" w:sz="0" w:space="0" w:color="auto"/>
        <w:left w:val="none" w:sz="0" w:space="0" w:color="auto"/>
        <w:bottom w:val="none" w:sz="0" w:space="0" w:color="auto"/>
        <w:right w:val="none" w:sz="0" w:space="0" w:color="auto"/>
      </w:divBdr>
    </w:div>
    <w:div w:id="955520376">
      <w:bodyDiv w:val="1"/>
      <w:marLeft w:val="0"/>
      <w:marRight w:val="0"/>
      <w:marTop w:val="0"/>
      <w:marBottom w:val="0"/>
      <w:divBdr>
        <w:top w:val="none" w:sz="0" w:space="0" w:color="auto"/>
        <w:left w:val="none" w:sz="0" w:space="0" w:color="auto"/>
        <w:bottom w:val="none" w:sz="0" w:space="0" w:color="auto"/>
        <w:right w:val="none" w:sz="0" w:space="0" w:color="auto"/>
      </w:divBdr>
    </w:div>
    <w:div w:id="986132788">
      <w:bodyDiv w:val="1"/>
      <w:marLeft w:val="0"/>
      <w:marRight w:val="0"/>
      <w:marTop w:val="0"/>
      <w:marBottom w:val="0"/>
      <w:divBdr>
        <w:top w:val="none" w:sz="0" w:space="0" w:color="auto"/>
        <w:left w:val="none" w:sz="0" w:space="0" w:color="auto"/>
        <w:bottom w:val="none" w:sz="0" w:space="0" w:color="auto"/>
        <w:right w:val="none" w:sz="0" w:space="0" w:color="auto"/>
      </w:divBdr>
      <w:divsChild>
        <w:div w:id="605237443">
          <w:marLeft w:val="0"/>
          <w:marRight w:val="0"/>
          <w:marTop w:val="0"/>
          <w:marBottom w:val="0"/>
          <w:divBdr>
            <w:top w:val="none" w:sz="0" w:space="0" w:color="auto"/>
            <w:left w:val="none" w:sz="0" w:space="0" w:color="auto"/>
            <w:bottom w:val="none" w:sz="0" w:space="0" w:color="auto"/>
            <w:right w:val="none" w:sz="0" w:space="0" w:color="auto"/>
          </w:divBdr>
          <w:divsChild>
            <w:div w:id="970284560">
              <w:marLeft w:val="0"/>
              <w:marRight w:val="0"/>
              <w:marTop w:val="0"/>
              <w:marBottom w:val="0"/>
              <w:divBdr>
                <w:top w:val="none" w:sz="0" w:space="0" w:color="auto"/>
                <w:left w:val="none" w:sz="0" w:space="0" w:color="auto"/>
                <w:bottom w:val="none" w:sz="0" w:space="0" w:color="auto"/>
                <w:right w:val="none" w:sz="0" w:space="0" w:color="auto"/>
              </w:divBdr>
              <w:divsChild>
                <w:div w:id="1684697958">
                  <w:marLeft w:val="0"/>
                  <w:marRight w:val="0"/>
                  <w:marTop w:val="0"/>
                  <w:marBottom w:val="0"/>
                  <w:divBdr>
                    <w:top w:val="none" w:sz="0" w:space="0" w:color="auto"/>
                    <w:left w:val="none" w:sz="0" w:space="0" w:color="auto"/>
                    <w:bottom w:val="none" w:sz="0" w:space="0" w:color="auto"/>
                    <w:right w:val="none" w:sz="0" w:space="0" w:color="auto"/>
                  </w:divBdr>
                  <w:divsChild>
                    <w:div w:id="1037973811">
                      <w:marLeft w:val="0"/>
                      <w:marRight w:val="0"/>
                      <w:marTop w:val="0"/>
                      <w:marBottom w:val="0"/>
                      <w:divBdr>
                        <w:top w:val="none" w:sz="0" w:space="0" w:color="auto"/>
                        <w:left w:val="none" w:sz="0" w:space="0" w:color="auto"/>
                        <w:bottom w:val="none" w:sz="0" w:space="0" w:color="auto"/>
                        <w:right w:val="none" w:sz="0" w:space="0" w:color="auto"/>
                      </w:divBdr>
                      <w:divsChild>
                        <w:div w:id="1665888315">
                          <w:marLeft w:val="0"/>
                          <w:marRight w:val="0"/>
                          <w:marTop w:val="0"/>
                          <w:marBottom w:val="0"/>
                          <w:divBdr>
                            <w:top w:val="none" w:sz="0" w:space="0" w:color="auto"/>
                            <w:left w:val="none" w:sz="0" w:space="0" w:color="auto"/>
                            <w:bottom w:val="none" w:sz="0" w:space="0" w:color="auto"/>
                            <w:right w:val="none" w:sz="0" w:space="0" w:color="auto"/>
                          </w:divBdr>
                          <w:divsChild>
                            <w:div w:id="1686252056">
                              <w:marLeft w:val="0"/>
                              <w:marRight w:val="0"/>
                              <w:marTop w:val="0"/>
                              <w:marBottom w:val="0"/>
                              <w:divBdr>
                                <w:top w:val="none" w:sz="0" w:space="0" w:color="auto"/>
                                <w:left w:val="none" w:sz="0" w:space="0" w:color="auto"/>
                                <w:bottom w:val="none" w:sz="0" w:space="0" w:color="auto"/>
                                <w:right w:val="none" w:sz="0" w:space="0" w:color="auto"/>
                              </w:divBdr>
                              <w:divsChild>
                                <w:div w:id="4929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351936">
      <w:bodyDiv w:val="1"/>
      <w:marLeft w:val="0"/>
      <w:marRight w:val="0"/>
      <w:marTop w:val="0"/>
      <w:marBottom w:val="0"/>
      <w:divBdr>
        <w:top w:val="none" w:sz="0" w:space="0" w:color="auto"/>
        <w:left w:val="none" w:sz="0" w:space="0" w:color="auto"/>
        <w:bottom w:val="none" w:sz="0" w:space="0" w:color="auto"/>
        <w:right w:val="none" w:sz="0" w:space="0" w:color="auto"/>
      </w:divBdr>
    </w:div>
    <w:div w:id="1115826356">
      <w:bodyDiv w:val="1"/>
      <w:marLeft w:val="0"/>
      <w:marRight w:val="0"/>
      <w:marTop w:val="0"/>
      <w:marBottom w:val="0"/>
      <w:divBdr>
        <w:top w:val="none" w:sz="0" w:space="0" w:color="auto"/>
        <w:left w:val="none" w:sz="0" w:space="0" w:color="auto"/>
        <w:bottom w:val="none" w:sz="0" w:space="0" w:color="auto"/>
        <w:right w:val="none" w:sz="0" w:space="0" w:color="auto"/>
      </w:divBdr>
    </w:div>
    <w:div w:id="1148206467">
      <w:bodyDiv w:val="1"/>
      <w:marLeft w:val="0"/>
      <w:marRight w:val="0"/>
      <w:marTop w:val="0"/>
      <w:marBottom w:val="0"/>
      <w:divBdr>
        <w:top w:val="none" w:sz="0" w:space="0" w:color="auto"/>
        <w:left w:val="none" w:sz="0" w:space="0" w:color="auto"/>
        <w:bottom w:val="none" w:sz="0" w:space="0" w:color="auto"/>
        <w:right w:val="none" w:sz="0" w:space="0" w:color="auto"/>
      </w:divBdr>
    </w:div>
    <w:div w:id="1175539098">
      <w:bodyDiv w:val="1"/>
      <w:marLeft w:val="0"/>
      <w:marRight w:val="0"/>
      <w:marTop w:val="0"/>
      <w:marBottom w:val="0"/>
      <w:divBdr>
        <w:top w:val="none" w:sz="0" w:space="0" w:color="auto"/>
        <w:left w:val="none" w:sz="0" w:space="0" w:color="auto"/>
        <w:bottom w:val="none" w:sz="0" w:space="0" w:color="auto"/>
        <w:right w:val="none" w:sz="0" w:space="0" w:color="auto"/>
      </w:divBdr>
    </w:div>
    <w:div w:id="1179614526">
      <w:bodyDiv w:val="1"/>
      <w:marLeft w:val="0"/>
      <w:marRight w:val="0"/>
      <w:marTop w:val="0"/>
      <w:marBottom w:val="0"/>
      <w:divBdr>
        <w:top w:val="none" w:sz="0" w:space="0" w:color="auto"/>
        <w:left w:val="none" w:sz="0" w:space="0" w:color="auto"/>
        <w:bottom w:val="none" w:sz="0" w:space="0" w:color="auto"/>
        <w:right w:val="none" w:sz="0" w:space="0" w:color="auto"/>
      </w:divBdr>
    </w:div>
    <w:div w:id="1180001224">
      <w:bodyDiv w:val="1"/>
      <w:marLeft w:val="0"/>
      <w:marRight w:val="0"/>
      <w:marTop w:val="0"/>
      <w:marBottom w:val="0"/>
      <w:divBdr>
        <w:top w:val="none" w:sz="0" w:space="0" w:color="auto"/>
        <w:left w:val="none" w:sz="0" w:space="0" w:color="auto"/>
        <w:bottom w:val="none" w:sz="0" w:space="0" w:color="auto"/>
        <w:right w:val="none" w:sz="0" w:space="0" w:color="auto"/>
      </w:divBdr>
    </w:div>
    <w:div w:id="1215316974">
      <w:bodyDiv w:val="1"/>
      <w:marLeft w:val="0"/>
      <w:marRight w:val="0"/>
      <w:marTop w:val="0"/>
      <w:marBottom w:val="0"/>
      <w:divBdr>
        <w:top w:val="none" w:sz="0" w:space="0" w:color="auto"/>
        <w:left w:val="none" w:sz="0" w:space="0" w:color="auto"/>
        <w:bottom w:val="none" w:sz="0" w:space="0" w:color="auto"/>
        <w:right w:val="none" w:sz="0" w:space="0" w:color="auto"/>
      </w:divBdr>
    </w:div>
    <w:div w:id="1263369995">
      <w:bodyDiv w:val="1"/>
      <w:marLeft w:val="0"/>
      <w:marRight w:val="0"/>
      <w:marTop w:val="0"/>
      <w:marBottom w:val="0"/>
      <w:divBdr>
        <w:top w:val="none" w:sz="0" w:space="0" w:color="auto"/>
        <w:left w:val="none" w:sz="0" w:space="0" w:color="auto"/>
        <w:bottom w:val="none" w:sz="0" w:space="0" w:color="auto"/>
        <w:right w:val="none" w:sz="0" w:space="0" w:color="auto"/>
      </w:divBdr>
    </w:div>
    <w:div w:id="1375152393">
      <w:bodyDiv w:val="1"/>
      <w:marLeft w:val="0"/>
      <w:marRight w:val="0"/>
      <w:marTop w:val="0"/>
      <w:marBottom w:val="0"/>
      <w:divBdr>
        <w:top w:val="none" w:sz="0" w:space="0" w:color="auto"/>
        <w:left w:val="none" w:sz="0" w:space="0" w:color="auto"/>
        <w:bottom w:val="none" w:sz="0" w:space="0" w:color="auto"/>
        <w:right w:val="none" w:sz="0" w:space="0" w:color="auto"/>
      </w:divBdr>
    </w:div>
    <w:div w:id="1471362205">
      <w:bodyDiv w:val="1"/>
      <w:marLeft w:val="0"/>
      <w:marRight w:val="0"/>
      <w:marTop w:val="0"/>
      <w:marBottom w:val="0"/>
      <w:divBdr>
        <w:top w:val="none" w:sz="0" w:space="0" w:color="auto"/>
        <w:left w:val="none" w:sz="0" w:space="0" w:color="auto"/>
        <w:bottom w:val="none" w:sz="0" w:space="0" w:color="auto"/>
        <w:right w:val="none" w:sz="0" w:space="0" w:color="auto"/>
      </w:divBdr>
      <w:divsChild>
        <w:div w:id="606816674">
          <w:marLeft w:val="0"/>
          <w:marRight w:val="0"/>
          <w:marTop w:val="0"/>
          <w:marBottom w:val="0"/>
          <w:divBdr>
            <w:top w:val="none" w:sz="0" w:space="0" w:color="auto"/>
            <w:left w:val="none" w:sz="0" w:space="0" w:color="auto"/>
            <w:bottom w:val="none" w:sz="0" w:space="0" w:color="auto"/>
            <w:right w:val="none" w:sz="0" w:space="0" w:color="auto"/>
          </w:divBdr>
          <w:divsChild>
            <w:div w:id="1878547824">
              <w:marLeft w:val="0"/>
              <w:marRight w:val="0"/>
              <w:marTop w:val="0"/>
              <w:marBottom w:val="0"/>
              <w:divBdr>
                <w:top w:val="none" w:sz="0" w:space="0" w:color="auto"/>
                <w:left w:val="none" w:sz="0" w:space="0" w:color="auto"/>
                <w:bottom w:val="none" w:sz="0" w:space="0" w:color="auto"/>
                <w:right w:val="none" w:sz="0" w:space="0" w:color="auto"/>
              </w:divBdr>
              <w:divsChild>
                <w:div w:id="639654911">
                  <w:marLeft w:val="0"/>
                  <w:marRight w:val="0"/>
                  <w:marTop w:val="0"/>
                  <w:marBottom w:val="0"/>
                  <w:divBdr>
                    <w:top w:val="none" w:sz="0" w:space="0" w:color="auto"/>
                    <w:left w:val="none" w:sz="0" w:space="0" w:color="auto"/>
                    <w:bottom w:val="none" w:sz="0" w:space="0" w:color="auto"/>
                    <w:right w:val="none" w:sz="0" w:space="0" w:color="auto"/>
                  </w:divBdr>
                  <w:divsChild>
                    <w:div w:id="398016644">
                      <w:marLeft w:val="0"/>
                      <w:marRight w:val="0"/>
                      <w:marTop w:val="0"/>
                      <w:marBottom w:val="0"/>
                      <w:divBdr>
                        <w:top w:val="none" w:sz="0" w:space="0" w:color="auto"/>
                        <w:left w:val="none" w:sz="0" w:space="0" w:color="auto"/>
                        <w:bottom w:val="none" w:sz="0" w:space="0" w:color="auto"/>
                        <w:right w:val="none" w:sz="0" w:space="0" w:color="auto"/>
                      </w:divBdr>
                      <w:divsChild>
                        <w:div w:id="718483066">
                          <w:marLeft w:val="0"/>
                          <w:marRight w:val="0"/>
                          <w:marTop w:val="0"/>
                          <w:marBottom w:val="0"/>
                          <w:divBdr>
                            <w:top w:val="none" w:sz="0" w:space="0" w:color="auto"/>
                            <w:left w:val="none" w:sz="0" w:space="0" w:color="auto"/>
                            <w:bottom w:val="none" w:sz="0" w:space="0" w:color="auto"/>
                            <w:right w:val="none" w:sz="0" w:space="0" w:color="auto"/>
                          </w:divBdr>
                          <w:divsChild>
                            <w:div w:id="960186441">
                              <w:marLeft w:val="0"/>
                              <w:marRight w:val="0"/>
                              <w:marTop w:val="0"/>
                              <w:marBottom w:val="0"/>
                              <w:divBdr>
                                <w:top w:val="none" w:sz="0" w:space="0" w:color="auto"/>
                                <w:left w:val="none" w:sz="0" w:space="0" w:color="auto"/>
                                <w:bottom w:val="none" w:sz="0" w:space="0" w:color="auto"/>
                                <w:right w:val="none" w:sz="0" w:space="0" w:color="auto"/>
                              </w:divBdr>
                              <w:divsChild>
                                <w:div w:id="15099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773264">
      <w:bodyDiv w:val="1"/>
      <w:marLeft w:val="0"/>
      <w:marRight w:val="0"/>
      <w:marTop w:val="0"/>
      <w:marBottom w:val="0"/>
      <w:divBdr>
        <w:top w:val="none" w:sz="0" w:space="0" w:color="auto"/>
        <w:left w:val="none" w:sz="0" w:space="0" w:color="auto"/>
        <w:bottom w:val="none" w:sz="0" w:space="0" w:color="auto"/>
        <w:right w:val="none" w:sz="0" w:space="0" w:color="auto"/>
      </w:divBdr>
    </w:div>
    <w:div w:id="1541628065">
      <w:bodyDiv w:val="1"/>
      <w:marLeft w:val="0"/>
      <w:marRight w:val="0"/>
      <w:marTop w:val="0"/>
      <w:marBottom w:val="0"/>
      <w:divBdr>
        <w:top w:val="none" w:sz="0" w:space="0" w:color="auto"/>
        <w:left w:val="none" w:sz="0" w:space="0" w:color="auto"/>
        <w:bottom w:val="none" w:sz="0" w:space="0" w:color="auto"/>
        <w:right w:val="none" w:sz="0" w:space="0" w:color="auto"/>
      </w:divBdr>
    </w:div>
    <w:div w:id="1695299914">
      <w:bodyDiv w:val="1"/>
      <w:marLeft w:val="0"/>
      <w:marRight w:val="0"/>
      <w:marTop w:val="0"/>
      <w:marBottom w:val="0"/>
      <w:divBdr>
        <w:top w:val="none" w:sz="0" w:space="0" w:color="auto"/>
        <w:left w:val="none" w:sz="0" w:space="0" w:color="auto"/>
        <w:bottom w:val="none" w:sz="0" w:space="0" w:color="auto"/>
        <w:right w:val="none" w:sz="0" w:space="0" w:color="auto"/>
      </w:divBdr>
    </w:div>
    <w:div w:id="1704944618">
      <w:bodyDiv w:val="1"/>
      <w:marLeft w:val="0"/>
      <w:marRight w:val="0"/>
      <w:marTop w:val="0"/>
      <w:marBottom w:val="0"/>
      <w:divBdr>
        <w:top w:val="none" w:sz="0" w:space="0" w:color="auto"/>
        <w:left w:val="none" w:sz="0" w:space="0" w:color="auto"/>
        <w:bottom w:val="none" w:sz="0" w:space="0" w:color="auto"/>
        <w:right w:val="none" w:sz="0" w:space="0" w:color="auto"/>
      </w:divBdr>
      <w:divsChild>
        <w:div w:id="15153809">
          <w:marLeft w:val="0"/>
          <w:marRight w:val="0"/>
          <w:marTop w:val="0"/>
          <w:marBottom w:val="0"/>
          <w:divBdr>
            <w:top w:val="none" w:sz="0" w:space="0" w:color="auto"/>
            <w:left w:val="none" w:sz="0" w:space="0" w:color="auto"/>
            <w:bottom w:val="none" w:sz="0" w:space="0" w:color="auto"/>
            <w:right w:val="none" w:sz="0" w:space="0" w:color="auto"/>
          </w:divBdr>
          <w:divsChild>
            <w:div w:id="1708329321">
              <w:marLeft w:val="0"/>
              <w:marRight w:val="0"/>
              <w:marTop w:val="0"/>
              <w:marBottom w:val="0"/>
              <w:divBdr>
                <w:top w:val="none" w:sz="0" w:space="0" w:color="auto"/>
                <w:left w:val="none" w:sz="0" w:space="0" w:color="auto"/>
                <w:bottom w:val="none" w:sz="0" w:space="0" w:color="auto"/>
                <w:right w:val="none" w:sz="0" w:space="0" w:color="auto"/>
              </w:divBdr>
              <w:divsChild>
                <w:div w:id="624503453">
                  <w:marLeft w:val="0"/>
                  <w:marRight w:val="0"/>
                  <w:marTop w:val="0"/>
                  <w:marBottom w:val="0"/>
                  <w:divBdr>
                    <w:top w:val="none" w:sz="0" w:space="0" w:color="auto"/>
                    <w:left w:val="none" w:sz="0" w:space="0" w:color="auto"/>
                    <w:bottom w:val="none" w:sz="0" w:space="0" w:color="auto"/>
                    <w:right w:val="none" w:sz="0" w:space="0" w:color="auto"/>
                  </w:divBdr>
                  <w:divsChild>
                    <w:div w:id="1423643620">
                      <w:marLeft w:val="0"/>
                      <w:marRight w:val="0"/>
                      <w:marTop w:val="0"/>
                      <w:marBottom w:val="0"/>
                      <w:divBdr>
                        <w:top w:val="none" w:sz="0" w:space="0" w:color="auto"/>
                        <w:left w:val="none" w:sz="0" w:space="0" w:color="auto"/>
                        <w:bottom w:val="none" w:sz="0" w:space="0" w:color="auto"/>
                        <w:right w:val="none" w:sz="0" w:space="0" w:color="auto"/>
                      </w:divBdr>
                      <w:divsChild>
                        <w:div w:id="1133523887">
                          <w:marLeft w:val="0"/>
                          <w:marRight w:val="0"/>
                          <w:marTop w:val="0"/>
                          <w:marBottom w:val="0"/>
                          <w:divBdr>
                            <w:top w:val="none" w:sz="0" w:space="0" w:color="auto"/>
                            <w:left w:val="none" w:sz="0" w:space="0" w:color="auto"/>
                            <w:bottom w:val="none" w:sz="0" w:space="0" w:color="auto"/>
                            <w:right w:val="none" w:sz="0" w:space="0" w:color="auto"/>
                          </w:divBdr>
                          <w:divsChild>
                            <w:div w:id="1782408634">
                              <w:marLeft w:val="0"/>
                              <w:marRight w:val="0"/>
                              <w:marTop w:val="0"/>
                              <w:marBottom w:val="0"/>
                              <w:divBdr>
                                <w:top w:val="none" w:sz="0" w:space="0" w:color="auto"/>
                                <w:left w:val="none" w:sz="0" w:space="0" w:color="auto"/>
                                <w:bottom w:val="none" w:sz="0" w:space="0" w:color="auto"/>
                                <w:right w:val="none" w:sz="0" w:space="0" w:color="auto"/>
                              </w:divBdr>
                              <w:divsChild>
                                <w:div w:id="2450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207747">
      <w:bodyDiv w:val="1"/>
      <w:marLeft w:val="0"/>
      <w:marRight w:val="0"/>
      <w:marTop w:val="0"/>
      <w:marBottom w:val="0"/>
      <w:divBdr>
        <w:top w:val="none" w:sz="0" w:space="0" w:color="auto"/>
        <w:left w:val="none" w:sz="0" w:space="0" w:color="auto"/>
        <w:bottom w:val="none" w:sz="0" w:space="0" w:color="auto"/>
        <w:right w:val="none" w:sz="0" w:space="0" w:color="auto"/>
      </w:divBdr>
    </w:div>
    <w:div w:id="1835946357">
      <w:bodyDiv w:val="1"/>
      <w:marLeft w:val="0"/>
      <w:marRight w:val="0"/>
      <w:marTop w:val="0"/>
      <w:marBottom w:val="0"/>
      <w:divBdr>
        <w:top w:val="none" w:sz="0" w:space="0" w:color="auto"/>
        <w:left w:val="none" w:sz="0" w:space="0" w:color="auto"/>
        <w:bottom w:val="none" w:sz="0" w:space="0" w:color="auto"/>
        <w:right w:val="none" w:sz="0" w:space="0" w:color="auto"/>
      </w:divBdr>
      <w:divsChild>
        <w:div w:id="1632785016">
          <w:marLeft w:val="0"/>
          <w:marRight w:val="0"/>
          <w:marTop w:val="0"/>
          <w:marBottom w:val="0"/>
          <w:divBdr>
            <w:top w:val="none" w:sz="0" w:space="0" w:color="auto"/>
            <w:left w:val="none" w:sz="0" w:space="0" w:color="auto"/>
            <w:bottom w:val="none" w:sz="0" w:space="0" w:color="auto"/>
            <w:right w:val="none" w:sz="0" w:space="0" w:color="auto"/>
          </w:divBdr>
          <w:divsChild>
            <w:div w:id="348719721">
              <w:marLeft w:val="0"/>
              <w:marRight w:val="0"/>
              <w:marTop w:val="0"/>
              <w:marBottom w:val="0"/>
              <w:divBdr>
                <w:top w:val="none" w:sz="0" w:space="0" w:color="auto"/>
                <w:left w:val="none" w:sz="0" w:space="0" w:color="auto"/>
                <w:bottom w:val="none" w:sz="0" w:space="0" w:color="auto"/>
                <w:right w:val="none" w:sz="0" w:space="0" w:color="auto"/>
              </w:divBdr>
              <w:divsChild>
                <w:div w:id="752971517">
                  <w:marLeft w:val="0"/>
                  <w:marRight w:val="0"/>
                  <w:marTop w:val="0"/>
                  <w:marBottom w:val="0"/>
                  <w:divBdr>
                    <w:top w:val="none" w:sz="0" w:space="0" w:color="auto"/>
                    <w:left w:val="none" w:sz="0" w:space="0" w:color="auto"/>
                    <w:bottom w:val="none" w:sz="0" w:space="0" w:color="auto"/>
                    <w:right w:val="none" w:sz="0" w:space="0" w:color="auto"/>
                  </w:divBdr>
                  <w:divsChild>
                    <w:div w:id="1307276694">
                      <w:marLeft w:val="0"/>
                      <w:marRight w:val="0"/>
                      <w:marTop w:val="0"/>
                      <w:marBottom w:val="0"/>
                      <w:divBdr>
                        <w:top w:val="none" w:sz="0" w:space="0" w:color="auto"/>
                        <w:left w:val="none" w:sz="0" w:space="0" w:color="auto"/>
                        <w:bottom w:val="none" w:sz="0" w:space="0" w:color="auto"/>
                        <w:right w:val="none" w:sz="0" w:space="0" w:color="auto"/>
                      </w:divBdr>
                      <w:divsChild>
                        <w:div w:id="663167247">
                          <w:marLeft w:val="0"/>
                          <w:marRight w:val="0"/>
                          <w:marTop w:val="0"/>
                          <w:marBottom w:val="0"/>
                          <w:divBdr>
                            <w:top w:val="none" w:sz="0" w:space="0" w:color="auto"/>
                            <w:left w:val="none" w:sz="0" w:space="0" w:color="auto"/>
                            <w:bottom w:val="none" w:sz="0" w:space="0" w:color="auto"/>
                            <w:right w:val="none" w:sz="0" w:space="0" w:color="auto"/>
                          </w:divBdr>
                          <w:divsChild>
                            <w:div w:id="1877160711">
                              <w:marLeft w:val="0"/>
                              <w:marRight w:val="0"/>
                              <w:marTop w:val="0"/>
                              <w:marBottom w:val="0"/>
                              <w:divBdr>
                                <w:top w:val="none" w:sz="0" w:space="0" w:color="auto"/>
                                <w:left w:val="none" w:sz="0" w:space="0" w:color="auto"/>
                                <w:bottom w:val="none" w:sz="0" w:space="0" w:color="auto"/>
                                <w:right w:val="none" w:sz="0" w:space="0" w:color="auto"/>
                              </w:divBdr>
                              <w:divsChild>
                                <w:div w:id="2515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732684">
      <w:bodyDiv w:val="1"/>
      <w:marLeft w:val="0"/>
      <w:marRight w:val="0"/>
      <w:marTop w:val="0"/>
      <w:marBottom w:val="0"/>
      <w:divBdr>
        <w:top w:val="none" w:sz="0" w:space="0" w:color="auto"/>
        <w:left w:val="none" w:sz="0" w:space="0" w:color="auto"/>
        <w:bottom w:val="none" w:sz="0" w:space="0" w:color="auto"/>
        <w:right w:val="none" w:sz="0" w:space="0" w:color="auto"/>
      </w:divBdr>
    </w:div>
    <w:div w:id="1887182194">
      <w:bodyDiv w:val="1"/>
      <w:marLeft w:val="0"/>
      <w:marRight w:val="0"/>
      <w:marTop w:val="0"/>
      <w:marBottom w:val="0"/>
      <w:divBdr>
        <w:top w:val="none" w:sz="0" w:space="0" w:color="auto"/>
        <w:left w:val="none" w:sz="0" w:space="0" w:color="auto"/>
        <w:bottom w:val="none" w:sz="0" w:space="0" w:color="auto"/>
        <w:right w:val="none" w:sz="0" w:space="0" w:color="auto"/>
      </w:divBdr>
    </w:div>
    <w:div w:id="1897156995">
      <w:bodyDiv w:val="1"/>
      <w:marLeft w:val="0"/>
      <w:marRight w:val="0"/>
      <w:marTop w:val="0"/>
      <w:marBottom w:val="0"/>
      <w:divBdr>
        <w:top w:val="none" w:sz="0" w:space="0" w:color="auto"/>
        <w:left w:val="none" w:sz="0" w:space="0" w:color="auto"/>
        <w:bottom w:val="none" w:sz="0" w:space="0" w:color="auto"/>
        <w:right w:val="none" w:sz="0" w:space="0" w:color="auto"/>
      </w:divBdr>
    </w:div>
    <w:div w:id="1950618792">
      <w:bodyDiv w:val="1"/>
      <w:marLeft w:val="0"/>
      <w:marRight w:val="0"/>
      <w:marTop w:val="0"/>
      <w:marBottom w:val="0"/>
      <w:divBdr>
        <w:top w:val="none" w:sz="0" w:space="0" w:color="auto"/>
        <w:left w:val="none" w:sz="0" w:space="0" w:color="auto"/>
        <w:bottom w:val="none" w:sz="0" w:space="0" w:color="auto"/>
        <w:right w:val="none" w:sz="0" w:space="0" w:color="auto"/>
      </w:divBdr>
    </w:div>
    <w:div w:id="2058508009">
      <w:bodyDiv w:val="1"/>
      <w:marLeft w:val="0"/>
      <w:marRight w:val="0"/>
      <w:marTop w:val="0"/>
      <w:marBottom w:val="0"/>
      <w:divBdr>
        <w:top w:val="none" w:sz="0" w:space="0" w:color="auto"/>
        <w:left w:val="none" w:sz="0" w:space="0" w:color="auto"/>
        <w:bottom w:val="none" w:sz="0" w:space="0" w:color="auto"/>
        <w:right w:val="none" w:sz="0" w:space="0" w:color="auto"/>
      </w:divBdr>
    </w:div>
    <w:div w:id="212900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uc.2021.06.014" TargetMode="External"/><Relationship Id="rId13" Type="http://schemas.openxmlformats.org/officeDocument/2006/relationships/hyperlink" Target="https://doi.org/10.1186/s13049-023-01145-2" TargetMode="External"/><Relationship Id="rId18" Type="http://schemas.openxmlformats.org/officeDocument/2006/relationships/hyperlink" Target="https://doi.org/10.3390/curroncol3108034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7759/cureus.50169" TargetMode="External"/><Relationship Id="rId17" Type="http://schemas.openxmlformats.org/officeDocument/2006/relationships/hyperlink" Target="https://doi.org/10.7196/SAMJ.2021.v111i4.1543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7/JXX.000000000000055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69-019-0166-5"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1472-6963-12-382" TargetMode="External"/><Relationship Id="rId23" Type="http://schemas.openxmlformats.org/officeDocument/2006/relationships/header" Target="header3.xml"/><Relationship Id="rId10" Type="http://schemas.openxmlformats.org/officeDocument/2006/relationships/hyperlink" Target="https://doi.org/10.1097/MCC.000000000000056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2968/bjon.2020.29.21.1248" TargetMode="External"/><Relationship Id="rId14" Type="http://schemas.openxmlformats.org/officeDocument/2006/relationships/hyperlink" Target="https://doi.org/10.1016/j.mcna.2024.04.01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2211</TotalTime>
  <Pages>18</Pages>
  <Words>8820</Words>
  <Characters>50277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1020</cp:lastModifiedBy>
  <cp:revision>21</cp:revision>
  <dcterms:created xsi:type="dcterms:W3CDTF">2026-02-24T10:21:00Z</dcterms:created>
  <dcterms:modified xsi:type="dcterms:W3CDTF">2026-03-13T09:42:00Z</dcterms:modified>
</cp:coreProperties>
</file>