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oter4.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numbering.xml" ContentType="application/vnd.openxmlformats-officedocument.wordprocessingml.numbering+xml"/>
  <Override PartName="/word/header5.xml" ContentType="application/vnd.openxmlformats-officedocument.wordprocessingml.header+xml"/>
  <Override PartName="/word/settings.xml" ContentType="application/vnd.openxmlformats-officedocument.wordprocessingml.settings+xml"/>
  <Override PartName="/docProps/custom.xml" ContentType="application/vnd.openxmlformats-officedocument.custom-properties+xml"/>
  <Override PartName="/word/header2.xml" ContentType="application/vnd.openxmlformats-officedocument.wordprocessingml.header+xml"/>
  <Override PartName="/word/footer3.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rPr/>
      </w:pPr>
      <w:r>
        <w:t>Fluid Management Strategies in Major Surgery: Restrictive vs. Liberal Approaches</w:t>
      </w:r>
    </w:p>
    <w:p>
      <w:pPr>
        <w:pStyle w:val="style0"/>
        <w:rPr/>
      </w:pPr>
    </w:p>
    <w:p>
      <w:pPr>
        <w:pStyle w:val="style0"/>
        <w:rPr/>
      </w:pPr>
    </w:p>
    <w:p>
      <w:pPr>
        <w:pStyle w:val="style0"/>
        <w:rPr/>
      </w:pPr>
    </w:p>
    <w:p>
      <w:pPr>
        <w:pStyle w:val="style0"/>
        <w:rPr/>
      </w:pPr>
      <w:r>
        <w:rPr>
          <w:lang w:val="en-US"/>
        </w:rPr>
        <w:t xml:space="preserve">Abstract </w:t>
      </w:r>
    </w:p>
    <w:p>
      <w:pPr>
        <w:pStyle w:val="style0"/>
        <w:rPr/>
      </w:pPr>
      <w:r>
        <w:rPr>
          <w:lang w:val="en-US"/>
        </w:rPr>
        <w:t xml:space="preserve">During major surgery, perioperative intravenous fluid therapy is a very important component of anesthetic and surgical care owing to its profound implications for patient morbidity, mortality, and healthcare utilization. Both fluid overload and hypovolemia have been associated with various organ-specific complications as well as impaired wound healing and delayed gastrointestinal recovery. Liberal fluid administration was the main practice in the past due to concerns about fasting deficits and presumed third space losses. However, mounting evidence has demonstrated the detrimental effects of excessive fluid therapy, triggering a shift towards more restrictive approaches. Despite this development, consensus on approach still hasn't been achieved due to inconsistent definitions, heterogeneity of study designs, and variability of clinical practices. </w:t>
      </w:r>
    </w:p>
    <w:p>
      <w:pPr>
        <w:pStyle w:val="style0"/>
        <w:spacing w:lineRule="auto" w:line="276"/>
        <w:jc w:val="left"/>
        <w:rPr>
          <w:lang w:val="en-US"/>
        </w:rPr>
      </w:pPr>
      <w:r>
        <w:rPr>
          <w:rFonts w:ascii="Arial" w:cs="Arial" w:eastAsia="Arial" w:hAnsi="Arial" w:hint="default"/>
          <w:b w:val="false"/>
          <w:bCs w:val="false"/>
          <w:i w:val="false"/>
          <w:iCs w:val="false"/>
          <w:color w:val="auto"/>
          <w:sz w:val="22"/>
          <w:szCs w:val="22"/>
          <w:highlight w:val="none"/>
          <w:vertAlign w:val="baseline"/>
          <w:em w:val="none"/>
          <w:lang w:val="en-US" w:eastAsia="en-US"/>
        </w:rPr>
        <w:t>This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narrative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review</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searched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PubMed,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ResearchGate,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and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Google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Scholar</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for</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studies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such</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randomized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controlled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trials,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observational</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studies,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and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systematic</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reviews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that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critically</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evaluate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evidence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on</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outcomes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of</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liberal</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and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restrictive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perioperative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fluid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management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strategies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during</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major</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surgery.</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One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particularly</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large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randomized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controlled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trial—the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RELIEF</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trial—has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significantly</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shaped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contemporary</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fluid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management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approaches.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review</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also</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explores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physiological</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principles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governing</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fluid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balance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in</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surgical</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patient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and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assesses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organ-specific</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outcomes,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including</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renal,</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pulmonary,</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gastrointestinal,</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and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cardiovascular</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effects.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limitations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of</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rigid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fluid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protocols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are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given</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particular</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attention,</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well</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emerging</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role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of</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individualized,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goal-directed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therapy</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that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follows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physiology-guided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approach.</w:t>
      </w:r>
    </w:p>
    <w:p>
      <w:pPr>
        <w:pStyle w:val="style0"/>
        <w:rPr/>
      </w:pPr>
      <w:r>
        <w:rPr>
          <w:lang w:val="en-US"/>
        </w:rPr>
        <w:t>The available evidence suggests that excessively restrictive approaches risk hypotension and renal injury while overly liberal approach has been associated with increased post operative complications. Current perioperative care therefore favours a patient-centered approach aimed at maintaining near zero fluid balance. To optimize outcomes in major surgery, a pragmatic strategy of integrating an individualized fluid management approach within enhanced recovery after surgery pathways is advocated.</w:t>
      </w:r>
    </w:p>
    <w:p>
      <w:pPr>
        <w:pStyle w:val="style0"/>
        <w:rPr/>
      </w:pPr>
    </w:p>
    <w:p>
      <w:pPr>
        <w:pStyle w:val="style0"/>
        <w:rPr/>
      </w:pPr>
      <w:r>
        <w:t>Keywords: Perioperative fluid therapy, Near-zero fluid balance, Goal-directed fluid therapy, Major surgery, Enhanced recovery after surgery (ERAS)</w:t>
      </w:r>
    </w:p>
    <w:p>
      <w:pPr>
        <w:pStyle w:val="style0"/>
        <w:rPr/>
      </w:pPr>
    </w:p>
    <w:p>
      <w:pPr>
        <w:pStyle w:val="style0"/>
        <w:rPr/>
      </w:pPr>
    </w:p>
    <w:p>
      <w:pPr>
        <w:pStyle w:val="style0"/>
        <w:rPr/>
      </w:pPr>
      <w:r>
        <w:t>1. Introduction</w:t>
      </w:r>
    </w:p>
    <w:p>
      <w:pPr>
        <w:pStyle w:val="style0"/>
        <w:rPr/>
      </w:pPr>
      <w:r>
        <w:t xml:space="preserve">Perioperative intravenous fluid therapy forms a cornerstone of anesthetic and surgical management [1]. It plays a central role in preserving intravascular volume, ensuring adequate tissue perfusion, and supporting oxygen delivery during major surgery. Surgical trauma, anesthesia induced vasodilation, intraoperative blood loss, and the resulting inflammatory response collectively disrupt cardiovascular homeostasis, rendering appropriate fluid administration essential for maintaining hemodynamic stability. Yet both insufficient and excessive fluid administration carry significant risks. Hypovolemia can precipitate hypotension and organ hypoperfusion, whereas fluid overload promotes tissue edema, impairs wound healing, increases pulmonary complications, and delays postoperative recovery. Perioperative </w:t>
      </w:r>
      <w:r>
        <w:t>fluid management has therefore emerged as a key modifiable determinant of postoperative morbidity, mortality, length of hospital stay, and overall healthcare costs [2,3,4].</w:t>
      </w:r>
    </w:p>
    <w:p>
      <w:pPr>
        <w:pStyle w:val="style0"/>
        <w:rPr/>
      </w:pPr>
    </w:p>
    <w:p>
      <w:pPr>
        <w:pStyle w:val="style0"/>
        <w:rPr/>
      </w:pPr>
      <w:r>
        <w:t>Major surgery encompassing procedures such as extensive abdominal, thoracic, vascular, orthopedic, and oncologic operations, is characterized by substantial tissue injury, prolonged operative time, considerable blood loss, and a robust neuroendocrine and inflammatory stress response. These factors produce marked shifts in fluid distribution and requirements. Surgical stress activates the sympathetic nervous system, triggers hormonal release, induces endothelial dysfunction, and causes capillary leak, all of which alter intravascular volume status. Anesthetic agents further compound these effects by reducing vascular tone and myocardial contractility. The interplay among surgical stress, anesthesia, and individual patient factors creates a dynamic and often unpredictable perioperative fluid balance, posing ongoing challenges to optimal fluid decision making [</w:t>
      </w:r>
      <w:r>
        <w:rPr>
          <w:lang w:val="en-US"/>
        </w:rPr>
        <w:t>2</w:t>
      </w:r>
      <w:r>
        <w:t>,5-8].</w:t>
      </w:r>
    </w:p>
    <w:p>
      <w:pPr>
        <w:pStyle w:val="style0"/>
        <w:rPr/>
      </w:pPr>
    </w:p>
    <w:p>
      <w:pPr>
        <w:pStyle w:val="style0"/>
        <w:rPr/>
      </w:pPr>
      <w:r>
        <w:t>Historically, perioperative fluid practice favored liberal administration, driven by concerns over hypovolemia and the long-standing belief in large “third-space” fluid losses [9]. Over recent decades, however, growing evidence of the harms associated with fluid overload has driven a shift toward more restrictive strategies that target euvolemic fluid balance. Despite this evolution, considerable controversy remains. Definitions of “restrictive” and “liberal” fluid regimens vary markedly across studies, and clinical practice continues to show substantial heterogeneity among institutions and individual providers. This lack of uniformity has contributed to inconsistent trial results and sustained debate over the optimal approach to perioperative fluid therapy [10,11-13].</w:t>
      </w:r>
    </w:p>
    <w:p>
      <w:pPr>
        <w:pStyle w:val="style0"/>
        <w:rPr/>
      </w:pPr>
    </w:p>
    <w:p>
      <w:pPr>
        <w:pStyle w:val="style0"/>
        <w:rPr/>
      </w:pPr>
      <w:r>
        <w:t>Against this backdrop, this review critically evaluates restrictive and liberal fluid management strategies in the context of major surgery. It examines the physiological principles underpinning each approach, synthesizes key evidence from clinical trials and various studies including meta-analyses, assesses organ specific outcomes, and positions goal-directed and individualized fluid therapy within modern perioperative care.</w:t>
      </w:r>
    </w:p>
    <w:p>
      <w:pPr>
        <w:pStyle w:val="style0"/>
        <w:rPr/>
      </w:pPr>
    </w:p>
    <w:p>
      <w:pPr>
        <w:pStyle w:val="style0"/>
        <w:rPr/>
      </w:pPr>
      <w:r>
        <w:t>2. Methodology</w:t>
      </w:r>
    </w:p>
    <w:p>
      <w:pPr>
        <w:pStyle w:val="style0"/>
        <w:rPr/>
      </w:pPr>
      <w:r>
        <w:t>This study was conducted as a narrative review to synthesize current evidence on perioperative fluid management strategies in major surgery. A narrative approach was chosen due to heterogeneity in study designs, patient populations, and definitions of restrictive versus liberal fluid therapy.</w:t>
      </w:r>
    </w:p>
    <w:p>
      <w:pPr>
        <w:pStyle w:val="style0"/>
        <w:rPr/>
      </w:pPr>
      <w:r>
        <w:t>A structured literature search was performed using PubMed, ResearchGate, and Google Scholar. Search terms included combinations of keywords and MeSH terms related to perioperative fluid therapy, restrictive and liberal strategies, goal-directed fluid therapy, major surgery, and postoperative outcomes. The search primarily focused on studies published within the past two decades, while seminal earlier studies were included where relevant.</w:t>
      </w:r>
    </w:p>
    <w:p>
      <w:pPr>
        <w:pStyle w:val="style0"/>
        <w:rPr/>
      </w:pPr>
      <w:r>
        <w:t>Reference lists of eligible articles, randomized controlled trials, and systematic reviews were also manually screened to identify additional relevant studies.</w:t>
      </w:r>
    </w:p>
    <w:p>
      <w:pPr>
        <w:pStyle w:val="style0"/>
        <w:rPr/>
      </w:pPr>
      <w:r>
        <w:t>Included studies comprised randomized controlled trials, observational studies, systematic reviews, and meta-analyses involving adult patients undergoing major surgery. Findings were synthesized narratively due to heterogeneity in interventions and reported outcomes</w:t>
      </w:r>
    </w:p>
    <w:p>
      <w:pPr>
        <w:pStyle w:val="style0"/>
        <w:rPr/>
      </w:pPr>
    </w:p>
    <w:p>
      <w:pPr>
        <w:pStyle w:val="style0"/>
        <w:rPr/>
      </w:pPr>
      <w:r>
        <w:t>.</w:t>
      </w:r>
    </w:p>
    <w:p>
      <w:pPr>
        <w:pStyle w:val="style0"/>
        <w:rPr/>
      </w:pPr>
      <w:r>
        <w:t>3. Physiological Basis of Fluid Balance in the Surgical Patient</w:t>
      </w:r>
    </w:p>
    <w:p>
      <w:pPr>
        <w:pStyle w:val="style0"/>
        <w:rPr/>
      </w:pPr>
    </w:p>
    <w:p>
      <w:pPr>
        <w:pStyle w:val="style0"/>
        <w:rPr/>
      </w:pPr>
      <w:r>
        <w:t>3.1 Body Fluid Compartments and Distribution</w:t>
      </w:r>
    </w:p>
    <w:p>
      <w:pPr>
        <w:pStyle w:val="style0"/>
        <w:rPr/>
      </w:pPr>
      <w:r>
        <w:rPr>
          <w:lang w:val="en-US"/>
        </w:rPr>
        <w:t>The total volume of body fluid is apportioned between two principal compartments; the intracellular space and the extracellular space. The extracellular portion is further subdivided into the interstitial and intravascular compartments. Of these, the intravascular space accounts for only a relatively small fraction of the total body fluid volume. The primary aim of perioperative fluid therapy is to support the intravascular fluid compartment in order to maintain cardiac output and adequate tissue perfusion. However, fluid administered into the intravascular space still redistributes rapidly into other spaces. When crystalloids are administered, they quickly equilibrate throughout the extracellular compartment, with only a small volume (20-25%) remaining in the intravascular compartment shortly after administration. Colloids, on the other hand, exert a transient oncotic effect that allows greater and more prolonged retention in the intravascular space. During Surgery, inflammation and endothelial injury disrupt the normal partitioning of fluid, promoting extravasation into the interstitial space. As a result, the relationship between the volume of fluid administered and the resulting effective circulating volume is complex and highly context dependent in perioperative patients [2,14-20].</w:t>
      </w:r>
    </w:p>
    <w:p>
      <w:pPr>
        <w:pStyle w:val="style0"/>
        <w:rPr/>
      </w:pPr>
    </w:p>
    <w:p>
      <w:pPr>
        <w:pStyle w:val="style0"/>
        <w:rPr/>
      </w:pPr>
      <w:r>
        <w:t>3.2 Hemodynamic Effects of Anesthesia and Surgery</w:t>
      </w:r>
    </w:p>
    <w:p>
      <w:pPr>
        <w:pStyle w:val="style0"/>
        <w:rPr/>
      </w:pPr>
      <w:r>
        <w:t>Anesthetic agents exert profound effects on cardiovascular physiology, typically producing systemic vasodilation, reduced venous return, and varying degrees of myocardial depression. These changes frequently result in relative hypovolemia even when total body fluid volume remains unchanged. Surgical trauma compound these disturbances through acute blood loss, evaporative fluid losses, and sequestration of fluid within injured tissues. Inflammatory mediators released during tissue injury increase capillary permeability, leading to plasma leakage into the interstitium. Collectively, these processes cause rapid and dynamic shifts in intravascular volume during the perioperative period, making fluid management challenging and often necessitating the combined use of intravenous fluids and vasoactive agents to preserve hemodynamic stability [21,22,23].</w:t>
      </w:r>
    </w:p>
    <w:p>
      <w:pPr>
        <w:pStyle w:val="style0"/>
        <w:rPr/>
      </w:pPr>
    </w:p>
    <w:p>
      <w:pPr>
        <w:pStyle w:val="style0"/>
        <w:rPr/>
      </w:pPr>
      <w:r>
        <w:t>3.3 Neurohormonal and Inflammatory Responses</w:t>
      </w:r>
    </w:p>
    <w:p>
      <w:pPr>
        <w:pStyle w:val="style0"/>
        <w:rPr/>
      </w:pPr>
      <w:r>
        <w:t>Surgical stress activates a cascade of neurohormonal responses, including heightened sympathetic activity, stimulation of the renin–angiotensin–aldosterone system (RAAS), and increased secretion of antidiuretic hormone. These mechanisms promote renal sodium and water retention, vasoconstriction, and preferential redistribution of blood flow to vital organs. Simultaneously, the inflammatory response to tissue trauma impairs endothelial integrity and degrades the endothelial glycocalyx—a critical structure that regulates vascular permeability and maintains fluid homeostasis. Damage to the glycocalyx accelerates capillary leak, promotes interstitial edema, reduces the efficacy of intravascular fluid administration, and heightens the risk of fluid overload [24,25-28].</w:t>
      </w:r>
    </w:p>
    <w:p>
      <w:pPr>
        <w:pStyle w:val="style0"/>
        <w:rPr/>
      </w:pPr>
    </w:p>
    <w:p>
      <w:pPr>
        <w:pStyle w:val="style0"/>
        <w:rPr/>
      </w:pPr>
      <w:r>
        <w:t>3.4 Clinical Consequences of Fluid Imbalance</w:t>
      </w:r>
    </w:p>
    <w:p>
      <w:pPr>
        <w:pStyle w:val="style0"/>
        <w:rPr/>
      </w:pPr>
      <w:r>
        <w:t>Both hypovolemia and hypervolemia carry substantial risks in the perioperative period. Insufficient intravascular volume can lead to hypotension, inadequate organ perfusion, and acute kidney injury, particularly in patients with limited physiological reserve. Excessive fluid administration, on the other hand, contributes to interstitial edema, impaired tissue oxygen diffusion, delayed wound healing, pulmonary congestion, and an increased incidence of postoperative respiratory complications. These opposing hazards illustrate the narrow therapeutic window for perioperative fluid therapy and emphasize the importance of balanced, physiology based fluid management tailored to the individual surgical patient [</w:t>
      </w:r>
      <w:r>
        <w:rPr>
          <w:lang w:val="en-US"/>
        </w:rPr>
        <w:t>2</w:t>
      </w:r>
      <w:r>
        <w:t>,1</w:t>
      </w:r>
      <w:r>
        <w:rPr>
          <w:lang w:val="en-US"/>
        </w:rPr>
        <w:t>1</w:t>
      </w:r>
      <w:r>
        <w:t>,29-33].</w:t>
      </w:r>
    </w:p>
    <w:p>
      <w:pPr>
        <w:pStyle w:val="style0"/>
        <w:rPr/>
      </w:pPr>
    </w:p>
    <w:p>
      <w:pPr>
        <w:pStyle w:val="style0"/>
        <w:rPr/>
      </w:pPr>
    </w:p>
    <w:p>
      <w:pPr>
        <w:pStyle w:val="style0"/>
        <w:rPr/>
      </w:pPr>
      <w:r>
        <w:t>4. Liberal Fluid Therapy: Principles and Rationale</w:t>
      </w:r>
    </w:p>
    <w:p>
      <w:pPr>
        <w:pStyle w:val="style0"/>
        <w:rPr/>
      </w:pPr>
    </w:p>
    <w:p>
      <w:pPr>
        <w:pStyle w:val="style0"/>
        <w:rPr/>
      </w:pPr>
      <w:r>
        <w:t>4.1 Definition and Typical Practice Patterns</w:t>
      </w:r>
    </w:p>
    <w:p>
      <w:pPr>
        <w:pStyle w:val="style0"/>
        <w:rPr/>
      </w:pPr>
      <w:r>
        <w:rPr>
          <w:lang w:val="en-US"/>
        </w:rPr>
        <w:t>Liberal fluid therapy involves the delivery of comparatively high volumes of intravenous fluids throughout the perioperative phase, often based on predetermined infusion rates and routine replacement protocols.Traditionally, this strategy seeks to compensate for deficits related to preoperative fasting, projected insensible losses, measured blood loss, and the assumed redistribution of fluids into the so-called “third space” associated with surgical injury [9]. In clinical practice, liberal strategies frequently result in markedly positive fluid balances by the end of surgery, especially during lengthy or major procedures. Crystalloids have long been the primary fluid of choice, while colloids were historically used to support intravascular volume expansion, though their routine application has substantially declined in response to accumulating safety concerns [34,35,36].</w:t>
      </w:r>
    </w:p>
    <w:p>
      <w:pPr>
        <w:pStyle w:val="style0"/>
        <w:rPr/>
      </w:pPr>
    </w:p>
    <w:p>
      <w:pPr>
        <w:pStyle w:val="style0"/>
        <w:rPr/>
      </w:pPr>
      <w:r>
        <w:t>4.2 Historical and Theoretical Foundations</w:t>
      </w:r>
    </w:p>
    <w:p>
      <w:pPr>
        <w:pStyle w:val="style0"/>
        <w:rPr/>
      </w:pPr>
      <w:r>
        <w:t>The liberal approach originated in earlier eras of surgical and anesthetic practice, when the primary goal was aggressive volume replacement to avert hypovolemia, hypotension, and overt shock. The widely accepted notion of substantial third-space losses that is fluid sequestration into non-functional tissue compartments during surgery, provided a theoretical justification for high-volume fluid administration. Arterial blood pressure and urine output served as the main clinical indicators of sufficient perfusion, encouraging fluid loading as the default first-line intervention. In an era with limited advanced hemodynamic monitoring and fewer vasoactive agents available, liberal fluid therapy was regarded as a practical and protective strategy [9,34,3</w:t>
      </w:r>
      <w:r>
        <w:rPr>
          <w:lang w:val="en-US"/>
        </w:rPr>
        <w:t>5</w:t>
      </w:r>
      <w:r>
        <w:t>].</w:t>
      </w:r>
    </w:p>
    <w:p>
      <w:pPr>
        <w:pStyle w:val="style0"/>
        <w:rPr/>
      </w:pPr>
    </w:p>
    <w:p>
      <w:pPr>
        <w:pStyle w:val="style0"/>
        <w:rPr/>
      </w:pPr>
      <w:r>
        <w:t>4.3 Proposed Advantages</w:t>
      </w:r>
    </w:p>
    <w:p>
      <w:pPr>
        <w:pStyle w:val="style0"/>
        <w:rPr/>
      </w:pPr>
      <w:r>
        <w:t>Advocates of liberal fluid administration contend that generous intravascular volume expansion preserves preload, sustains cardiac output, and supports tissue perfusion during the combined vasodilatory effects of anesthesia and the physiological stress of surgery [37]. By optimizing venous return, this approach may reduce the frequency and severity of intraoperative hypotension and lessen dependence on vasopressor agents, which carry their own risks related to excessive vasoconstriction and organ ischemia. Historically, liberal fluid regimens have also been linked to preserved urine output, long interpreted as a reliable surrogate for adequate renal perfusion and overall intravascular volume status [9,1</w:t>
      </w:r>
      <w:r>
        <w:rPr>
          <w:lang w:val="en-US"/>
        </w:rPr>
        <w:t>1</w:t>
      </w:r>
      <w:r>
        <w:t>,34,3</w:t>
      </w:r>
      <w:r>
        <w:rPr>
          <w:lang w:val="en-US"/>
        </w:rPr>
        <w:t>5</w:t>
      </w:r>
      <w:r>
        <w:t>].</w:t>
      </w:r>
    </w:p>
    <w:p>
      <w:pPr>
        <w:pStyle w:val="style0"/>
        <w:rPr/>
      </w:pPr>
    </w:p>
    <w:p>
      <w:pPr>
        <w:pStyle w:val="style0"/>
        <w:rPr/>
      </w:pPr>
      <w:r>
        <w:t>4.4 Limitations and Adverse Effects</w:t>
      </w:r>
    </w:p>
    <w:p>
      <w:pPr>
        <w:pStyle w:val="style0"/>
        <w:rPr/>
      </w:pPr>
      <w:r>
        <w:t>Despite these purported benefits, liberal fluid therapy is now widely recognized as an important contributor to postoperative morbidity. Excessive fluid administration leads to interstitial and tissue edema, which impairs oxygen diffusion, compromises organ microcirculation, and disrupts normal cellular function [3</w:t>
      </w:r>
      <w:r>
        <w:rPr>
          <w:lang w:val="en-US"/>
        </w:rPr>
        <w:t>4</w:t>
      </w:r>
      <w:r>
        <w:t>]. Pulmonary edema increases the risk of postoperative respiratory complications and may prolong the need for mechanical ventilation. Myocardial strain from volume overload can precipitate or worsen cardiac dysfunction, particularly in patients with reduced reserve. Gastrointestinal edema has been consistently associated with delayed recovery of bowel motility and increased rates of anastomotic complications. These well-documented adverse effects have prompted a critical reappraisal of liberal fluid strategies, especially within the framework of modern surgical care and enhanced recovery after surgery (ERAS) protocols [38,39,40]</w:t>
      </w:r>
      <w:r>
        <w:rPr>
          <w:lang w:val="en-US"/>
        </w:rPr>
        <w:t>. Figure 1 summarizes the structural components and physiological implications of liberal and restrictive fluid strategies.</w:t>
      </w:r>
    </w:p>
    <w:p>
      <w:pPr>
        <w:pStyle w:val="style0"/>
        <w:rPr/>
      </w:pPr>
      <w:r>
        <w:t>.</w:t>
      </w:r>
    </w:p>
    <w:p>
      <w:pPr>
        <w:pStyle w:val="style0"/>
        <w:rPr/>
      </w:pPr>
    </w:p>
    <w:p>
      <w:pPr>
        <w:pStyle w:val="style0"/>
        <w:rPr/>
      </w:pPr>
      <w:r>
        <w:t>Figure 1: Structural Components of Liberal and Restrictive Fluid Strategies</w:t>
      </w:r>
    </w:p>
    <w:p>
      <w:pPr>
        <w:pStyle w:val="style0"/>
        <w:rPr/>
      </w:pPr>
      <w:r>
        <w:rPr>
          <w:noProof/>
          <w:lang w:val="en-US"/>
        </w:rPr>
        <w:drawing>
          <wp:inline distL="0" distT="0" distB="0" distR="0">
            <wp:extent cx="5943600" cy="6515100"/>
            <wp:effectExtent l="0" t="0" r="0" b="0"/>
            <wp:docPr id="1026" name="image2.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2.jpg"/>
                    <pic:cNvPicPr/>
                  </pic:nvPicPr>
                  <pic:blipFill>
                    <a:blip r:embed="rId2" cstate="print"/>
                    <a:srcRect l="0" t="0" r="0" b="0"/>
                    <a:stretch/>
                  </pic:blipFill>
                  <pic:spPr>
                    <a:xfrm rot="0">
                      <a:off x="0" y="0"/>
                      <a:ext cx="5943600" cy="6515100"/>
                    </a:xfrm>
                    <a:prstGeom prst="rect"/>
                    <a:ln cmpd="sng" cap="flat" w="9525">
                      <a:solidFill>
                        <a:srgbClr val="000000"/>
                      </a:solidFill>
                      <a:prstDash val="solid"/>
                      <a:round/>
                      <a:headEnd len="med" w="med" type="none"/>
                      <a:tailEnd len="med" w="med" type="none"/>
                    </a:ln>
                  </pic:spPr>
                </pic:pic>
              </a:graphicData>
            </a:graphic>
          </wp:inline>
        </w:drawing>
      </w:r>
    </w:p>
    <w:p>
      <w:pPr>
        <w:pStyle w:val="style0"/>
        <w:rPr/>
      </w:pPr>
    </w:p>
    <w:p>
      <w:pPr>
        <w:pStyle w:val="style0"/>
        <w:rPr/>
      </w:pPr>
      <w:r>
        <w:t>5. Restrictive Fluid Therapy: Principles and Rationale</w:t>
      </w:r>
    </w:p>
    <w:p>
      <w:pPr>
        <w:pStyle w:val="style0"/>
        <w:rPr/>
      </w:pPr>
    </w:p>
    <w:p>
      <w:pPr>
        <w:pStyle w:val="style0"/>
        <w:rPr>
          <w:lang w:val="en-US"/>
        </w:rPr>
      </w:pPr>
      <w:r>
        <w:t>5.1 Definition and Core Concepts</w:t>
      </w:r>
    </w:p>
    <w:p>
      <w:pPr>
        <w:pStyle w:val="style0"/>
        <w:rPr/>
      </w:pPr>
      <w:r>
        <w:rPr>
          <w:lang w:val="en-US"/>
        </w:rPr>
        <w:t xml:space="preserve">Restrictive fluid therapy refers to a perioperative approach in which the volume of intravenous fluids administered is intentionally minimized in order to reduce the risk of fluid overload. Instead of replacing presumed third-space losses or routine insensible fluid deficits with liberal volumes, this approach replaces only clearly measurable losses (such as blood loss and urine output) while prioritizing maintenance of physiological stability [41]. The main aim is to achieve a near </w:t>
      </w:r>
      <w:r>
        <w:rPr>
          <w:lang w:val="en-US"/>
        </w:rPr>
        <w:t xml:space="preserve">zero or slightly negative fluid balance particularly during the intraoperative and early post-operative period. The administration of fluids is guided by an individualized approach, clinical judgment, hemodynamic variables and dynamic markers of fluid responsiveness when available. This philosophy pivots towards a more precise, physiology based fluid management and a departure from traditional volume-driven resuscitation [42]. </w:t>
      </w:r>
    </w:p>
    <w:p>
      <w:pPr>
        <w:pStyle w:val="style0"/>
        <w:rPr/>
      </w:pPr>
    </w:p>
    <w:p>
      <w:pPr>
        <w:pStyle w:val="style0"/>
        <w:rPr/>
      </w:pPr>
      <w:r>
        <w:t>5.2 Physiological Justification</w:t>
      </w:r>
    </w:p>
    <w:p>
      <w:pPr>
        <w:pStyle w:val="style0"/>
        <w:rPr/>
      </w:pPr>
      <w:r>
        <w:rPr>
          <w:lang w:val="en-US"/>
        </w:rPr>
        <w:t>Improved understanding of vascular biology and endothelial physiology form the scientific basis for restrictive fluid therapy. The endothelial glycocalyx can become injured from excessive intravenous therapy and when this occurs there is increased capillary permeability leading to pathological fluid extravasation [43]. Even in the absence of overt systemic inflammation, disruption of the glycocalyx promotes capillary leak and interstitial edema. By curbing unnecessary fluid delivery, restrictive approaches aim to maintain glycocalyx integrity and limit maladaptive transcapillary fluid shifts. Furthermore, limiting expansion of the intravascular space helps reduce capillary hydrostatic pressure, thereby reducing the gradient that favors interstitial fluid accumulation and subsequent organ edema [24,42,44].</w:t>
      </w:r>
    </w:p>
    <w:p>
      <w:pPr>
        <w:pStyle w:val="style0"/>
        <w:rPr/>
      </w:pPr>
    </w:p>
    <w:p>
      <w:pPr>
        <w:pStyle w:val="style0"/>
        <w:rPr/>
      </w:pPr>
      <w:r>
        <w:t>5.3 Potential Benefits</w:t>
      </w:r>
    </w:p>
    <w:p>
      <w:pPr>
        <w:pStyle w:val="style0"/>
        <w:rPr/>
      </w:pPr>
      <w:r>
        <w:rPr>
          <w:lang w:val="en-US"/>
        </w:rPr>
        <w:t xml:space="preserve">Restrictive fluid therapy has been linked with several important clinical advantages. It reduces pulmonary interstitial edema, thereby improving lung compliance, gaseous exchange and postoperative oxygenation. These effects are particularly valuable in patients undergoing major abdominal and thoracic surgeries. Reduced bowel wall edema lowers the risk of prolonged paralytic ileus, facilitating faster resumption of oral intake. All considered, in many studies, these physiological improvements are associated with a modest reduction in length of hospital stay and significantly reduced postoperative complications. Restrictive fluid therapy also integrates seamlessly with enhanced recovery after surgery (ERAS) protocols, which emphasizes an approach that minimizes physiological stress and hastens functional recovery [41,42,44]. </w:t>
      </w:r>
    </w:p>
    <w:p>
      <w:pPr>
        <w:pStyle w:val="style0"/>
        <w:rPr/>
      </w:pPr>
    </w:p>
    <w:p>
      <w:pPr>
        <w:pStyle w:val="style0"/>
        <w:rPr/>
      </w:pPr>
    </w:p>
    <w:p>
      <w:pPr>
        <w:pStyle w:val="style0"/>
        <w:rPr/>
      </w:pPr>
      <w:r>
        <w:t>5.4 Potential Risks and Criticisms</w:t>
      </w:r>
    </w:p>
    <w:p>
      <w:pPr>
        <w:pStyle w:val="style0"/>
        <w:rPr/>
      </w:pPr>
      <w:r>
        <w:rPr>
          <w:lang w:val="en-US"/>
        </w:rPr>
        <w:t xml:space="preserve">For all the benefits of restricted fluid strategy,  several risks remain which has led to legitimate criticisms. When fluid is excessively restricted, the intravascular volume becomes inadequate causing hypotension, reduced cardiac output, and impaired end-organ perfusion especially in patients with significant ongoing loses or limited cardiovascular reserve. When fluid restriction is applied without required flexibility, several observational studies have found that this could increase the risk of acute kidney injury especially in cases without adequate hemodynamic monitoring and support [35,45]. Therefore the argument tilts toward a flexible restrictive approach that favours patient-centered judicious fluid administration balanced with timely use of vasopressors, while observing continued monitoring and reassessment together with an individualized hemodynamic optimization and not a "minimal fluid at all cost" approach [42]. </w:t>
      </w:r>
    </w:p>
    <w:p>
      <w:pPr>
        <w:pStyle w:val="style0"/>
        <w:rPr/>
      </w:pPr>
    </w:p>
    <w:p>
      <w:pPr>
        <w:pStyle w:val="style0"/>
        <w:spacing w:lineRule="auto" w:line="276"/>
        <w:jc w:val="left"/>
        <w:rPr/>
      </w:pPr>
      <w:r>
        <w:t xml:space="preserve">Table 1: </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Key</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differences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between</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restrictive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and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liberal</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perioperative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fluid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therapy</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strategies,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including</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goals,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monitoring</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approaches,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and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major</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clinical</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outcomes.</w:t>
      </w:r>
    </w:p>
    <w:tbl>
      <w:tblPr>
        <w:tblStyle w:val="style4098"/>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trPr/>
        <w:tc>
          <w:tcPr>
            <w:tcW w:w="3120" w:type="dxa"/>
            <w:tcBorders/>
            <w:tcMar>
              <w:top w:w="100" w:type="dxa"/>
              <w:left w:w="100" w:type="dxa"/>
              <w:bottom w:w="100" w:type="dxa"/>
              <w:right w:w="100" w:type="dxa"/>
            </w:tcMar>
          </w:tcPr>
          <w:p>
            <w:pPr>
              <w:pStyle w:val="style0"/>
              <w:widowControl w:val="false"/>
              <w:pBdr>
                <w:left w:val="nil"/>
                <w:right w:val="nil"/>
                <w:top w:val="nil"/>
                <w:bottom w:val="nil"/>
                <w:between w:val="nil"/>
              </w:pBdr>
              <w:spacing w:lineRule="auto" w:line="240"/>
              <w:rPr>
                <w:b/>
                <w:bCs/>
              </w:rPr>
            </w:pPr>
            <w:r>
              <w:rPr>
                <w:b/>
                <w:bCs/>
              </w:rPr>
              <w:t xml:space="preserve">Feature </w:t>
            </w:r>
          </w:p>
        </w:tc>
        <w:tc>
          <w:tcPr>
            <w:tcW w:w="3120" w:type="dxa"/>
            <w:tcBorders/>
            <w:tcMar>
              <w:top w:w="100" w:type="dxa"/>
              <w:left w:w="100" w:type="dxa"/>
              <w:bottom w:w="100" w:type="dxa"/>
              <w:right w:w="100" w:type="dxa"/>
            </w:tcMar>
          </w:tcPr>
          <w:p>
            <w:pPr>
              <w:pStyle w:val="style0"/>
              <w:widowControl w:val="false"/>
              <w:pBdr>
                <w:left w:val="nil"/>
                <w:right w:val="nil"/>
                <w:top w:val="nil"/>
                <w:bottom w:val="nil"/>
                <w:between w:val="nil"/>
              </w:pBdr>
              <w:spacing w:lineRule="auto" w:line="240"/>
              <w:rPr>
                <w:b/>
                <w:bCs/>
              </w:rPr>
            </w:pPr>
            <w:r>
              <w:rPr>
                <w:b/>
                <w:bCs/>
              </w:rPr>
              <w:t>Restrictive Strategy</w:t>
            </w:r>
          </w:p>
        </w:tc>
        <w:tc>
          <w:tcPr>
            <w:tcW w:w="3120" w:type="dxa"/>
            <w:tcBorders/>
            <w:tcMar>
              <w:top w:w="100" w:type="dxa"/>
              <w:left w:w="100" w:type="dxa"/>
              <w:bottom w:w="100" w:type="dxa"/>
              <w:right w:w="100" w:type="dxa"/>
            </w:tcMar>
          </w:tcPr>
          <w:p>
            <w:pPr>
              <w:pStyle w:val="style0"/>
              <w:widowControl w:val="false"/>
              <w:pBdr>
                <w:left w:val="nil"/>
                <w:right w:val="nil"/>
                <w:top w:val="nil"/>
                <w:bottom w:val="nil"/>
                <w:between w:val="nil"/>
              </w:pBdr>
              <w:spacing w:lineRule="auto" w:line="240"/>
              <w:rPr>
                <w:b/>
                <w:bCs/>
              </w:rPr>
            </w:pPr>
            <w:r>
              <w:rPr>
                <w:b/>
                <w:bCs/>
              </w:rPr>
              <w:t>Liberal Strategy</w:t>
            </w:r>
          </w:p>
        </w:tc>
      </w:tr>
      <w:tr>
        <w:tblPrEx/>
        <w:trPr/>
        <w:tc>
          <w:tcPr>
            <w:tcW w:w="3120" w:type="dxa"/>
            <w:tcBorders/>
            <w:tcMar>
              <w:top w:w="100" w:type="dxa"/>
              <w:left w:w="100" w:type="dxa"/>
              <w:bottom w:w="100" w:type="dxa"/>
              <w:right w:w="100" w:type="dxa"/>
            </w:tcMar>
          </w:tcPr>
          <w:p>
            <w:pPr>
              <w:pStyle w:val="style0"/>
              <w:widowControl w:val="false"/>
              <w:pBdr>
                <w:left w:val="nil"/>
                <w:right w:val="nil"/>
                <w:top w:val="nil"/>
                <w:bottom w:val="nil"/>
                <w:between w:val="nil"/>
              </w:pBdr>
              <w:spacing w:lineRule="auto" w:line="240"/>
              <w:rPr/>
            </w:pPr>
            <w:r>
              <w:t>Primary Goal</w:t>
            </w:r>
          </w:p>
        </w:tc>
        <w:tc>
          <w:tcPr>
            <w:tcW w:w="3120" w:type="dxa"/>
            <w:tcBorders/>
            <w:tcMar>
              <w:top w:w="100" w:type="dxa"/>
              <w:left w:w="100" w:type="dxa"/>
              <w:bottom w:w="100" w:type="dxa"/>
              <w:right w:w="100" w:type="dxa"/>
            </w:tcMar>
          </w:tcPr>
          <w:p>
            <w:pPr>
              <w:pStyle w:val="style0"/>
              <w:widowControl w:val="false"/>
              <w:pBdr>
                <w:left w:val="nil"/>
                <w:right w:val="nil"/>
                <w:top w:val="nil"/>
                <w:bottom w:val="nil"/>
                <w:between w:val="nil"/>
              </w:pBdr>
              <w:spacing w:lineRule="auto" w:line="240"/>
              <w:rPr/>
            </w:pPr>
            <w:r>
              <w:t>Maintain near-zero fluid balance; avoid overload</w:t>
            </w:r>
          </w:p>
        </w:tc>
        <w:tc>
          <w:tcPr>
            <w:tcW w:w="3120" w:type="dxa"/>
            <w:tcBorders/>
            <w:tcMar>
              <w:top w:w="100" w:type="dxa"/>
              <w:left w:w="100" w:type="dxa"/>
              <w:bottom w:w="100" w:type="dxa"/>
              <w:right w:w="100" w:type="dxa"/>
            </w:tcMar>
          </w:tcPr>
          <w:p>
            <w:pPr>
              <w:pStyle w:val="style0"/>
              <w:widowControl w:val="false"/>
              <w:pBdr>
                <w:left w:val="nil"/>
                <w:right w:val="nil"/>
                <w:top w:val="nil"/>
                <w:bottom w:val="nil"/>
                <w:between w:val="nil"/>
              </w:pBdr>
              <w:spacing w:lineRule="auto" w:line="240"/>
              <w:rPr/>
            </w:pPr>
            <w:r>
              <w:t>Prevent hypovolemia; ensure adequate preload</w:t>
            </w:r>
          </w:p>
        </w:tc>
      </w:tr>
      <w:tr>
        <w:tblPrEx/>
        <w:trPr/>
        <w:tc>
          <w:tcPr>
            <w:tcW w:w="3120" w:type="dxa"/>
            <w:tcBorders/>
            <w:tcMar>
              <w:top w:w="100" w:type="dxa"/>
              <w:left w:w="100" w:type="dxa"/>
              <w:bottom w:w="100" w:type="dxa"/>
              <w:right w:w="100" w:type="dxa"/>
            </w:tcMar>
          </w:tcPr>
          <w:p>
            <w:pPr>
              <w:pStyle w:val="style0"/>
              <w:widowControl w:val="false"/>
              <w:pBdr>
                <w:left w:val="nil"/>
                <w:right w:val="nil"/>
                <w:top w:val="nil"/>
                <w:bottom w:val="nil"/>
                <w:between w:val="nil"/>
              </w:pBdr>
              <w:spacing w:lineRule="auto" w:line="240"/>
              <w:rPr/>
            </w:pPr>
            <w:r>
              <w:t>Fluid Balance</w:t>
            </w:r>
          </w:p>
        </w:tc>
        <w:tc>
          <w:tcPr>
            <w:tcW w:w="3120" w:type="dxa"/>
            <w:tcBorders/>
            <w:tcMar>
              <w:top w:w="100" w:type="dxa"/>
              <w:left w:w="100" w:type="dxa"/>
              <w:bottom w:w="100" w:type="dxa"/>
              <w:right w:w="100" w:type="dxa"/>
            </w:tcMar>
          </w:tcPr>
          <w:p>
            <w:pPr>
              <w:pStyle w:val="style0"/>
              <w:widowControl w:val="false"/>
              <w:pBdr>
                <w:left w:val="nil"/>
                <w:right w:val="nil"/>
                <w:top w:val="nil"/>
                <w:bottom w:val="nil"/>
                <w:between w:val="nil"/>
              </w:pBdr>
              <w:spacing w:lineRule="auto" w:line="240"/>
              <w:rPr/>
            </w:pPr>
            <w:r>
              <w:t>Neutral or slightly negative</w:t>
            </w:r>
          </w:p>
        </w:tc>
        <w:tc>
          <w:tcPr>
            <w:tcW w:w="3120" w:type="dxa"/>
            <w:tcBorders/>
            <w:tcMar>
              <w:top w:w="100" w:type="dxa"/>
              <w:left w:w="100" w:type="dxa"/>
              <w:bottom w:w="100" w:type="dxa"/>
              <w:right w:w="100" w:type="dxa"/>
            </w:tcMar>
          </w:tcPr>
          <w:p>
            <w:pPr>
              <w:pStyle w:val="style0"/>
              <w:widowControl w:val="false"/>
              <w:spacing w:lineRule="auto" w:line="240"/>
              <w:rPr/>
            </w:pPr>
            <w:r>
              <w:t>Positive cumulative balance</w:t>
            </w:r>
          </w:p>
        </w:tc>
      </w:tr>
      <w:tr>
        <w:tblPrEx/>
        <w:trPr/>
        <w:tc>
          <w:tcPr>
            <w:tcW w:w="3120" w:type="dxa"/>
            <w:tcBorders/>
            <w:tcMar>
              <w:top w:w="100" w:type="dxa"/>
              <w:left w:w="100" w:type="dxa"/>
              <w:bottom w:w="100" w:type="dxa"/>
              <w:right w:w="100" w:type="dxa"/>
            </w:tcMar>
          </w:tcPr>
          <w:p>
            <w:pPr>
              <w:pStyle w:val="style0"/>
              <w:widowControl w:val="false"/>
              <w:pBdr>
                <w:left w:val="nil"/>
                <w:right w:val="nil"/>
                <w:top w:val="nil"/>
                <w:bottom w:val="nil"/>
                <w:between w:val="nil"/>
              </w:pBdr>
              <w:spacing w:lineRule="auto" w:line="240"/>
              <w:rPr/>
            </w:pPr>
            <w:r>
              <w:t>Monitoring Approach</w:t>
            </w:r>
          </w:p>
        </w:tc>
        <w:tc>
          <w:tcPr>
            <w:tcW w:w="3120" w:type="dxa"/>
            <w:tcBorders/>
            <w:tcMar>
              <w:top w:w="100" w:type="dxa"/>
              <w:left w:w="100" w:type="dxa"/>
              <w:bottom w:w="100" w:type="dxa"/>
              <w:right w:w="100" w:type="dxa"/>
            </w:tcMar>
          </w:tcPr>
          <w:p>
            <w:pPr>
              <w:pStyle w:val="style0"/>
              <w:widowControl w:val="false"/>
              <w:pBdr>
                <w:left w:val="nil"/>
                <w:right w:val="nil"/>
                <w:top w:val="nil"/>
                <w:bottom w:val="nil"/>
                <w:between w:val="nil"/>
              </w:pBdr>
              <w:spacing w:lineRule="auto" w:line="240"/>
              <w:rPr/>
            </w:pPr>
            <w:r>
              <w:t>Individualized; often dynamic/goal-directed</w:t>
            </w:r>
          </w:p>
        </w:tc>
        <w:tc>
          <w:tcPr>
            <w:tcW w:w="3120" w:type="dxa"/>
            <w:tcBorders/>
            <w:tcMar>
              <w:top w:w="100" w:type="dxa"/>
              <w:left w:w="100" w:type="dxa"/>
              <w:bottom w:w="100" w:type="dxa"/>
              <w:right w:w="100" w:type="dxa"/>
            </w:tcMar>
          </w:tcPr>
          <w:p>
            <w:pPr>
              <w:pStyle w:val="style0"/>
              <w:widowControl w:val="false"/>
              <w:spacing w:lineRule="auto" w:line="240"/>
              <w:rPr/>
            </w:pPr>
            <w:r>
              <w:t>Formula-based; static measures (BP, urine output)</w:t>
            </w:r>
          </w:p>
        </w:tc>
      </w:tr>
      <w:tr>
        <w:tblPrEx/>
        <w:trPr/>
        <w:tc>
          <w:tcPr>
            <w:tcW w:w="3120" w:type="dxa"/>
            <w:tcBorders/>
            <w:tcMar>
              <w:top w:w="100" w:type="dxa"/>
              <w:left w:w="100" w:type="dxa"/>
              <w:bottom w:w="100" w:type="dxa"/>
              <w:right w:w="100" w:type="dxa"/>
            </w:tcMar>
          </w:tcPr>
          <w:p>
            <w:pPr>
              <w:pStyle w:val="style0"/>
              <w:widowControl w:val="false"/>
              <w:pBdr>
                <w:left w:val="nil"/>
                <w:right w:val="nil"/>
                <w:top w:val="nil"/>
                <w:bottom w:val="nil"/>
                <w:between w:val="nil"/>
              </w:pBdr>
              <w:spacing w:lineRule="auto" w:line="240"/>
              <w:rPr/>
            </w:pPr>
            <w:r>
              <w:t>Pulmonary Outcomes</w:t>
            </w:r>
          </w:p>
        </w:tc>
        <w:tc>
          <w:tcPr>
            <w:tcW w:w="3120" w:type="dxa"/>
            <w:tcBorders/>
            <w:tcMar>
              <w:top w:w="100" w:type="dxa"/>
              <w:left w:w="100" w:type="dxa"/>
              <w:bottom w:w="100" w:type="dxa"/>
              <w:right w:w="100" w:type="dxa"/>
            </w:tcMar>
          </w:tcPr>
          <w:p>
            <w:pPr>
              <w:pStyle w:val="style0"/>
              <w:widowControl w:val="false"/>
              <w:pBdr>
                <w:left w:val="nil"/>
                <w:right w:val="nil"/>
                <w:top w:val="nil"/>
                <w:bottom w:val="nil"/>
                <w:between w:val="nil"/>
              </w:pBdr>
              <w:spacing w:lineRule="auto" w:line="240"/>
              <w:rPr/>
            </w:pPr>
            <w:r>
              <w:t>Lower risk of pulmonary edema</w:t>
            </w:r>
          </w:p>
        </w:tc>
        <w:tc>
          <w:tcPr>
            <w:tcW w:w="3120" w:type="dxa"/>
            <w:tcBorders/>
            <w:tcMar>
              <w:top w:w="100" w:type="dxa"/>
              <w:left w:w="100" w:type="dxa"/>
              <w:bottom w:w="100" w:type="dxa"/>
              <w:right w:w="100" w:type="dxa"/>
            </w:tcMar>
          </w:tcPr>
          <w:p>
            <w:pPr>
              <w:pStyle w:val="style0"/>
              <w:widowControl w:val="false"/>
              <w:pBdr>
                <w:left w:val="nil"/>
                <w:right w:val="nil"/>
                <w:top w:val="nil"/>
                <w:bottom w:val="nil"/>
                <w:between w:val="nil"/>
              </w:pBdr>
              <w:spacing w:lineRule="auto" w:line="240"/>
              <w:rPr/>
            </w:pPr>
            <w:r>
              <w:t>Higher risk of pulmonary complications</w:t>
            </w:r>
          </w:p>
        </w:tc>
      </w:tr>
      <w:tr>
        <w:tblPrEx/>
        <w:trPr/>
        <w:tc>
          <w:tcPr>
            <w:tcW w:w="3120" w:type="dxa"/>
            <w:tcBorders/>
            <w:tcMar>
              <w:top w:w="100" w:type="dxa"/>
              <w:left w:w="100" w:type="dxa"/>
              <w:bottom w:w="100" w:type="dxa"/>
              <w:right w:w="100" w:type="dxa"/>
            </w:tcMar>
          </w:tcPr>
          <w:p>
            <w:pPr>
              <w:pStyle w:val="style0"/>
              <w:widowControl w:val="false"/>
              <w:pBdr>
                <w:left w:val="nil"/>
                <w:right w:val="nil"/>
                <w:top w:val="nil"/>
                <w:bottom w:val="nil"/>
                <w:between w:val="nil"/>
              </w:pBdr>
              <w:spacing w:lineRule="auto" w:line="240"/>
              <w:rPr/>
            </w:pPr>
            <w:r>
              <w:t>Renal Outcomes</w:t>
            </w:r>
          </w:p>
        </w:tc>
        <w:tc>
          <w:tcPr>
            <w:tcW w:w="3120" w:type="dxa"/>
            <w:tcBorders/>
            <w:tcMar>
              <w:top w:w="100" w:type="dxa"/>
              <w:left w:w="100" w:type="dxa"/>
              <w:bottom w:w="100" w:type="dxa"/>
              <w:right w:w="100" w:type="dxa"/>
            </w:tcMar>
          </w:tcPr>
          <w:p>
            <w:pPr>
              <w:pStyle w:val="style0"/>
              <w:widowControl w:val="false"/>
              <w:pBdr>
                <w:left w:val="nil"/>
                <w:right w:val="nil"/>
                <w:top w:val="nil"/>
                <w:bottom w:val="nil"/>
                <w:between w:val="nil"/>
              </w:pBdr>
              <w:spacing w:lineRule="auto" w:line="240"/>
              <w:rPr/>
            </w:pPr>
            <w:r>
              <w:t>Risk of AKI if overly restrictive</w:t>
            </w:r>
          </w:p>
        </w:tc>
        <w:tc>
          <w:tcPr>
            <w:tcW w:w="3120" w:type="dxa"/>
            <w:tcBorders/>
            <w:tcMar>
              <w:top w:w="100" w:type="dxa"/>
              <w:left w:w="100" w:type="dxa"/>
              <w:bottom w:w="100" w:type="dxa"/>
              <w:right w:w="100" w:type="dxa"/>
            </w:tcMar>
          </w:tcPr>
          <w:p>
            <w:pPr>
              <w:pStyle w:val="style0"/>
              <w:widowControl w:val="false"/>
              <w:pBdr>
                <w:left w:val="nil"/>
                <w:right w:val="nil"/>
                <w:top w:val="nil"/>
                <w:bottom w:val="nil"/>
                <w:between w:val="nil"/>
              </w:pBdr>
              <w:spacing w:lineRule="auto" w:line="240"/>
              <w:rPr/>
            </w:pPr>
            <w:r>
              <w:t>Risk of renal congestion with overload</w:t>
            </w:r>
          </w:p>
        </w:tc>
      </w:tr>
      <w:tr>
        <w:tblPrEx/>
        <w:trPr/>
        <w:tc>
          <w:tcPr>
            <w:tcW w:w="3120" w:type="dxa"/>
            <w:tcBorders/>
            <w:tcMar>
              <w:top w:w="100" w:type="dxa"/>
              <w:left w:w="100" w:type="dxa"/>
              <w:bottom w:w="100" w:type="dxa"/>
              <w:right w:w="100" w:type="dxa"/>
            </w:tcMar>
          </w:tcPr>
          <w:p>
            <w:pPr>
              <w:pStyle w:val="style0"/>
              <w:widowControl w:val="false"/>
              <w:pBdr>
                <w:left w:val="nil"/>
                <w:right w:val="nil"/>
                <w:top w:val="nil"/>
                <w:bottom w:val="nil"/>
                <w:between w:val="nil"/>
              </w:pBdr>
              <w:spacing w:lineRule="auto" w:line="240"/>
              <w:rPr/>
            </w:pPr>
            <w:r>
              <w:t>Gastrointestinal Recovery</w:t>
            </w:r>
          </w:p>
        </w:tc>
        <w:tc>
          <w:tcPr>
            <w:tcW w:w="3120" w:type="dxa"/>
            <w:tcBorders/>
            <w:tcMar>
              <w:top w:w="100" w:type="dxa"/>
              <w:left w:w="100" w:type="dxa"/>
              <w:bottom w:w="100" w:type="dxa"/>
              <w:right w:w="100" w:type="dxa"/>
            </w:tcMar>
          </w:tcPr>
          <w:p>
            <w:pPr>
              <w:pStyle w:val="style0"/>
              <w:widowControl w:val="false"/>
              <w:pBdr>
                <w:left w:val="nil"/>
                <w:right w:val="nil"/>
                <w:top w:val="nil"/>
                <w:bottom w:val="nil"/>
                <w:between w:val="nil"/>
              </w:pBdr>
              <w:spacing w:lineRule="auto" w:line="240"/>
              <w:rPr/>
            </w:pPr>
            <w:r>
              <w:t>Earlier return of bowel function</w:t>
            </w:r>
          </w:p>
        </w:tc>
        <w:tc>
          <w:tcPr>
            <w:tcW w:w="3120" w:type="dxa"/>
            <w:tcBorders/>
            <w:tcMar>
              <w:top w:w="100" w:type="dxa"/>
              <w:left w:w="100" w:type="dxa"/>
              <w:bottom w:w="100" w:type="dxa"/>
              <w:right w:w="100" w:type="dxa"/>
            </w:tcMar>
          </w:tcPr>
          <w:p>
            <w:pPr>
              <w:pStyle w:val="style0"/>
              <w:widowControl w:val="false"/>
              <w:spacing w:lineRule="auto" w:line="240"/>
              <w:rPr/>
            </w:pPr>
            <w:r>
              <w:t>Increased ileus due to bowel edema</w:t>
            </w:r>
          </w:p>
        </w:tc>
      </w:tr>
      <w:tr>
        <w:tblPrEx/>
        <w:trPr/>
        <w:tc>
          <w:tcPr>
            <w:tcW w:w="3120" w:type="dxa"/>
            <w:tcBorders/>
            <w:tcMar>
              <w:top w:w="100" w:type="dxa"/>
              <w:left w:w="100" w:type="dxa"/>
              <w:bottom w:w="100" w:type="dxa"/>
              <w:right w:w="100" w:type="dxa"/>
            </w:tcMar>
          </w:tcPr>
          <w:p>
            <w:pPr>
              <w:pStyle w:val="style0"/>
              <w:widowControl w:val="false"/>
              <w:pBdr>
                <w:left w:val="nil"/>
                <w:right w:val="nil"/>
                <w:top w:val="nil"/>
                <w:bottom w:val="nil"/>
                <w:between w:val="nil"/>
              </w:pBdr>
              <w:spacing w:lineRule="auto" w:line="240"/>
              <w:rPr/>
            </w:pPr>
            <w:r>
              <w:t>Main Risk</w:t>
            </w:r>
          </w:p>
        </w:tc>
        <w:tc>
          <w:tcPr>
            <w:tcW w:w="3120" w:type="dxa"/>
            <w:tcBorders/>
            <w:tcMar>
              <w:top w:w="100" w:type="dxa"/>
              <w:left w:w="100" w:type="dxa"/>
              <w:bottom w:w="100" w:type="dxa"/>
              <w:right w:w="100" w:type="dxa"/>
            </w:tcMar>
          </w:tcPr>
          <w:p>
            <w:pPr>
              <w:pStyle w:val="style0"/>
              <w:widowControl w:val="false"/>
              <w:pBdr>
                <w:left w:val="nil"/>
                <w:right w:val="nil"/>
                <w:top w:val="nil"/>
                <w:bottom w:val="nil"/>
                <w:between w:val="nil"/>
              </w:pBdr>
              <w:spacing w:lineRule="auto" w:line="240"/>
              <w:rPr/>
            </w:pPr>
            <w:r>
              <w:t>Hypoperfusion and hypotension</w:t>
            </w:r>
          </w:p>
        </w:tc>
        <w:tc>
          <w:tcPr>
            <w:tcW w:w="3120" w:type="dxa"/>
            <w:tcBorders/>
            <w:tcMar>
              <w:top w:w="100" w:type="dxa"/>
              <w:left w:w="100" w:type="dxa"/>
              <w:bottom w:w="100" w:type="dxa"/>
              <w:right w:w="100" w:type="dxa"/>
            </w:tcMar>
          </w:tcPr>
          <w:p>
            <w:pPr>
              <w:pStyle w:val="style0"/>
              <w:widowControl w:val="false"/>
              <w:spacing w:lineRule="auto" w:line="240"/>
              <w:rPr/>
            </w:pPr>
            <w:r>
              <w:t>Tissue edema and organ dysfunction</w:t>
            </w:r>
          </w:p>
        </w:tc>
      </w:tr>
      <w:tr>
        <w:tblPrEx/>
        <w:trPr/>
        <w:tc>
          <w:tcPr>
            <w:tcW w:w="3120" w:type="dxa"/>
            <w:tcBorders/>
            <w:tcMar>
              <w:top w:w="100" w:type="dxa"/>
              <w:left w:w="100" w:type="dxa"/>
              <w:bottom w:w="100" w:type="dxa"/>
              <w:right w:w="100" w:type="dxa"/>
            </w:tcMar>
          </w:tcPr>
          <w:p>
            <w:pPr>
              <w:pStyle w:val="style0"/>
              <w:widowControl w:val="false"/>
              <w:pBdr>
                <w:left w:val="nil"/>
                <w:right w:val="nil"/>
                <w:top w:val="nil"/>
                <w:bottom w:val="nil"/>
                <w:between w:val="nil"/>
              </w:pBdr>
              <w:spacing w:lineRule="auto" w:line="240"/>
              <w:rPr/>
            </w:pPr>
            <w:r>
              <w:t>Current Evidence Trend</w:t>
            </w:r>
          </w:p>
        </w:tc>
        <w:tc>
          <w:tcPr>
            <w:tcW w:w="3120" w:type="dxa"/>
            <w:tcBorders/>
            <w:tcMar>
              <w:top w:w="100" w:type="dxa"/>
              <w:left w:w="100" w:type="dxa"/>
              <w:bottom w:w="100" w:type="dxa"/>
              <w:right w:w="100" w:type="dxa"/>
            </w:tcMar>
          </w:tcPr>
          <w:p>
            <w:pPr>
              <w:pStyle w:val="style0"/>
              <w:widowControl w:val="false"/>
              <w:pBdr>
                <w:left w:val="nil"/>
                <w:right w:val="nil"/>
                <w:top w:val="nil"/>
                <w:bottom w:val="nil"/>
                <w:between w:val="nil"/>
              </w:pBdr>
              <w:spacing w:lineRule="auto" w:line="240"/>
              <w:rPr/>
            </w:pPr>
            <w:r>
              <w:t>Favored when individualized and monitored</w:t>
            </w:r>
          </w:p>
        </w:tc>
        <w:tc>
          <w:tcPr>
            <w:tcW w:w="3120" w:type="dxa"/>
            <w:tcBorders/>
            <w:tcMar>
              <w:top w:w="100" w:type="dxa"/>
              <w:left w:w="100" w:type="dxa"/>
              <w:bottom w:w="100" w:type="dxa"/>
              <w:right w:w="100" w:type="dxa"/>
            </w:tcMar>
          </w:tcPr>
          <w:p>
            <w:pPr>
              <w:pStyle w:val="style0"/>
              <w:widowControl w:val="false"/>
              <w:pBdr>
                <w:left w:val="nil"/>
                <w:right w:val="nil"/>
                <w:top w:val="nil"/>
                <w:bottom w:val="nil"/>
                <w:between w:val="nil"/>
              </w:pBdr>
              <w:spacing w:lineRule="auto" w:line="240"/>
              <w:rPr/>
            </w:pPr>
            <w:r>
              <w:t>Routine liberal use not recommended</w:t>
            </w:r>
          </w:p>
        </w:tc>
      </w:tr>
    </w:tbl>
    <w:p>
      <w:pPr>
        <w:pStyle w:val="style0"/>
        <w:rPr/>
      </w:pPr>
    </w:p>
    <w:p>
      <w:pPr>
        <w:pStyle w:val="style0"/>
        <w:rPr/>
      </w:pPr>
    </w:p>
    <w:p>
      <w:pPr>
        <w:pStyle w:val="style0"/>
        <w:rPr/>
      </w:pPr>
      <w:r>
        <w:t>6. Comparative Evidence: Clinical Trials and Meta-Analyses</w:t>
      </w:r>
    </w:p>
    <w:p>
      <w:pPr>
        <w:pStyle w:val="style0"/>
        <w:rPr/>
      </w:pPr>
    </w:p>
    <w:p>
      <w:pPr>
        <w:pStyle w:val="style0"/>
        <w:rPr/>
      </w:pPr>
      <w:r>
        <w:t>6.1 Early Randomized Controlled Trials</w:t>
      </w:r>
    </w:p>
    <w:p>
      <w:pPr>
        <w:pStyle w:val="style0"/>
        <w:rPr/>
      </w:pPr>
      <w:r>
        <w:t>The earliest randomized controlled trials (RCTs) comparing liberal and restrictive perioperative fluid strategies appeared in the late 1990s and early 2000s, predominantly in patients undergoing major abdominal surgery. These studies typically pitted traditional liberal regimens, frequently delivering 4–6 liters or more of fluid intraoperatively, against more conservative protocols that restricted administration to measured losses only. Commonly reported endpoints included postoperative complication rates, time to return of bowel function, length of hospital stay, and surrogates of organ dysfunction [46].</w:t>
      </w:r>
    </w:p>
    <w:p>
      <w:pPr>
        <w:pStyle w:val="style0"/>
        <w:rPr/>
      </w:pPr>
    </w:p>
    <w:p>
      <w:pPr>
        <w:pStyle w:val="style0"/>
        <w:rPr/>
      </w:pPr>
      <w:r>
        <w:t>Although these early trials generated valuable hypotheses, they suffered from important limitations: small sample sizes, single-center designs, and inconsistent definitions of what constituted “liberal” versus “restrictive” fluid therapy. Heterogeneity in surgical procedures, anesthetic techniques, and perioperative care pathways further hindered clear interpretation. Moreover, most relied on static hemodynamic parameters such as blood pressure and urine output that are now recognized as unreliable predictors of fluid responsiveness [1</w:t>
      </w:r>
      <w:r>
        <w:rPr>
          <w:lang w:val="en-US"/>
        </w:rPr>
        <w:t>0</w:t>
      </w:r>
      <w:r>
        <w:t>,3</w:t>
      </w:r>
      <w:r>
        <w:rPr>
          <w:lang w:val="en-US"/>
        </w:rPr>
        <w:t>5</w:t>
      </w:r>
      <w:r>
        <w:t>,3</w:t>
      </w:r>
      <w:r>
        <w:rPr>
          <w:lang w:val="en-US"/>
        </w:rPr>
        <w:t>6,</w:t>
      </w:r>
      <w:r>
        <w:t>47,48].</w:t>
      </w:r>
    </w:p>
    <w:p>
      <w:pPr>
        <w:pStyle w:val="style0"/>
        <w:rPr/>
      </w:pPr>
    </w:p>
    <w:p>
      <w:pPr>
        <w:pStyle w:val="style0"/>
        <w:rPr/>
      </w:pPr>
      <w:r>
        <w:t>6.2 Major Outcomes of Interest</w:t>
      </w:r>
    </w:p>
    <w:p>
      <w:pPr>
        <w:pStyle w:val="style0"/>
        <w:rPr/>
      </w:pPr>
      <w:r>
        <w:rPr>
          <w:lang w:val="en-US"/>
        </w:rPr>
        <w:t xml:space="preserve">Most trials do not show a significant difference in perioperative mortality between liberal and restrictive fluid strategies. This likely reflects the low rate of death in elective surgical patients. Alternatively, clinically significant differences have been demonstrated in major postoperative </w:t>
      </w:r>
      <w:r>
        <w:rPr>
          <w:lang w:val="en-US"/>
        </w:rPr>
        <w:t>complications. Adverse effects such as higher rates of pulmonary complications, surgical site infections, and prolonged postoperative ileus, plausibly explained by interstitial edema and impaired tissue oxygenation have all been consistently linked to liberal fluid administration [29,31,33,45,49].</w:t>
      </w:r>
    </w:p>
    <w:p>
      <w:pPr>
        <w:pStyle w:val="style0"/>
        <w:rPr/>
      </w:pPr>
    </w:p>
    <w:p>
      <w:pPr>
        <w:pStyle w:val="style0"/>
        <w:rPr/>
      </w:pPr>
      <w:r>
        <w:t>Renal outcomes remain particularly contentious. Fluid overload can contribute to renal venous congestion and impaired kidney function, yet overly restrictive strategies have, in some studies, been associated with an increased incidence of acute kidney injury (AKI). The need for renal replacement therapy is rare and inconsistently reported, precluding definitive conclusions. Measures of recovery such as length of hospital stay, time to ambulation, and return of gastrointestinal function have more frequently favored restrictive or balanced fluid approaches, especially when embedded within structured enhanced recovery pathways [3</w:t>
      </w:r>
      <w:r>
        <w:rPr>
          <w:lang w:val="en-US"/>
        </w:rPr>
        <w:t>0</w:t>
      </w:r>
      <w:r>
        <w:t>,3</w:t>
      </w:r>
      <w:r>
        <w:rPr>
          <w:lang w:val="en-US"/>
        </w:rPr>
        <w:t>5</w:t>
      </w:r>
      <w:r>
        <w:t>,3</w:t>
      </w:r>
      <w:r>
        <w:rPr>
          <w:lang w:val="en-US"/>
        </w:rPr>
        <w:t>6</w:t>
      </w:r>
      <w:r>
        <w:t>].</w:t>
      </w:r>
    </w:p>
    <w:p>
      <w:pPr>
        <w:pStyle w:val="style0"/>
        <w:rPr/>
      </w:pPr>
    </w:p>
    <w:p>
      <w:pPr>
        <w:pStyle w:val="style0"/>
        <w:rPr/>
      </w:pPr>
      <w:r>
        <w:t>6.3 Systematic Reviews and Meta-Analyses</w:t>
      </w:r>
    </w:p>
    <w:p>
      <w:pPr>
        <w:pStyle w:val="style0"/>
        <w:rPr/>
      </w:pPr>
      <w:r>
        <w:t>Systematic reviews and meta-analyses have sought to integrate this expanding evidence base. Overall, pooled data suggest that excessively liberal fluid regimens are associated with poorer postoperative outcomes, with restrictive or goal-directed strategies linked to reductions in pulmonary complications, surgical site infections, and hospital length of stay [</w:t>
      </w:r>
      <w:r>
        <w:rPr>
          <w:lang w:val="en-US"/>
        </w:rPr>
        <w:t>3</w:t>
      </w:r>
      <w:r>
        <w:t>,13,49].</w:t>
      </w:r>
    </w:p>
    <w:p>
      <w:pPr>
        <w:pStyle w:val="style0"/>
        <w:rPr/>
      </w:pPr>
    </w:p>
    <w:p>
      <w:pPr>
        <w:pStyle w:val="style0"/>
        <w:rPr/>
      </w:pPr>
      <w:r>
        <w:t>Interpretation of these syntheses, however, is constrained by considerable heterogeneity. Studies employ widely varying definitions of “restrictive” and “liberal” fluid therapy, often with substantial overlap in the actual volumes administered. Differences in patient populations, surgical subtypes, use of advanced hemodynamic monitoring, and co-interventions (notably vasopressor support) further limit direct comparisons. Most meta-analyses therefore conclude that while fluid overload is clearly detrimental, excessively rigid restriction may also carry risks, lending support to individualized, context-sensitive fluid management [</w:t>
      </w:r>
      <w:r>
        <w:rPr>
          <w:lang w:val="en-US"/>
        </w:rPr>
        <w:t>3</w:t>
      </w:r>
      <w:r>
        <w:t>,13,49-52].</w:t>
      </w:r>
    </w:p>
    <w:p>
      <w:pPr>
        <w:pStyle w:val="style0"/>
        <w:rPr/>
      </w:pPr>
    </w:p>
    <w:p>
      <w:pPr>
        <w:pStyle w:val="style0"/>
        <w:rPr/>
      </w:pPr>
      <w:r>
        <w:t>6.4 Large Pragmatic Trials</w:t>
      </w:r>
    </w:p>
    <w:p>
      <w:pPr>
        <w:pStyle w:val="style0"/>
        <w:rPr/>
      </w:pPr>
      <w:r>
        <w:t>More recently, large multicenter pragmatic trials have offered higher-quality evidence. The Restrictive versus Liberal Fluid Therapy in Major Abdominal Surgery (RELIEF) trial stands as a landmark study, randomizing over 3,000 patients to either a restrictive fluid protocol (targeting lower total volumes) or a more liberal approach. In contrast to many earlier smaller trials, the restrictive group experienced a significantly higher incidence of acute kidney injury without any improvement in disability-free survival at 90 days [3</w:t>
      </w:r>
      <w:r>
        <w:rPr>
          <w:lang w:val="en-US"/>
        </w:rPr>
        <w:t>5</w:t>
      </w:r>
      <w:r>
        <w:t>,3</w:t>
      </w:r>
      <w:r>
        <w:rPr>
          <w:lang w:val="en-US"/>
        </w:rPr>
        <w:t>6</w:t>
      </w:r>
      <w:r>
        <w:t>].</w:t>
      </w:r>
    </w:p>
    <w:p>
      <w:pPr>
        <w:pStyle w:val="style0"/>
        <w:rPr/>
      </w:pPr>
    </w:p>
    <w:p>
      <w:pPr>
        <w:pStyle w:val="style0"/>
        <w:rPr/>
      </w:pPr>
      <w:r>
        <w:t>The RELIEF findings have been influential, highlighting the hazards of overly strict fluid restriction and reinforcing the dangers of perioperative hypovolemia. Collectively, this body of evidence has moved clinical practice away from dogmatic adherence to either purely liberal or purely restrictive protocols. Current consensus favors a balanced, physiology-guided strategy that tailors fluid administration to the individual patient’s hemodynamic profile, surgical context, and dynamic markers of fluid responsiveness [3</w:t>
      </w:r>
      <w:r>
        <w:rPr>
          <w:lang w:val="en-US"/>
        </w:rPr>
        <w:t>5</w:t>
      </w:r>
      <w:r>
        <w:t>,3</w:t>
      </w:r>
      <w:r>
        <w:rPr>
          <w:lang w:val="en-US"/>
        </w:rPr>
        <w:t>6</w:t>
      </w:r>
      <w:r>
        <w:t>].</w:t>
      </w:r>
      <w:r>
        <w:rPr>
          <w:lang w:val="en-US"/>
        </w:rPr>
        <w:t xml:space="preserve"> Table 2 shows major clinical trials and outcomes as well as a summary of the findings of various systematic reviews and meta-analyses. </w:t>
      </w:r>
    </w:p>
    <w:p>
      <w:pPr>
        <w:pStyle w:val="style0"/>
        <w:rPr/>
      </w:pPr>
    </w:p>
    <w:p>
      <w:pPr>
        <w:pStyle w:val="style0"/>
        <w:spacing w:lineRule="auto" w:line="276"/>
        <w:jc w:val="left"/>
        <w:rPr/>
      </w:pPr>
      <w:r>
        <w:t xml:space="preserve"> </w:t>
      </w:r>
      <w:r>
        <w:rPr>
          <w:lang w:val="en-US"/>
        </w:rPr>
        <w:t>Table</w:t>
      </w:r>
      <w:r>
        <w:t xml:space="preserve"> 2: </w:t>
      </w:r>
      <w:r>
        <w:rPr>
          <w:rFonts w:ascii="Arial" w:cs="Arial" w:eastAsia="Arial" w:hAnsi="Arial" w:hint="default"/>
          <w:b w:val="false"/>
          <w:bCs w:val="false"/>
          <w:i w:val="false"/>
          <w:iCs w:val="false"/>
          <w:color w:val="auto"/>
          <w:sz w:val="22"/>
          <w:szCs w:val="22"/>
          <w:highlight w:val="none"/>
          <w:vertAlign w:val="baseline"/>
          <w:em w:val="none"/>
          <w:lang w:val="en-US" w:eastAsia="en-US"/>
        </w:rPr>
        <w:t>Summary</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of</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major</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clinical</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trials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and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systematic</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reviews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comparing</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restrictive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and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liberal</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fluid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therapy</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in</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major</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surgery</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and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their</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principal</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findings.</w:t>
      </w:r>
    </w:p>
    <w:tbl>
      <w:tblPr>
        <w:tblStyle w:val="style4099"/>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2"/>
        <w:gridCol w:w="1872"/>
        <w:gridCol w:w="1872"/>
        <w:gridCol w:w="1872"/>
        <w:gridCol w:w="1872"/>
      </w:tblGrid>
      <w:tr>
        <w:trPr/>
        <w:tc>
          <w:tcPr>
            <w:tcW w:w="1872" w:type="dxa"/>
            <w:tcBorders/>
            <w:tcMar>
              <w:top w:w="100" w:type="dxa"/>
              <w:left w:w="100" w:type="dxa"/>
              <w:bottom w:w="100" w:type="dxa"/>
              <w:right w:w="100" w:type="dxa"/>
            </w:tcMar>
          </w:tcPr>
          <w:p>
            <w:pPr>
              <w:pStyle w:val="style0"/>
              <w:widowControl w:val="false"/>
              <w:pBdr>
                <w:left w:val="nil"/>
                <w:right w:val="nil"/>
                <w:top w:val="nil"/>
                <w:bottom w:val="nil"/>
                <w:between w:val="nil"/>
              </w:pBdr>
              <w:spacing w:lineRule="auto" w:line="240"/>
              <w:rPr>
                <w:b/>
                <w:bCs/>
              </w:rPr>
            </w:pPr>
            <w:r>
              <w:rPr>
                <w:b/>
                <w:bCs/>
              </w:rPr>
              <w:t>Trial (Year)</w:t>
            </w:r>
          </w:p>
        </w:tc>
        <w:tc>
          <w:tcPr>
            <w:tcW w:w="1872" w:type="dxa"/>
            <w:tcBorders/>
            <w:tcMar>
              <w:top w:w="100" w:type="dxa"/>
              <w:left w:w="100" w:type="dxa"/>
              <w:bottom w:w="100" w:type="dxa"/>
              <w:right w:w="100" w:type="dxa"/>
            </w:tcMar>
          </w:tcPr>
          <w:p>
            <w:pPr>
              <w:pStyle w:val="style0"/>
              <w:widowControl w:val="false"/>
              <w:pBdr>
                <w:left w:val="nil"/>
                <w:right w:val="nil"/>
                <w:top w:val="nil"/>
                <w:bottom w:val="nil"/>
                <w:between w:val="nil"/>
              </w:pBdr>
              <w:spacing w:lineRule="auto" w:line="240"/>
              <w:rPr>
                <w:b/>
                <w:bCs/>
              </w:rPr>
            </w:pPr>
            <w:r>
              <w:rPr>
                <w:b/>
                <w:bCs/>
              </w:rPr>
              <w:t>Population / Surgery Type</w:t>
            </w:r>
          </w:p>
        </w:tc>
        <w:tc>
          <w:tcPr>
            <w:tcW w:w="1872" w:type="dxa"/>
            <w:tcBorders/>
            <w:tcMar>
              <w:top w:w="100" w:type="dxa"/>
              <w:left w:w="100" w:type="dxa"/>
              <w:bottom w:w="100" w:type="dxa"/>
              <w:right w:w="100" w:type="dxa"/>
            </w:tcMar>
          </w:tcPr>
          <w:p>
            <w:pPr>
              <w:pStyle w:val="style0"/>
              <w:widowControl w:val="false"/>
              <w:pBdr>
                <w:left w:val="nil"/>
                <w:right w:val="nil"/>
                <w:top w:val="nil"/>
                <w:bottom w:val="nil"/>
                <w:between w:val="nil"/>
              </w:pBdr>
              <w:spacing w:lineRule="auto" w:line="240"/>
              <w:rPr>
                <w:b/>
                <w:bCs/>
              </w:rPr>
            </w:pPr>
            <w:r>
              <w:rPr>
                <w:b/>
                <w:bCs/>
              </w:rPr>
              <w:t>Comparison</w:t>
            </w:r>
          </w:p>
        </w:tc>
        <w:tc>
          <w:tcPr>
            <w:tcW w:w="1872" w:type="dxa"/>
            <w:tcBorders/>
            <w:tcMar>
              <w:top w:w="100" w:type="dxa"/>
              <w:left w:w="100" w:type="dxa"/>
              <w:bottom w:w="100" w:type="dxa"/>
              <w:right w:w="100" w:type="dxa"/>
            </w:tcMar>
          </w:tcPr>
          <w:p>
            <w:pPr>
              <w:pStyle w:val="style0"/>
              <w:widowControl w:val="false"/>
              <w:pBdr>
                <w:left w:val="nil"/>
                <w:right w:val="nil"/>
                <w:top w:val="nil"/>
                <w:bottom w:val="nil"/>
                <w:between w:val="nil"/>
              </w:pBdr>
              <w:spacing w:lineRule="auto" w:line="240"/>
              <w:rPr>
                <w:b/>
                <w:bCs/>
              </w:rPr>
            </w:pPr>
            <w:r>
              <w:rPr>
                <w:b/>
                <w:bCs/>
              </w:rPr>
              <w:t>Key Findings</w:t>
            </w:r>
          </w:p>
        </w:tc>
        <w:tc>
          <w:tcPr>
            <w:tcW w:w="1872" w:type="dxa"/>
            <w:tcBorders/>
            <w:tcMar>
              <w:top w:w="100" w:type="dxa"/>
              <w:left w:w="100" w:type="dxa"/>
              <w:bottom w:w="100" w:type="dxa"/>
              <w:right w:w="100" w:type="dxa"/>
            </w:tcMar>
          </w:tcPr>
          <w:p>
            <w:pPr>
              <w:pStyle w:val="style0"/>
              <w:widowControl w:val="false"/>
              <w:pBdr>
                <w:left w:val="nil"/>
                <w:right w:val="nil"/>
                <w:top w:val="nil"/>
                <w:bottom w:val="nil"/>
                <w:between w:val="nil"/>
              </w:pBdr>
              <w:spacing w:lineRule="auto" w:line="240"/>
              <w:rPr>
                <w:b/>
                <w:bCs/>
              </w:rPr>
            </w:pPr>
            <w:r>
              <w:rPr>
                <w:b/>
                <w:bCs/>
              </w:rPr>
              <w:t>Clinical Implication</w:t>
            </w:r>
          </w:p>
        </w:tc>
      </w:tr>
      <w:tr>
        <w:tblPrEx/>
        <w:trPr/>
        <w:tc>
          <w:tcPr>
            <w:tcW w:w="1872" w:type="dxa"/>
            <w:tcBorders/>
            <w:tcMar>
              <w:top w:w="100" w:type="dxa"/>
              <w:left w:w="100" w:type="dxa"/>
              <w:bottom w:w="100" w:type="dxa"/>
              <w:right w:w="100" w:type="dxa"/>
            </w:tcMar>
          </w:tcPr>
          <w:p>
            <w:pPr>
              <w:pStyle w:val="style0"/>
              <w:widowControl w:val="false"/>
              <w:pBdr>
                <w:left w:val="nil"/>
                <w:right w:val="nil"/>
                <w:top w:val="nil"/>
                <w:bottom w:val="nil"/>
                <w:between w:val="nil"/>
              </w:pBdr>
              <w:spacing w:lineRule="auto" w:line="240"/>
              <w:rPr/>
            </w:pPr>
            <w:r>
              <w:t xml:space="preserve">RELIEF Trial (2018) [35] </w:t>
            </w:r>
          </w:p>
        </w:tc>
        <w:tc>
          <w:tcPr>
            <w:tcW w:w="1872" w:type="dxa"/>
            <w:tcBorders/>
            <w:tcMar>
              <w:top w:w="100" w:type="dxa"/>
              <w:left w:w="100" w:type="dxa"/>
              <w:bottom w:w="100" w:type="dxa"/>
              <w:right w:w="100" w:type="dxa"/>
            </w:tcMar>
          </w:tcPr>
          <w:p>
            <w:pPr>
              <w:pStyle w:val="style0"/>
              <w:widowControl w:val="false"/>
              <w:pBdr>
                <w:left w:val="nil"/>
                <w:right w:val="nil"/>
                <w:top w:val="nil"/>
                <w:bottom w:val="nil"/>
                <w:between w:val="nil"/>
              </w:pBdr>
              <w:spacing w:lineRule="auto" w:line="240"/>
              <w:rPr/>
            </w:pPr>
            <w:r>
              <w:t>Major abdominal surgery (n &gt; 3,000)</w:t>
            </w:r>
          </w:p>
        </w:tc>
        <w:tc>
          <w:tcPr>
            <w:tcW w:w="1872" w:type="dxa"/>
            <w:tcBorders/>
            <w:tcMar>
              <w:top w:w="100" w:type="dxa"/>
              <w:left w:w="100" w:type="dxa"/>
              <w:bottom w:w="100" w:type="dxa"/>
              <w:right w:w="100" w:type="dxa"/>
            </w:tcMar>
          </w:tcPr>
          <w:p>
            <w:pPr>
              <w:pStyle w:val="style0"/>
              <w:widowControl w:val="false"/>
              <w:pBdr>
                <w:left w:val="nil"/>
                <w:right w:val="nil"/>
                <w:top w:val="nil"/>
                <w:bottom w:val="nil"/>
                <w:between w:val="nil"/>
              </w:pBdr>
              <w:spacing w:lineRule="auto" w:line="240"/>
              <w:rPr/>
            </w:pPr>
            <w:r>
              <w:t>Restrictive vs Liberal</w:t>
            </w:r>
          </w:p>
        </w:tc>
        <w:tc>
          <w:tcPr>
            <w:tcW w:w="1872" w:type="dxa"/>
            <w:tcBorders/>
            <w:tcMar>
              <w:top w:w="100" w:type="dxa"/>
              <w:left w:w="100" w:type="dxa"/>
              <w:bottom w:w="100" w:type="dxa"/>
              <w:right w:w="100" w:type="dxa"/>
            </w:tcMar>
          </w:tcPr>
          <w:p>
            <w:pPr>
              <w:pStyle w:val="style0"/>
              <w:widowControl w:val="false"/>
              <w:pBdr>
                <w:left w:val="nil"/>
                <w:right w:val="nil"/>
                <w:top w:val="nil"/>
                <w:bottom w:val="nil"/>
                <w:between w:val="nil"/>
              </w:pBdr>
              <w:spacing w:lineRule="auto" w:line="240"/>
              <w:rPr/>
            </w:pPr>
            <w:r>
              <w:rPr>
                <w:rFonts w:ascii="Arial Unicode MS" w:cs="Arial Unicode MS" w:eastAsia="Arial Unicode MS" w:hAnsi="Arial Unicode MS"/>
              </w:rPr>
              <w:t>Restrictive strategy ↑ acute kidney injury; no improvement in disability-free survival</w:t>
            </w:r>
          </w:p>
        </w:tc>
        <w:tc>
          <w:tcPr>
            <w:tcW w:w="1872" w:type="dxa"/>
            <w:tcBorders/>
            <w:tcMar>
              <w:top w:w="100" w:type="dxa"/>
              <w:left w:w="100" w:type="dxa"/>
              <w:bottom w:w="100" w:type="dxa"/>
              <w:right w:w="100" w:type="dxa"/>
            </w:tcMar>
          </w:tcPr>
          <w:p>
            <w:pPr>
              <w:pStyle w:val="style0"/>
              <w:widowControl w:val="false"/>
              <w:pBdr>
                <w:left w:val="nil"/>
                <w:right w:val="nil"/>
                <w:top w:val="nil"/>
                <w:bottom w:val="nil"/>
                <w:between w:val="nil"/>
              </w:pBdr>
              <w:spacing w:lineRule="auto" w:line="240"/>
              <w:rPr/>
            </w:pPr>
            <w:r>
              <w:t>Overly restrictive regimens may increase renal risk</w:t>
            </w:r>
          </w:p>
        </w:tc>
      </w:tr>
      <w:tr>
        <w:tblPrEx/>
        <w:trPr/>
        <w:tc>
          <w:tcPr>
            <w:tcW w:w="1872" w:type="dxa"/>
            <w:tcBorders/>
            <w:tcMar>
              <w:top w:w="100" w:type="dxa"/>
              <w:left w:w="100" w:type="dxa"/>
              <w:bottom w:w="100" w:type="dxa"/>
              <w:right w:w="100" w:type="dxa"/>
            </w:tcMar>
          </w:tcPr>
          <w:p>
            <w:pPr>
              <w:pStyle w:val="style0"/>
              <w:widowControl w:val="false"/>
              <w:pBdr>
                <w:left w:val="nil"/>
                <w:right w:val="nil"/>
                <w:top w:val="nil"/>
                <w:bottom w:val="nil"/>
                <w:between w:val="nil"/>
              </w:pBdr>
              <w:spacing w:lineRule="auto" w:line="240"/>
              <w:rPr/>
            </w:pPr>
            <w:r>
              <w:t>Brandstrup et al. (2003) [46]</w:t>
            </w:r>
          </w:p>
        </w:tc>
        <w:tc>
          <w:tcPr>
            <w:tcW w:w="1872" w:type="dxa"/>
            <w:tcBorders/>
            <w:tcMar>
              <w:top w:w="100" w:type="dxa"/>
              <w:left w:w="100" w:type="dxa"/>
              <w:bottom w:w="100" w:type="dxa"/>
              <w:right w:w="100" w:type="dxa"/>
            </w:tcMar>
          </w:tcPr>
          <w:p>
            <w:pPr>
              <w:pStyle w:val="style0"/>
              <w:widowControl w:val="false"/>
              <w:pBdr>
                <w:left w:val="nil"/>
                <w:right w:val="nil"/>
                <w:top w:val="nil"/>
                <w:bottom w:val="nil"/>
                <w:between w:val="nil"/>
              </w:pBdr>
              <w:spacing w:lineRule="auto" w:line="240"/>
              <w:rPr/>
            </w:pPr>
            <w:r>
              <w:t>Elective colorectal surgery</w:t>
            </w:r>
          </w:p>
        </w:tc>
        <w:tc>
          <w:tcPr>
            <w:tcW w:w="1872" w:type="dxa"/>
            <w:tcBorders/>
            <w:tcMar>
              <w:top w:w="100" w:type="dxa"/>
              <w:left w:w="100" w:type="dxa"/>
              <w:bottom w:w="100" w:type="dxa"/>
              <w:right w:w="100" w:type="dxa"/>
            </w:tcMar>
          </w:tcPr>
          <w:p>
            <w:pPr>
              <w:pStyle w:val="style0"/>
              <w:widowControl w:val="false"/>
              <w:pBdr>
                <w:left w:val="nil"/>
                <w:right w:val="nil"/>
                <w:top w:val="nil"/>
                <w:bottom w:val="nil"/>
                <w:between w:val="nil"/>
              </w:pBdr>
              <w:spacing w:lineRule="auto" w:line="240"/>
              <w:rPr/>
            </w:pPr>
            <w:r>
              <w:t>Restrictive vs Liberal</w:t>
            </w:r>
          </w:p>
        </w:tc>
        <w:tc>
          <w:tcPr>
            <w:tcW w:w="1872" w:type="dxa"/>
            <w:tcBorders/>
            <w:tcMar>
              <w:top w:w="100" w:type="dxa"/>
              <w:left w:w="100" w:type="dxa"/>
              <w:bottom w:w="100" w:type="dxa"/>
              <w:right w:w="100" w:type="dxa"/>
            </w:tcMar>
          </w:tcPr>
          <w:p>
            <w:pPr>
              <w:pStyle w:val="style0"/>
              <w:widowControl w:val="false"/>
              <w:pBdr>
                <w:left w:val="nil"/>
                <w:right w:val="nil"/>
                <w:top w:val="nil"/>
                <w:bottom w:val="nil"/>
                <w:between w:val="nil"/>
              </w:pBdr>
              <w:spacing w:lineRule="auto" w:line="240"/>
              <w:rPr/>
            </w:pPr>
            <w:r>
              <w:t>Restrictive group had fewer cardiopulmonary and wound complications</w:t>
            </w:r>
          </w:p>
        </w:tc>
        <w:tc>
          <w:tcPr>
            <w:tcW w:w="1872" w:type="dxa"/>
            <w:tcBorders/>
            <w:tcMar>
              <w:top w:w="100" w:type="dxa"/>
              <w:left w:w="100" w:type="dxa"/>
              <w:bottom w:w="100" w:type="dxa"/>
              <w:right w:w="100" w:type="dxa"/>
            </w:tcMar>
          </w:tcPr>
          <w:p>
            <w:pPr>
              <w:pStyle w:val="style0"/>
              <w:widowControl w:val="false"/>
              <w:pBdr>
                <w:left w:val="nil"/>
                <w:right w:val="nil"/>
                <w:top w:val="nil"/>
                <w:bottom w:val="nil"/>
                <w:between w:val="nil"/>
              </w:pBdr>
              <w:spacing w:lineRule="auto" w:line="240"/>
              <w:rPr/>
            </w:pPr>
            <w:r>
              <w:t>Avoidance of fluid overload improves outcomes</w:t>
            </w:r>
          </w:p>
        </w:tc>
      </w:tr>
      <w:tr>
        <w:tblPrEx/>
        <w:trPr/>
        <w:tc>
          <w:tcPr>
            <w:tcW w:w="1872" w:type="dxa"/>
            <w:tcBorders/>
            <w:tcMar>
              <w:top w:w="100" w:type="dxa"/>
              <w:left w:w="100" w:type="dxa"/>
              <w:bottom w:w="100" w:type="dxa"/>
              <w:right w:w="100" w:type="dxa"/>
            </w:tcMar>
          </w:tcPr>
          <w:p>
            <w:pPr>
              <w:pStyle w:val="style0"/>
              <w:widowControl w:val="false"/>
              <w:pBdr>
                <w:left w:val="nil"/>
                <w:right w:val="nil"/>
                <w:top w:val="nil"/>
                <w:bottom w:val="nil"/>
                <w:between w:val="nil"/>
              </w:pBdr>
              <w:spacing w:lineRule="auto" w:line="240"/>
              <w:rPr/>
            </w:pPr>
            <w:r>
              <w:t>Nisanevich et al. (2005) [47]</w:t>
            </w:r>
          </w:p>
        </w:tc>
        <w:tc>
          <w:tcPr>
            <w:tcW w:w="1872" w:type="dxa"/>
            <w:tcBorders/>
            <w:tcMar>
              <w:top w:w="100" w:type="dxa"/>
              <w:left w:w="100" w:type="dxa"/>
              <w:bottom w:w="100" w:type="dxa"/>
              <w:right w:w="100" w:type="dxa"/>
            </w:tcMar>
          </w:tcPr>
          <w:p>
            <w:pPr>
              <w:pStyle w:val="style0"/>
              <w:widowControl w:val="false"/>
              <w:pBdr>
                <w:left w:val="nil"/>
                <w:right w:val="nil"/>
                <w:top w:val="nil"/>
                <w:bottom w:val="nil"/>
                <w:between w:val="nil"/>
              </w:pBdr>
              <w:spacing w:lineRule="auto" w:line="240"/>
              <w:rPr/>
            </w:pPr>
            <w:r>
              <w:t>Major abdominal surgery</w:t>
            </w:r>
          </w:p>
        </w:tc>
        <w:tc>
          <w:tcPr>
            <w:tcW w:w="1872" w:type="dxa"/>
            <w:tcBorders/>
            <w:tcMar>
              <w:top w:w="100" w:type="dxa"/>
              <w:left w:w="100" w:type="dxa"/>
              <w:bottom w:w="100" w:type="dxa"/>
              <w:right w:w="100" w:type="dxa"/>
            </w:tcMar>
          </w:tcPr>
          <w:p>
            <w:pPr>
              <w:pStyle w:val="style0"/>
              <w:widowControl w:val="false"/>
              <w:pBdr>
                <w:left w:val="nil"/>
                <w:right w:val="nil"/>
                <w:top w:val="nil"/>
                <w:bottom w:val="nil"/>
                <w:between w:val="nil"/>
              </w:pBdr>
              <w:spacing w:lineRule="auto" w:line="240"/>
              <w:rPr/>
            </w:pPr>
            <w:r>
              <w:t>Restrictive vs Liberal</w:t>
            </w:r>
          </w:p>
        </w:tc>
        <w:tc>
          <w:tcPr>
            <w:tcW w:w="1872" w:type="dxa"/>
            <w:tcBorders/>
            <w:tcMar>
              <w:top w:w="100" w:type="dxa"/>
              <w:left w:w="100" w:type="dxa"/>
              <w:bottom w:w="100" w:type="dxa"/>
              <w:right w:w="100" w:type="dxa"/>
            </w:tcMar>
          </w:tcPr>
          <w:p>
            <w:pPr>
              <w:pStyle w:val="style0"/>
              <w:widowControl w:val="false"/>
              <w:pBdr>
                <w:left w:val="nil"/>
                <w:right w:val="nil"/>
                <w:top w:val="nil"/>
                <w:bottom w:val="nil"/>
                <w:between w:val="nil"/>
              </w:pBdr>
              <w:spacing w:lineRule="auto" w:line="240"/>
              <w:rPr/>
            </w:pPr>
            <w:r>
              <w:t>Restrictive strategy reduced postoperative complications and length of stay</w:t>
            </w:r>
          </w:p>
        </w:tc>
        <w:tc>
          <w:tcPr>
            <w:tcW w:w="1872" w:type="dxa"/>
            <w:tcBorders/>
            <w:tcMar>
              <w:top w:w="100" w:type="dxa"/>
              <w:left w:w="100" w:type="dxa"/>
              <w:bottom w:w="100" w:type="dxa"/>
              <w:right w:w="100" w:type="dxa"/>
            </w:tcMar>
          </w:tcPr>
          <w:p>
            <w:pPr>
              <w:pStyle w:val="style0"/>
              <w:widowControl w:val="false"/>
              <w:pBdr>
                <w:left w:val="nil"/>
                <w:right w:val="nil"/>
                <w:top w:val="nil"/>
                <w:bottom w:val="nil"/>
                <w:between w:val="nil"/>
              </w:pBdr>
              <w:spacing w:lineRule="auto" w:line="240"/>
              <w:rPr/>
            </w:pPr>
            <w:r>
              <w:t>Supports limiting excess fluid</w:t>
            </w:r>
          </w:p>
        </w:tc>
      </w:tr>
      <w:tr>
        <w:tblPrEx/>
        <w:trPr/>
        <w:tc>
          <w:tcPr>
            <w:tcW w:w="1872" w:type="dxa"/>
            <w:tcBorders/>
            <w:tcMar>
              <w:top w:w="100" w:type="dxa"/>
              <w:left w:w="100" w:type="dxa"/>
              <w:bottom w:w="100" w:type="dxa"/>
              <w:right w:w="100" w:type="dxa"/>
            </w:tcMar>
          </w:tcPr>
          <w:p>
            <w:pPr>
              <w:pStyle w:val="style0"/>
              <w:widowControl w:val="false"/>
              <w:pBdr>
                <w:left w:val="nil"/>
                <w:right w:val="nil"/>
                <w:top w:val="nil"/>
                <w:bottom w:val="nil"/>
                <w:between w:val="nil"/>
              </w:pBdr>
              <w:spacing w:lineRule="auto" w:line="240"/>
              <w:rPr/>
            </w:pPr>
            <w:r>
              <w:t>Vermeulen et al. (2009) [48]</w:t>
            </w:r>
          </w:p>
        </w:tc>
        <w:tc>
          <w:tcPr>
            <w:tcW w:w="1872" w:type="dxa"/>
            <w:tcBorders/>
            <w:tcMar>
              <w:top w:w="100" w:type="dxa"/>
              <w:left w:w="100" w:type="dxa"/>
              <w:bottom w:w="100" w:type="dxa"/>
              <w:right w:w="100" w:type="dxa"/>
            </w:tcMar>
          </w:tcPr>
          <w:p>
            <w:pPr>
              <w:pStyle w:val="style0"/>
              <w:widowControl w:val="false"/>
              <w:pBdr>
                <w:left w:val="nil"/>
                <w:right w:val="nil"/>
                <w:top w:val="nil"/>
                <w:bottom w:val="nil"/>
                <w:between w:val="nil"/>
              </w:pBdr>
              <w:spacing w:lineRule="auto" w:line="240"/>
              <w:rPr/>
            </w:pPr>
            <w:r>
              <w:t>Elective major abdominal surgery</w:t>
            </w:r>
          </w:p>
        </w:tc>
        <w:tc>
          <w:tcPr>
            <w:tcW w:w="1872" w:type="dxa"/>
            <w:tcBorders/>
            <w:tcMar>
              <w:top w:w="100" w:type="dxa"/>
              <w:left w:w="100" w:type="dxa"/>
              <w:bottom w:w="100" w:type="dxa"/>
              <w:right w:w="100" w:type="dxa"/>
            </w:tcMar>
          </w:tcPr>
          <w:p>
            <w:pPr>
              <w:pStyle w:val="style0"/>
              <w:widowControl w:val="false"/>
              <w:pBdr>
                <w:left w:val="nil"/>
                <w:right w:val="nil"/>
                <w:top w:val="nil"/>
                <w:bottom w:val="nil"/>
                <w:between w:val="nil"/>
              </w:pBdr>
              <w:spacing w:lineRule="auto" w:line="240"/>
              <w:rPr/>
            </w:pPr>
            <w:r>
              <w:t>Restricted vs Standard postoperative fluids</w:t>
            </w:r>
          </w:p>
        </w:tc>
        <w:tc>
          <w:tcPr>
            <w:tcW w:w="1872" w:type="dxa"/>
            <w:tcBorders/>
            <w:tcMar>
              <w:top w:w="100" w:type="dxa"/>
              <w:left w:w="100" w:type="dxa"/>
              <w:bottom w:w="100" w:type="dxa"/>
              <w:right w:w="100" w:type="dxa"/>
            </w:tcMar>
          </w:tcPr>
          <w:p>
            <w:pPr>
              <w:pStyle w:val="style0"/>
              <w:widowControl w:val="false"/>
              <w:pBdr>
                <w:left w:val="nil"/>
                <w:right w:val="nil"/>
                <w:top w:val="nil"/>
                <w:bottom w:val="nil"/>
                <w:between w:val="nil"/>
              </w:pBdr>
              <w:spacing w:lineRule="auto" w:line="240"/>
              <w:rPr/>
            </w:pPr>
            <w:r>
              <w:t>Restricted group had more major complications and longer postoperative stay</w:t>
            </w:r>
          </w:p>
        </w:tc>
        <w:tc>
          <w:tcPr>
            <w:tcW w:w="1872" w:type="dxa"/>
            <w:tcBorders/>
            <w:tcMar>
              <w:top w:w="100" w:type="dxa"/>
              <w:left w:w="100" w:type="dxa"/>
              <w:bottom w:w="100" w:type="dxa"/>
              <w:right w:w="100" w:type="dxa"/>
            </w:tcMar>
          </w:tcPr>
          <w:p>
            <w:pPr>
              <w:pStyle w:val="style0"/>
              <w:widowControl w:val="false"/>
              <w:pBdr>
                <w:left w:val="nil"/>
                <w:right w:val="nil"/>
                <w:top w:val="nil"/>
                <w:bottom w:val="nil"/>
                <w:between w:val="nil"/>
              </w:pBdr>
              <w:spacing w:lineRule="auto" w:line="240"/>
              <w:rPr/>
            </w:pPr>
            <w:r>
              <w:t>Very strict postoperative fluid restriction may be harmful overall.</w:t>
            </w:r>
          </w:p>
        </w:tc>
      </w:tr>
      <w:tr>
        <w:tblPrEx/>
        <w:trPr/>
        <w:tc>
          <w:tcPr>
            <w:tcW w:w="1872" w:type="dxa"/>
            <w:tcBorders/>
            <w:tcMar>
              <w:top w:w="100" w:type="dxa"/>
              <w:left w:w="100" w:type="dxa"/>
              <w:bottom w:w="100" w:type="dxa"/>
              <w:right w:w="100" w:type="dxa"/>
            </w:tcMar>
          </w:tcPr>
          <w:p>
            <w:pPr>
              <w:pStyle w:val="style0"/>
              <w:widowControl w:val="false"/>
              <w:pBdr>
                <w:left w:val="nil"/>
                <w:right w:val="nil"/>
                <w:top w:val="nil"/>
                <w:bottom w:val="nil"/>
                <w:between w:val="nil"/>
              </w:pBdr>
              <w:spacing w:lineRule="auto" w:line="240"/>
              <w:rPr/>
            </w:pPr>
            <w:r>
              <w:t>Various systematic reviews and Meta-analyses (2000s–2020s) [49,50-52]</w:t>
            </w:r>
          </w:p>
        </w:tc>
        <w:tc>
          <w:tcPr>
            <w:tcW w:w="1872" w:type="dxa"/>
            <w:tcBorders/>
            <w:tcMar>
              <w:top w:w="100" w:type="dxa"/>
              <w:left w:w="100" w:type="dxa"/>
              <w:bottom w:w="100" w:type="dxa"/>
              <w:right w:w="100" w:type="dxa"/>
            </w:tcMar>
          </w:tcPr>
          <w:p>
            <w:pPr>
              <w:pStyle w:val="style0"/>
              <w:widowControl w:val="false"/>
              <w:pBdr>
                <w:left w:val="nil"/>
                <w:right w:val="nil"/>
                <w:top w:val="nil"/>
                <w:bottom w:val="nil"/>
                <w:between w:val="nil"/>
              </w:pBdr>
              <w:spacing w:lineRule="auto" w:line="240"/>
              <w:rPr/>
            </w:pPr>
            <w:r>
              <w:t>Mixed major surgeries</w:t>
            </w:r>
          </w:p>
        </w:tc>
        <w:tc>
          <w:tcPr>
            <w:tcW w:w="1872" w:type="dxa"/>
            <w:tcBorders/>
            <w:tcMar>
              <w:top w:w="100" w:type="dxa"/>
              <w:left w:w="100" w:type="dxa"/>
              <w:bottom w:w="100" w:type="dxa"/>
              <w:right w:w="100" w:type="dxa"/>
            </w:tcMar>
          </w:tcPr>
          <w:p>
            <w:pPr>
              <w:pStyle w:val="style0"/>
              <w:widowControl w:val="false"/>
              <w:pBdr>
                <w:left w:val="nil"/>
                <w:right w:val="nil"/>
                <w:top w:val="nil"/>
                <w:bottom w:val="nil"/>
                <w:between w:val="nil"/>
              </w:pBdr>
              <w:spacing w:lineRule="auto" w:line="240"/>
              <w:rPr/>
            </w:pPr>
            <w:r>
              <w:t>Restrictive/GDFT vs Liberal</w:t>
            </w:r>
          </w:p>
          <w:p>
            <w:pPr>
              <w:pStyle w:val="style0"/>
              <w:widowControl w:val="false"/>
              <w:pBdr>
                <w:left w:val="nil"/>
                <w:right w:val="nil"/>
                <w:top w:val="nil"/>
                <w:bottom w:val="nil"/>
                <w:between w:val="nil"/>
              </w:pBdr>
              <w:spacing w:lineRule="auto" w:line="240"/>
              <w:rPr/>
            </w:pPr>
          </w:p>
        </w:tc>
        <w:tc>
          <w:tcPr>
            <w:tcW w:w="1872" w:type="dxa"/>
            <w:tcBorders/>
            <w:tcMar>
              <w:top w:w="100" w:type="dxa"/>
              <w:left w:w="100" w:type="dxa"/>
              <w:bottom w:w="100" w:type="dxa"/>
              <w:right w:w="100" w:type="dxa"/>
            </w:tcMar>
          </w:tcPr>
          <w:p>
            <w:pPr>
              <w:pStyle w:val="style0"/>
              <w:widowControl w:val="false"/>
              <w:pBdr>
                <w:left w:val="nil"/>
                <w:right w:val="nil"/>
                <w:top w:val="nil"/>
                <w:bottom w:val="nil"/>
                <w:between w:val="nil"/>
              </w:pBdr>
              <w:spacing w:lineRule="auto" w:line="240"/>
              <w:rPr/>
            </w:pPr>
            <w:r>
              <w:t xml:space="preserve">Liberal regimens associated with increased pulmonary complications and longer length of stay </w:t>
            </w:r>
          </w:p>
        </w:tc>
        <w:tc>
          <w:tcPr>
            <w:tcW w:w="1872" w:type="dxa"/>
            <w:tcBorders/>
            <w:tcMar>
              <w:top w:w="100" w:type="dxa"/>
              <w:left w:w="100" w:type="dxa"/>
              <w:bottom w:w="100" w:type="dxa"/>
              <w:right w:w="100" w:type="dxa"/>
            </w:tcMar>
          </w:tcPr>
          <w:p>
            <w:pPr>
              <w:pStyle w:val="style0"/>
              <w:widowControl w:val="false"/>
              <w:pBdr>
                <w:left w:val="nil"/>
                <w:right w:val="nil"/>
                <w:top w:val="nil"/>
                <w:bottom w:val="nil"/>
                <w:between w:val="nil"/>
              </w:pBdr>
              <w:spacing w:lineRule="auto" w:line="240"/>
              <w:rPr/>
            </w:pPr>
            <w:r>
              <w:t>Balanced, individualized strategy favored</w:t>
            </w:r>
          </w:p>
        </w:tc>
      </w:tr>
    </w:tbl>
    <w:p>
      <w:pPr>
        <w:pStyle w:val="style0"/>
        <w:rPr/>
      </w:pPr>
    </w:p>
    <w:p>
      <w:pPr>
        <w:pStyle w:val="style0"/>
        <w:rPr/>
      </w:pPr>
    </w:p>
    <w:p>
      <w:pPr>
        <w:pStyle w:val="style0"/>
        <w:rPr/>
      </w:pPr>
      <w:r>
        <w:t>7. Organ-Specific Effects of Fluid Strategies</w:t>
      </w:r>
    </w:p>
    <w:p>
      <w:pPr>
        <w:pStyle w:val="style0"/>
        <w:rPr/>
      </w:pPr>
    </w:p>
    <w:p>
      <w:pPr>
        <w:pStyle w:val="style0"/>
        <w:rPr/>
      </w:pPr>
      <w:r>
        <w:t>7.1 Renal Outcomes</w:t>
      </w:r>
    </w:p>
    <w:p>
      <w:pPr>
        <w:pStyle w:val="style0"/>
        <w:rPr/>
      </w:pPr>
      <w:r>
        <w:t>The kidneys are highly sensitive to perioperative fluid balance. Both hypovolemia and fluid overload can impair renal perfusion and function, albeit through different mechanisms. Restrictive fluid strategies may theoretically protect glomerular filtration by reducing renal venous congestion and interstitial edema. However, excessive restriction risks intravascular volume depletion, perioperative hypotension, and diminished renal blood flow, all of which increase the likelihood of acute kidney injury (AKI) [3</w:t>
      </w:r>
      <w:r>
        <w:rPr>
          <w:lang w:val="en-US"/>
        </w:rPr>
        <w:t>0</w:t>
      </w:r>
      <w:r>
        <w:t>,3</w:t>
      </w:r>
      <w:r>
        <w:rPr>
          <w:lang w:val="en-US"/>
        </w:rPr>
        <w:t>5</w:t>
      </w:r>
      <w:r>
        <w:t>,3</w:t>
      </w:r>
      <w:r>
        <w:rPr>
          <w:lang w:val="en-US"/>
        </w:rPr>
        <w:t>6</w:t>
      </w:r>
      <w:r>
        <w:t>,45,53-55].</w:t>
      </w:r>
    </w:p>
    <w:p>
      <w:pPr>
        <w:pStyle w:val="style0"/>
        <w:rPr/>
      </w:pPr>
    </w:p>
    <w:p>
      <w:pPr>
        <w:pStyle w:val="style0"/>
        <w:rPr/>
      </w:pPr>
      <w:r>
        <w:t>Clinical studies have consistently demonstrated a U-shaped relationship between perioperative fluid balance and renal outcomes: both markedly negative and markedly positive fluid balances are associated with higher rates of AKI. Large pragmatic trials have further highlighted that rigidly restrictive regimens can elevate postoperative renal complications, particularly when hemodynamic monitoring is limited or hypoperfusion is sustained. These findings emphasize the importance of individualized fluid management guided by careful hemodynamic assessment to avoid extremes of volume status [45,53-55].</w:t>
      </w:r>
    </w:p>
    <w:p>
      <w:pPr>
        <w:pStyle w:val="style0"/>
        <w:rPr/>
      </w:pPr>
    </w:p>
    <w:p>
      <w:pPr>
        <w:pStyle w:val="style0"/>
        <w:rPr/>
      </w:pPr>
      <w:r>
        <w:t>7.2 Pulmonary Outcomes</w:t>
      </w:r>
    </w:p>
    <w:p>
      <w:pPr>
        <w:pStyle w:val="style0"/>
        <w:rPr/>
      </w:pPr>
      <w:r>
        <w:t>Pulmonary complications rank among the most consistently reported adverse consequences of liberal fluid therapy. Excessive intravascular and interstitial fluid accumulation promotes pulmonary edema, reduces lung compliance, impairs gas exchange, and exacerbates hypoxemia effects that are amplified by the increased capillary permeability often seen after major surgery. Liberal strategies have been linked to higher incidences of postoperative pneumonia, prolonged mechanical ventilation, and respiratory failure [</w:t>
      </w:r>
      <w:r>
        <w:rPr>
          <w:lang w:val="en-US"/>
        </w:rPr>
        <w:t>29</w:t>
      </w:r>
      <w:r>
        <w:t>,3</w:t>
      </w:r>
      <w:r>
        <w:rPr>
          <w:lang w:val="en-US"/>
        </w:rPr>
        <w:t>3</w:t>
      </w:r>
      <w:r>
        <w:t>,5</w:t>
      </w:r>
      <w:r>
        <w:rPr>
          <w:lang w:val="en-US"/>
        </w:rPr>
        <w:t>0</w:t>
      </w:r>
      <w:r>
        <w:t>,5</w:t>
      </w:r>
      <w:r>
        <w:rPr>
          <w:lang w:val="en-US"/>
        </w:rPr>
        <w:t>1</w:t>
      </w:r>
      <w:r>
        <w:t>].</w:t>
      </w:r>
    </w:p>
    <w:p>
      <w:pPr>
        <w:pStyle w:val="style0"/>
        <w:rPr/>
      </w:pPr>
    </w:p>
    <w:p>
      <w:pPr>
        <w:pStyle w:val="style0"/>
        <w:rPr/>
      </w:pPr>
      <w:r>
        <w:t>In contrast, restrictive or balanced fluid approaches generally preserve pulmonary mechanics and improve postoperative oxygenation, particularly in patients with limited cardiopulmonary reserve. That said, overly aggressive fluid restriction may increase reliance on vasopressors, which in turn can alter pulmonary vascular tone and right ventricular afterload. This complex interplay reinforces the need for physiological balance rather than rigid adherence to any single fluid philosophy [42,44,46,50-52].</w:t>
      </w:r>
    </w:p>
    <w:p>
      <w:pPr>
        <w:pStyle w:val="style0"/>
        <w:rPr/>
      </w:pPr>
    </w:p>
    <w:p>
      <w:pPr>
        <w:pStyle w:val="style0"/>
        <w:rPr/>
      </w:pPr>
      <w:r>
        <w:t>7.3 Gastrointestinal Recovery</w:t>
      </w:r>
    </w:p>
    <w:p>
      <w:pPr>
        <w:pStyle w:val="style0"/>
        <w:rPr/>
      </w:pPr>
      <w:r>
        <w:t>Gastrointestinal function is especially vulnerable to perioperative fluid management. Liberal fluid administration frequently results in bowel wall edema, elevated intra-abdominal pressure, and delayed recovery of gastrointestinal motility factors that contribute to prolonged postoperative ileus. Edematous intestinal tissues may also compromise microvascular perfusion and anastomotic healing, raising the risk of anastomotic leakage [</w:t>
      </w:r>
      <w:r>
        <w:rPr>
          <w:lang w:val="en-US"/>
        </w:rPr>
        <w:t>2</w:t>
      </w:r>
      <w:r>
        <w:t>,</w:t>
      </w:r>
      <w:r>
        <w:rPr>
          <w:lang w:val="en-US"/>
        </w:rPr>
        <w:t>31</w:t>
      </w:r>
      <w:r>
        <w:t>,56].</w:t>
      </w:r>
    </w:p>
    <w:p>
      <w:pPr>
        <w:pStyle w:val="style0"/>
        <w:rPr/>
      </w:pPr>
    </w:p>
    <w:p>
      <w:pPr>
        <w:pStyle w:val="style0"/>
        <w:rPr/>
      </w:pPr>
      <w:r>
        <w:t>Restrictive fluid strategies, by contrast, have been associated with earlier return of bowel function, reduced postoperative nausea and vomiting, and faster progression to oral intake. These advantages are particularly pronounced within structured enhanced recovery after surgery (ERAS) pathways, where optimized fluid balance is recognized as a cornerstone of accelerated postoperative recovery and reduced morbidity [42,44].</w:t>
      </w:r>
    </w:p>
    <w:p>
      <w:pPr>
        <w:pStyle w:val="style0"/>
        <w:rPr/>
      </w:pPr>
    </w:p>
    <w:p>
      <w:pPr>
        <w:pStyle w:val="style0"/>
        <w:rPr/>
      </w:pPr>
      <w:r>
        <w:t>7.4 Cardiovascular Outcomes</w:t>
      </w:r>
    </w:p>
    <w:p>
      <w:pPr>
        <w:pStyle w:val="style0"/>
        <w:rPr/>
      </w:pPr>
      <w:r>
        <w:t>Perioperative fluid strategies exert substantial effects on cardiovascular performance, especially in patients with pre-existing cardiac disease. Liberal fluid therapy augments preload and increases cardiac workload, which may precipitate myocardial ischemia, arrhythmias, or acute heart failure decompensation in vulnerable individuals. Restrictive approaches, on the other hand, can compromise preload and cardiac output, heightening the risk of hypotension and perioperative myocardial injury due to supply and demand mismatch [</w:t>
      </w:r>
      <w:r>
        <w:rPr>
          <w:lang w:val="en-US"/>
        </w:rPr>
        <w:t>31</w:t>
      </w:r>
      <w:r>
        <w:t>,37,40,5</w:t>
      </w:r>
      <w:r>
        <w:rPr>
          <w:lang w:val="en-US"/>
        </w:rPr>
        <w:t>2</w:t>
      </w:r>
      <w:r>
        <w:t>].</w:t>
      </w:r>
    </w:p>
    <w:p>
      <w:pPr>
        <w:pStyle w:val="style0"/>
        <w:rPr/>
      </w:pPr>
    </w:p>
    <w:p>
      <w:pPr>
        <w:pStyle w:val="style0"/>
        <w:rPr/>
      </w:pPr>
      <w:r>
        <w:t>Contemporary evidence supports individualized fluid management guided by dynamic assessment of cardiac function and volume responsiveness. Avoiding both significant volume overload and sustained hypovolemia appears critical to preserving myocardial perfusion, minimizing oxygen supply demand imbalance, and preventing adverse cardiovascular events in the perioperative period [42]</w:t>
      </w:r>
      <w:r>
        <w:rPr>
          <w:lang w:val="en-US"/>
        </w:rPr>
        <w:t xml:space="preserve">. Figure 2 shows the pathological consequences of fluid overload and hypovolemia. </w:t>
      </w:r>
    </w:p>
    <w:p>
      <w:pPr>
        <w:pStyle w:val="style0"/>
        <w:rPr/>
      </w:pPr>
    </w:p>
    <w:p>
      <w:pPr>
        <w:pStyle w:val="style0"/>
        <w:rPr/>
      </w:pPr>
    </w:p>
    <w:p>
      <w:pPr>
        <w:pStyle w:val="style0"/>
        <w:rPr/>
      </w:pPr>
      <w:r>
        <w:t>Figure 2: Pathophysiological consequences of fluid overload versus hypovolemia</w:t>
      </w:r>
    </w:p>
    <w:p>
      <w:pPr>
        <w:pStyle w:val="style0"/>
        <w:rPr/>
      </w:pPr>
      <w:r>
        <w:rPr>
          <w:noProof/>
          <w:lang w:val="en-US"/>
        </w:rPr>
        <w:drawing>
          <wp:inline distL="0" distT="0" distB="0" distR="0">
            <wp:extent cx="5943600" cy="2794000"/>
            <wp:effectExtent l="0" t="0" r="0" b="0"/>
            <wp:docPr id="1027" name="image1.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1.jpg"/>
                    <pic:cNvPicPr/>
                  </pic:nvPicPr>
                  <pic:blipFill>
                    <a:blip r:embed="rId3" cstate="print"/>
                    <a:srcRect l="0" t="0" r="0" b="0"/>
                    <a:stretch/>
                  </pic:blipFill>
                  <pic:spPr>
                    <a:xfrm rot="0">
                      <a:off x="0" y="0"/>
                      <a:ext cx="5943600" cy="2794000"/>
                    </a:xfrm>
                    <a:prstGeom prst="rect"/>
                    <a:ln cmpd="sng" cap="flat" w="9525">
                      <a:solidFill>
                        <a:srgbClr val="000000"/>
                      </a:solidFill>
                      <a:prstDash val="solid"/>
                      <a:round/>
                      <a:headEnd len="med" w="med" type="none"/>
                      <a:tailEnd len="med" w="med" type="none"/>
                    </a:ln>
                  </pic:spPr>
                </pic:pic>
              </a:graphicData>
            </a:graphic>
          </wp:inline>
        </w:drawing>
      </w:r>
    </w:p>
    <w:p>
      <w:pPr>
        <w:pStyle w:val="style0"/>
        <w:rPr/>
      </w:pPr>
    </w:p>
    <w:p>
      <w:pPr>
        <w:pStyle w:val="style0"/>
        <w:rPr/>
      </w:pPr>
    </w:p>
    <w:p>
      <w:pPr>
        <w:pStyle w:val="style0"/>
        <w:rPr/>
      </w:pPr>
      <w:r>
        <w:t>8. Goal-Directed Fluid Therapy: An Individualized Approach</w:t>
      </w:r>
    </w:p>
    <w:p>
      <w:pPr>
        <w:pStyle w:val="style0"/>
        <w:rPr/>
      </w:pPr>
    </w:p>
    <w:p>
      <w:pPr>
        <w:pStyle w:val="style0"/>
        <w:rPr/>
      </w:pPr>
      <w:r>
        <w:t>8.1 Conceptual Framework</w:t>
      </w:r>
    </w:p>
    <w:p>
      <w:pPr>
        <w:pStyle w:val="style0"/>
        <w:rPr/>
      </w:pPr>
      <w:r>
        <w:rPr>
          <w:lang w:val="en-US"/>
        </w:rPr>
        <w:t xml:space="preserve">Goal-directed fluid therapy (GDFT) signals a crucial withdrawal from fixed liberal or restrictive fluid protocols toward individualized perioperative fluid management guided by real-time physiological monitoring. The aim of GDFT is essentially to optimize stroke volume and tissue perfusion by administering fluid boluses only when additional volume is likely to increase cardiac output. The patient is said to be "fluid-responsive" when additional fluid administration increases cardiac out [37,42,57]. </w:t>
      </w:r>
    </w:p>
    <w:p>
      <w:pPr>
        <w:pStyle w:val="style0"/>
        <w:rPr/>
      </w:pPr>
    </w:p>
    <w:p>
      <w:pPr>
        <w:pStyle w:val="style0"/>
        <w:rPr/>
      </w:pPr>
      <w:r>
        <w:rPr>
          <w:lang w:val="en-US"/>
        </w:rPr>
        <w:t xml:space="preserve">GDFT maintains intravascular volume and avoids the well-documented harms of both hypovolemia and fluid overload by basing fluid administration decisions on dynamic hemodynamic assessment and not on fixed or predetermined volumes or static targets. This Individualized and precision based strategy thoroughly refutes one-size-fits-all approaches and is closely aligned with modern perioperative medicine, which prioritizes adaptability, patient-specific care, and evidence-informed decision making [42]. </w:t>
      </w:r>
    </w:p>
    <w:p>
      <w:pPr>
        <w:pStyle w:val="style0"/>
        <w:rPr/>
      </w:pPr>
    </w:p>
    <w:p>
      <w:pPr>
        <w:pStyle w:val="style0"/>
        <w:rPr/>
      </w:pPr>
      <w:r>
        <w:t>8.2 Monitoring Modalities</w:t>
      </w:r>
    </w:p>
    <w:p>
      <w:pPr>
        <w:pStyle w:val="style0"/>
        <w:rPr/>
      </w:pPr>
      <w:r>
        <w:rPr>
          <w:lang w:val="en-US"/>
        </w:rPr>
        <w:t>The effectiveness of GDFT hinges on the assessment of dynamic indices of fluid responsiveness rather than on static parameters such as heart rate, blood pressure, or central venous pressure. Stroke volume variation (SVV) and pulse pressure variation (PPV), are currently the most studied and clinically applied indices that utilizes respiratory-induced changes in cardiac output during controlled mechanical ventilation to determine a patient's fluid responsiveness [37,58-62].</w:t>
      </w:r>
    </w:p>
    <w:p>
      <w:pPr>
        <w:pStyle w:val="style0"/>
        <w:rPr/>
      </w:pPr>
    </w:p>
    <w:p>
      <w:pPr>
        <w:pStyle w:val="style0"/>
        <w:rPr/>
      </w:pPr>
      <w:r>
        <w:rPr>
          <w:lang w:val="en-US"/>
        </w:rPr>
        <w:t>A number of monitoring technologies have been developed to support GDFT. One such technology is the esophageal Doppler ultrasonography which facilitates direct estimation of stroke volume and cardiac output by providing continuous beat to beat measurement of descending aortic blood flow velocity. Stroke volume and cardiac output can also be estimated with another indices–the minimally invasive arterial waveform analysis that is gleaned from the arterial pressure trace. These modalities offer different degrees of invasiveness, accuracy and ease of use with the choice of which to use determined by the patient's risk profile, institutional resources, surgical complexity and clinician experience [37,58-60].</w:t>
      </w:r>
    </w:p>
    <w:p>
      <w:pPr>
        <w:pStyle w:val="style0"/>
        <w:rPr/>
      </w:pPr>
    </w:p>
    <w:p>
      <w:pPr>
        <w:pStyle w:val="style0"/>
        <w:rPr/>
      </w:pPr>
      <w:r>
        <w:t>8.3 Clinical Evidence</w:t>
      </w:r>
    </w:p>
    <w:p>
      <w:pPr>
        <w:pStyle w:val="style0"/>
        <w:rPr/>
      </w:pPr>
      <w:r>
        <w:t>A substantial body of clinical trials and meta-analyses has demonstrated that GDFT, when applied in high-risk surgical populations particularly those undergoing major abdominal, vascular, or orthopedic procedures can meaningfully reduce postoperative morbidity [57,</w:t>
      </w:r>
      <w:r>
        <w:rPr>
          <w:lang w:val="en-US"/>
        </w:rPr>
        <w:t>58</w:t>
      </w:r>
      <w:r>
        <w:t>,</w:t>
      </w:r>
      <w:r>
        <w:rPr>
          <w:lang w:val="en-US"/>
        </w:rPr>
        <w:t>59</w:t>
      </w:r>
      <w:r>
        <w:t>]. Reported benefits include lower rates of surgical site infections, accelerated recovery of gastrointestinal function, fewer overall complications, and, in many studies, a reduction in length of hospital stay.</w:t>
      </w:r>
    </w:p>
    <w:p>
      <w:pPr>
        <w:pStyle w:val="style0"/>
        <w:rPr/>
      </w:pPr>
    </w:p>
    <w:p>
      <w:pPr>
        <w:pStyle w:val="style0"/>
        <w:rPr/>
      </w:pPr>
      <w:r>
        <w:t>Importantly, GDFT appears to strike an effective balance: it mitigates the perfusion deficits sometimes seen with overly restrictive protocols while avoiding the tissue edema and organ dysfunction associated with liberal fluid administration. Comparative studies indicate that GDFT outperforms fixed-volume strategies by dynamically adapting to intraoperative changes in blood loss, anesthetic-induced vasodilation, capillary leak, and surgical stress. These consistent findings have led to the integration of GDFT principles into enhanced recovery after surgery (ERAS) protocols and several international perioperative care guidelines [42,</w:t>
      </w:r>
      <w:r>
        <w:rPr>
          <w:lang w:val="en-US"/>
        </w:rPr>
        <w:t>59</w:t>
      </w:r>
      <w:r>
        <w:t>].</w:t>
      </w:r>
    </w:p>
    <w:p>
      <w:pPr>
        <w:pStyle w:val="style0"/>
        <w:rPr/>
      </w:pPr>
    </w:p>
    <w:p>
      <w:pPr>
        <w:pStyle w:val="style0"/>
        <w:rPr/>
      </w:pPr>
      <w:r>
        <w:t>8.4 Practical Limitations</w:t>
      </w:r>
    </w:p>
    <w:p>
      <w:pPr>
        <w:pStyle w:val="style0"/>
        <w:rPr/>
      </w:pPr>
      <w:r>
        <w:t>Despite its demonstrated efficacy, broad implementation of GDFT faces several practical barriers. The cost of specialized monitoring equipment, the requirement for operator training, and variable clinician familiarity can hinder adoption, especially in resource-limited healthcare settings. Furthermore, dynamic indices such as SVV and PPV lose reliability in certain clinical contexts, including spontaneous breathing, atrial fibrillation, low tidal volume ventilation, or right ventricular dysfunction [</w:t>
      </w:r>
      <w:r>
        <w:rPr>
          <w:lang w:val="en-US"/>
        </w:rPr>
        <w:t>60</w:t>
      </w:r>
      <w:r>
        <w:t>,</w:t>
      </w:r>
      <w:r>
        <w:rPr>
          <w:lang w:val="en-US"/>
        </w:rPr>
        <w:t>61-</w:t>
      </w:r>
      <w:r>
        <w:t>63].</w:t>
      </w:r>
    </w:p>
    <w:p>
      <w:pPr>
        <w:pStyle w:val="style0"/>
        <w:rPr/>
      </w:pPr>
    </w:p>
    <w:p>
      <w:pPr>
        <w:pStyle w:val="style0"/>
        <w:rPr/>
      </w:pPr>
      <w:r>
        <w:t>These limitations underscore that GDFT is not a universal solution but rather a powerful adjunct to comprehensive perioperative assessment. Optimal outcomes continue to depend on sound clinical judgment, contextual awareness, and integration of hemodynamic data with the broader clinical picture rather than blind reliance on any single monitoring parameter or protocol.</w:t>
      </w:r>
    </w:p>
    <w:p>
      <w:pPr>
        <w:pStyle w:val="style0"/>
        <w:rPr/>
      </w:pPr>
    </w:p>
    <w:p>
      <w:pPr>
        <w:pStyle w:val="style0"/>
        <w:rPr/>
      </w:pPr>
      <w:r>
        <w:t>9. Fluid Management within Enhanced Recovery After Surgery (ERAS) Pathways</w:t>
      </w:r>
    </w:p>
    <w:p>
      <w:pPr>
        <w:pStyle w:val="style0"/>
        <w:rPr/>
      </w:pPr>
    </w:p>
    <w:p>
      <w:pPr>
        <w:pStyle w:val="style0"/>
        <w:rPr/>
      </w:pPr>
      <w:r>
        <w:t>9.1 Overview of ERAS Principles</w:t>
      </w:r>
    </w:p>
    <w:p>
      <w:pPr>
        <w:pStyle w:val="style0"/>
        <w:rPr/>
      </w:pPr>
      <w:r>
        <w:t xml:space="preserve">Enhanced Recovery After Surgery (ERAS) pathways are evidence-based, multidisciplinary </w:t>
      </w:r>
    </w:p>
    <w:p>
      <w:pPr>
        <w:pStyle w:val="style0"/>
        <w:rPr/>
      </w:pPr>
      <w:r>
        <w:t>perioperative care protocols designed to minimize surgical stress, preserve physiological function, and accelerate postoperative recovery. ERAS integrates a bundle of proven interventions spanning the preoperative, intraoperative, and postoperative phases, including optimized anesthesia and multimodal analgesia, minimally invasive surgical techniques, early mobilization, early oral nutrition, and proactive prevention of complications [64,65].</w:t>
      </w:r>
    </w:p>
    <w:p>
      <w:pPr>
        <w:pStyle w:val="style0"/>
        <w:rPr/>
      </w:pPr>
    </w:p>
    <w:p>
      <w:pPr>
        <w:pStyle w:val="style0"/>
        <w:rPr/>
      </w:pPr>
      <w:r>
        <w:t>A fundamental goal of ERAS is to maintain physiological homeostasis while avoiding iatrogenic insults that prolong recovery or increase morbidity. Perioperative fluid management occupies a central position within this framework. Both hypovolemia and fluid overload can amplify the surgical stress response, impair organ function, and delay return to baseline health, making balanced fluid therapy one of the most influential elements of successful ERAS implementation [</w:t>
      </w:r>
      <w:r>
        <w:rPr>
          <w:lang w:val="en-US"/>
        </w:rPr>
        <w:t>2</w:t>
      </w:r>
      <w:r>
        <w:t>,64-66].</w:t>
      </w:r>
      <w:r>
        <w:rPr>
          <w:lang w:val="en-US"/>
        </w:rPr>
        <w:t xml:space="preserve"> </w:t>
      </w:r>
    </w:p>
    <w:p>
      <w:pPr>
        <w:pStyle w:val="style0"/>
        <w:rPr/>
      </w:pPr>
    </w:p>
    <w:p>
      <w:pPr>
        <w:pStyle w:val="style0"/>
        <w:rPr/>
      </w:pPr>
      <w:r>
        <w:t>9.2 Role of Fluid Therapy in ERAS</w:t>
      </w:r>
    </w:p>
    <w:p>
      <w:pPr>
        <w:pStyle w:val="style0"/>
        <w:rPr/>
      </w:pPr>
      <w:r>
        <w:t>Current ERAS guidelines advocate maintenance of near-euvolemia through careful, individualized fluid administration rather than adherence to fixed liberal or overly restrictive protocols. Particular emphasis is placed on avoiding fluid overload, given its well-established links to interstitial edema, compromised tissue oxygenation, delayed gastrointestinal motility, prolonged postoperative ileus, and increased risk of cardiopulmonary complications [40,42,5</w:t>
      </w:r>
      <w:r>
        <w:rPr>
          <w:lang w:val="en-US"/>
        </w:rPr>
        <w:t>2</w:t>
      </w:r>
      <w:r>
        <w:t>,56].</w:t>
      </w:r>
    </w:p>
    <w:p>
      <w:pPr>
        <w:pStyle w:val="style0"/>
        <w:rPr/>
      </w:pPr>
    </w:p>
    <w:p>
      <w:pPr>
        <w:pStyle w:val="style0"/>
        <w:rPr/>
      </w:pPr>
      <w:r>
        <w:t>Intraoperatively, fluid therapy in ERAS pathways is typically guided by dynamic assessment of fluid responsiveness, often incorporating principles of goal-directed fluid therapy (GDFT) to ensure that volume is administered only when physiologically indicated. Postoperatively, ERAS protocols prioritize an early transition from intravenous to oral fluid intake, rapid de-escalation of maintenance intravenous fluids, and timely removal of intravenous access once oral intake is established [5</w:t>
      </w:r>
      <w:r>
        <w:rPr>
          <w:lang w:val="en-US"/>
        </w:rPr>
        <w:t>2</w:t>
      </w:r>
      <w:r>
        <w:t>,56,64,65</w:t>
      </w:r>
      <w:r>
        <w:rPr>
          <w:lang w:val="en-US"/>
        </w:rPr>
        <w:t>]</w:t>
      </w:r>
      <w:r>
        <w:t>.</w:t>
      </w:r>
      <w:r>
        <w:rPr>
          <w:lang w:val="en-US"/>
        </w:rPr>
        <w:t xml:space="preserve"> Figure 3 shows a proposed algorithm for GDFT within ERAS. </w:t>
      </w:r>
    </w:p>
    <w:p>
      <w:pPr>
        <w:pStyle w:val="style0"/>
        <w:rPr/>
      </w:pPr>
    </w:p>
    <w:p>
      <w:pPr>
        <w:pStyle w:val="style0"/>
        <w:rPr/>
      </w:pPr>
      <w:r>
        <w:t>Early resumption of oral nutrition and mobilization further reduces the need for ongoing intravenous fluids and helps prevent cumulative positive fluid balance. Regular clinical reassessment of volume status combined with active fluid stewardship, ensures that intravenous fluids are discontinued as soon as they are no longer required, aligning with the broader ERAS objective of minimizing unnecessary interventions.</w:t>
      </w:r>
    </w:p>
    <w:p>
      <w:pPr>
        <w:pStyle w:val="style0"/>
        <w:rPr/>
      </w:pPr>
    </w:p>
    <w:p>
      <w:pPr>
        <w:pStyle w:val="style0"/>
        <w:rPr/>
      </w:pPr>
      <w:r>
        <w:t>9.3 Impact on Clinical Outcomes</w:t>
      </w:r>
    </w:p>
    <w:p>
      <w:pPr>
        <w:pStyle w:val="style0"/>
        <w:rPr/>
      </w:pPr>
      <w:r>
        <w:t xml:space="preserve">Widespread adoption of ERAS pathways that incorporate optimized perioperative fluid management has been consistently associated with meaningful improvements in clinical outcomes. Multiple studies and large-scale audits have reported significant reductions in </w:t>
      </w:r>
      <w:r>
        <w:t>postoperative complications, including prolonged ileus, pulmonary morbidity, surgical site infections, and wound-related problems, together with a shorter length of hospital stay [67,68].</w:t>
      </w:r>
    </w:p>
    <w:p>
      <w:pPr>
        <w:pStyle w:val="style0"/>
        <w:rPr/>
      </w:pPr>
    </w:p>
    <w:p>
      <w:pPr>
        <w:pStyle w:val="style0"/>
        <w:rPr/>
      </w:pPr>
      <w:r>
        <w:t>Patients managed within mature ERAS programs also tend to experience faster functional recovery, earlier return to normal activities, and higher levels of satisfaction with their care. These consistent benefits reinforce the critical role of thoughtful, individualized fluid management in achieving the overarching goals of ERAS: reducing surgical stress, accelerating recovery, and improving the overall quality of perioperative care [64,67,68].</w:t>
      </w:r>
    </w:p>
    <w:p>
      <w:pPr>
        <w:pStyle w:val="style0"/>
        <w:rPr/>
      </w:pPr>
    </w:p>
    <w:p>
      <w:pPr>
        <w:pStyle w:val="style0"/>
        <w:rPr/>
      </w:pPr>
      <w:r>
        <w:t>Figure 3: Proposed algorithm for perioperative fluid management</w:t>
      </w:r>
    </w:p>
    <w:p>
      <w:pPr>
        <w:pStyle w:val="style0"/>
        <w:rPr/>
      </w:pPr>
      <w:r>
        <w:rPr>
          <w:noProof/>
          <w:lang w:val="en-US"/>
        </w:rPr>
        <w:drawing>
          <wp:inline distL="0" distT="0" distB="0" distR="0">
            <wp:extent cx="5943600" cy="6515100"/>
            <wp:effectExtent l="0" t="0" r="0" b="0"/>
            <wp:docPr id="1028" name="image3.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3.jpg"/>
                    <pic:cNvPicPr/>
                  </pic:nvPicPr>
                  <pic:blipFill>
                    <a:blip r:embed="rId4" cstate="print"/>
                    <a:srcRect l="0" t="0" r="0" b="0"/>
                    <a:stretch/>
                  </pic:blipFill>
                  <pic:spPr>
                    <a:xfrm rot="0">
                      <a:off x="0" y="0"/>
                      <a:ext cx="5943600" cy="6515100"/>
                    </a:xfrm>
                    <a:prstGeom prst="rect"/>
                    <a:ln cmpd="sng" cap="flat" w="9525">
                      <a:solidFill>
                        <a:srgbClr val="000000"/>
                      </a:solidFill>
                      <a:prstDash val="solid"/>
                      <a:round/>
                      <a:headEnd len="med" w="med" type="none"/>
                      <a:tailEnd len="med" w="med" type="none"/>
                    </a:ln>
                  </pic:spPr>
                </pic:pic>
              </a:graphicData>
            </a:graphic>
          </wp:inline>
        </w:drawing>
      </w:r>
    </w:p>
    <w:p>
      <w:pPr>
        <w:pStyle w:val="style0"/>
        <w:rPr/>
      </w:pPr>
    </w:p>
    <w:p>
      <w:pPr>
        <w:pStyle w:val="style0"/>
        <w:rPr/>
      </w:pPr>
    </w:p>
    <w:p>
      <w:pPr>
        <w:pStyle w:val="style0"/>
        <w:rPr/>
      </w:pPr>
      <w:r>
        <w:t>10. Special Populations and Surgical Contexts</w:t>
      </w:r>
    </w:p>
    <w:p>
      <w:pPr>
        <w:pStyle w:val="style0"/>
        <w:rPr/>
      </w:pPr>
    </w:p>
    <w:p>
      <w:pPr>
        <w:pStyle w:val="style0"/>
        <w:rPr/>
      </w:pPr>
      <w:r>
        <w:t>10.1 Older Adults and Frail Patients</w:t>
      </w:r>
    </w:p>
    <w:p>
      <w:pPr>
        <w:pStyle w:val="style0"/>
        <w:rPr/>
      </w:pPr>
      <w:r>
        <w:t xml:space="preserve">Older adults and frail surgical patients pose distinct challenges for perioperative fluid management. Age-related declines in physiological reserve, reduced cardiovascular compliance, impaired renal concentrating ability, and diminished autonomic responsiveness limit the body’s capacity to tolerate deviations from euvolemia. Compensatory mechanisms that </w:t>
      </w:r>
      <w:r>
        <w:t>normally counteract hypovolemia are frequently blunted, while increased arterial stiffness and reduced venous compliance heighten vulnerability to fluid overload and pulmonary congestion. Sarcopenia and altered body water distribution further complicate accurate clinical assessment of volume status in this group [69,70].</w:t>
      </w:r>
      <w:r>
        <w:rPr>
          <w:lang w:val="en-US"/>
        </w:rPr>
        <w:t xml:space="preserve"> Table 3 reveals key clinical considerations in elderly and frail patients. </w:t>
      </w:r>
    </w:p>
    <w:p>
      <w:pPr>
        <w:pStyle w:val="style0"/>
        <w:rPr/>
      </w:pPr>
    </w:p>
    <w:p>
      <w:pPr>
        <w:pStyle w:val="style0"/>
        <w:rPr/>
      </w:pPr>
      <w:r>
        <w:t>Consequently, both traditionally liberal and overly restrictive fluid strategies are often poorly tolerated. Optimal management in frail and elderly patients demands a highly individualized approach, relying on dynamic hemodynamic monitoring, frequent reassessment, and careful titration of fluids and vasoactive agents to maintain adequate perfusion while avoiding extremes of volume status [69,70,71].</w:t>
      </w:r>
    </w:p>
    <w:p>
      <w:pPr>
        <w:pStyle w:val="style0"/>
        <w:rPr/>
      </w:pPr>
    </w:p>
    <w:p>
      <w:pPr>
        <w:pStyle w:val="style0"/>
        <w:rPr/>
      </w:pPr>
      <w:r>
        <w:t>10.2 Patients with Cardiac or Renal Comorbidity</w:t>
      </w:r>
    </w:p>
    <w:p>
      <w:pPr>
        <w:pStyle w:val="style0"/>
        <w:rPr/>
      </w:pPr>
      <w:r>
        <w:t>Patients with pre-existing cardiac or renal disease are especially susceptible to the adverse effects of perioperative fluid mismanagement. In those with impaired left ventricular function or reduced cardiac reserve, excessive fluid loading can precipitate acute heart failure, myocardial ischemia, pulmonary edema, or arrhythmias. Conversely, overly restrictive fluid administration risks inadequate renal perfusion, worsening of acute kidney injury (AKI), or progression of chronic kidney disease (CKD) [3</w:t>
      </w:r>
      <w:r>
        <w:rPr>
          <w:lang w:val="en-US"/>
        </w:rPr>
        <w:t>5</w:t>
      </w:r>
      <w:r>
        <w:t>,72,73].</w:t>
      </w:r>
    </w:p>
    <w:p>
      <w:pPr>
        <w:pStyle w:val="style0"/>
        <w:rPr/>
      </w:pPr>
    </w:p>
    <w:p>
      <w:pPr>
        <w:pStyle w:val="style0"/>
        <w:rPr/>
      </w:pPr>
      <w:r>
        <w:t>Patients with established CKD also have limited ability to excrete excess fluid, which increases the risk of delayed fluid clearance and cumulative overload. For these high-risk groups, perioperative fluid therapy must be carefully individualized. This typically involves advanced hemodynamic monitoring, judicious use of vasopressors to support blood pressure without excessive volume expansion, and vigilant postoperative surveillance of cardiac, renal, and pulmonary function [73,74].</w:t>
      </w:r>
    </w:p>
    <w:p>
      <w:pPr>
        <w:pStyle w:val="style0"/>
        <w:rPr/>
      </w:pPr>
    </w:p>
    <w:p>
      <w:pPr>
        <w:pStyle w:val="style0"/>
        <w:spacing w:lineRule="auto" w:line="276"/>
        <w:jc w:val="left"/>
        <w:rPr/>
      </w:pPr>
      <w:r>
        <w:t>Table 3:</w:t>
      </w:r>
      <w:r>
        <w:rPr>
          <w:lang w:val="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Key</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perioperative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fluid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management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considerations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in</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elderly</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and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frail</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surgical</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patients,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highlighting</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common</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risks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and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their</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implications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for</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fluid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therapy.</w:t>
      </w:r>
    </w:p>
    <w:tbl>
      <w:tblPr>
        <w:tblStyle w:val="style4100"/>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trPr/>
        <w:tc>
          <w:tcPr>
            <w:tcW w:w="3120" w:type="dxa"/>
            <w:tcBorders/>
            <w:tcMar>
              <w:top w:w="100" w:type="dxa"/>
              <w:left w:w="100" w:type="dxa"/>
              <w:bottom w:w="100" w:type="dxa"/>
              <w:right w:w="100" w:type="dxa"/>
            </w:tcMar>
          </w:tcPr>
          <w:p>
            <w:pPr>
              <w:pStyle w:val="style0"/>
              <w:widowControl w:val="false"/>
              <w:pBdr>
                <w:left w:val="nil"/>
                <w:right w:val="nil"/>
                <w:top w:val="nil"/>
                <w:bottom w:val="nil"/>
                <w:between w:val="nil"/>
              </w:pBdr>
              <w:spacing w:lineRule="auto" w:line="240"/>
              <w:rPr>
                <w:b/>
                <w:bCs/>
              </w:rPr>
            </w:pPr>
            <w:r>
              <w:rPr>
                <w:b/>
                <w:bCs/>
              </w:rPr>
              <w:t>Risk</w:t>
            </w:r>
          </w:p>
        </w:tc>
        <w:tc>
          <w:tcPr>
            <w:tcW w:w="3120" w:type="dxa"/>
            <w:tcBorders/>
            <w:tcMar>
              <w:top w:w="100" w:type="dxa"/>
              <w:left w:w="100" w:type="dxa"/>
              <w:bottom w:w="100" w:type="dxa"/>
              <w:right w:w="100" w:type="dxa"/>
            </w:tcMar>
          </w:tcPr>
          <w:p>
            <w:pPr>
              <w:pStyle w:val="style0"/>
              <w:widowControl w:val="false"/>
              <w:pBdr>
                <w:left w:val="nil"/>
                <w:right w:val="nil"/>
                <w:top w:val="nil"/>
                <w:bottom w:val="nil"/>
                <w:between w:val="nil"/>
              </w:pBdr>
              <w:spacing w:lineRule="auto" w:line="240"/>
              <w:rPr>
                <w:b/>
                <w:bCs/>
              </w:rPr>
            </w:pPr>
            <w:r>
              <w:rPr>
                <w:b/>
                <w:bCs/>
              </w:rPr>
              <w:t xml:space="preserve">Clinical concern </w:t>
            </w:r>
          </w:p>
        </w:tc>
        <w:tc>
          <w:tcPr>
            <w:tcW w:w="3120" w:type="dxa"/>
            <w:tcBorders/>
            <w:tcMar>
              <w:top w:w="100" w:type="dxa"/>
              <w:left w:w="100" w:type="dxa"/>
              <w:bottom w:w="100" w:type="dxa"/>
              <w:right w:w="100" w:type="dxa"/>
            </w:tcMar>
          </w:tcPr>
          <w:p>
            <w:pPr>
              <w:pStyle w:val="style0"/>
              <w:widowControl w:val="false"/>
              <w:pBdr>
                <w:left w:val="nil"/>
                <w:right w:val="nil"/>
                <w:top w:val="nil"/>
                <w:bottom w:val="nil"/>
                <w:between w:val="nil"/>
              </w:pBdr>
              <w:spacing w:lineRule="auto" w:line="240"/>
              <w:rPr>
                <w:b/>
                <w:bCs/>
              </w:rPr>
            </w:pPr>
            <w:r>
              <w:rPr>
                <w:b/>
                <w:bCs/>
              </w:rPr>
              <w:t>Fluid Strategy Implication</w:t>
            </w:r>
          </w:p>
        </w:tc>
      </w:tr>
      <w:tr>
        <w:tblPrEx/>
        <w:trPr/>
        <w:tc>
          <w:tcPr>
            <w:tcW w:w="3120" w:type="dxa"/>
            <w:tcBorders/>
            <w:tcMar>
              <w:top w:w="100" w:type="dxa"/>
              <w:left w:w="100" w:type="dxa"/>
              <w:bottom w:w="100" w:type="dxa"/>
              <w:right w:w="100" w:type="dxa"/>
            </w:tcMar>
          </w:tcPr>
          <w:p>
            <w:pPr>
              <w:pStyle w:val="style0"/>
              <w:widowControl w:val="false"/>
              <w:pBdr>
                <w:left w:val="nil"/>
                <w:right w:val="nil"/>
                <w:top w:val="nil"/>
                <w:bottom w:val="nil"/>
                <w:between w:val="nil"/>
              </w:pBdr>
              <w:spacing w:lineRule="auto" w:line="240"/>
              <w:rPr/>
            </w:pPr>
            <w:r>
              <w:t>Reduced cardiac reserve</w:t>
            </w:r>
          </w:p>
        </w:tc>
        <w:tc>
          <w:tcPr>
            <w:tcW w:w="3120" w:type="dxa"/>
            <w:tcBorders/>
            <w:tcMar>
              <w:top w:w="100" w:type="dxa"/>
              <w:left w:w="100" w:type="dxa"/>
              <w:bottom w:w="100" w:type="dxa"/>
              <w:right w:w="100" w:type="dxa"/>
            </w:tcMar>
          </w:tcPr>
          <w:p>
            <w:pPr>
              <w:pStyle w:val="style0"/>
              <w:widowControl w:val="false"/>
              <w:pBdr>
                <w:left w:val="nil"/>
                <w:right w:val="nil"/>
                <w:top w:val="nil"/>
                <w:bottom w:val="nil"/>
                <w:between w:val="nil"/>
              </w:pBdr>
              <w:spacing w:lineRule="auto" w:line="240"/>
              <w:rPr/>
            </w:pPr>
            <w:r>
              <w:t>Pulmonary edema</w:t>
            </w:r>
          </w:p>
        </w:tc>
        <w:tc>
          <w:tcPr>
            <w:tcW w:w="3120" w:type="dxa"/>
            <w:tcBorders/>
            <w:tcMar>
              <w:top w:w="100" w:type="dxa"/>
              <w:left w:w="100" w:type="dxa"/>
              <w:bottom w:w="100" w:type="dxa"/>
              <w:right w:w="100" w:type="dxa"/>
            </w:tcMar>
          </w:tcPr>
          <w:p>
            <w:pPr>
              <w:pStyle w:val="style0"/>
              <w:widowControl w:val="false"/>
              <w:pBdr>
                <w:left w:val="nil"/>
                <w:right w:val="nil"/>
                <w:top w:val="nil"/>
                <w:bottom w:val="nil"/>
                <w:between w:val="nil"/>
              </w:pBdr>
              <w:spacing w:lineRule="auto" w:line="240"/>
              <w:rPr/>
            </w:pPr>
            <w:r>
              <w:t>Avoid liberal fluids</w:t>
            </w:r>
          </w:p>
        </w:tc>
      </w:tr>
      <w:tr>
        <w:tblPrEx/>
        <w:trPr/>
        <w:tc>
          <w:tcPr>
            <w:tcW w:w="3120" w:type="dxa"/>
            <w:tcBorders/>
            <w:tcMar>
              <w:top w:w="100" w:type="dxa"/>
              <w:left w:w="100" w:type="dxa"/>
              <w:bottom w:w="100" w:type="dxa"/>
              <w:right w:w="100" w:type="dxa"/>
            </w:tcMar>
          </w:tcPr>
          <w:p>
            <w:pPr>
              <w:pStyle w:val="style0"/>
              <w:widowControl w:val="false"/>
              <w:pBdr>
                <w:left w:val="nil"/>
                <w:right w:val="nil"/>
                <w:top w:val="nil"/>
                <w:bottom w:val="nil"/>
                <w:between w:val="nil"/>
              </w:pBdr>
              <w:spacing w:lineRule="auto" w:line="240"/>
              <w:rPr/>
            </w:pPr>
            <w:r>
              <w:t>Reduced renal function</w:t>
            </w:r>
          </w:p>
        </w:tc>
        <w:tc>
          <w:tcPr>
            <w:tcW w:w="3120" w:type="dxa"/>
            <w:tcBorders/>
            <w:tcMar>
              <w:top w:w="100" w:type="dxa"/>
              <w:left w:w="100" w:type="dxa"/>
              <w:bottom w:w="100" w:type="dxa"/>
              <w:right w:w="100" w:type="dxa"/>
            </w:tcMar>
          </w:tcPr>
          <w:p>
            <w:pPr>
              <w:pStyle w:val="style0"/>
              <w:widowControl w:val="false"/>
              <w:pBdr>
                <w:left w:val="nil"/>
                <w:right w:val="nil"/>
                <w:top w:val="nil"/>
                <w:bottom w:val="nil"/>
                <w:between w:val="nil"/>
              </w:pBdr>
              <w:spacing w:lineRule="auto" w:line="240"/>
              <w:rPr/>
            </w:pPr>
            <w:r>
              <w:t>AKI risk</w:t>
            </w:r>
          </w:p>
        </w:tc>
        <w:tc>
          <w:tcPr>
            <w:tcW w:w="3120" w:type="dxa"/>
            <w:tcBorders/>
            <w:tcMar>
              <w:top w:w="100" w:type="dxa"/>
              <w:left w:w="100" w:type="dxa"/>
              <w:bottom w:w="100" w:type="dxa"/>
              <w:right w:w="100" w:type="dxa"/>
            </w:tcMar>
          </w:tcPr>
          <w:p>
            <w:pPr>
              <w:pStyle w:val="style0"/>
              <w:widowControl w:val="false"/>
              <w:pBdr>
                <w:left w:val="nil"/>
                <w:right w:val="nil"/>
                <w:top w:val="nil"/>
                <w:bottom w:val="nil"/>
                <w:between w:val="nil"/>
              </w:pBdr>
              <w:spacing w:lineRule="auto" w:line="240"/>
              <w:rPr/>
            </w:pPr>
            <w:r>
              <w:t>Avoid hypotension &amp; hypovolemia</w:t>
            </w:r>
          </w:p>
        </w:tc>
      </w:tr>
      <w:tr>
        <w:tblPrEx/>
        <w:trPr/>
        <w:tc>
          <w:tcPr>
            <w:tcW w:w="3120" w:type="dxa"/>
            <w:tcBorders/>
            <w:tcMar>
              <w:top w:w="100" w:type="dxa"/>
              <w:left w:w="100" w:type="dxa"/>
              <w:bottom w:w="100" w:type="dxa"/>
              <w:right w:w="100" w:type="dxa"/>
            </w:tcMar>
          </w:tcPr>
          <w:p>
            <w:pPr>
              <w:pStyle w:val="style0"/>
              <w:widowControl w:val="false"/>
              <w:pBdr>
                <w:left w:val="nil"/>
                <w:right w:val="nil"/>
                <w:top w:val="nil"/>
                <w:bottom w:val="nil"/>
                <w:between w:val="nil"/>
              </w:pBdr>
              <w:spacing w:lineRule="auto" w:line="240"/>
              <w:rPr/>
            </w:pPr>
            <w:r>
              <w:t>Frailty</w:t>
            </w:r>
          </w:p>
        </w:tc>
        <w:tc>
          <w:tcPr>
            <w:tcW w:w="3120" w:type="dxa"/>
            <w:tcBorders/>
            <w:tcMar>
              <w:top w:w="100" w:type="dxa"/>
              <w:left w:w="100" w:type="dxa"/>
              <w:bottom w:w="100" w:type="dxa"/>
              <w:right w:w="100" w:type="dxa"/>
            </w:tcMar>
          </w:tcPr>
          <w:p>
            <w:pPr>
              <w:pStyle w:val="style0"/>
              <w:widowControl w:val="false"/>
              <w:pBdr>
                <w:left w:val="nil"/>
                <w:right w:val="nil"/>
                <w:top w:val="nil"/>
                <w:bottom w:val="nil"/>
                <w:between w:val="nil"/>
              </w:pBdr>
              <w:spacing w:lineRule="auto" w:line="240"/>
              <w:rPr/>
            </w:pPr>
            <w:r>
              <w:t>Poor stress tolerance</w:t>
            </w:r>
          </w:p>
        </w:tc>
        <w:tc>
          <w:tcPr>
            <w:tcW w:w="3120" w:type="dxa"/>
            <w:tcBorders/>
            <w:tcMar>
              <w:top w:w="100" w:type="dxa"/>
              <w:left w:w="100" w:type="dxa"/>
              <w:bottom w:w="100" w:type="dxa"/>
              <w:right w:w="100" w:type="dxa"/>
            </w:tcMar>
          </w:tcPr>
          <w:p>
            <w:pPr>
              <w:pStyle w:val="style0"/>
              <w:widowControl w:val="false"/>
              <w:pBdr>
                <w:left w:val="nil"/>
                <w:right w:val="nil"/>
                <w:top w:val="nil"/>
                <w:bottom w:val="nil"/>
                <w:between w:val="nil"/>
              </w:pBdr>
              <w:spacing w:lineRule="auto" w:line="240"/>
              <w:rPr/>
            </w:pPr>
            <w:r>
              <w:t>Individualized hemodynamic monitoring</w:t>
            </w:r>
          </w:p>
        </w:tc>
      </w:tr>
      <w:tr>
        <w:tblPrEx/>
        <w:trPr/>
        <w:tc>
          <w:tcPr>
            <w:tcW w:w="3120" w:type="dxa"/>
            <w:tcBorders/>
            <w:tcMar>
              <w:top w:w="100" w:type="dxa"/>
              <w:left w:w="100" w:type="dxa"/>
              <w:bottom w:w="100" w:type="dxa"/>
              <w:right w:w="100" w:type="dxa"/>
            </w:tcMar>
          </w:tcPr>
          <w:p>
            <w:pPr>
              <w:pStyle w:val="style0"/>
              <w:widowControl w:val="false"/>
              <w:pBdr>
                <w:left w:val="nil"/>
                <w:right w:val="nil"/>
                <w:top w:val="nil"/>
                <w:bottom w:val="nil"/>
                <w:between w:val="nil"/>
              </w:pBdr>
              <w:spacing w:lineRule="auto" w:line="240"/>
              <w:rPr/>
            </w:pPr>
            <w:r>
              <w:t>Delirium risk</w:t>
            </w:r>
          </w:p>
        </w:tc>
        <w:tc>
          <w:tcPr>
            <w:tcW w:w="3120" w:type="dxa"/>
            <w:tcBorders/>
            <w:tcMar>
              <w:top w:w="100" w:type="dxa"/>
              <w:left w:w="100" w:type="dxa"/>
              <w:bottom w:w="100" w:type="dxa"/>
              <w:right w:w="100" w:type="dxa"/>
            </w:tcMar>
          </w:tcPr>
          <w:p>
            <w:pPr>
              <w:pStyle w:val="style0"/>
              <w:widowControl w:val="false"/>
              <w:pBdr>
                <w:left w:val="nil"/>
                <w:right w:val="nil"/>
                <w:top w:val="nil"/>
                <w:bottom w:val="nil"/>
                <w:between w:val="nil"/>
              </w:pBdr>
              <w:spacing w:lineRule="auto" w:line="240"/>
              <w:rPr/>
            </w:pPr>
            <w:r>
              <w:t>Fluid shifts worsen cognition</w:t>
            </w:r>
          </w:p>
          <w:p>
            <w:pPr>
              <w:pStyle w:val="style0"/>
              <w:widowControl w:val="false"/>
              <w:pBdr>
                <w:left w:val="nil"/>
                <w:right w:val="nil"/>
                <w:top w:val="nil"/>
                <w:bottom w:val="nil"/>
                <w:between w:val="nil"/>
              </w:pBdr>
              <w:spacing w:lineRule="auto" w:line="240"/>
              <w:rPr/>
            </w:pPr>
          </w:p>
        </w:tc>
        <w:tc>
          <w:tcPr>
            <w:tcW w:w="3120" w:type="dxa"/>
            <w:tcBorders/>
            <w:tcMar>
              <w:top w:w="100" w:type="dxa"/>
              <w:left w:w="100" w:type="dxa"/>
              <w:bottom w:w="100" w:type="dxa"/>
              <w:right w:w="100" w:type="dxa"/>
            </w:tcMar>
          </w:tcPr>
          <w:p>
            <w:pPr>
              <w:pStyle w:val="style0"/>
              <w:widowControl w:val="false"/>
              <w:pBdr>
                <w:left w:val="nil"/>
                <w:right w:val="nil"/>
                <w:top w:val="nil"/>
                <w:bottom w:val="nil"/>
                <w:between w:val="nil"/>
              </w:pBdr>
              <w:spacing w:lineRule="auto" w:line="240"/>
              <w:rPr/>
            </w:pPr>
            <w:r>
              <w:t>Maintain euvolemia</w:t>
            </w:r>
          </w:p>
        </w:tc>
      </w:tr>
    </w:tbl>
    <w:p>
      <w:pPr>
        <w:pStyle w:val="style0"/>
        <w:rPr/>
      </w:pPr>
    </w:p>
    <w:p>
      <w:pPr>
        <w:pStyle w:val="style0"/>
        <w:rPr/>
      </w:pPr>
      <w:r>
        <w:t>Box 1: Guidelines on elderly and frail patients:</w:t>
      </w:r>
    </w:p>
    <w:p>
      <w:pPr>
        <w:pStyle w:val="style0"/>
        <w:numPr>
          <w:ilvl w:val="0"/>
          <w:numId w:val="1"/>
        </w:numPr>
        <w:rPr/>
      </w:pPr>
      <w:r>
        <w:t>Fluid therapy should be individualized rather than formula-based</w:t>
      </w:r>
    </w:p>
    <w:p>
      <w:pPr>
        <w:pStyle w:val="style0"/>
        <w:numPr>
          <w:ilvl w:val="0"/>
          <w:numId w:val="1"/>
        </w:numPr>
        <w:rPr/>
      </w:pPr>
      <w:r>
        <w:t>Both liberal and restrictive extremes carry risk</w:t>
      </w:r>
    </w:p>
    <w:p>
      <w:pPr>
        <w:pStyle w:val="style0"/>
        <w:numPr>
          <w:ilvl w:val="0"/>
          <w:numId w:val="1"/>
        </w:numPr>
        <w:rPr/>
      </w:pPr>
      <w:r>
        <w:t>Careful monitoring of blood pressure, urine output, and hemodynamic parameters is essential</w:t>
      </w:r>
    </w:p>
    <w:p>
      <w:pPr>
        <w:pStyle w:val="style0"/>
        <w:numPr>
          <w:ilvl w:val="0"/>
          <w:numId w:val="1"/>
        </w:numPr>
        <w:rPr/>
      </w:pPr>
      <w:r>
        <w:t>Goal-directed and Individualized approaches provide benefit in high-risk cases</w:t>
      </w:r>
    </w:p>
    <w:p>
      <w:pPr>
        <w:pStyle w:val="style0"/>
        <w:numPr>
          <w:ilvl w:val="0"/>
          <w:numId w:val="1"/>
        </w:numPr>
        <w:rPr/>
      </w:pPr>
      <w:r>
        <w:t>Multidisciplinary perioperative care improves outcomes</w:t>
      </w:r>
    </w:p>
    <w:p>
      <w:pPr>
        <w:pStyle w:val="style0"/>
        <w:rPr/>
      </w:pPr>
    </w:p>
    <w:p>
      <w:pPr>
        <w:pStyle w:val="style0"/>
        <w:rPr/>
      </w:pPr>
    </w:p>
    <w:p>
      <w:pPr>
        <w:pStyle w:val="style0"/>
        <w:rPr/>
      </w:pPr>
      <w:r>
        <w:t>10.3 Emergency and Trauma Surgery</w:t>
      </w:r>
    </w:p>
    <w:p>
      <w:pPr>
        <w:pStyle w:val="style0"/>
        <w:rPr/>
      </w:pPr>
      <w:r>
        <w:t>Emergency and trauma surgery differ markedly from elective procedures in both physiology and clinical demands. Patients frequently present with hypovolemia, active hemorrhage, systemic inflammation, or early sepsis, often requiring urgent and aggressive initial volume resuscitation to restore circulating volume and vital organ perfusion [75,76,77].</w:t>
      </w:r>
    </w:p>
    <w:p>
      <w:pPr>
        <w:pStyle w:val="style0"/>
        <w:rPr/>
      </w:pPr>
    </w:p>
    <w:p>
      <w:pPr>
        <w:pStyle w:val="style0"/>
        <w:rPr/>
      </w:pPr>
      <w:r>
        <w:t>In the acute phase, liberal fluid administration guided by clinical response and basic hemodynamic targets may be lifesaving. However, once hemorrhage is controlled, hemostasis achieved, and early physiological stability restored, a deliberate transition to restrictive or goal-directed fluid strategies becomes essential. Continued liberal administration beyond this point risks cumulative fluid overload, secondary organ edema, abdominal compartment syndrome, and delayed recovery. Timely de-escalation of fluid therapy is therefore a critical component of care in emergency and trauma settings [37,</w:t>
      </w:r>
      <w:r>
        <w:rPr>
          <w:lang w:val="en-US"/>
        </w:rPr>
        <w:t>59</w:t>
      </w:r>
      <w:r>
        <w:t>,73].</w:t>
      </w:r>
    </w:p>
    <w:p>
      <w:pPr>
        <w:pStyle w:val="style0"/>
        <w:rPr/>
      </w:pPr>
    </w:p>
    <w:p>
      <w:pPr>
        <w:pStyle w:val="style0"/>
        <w:rPr/>
      </w:pPr>
      <w:r>
        <w:t>10.4 Minimally Invasive versus Open Surgery</w:t>
      </w:r>
    </w:p>
    <w:p>
      <w:pPr>
        <w:pStyle w:val="style0"/>
        <w:rPr/>
      </w:pPr>
      <w:r>
        <w:t>The choice of surgical approach substantially influences perioperative fluid requirements and management strategy. Minimally invasive techniques, such as laparoscopic, robotic, or thoracoscopic procedures typically produce less tissue trauma, attenuated systemic inflammatory responses, smaller evaporative losses, and more limited third-space fluid shifts compared with equivalent open operations. As a result, intraoperative fluid needs are generally lower, and patients are less prone to significant volume derangements [78,79].</w:t>
      </w:r>
    </w:p>
    <w:p>
      <w:pPr>
        <w:pStyle w:val="style0"/>
        <w:rPr/>
      </w:pPr>
    </w:p>
    <w:p>
      <w:pPr>
        <w:pStyle w:val="style0"/>
        <w:rPr/>
      </w:pPr>
      <w:r>
        <w:t>Open surgery, by contrast, often involves greater blood loss, more extensive evaporative losses from exposed surfaces, and larger inflammatory-mediated fluid shifts into traumatized tissues. These factors frequently necessitate more active and sometimes more liberal fluid administration to maintain hemodynamic stability. Recognizing these differences, perioperative fluid strategies should be deliberately tailored to the surgical approach, ensuring that volume replacement aligns with the actual physiological burden imposed by the procedure rather than applying a uniform protocol across all cases [</w:t>
      </w:r>
      <w:r>
        <w:rPr>
          <w:lang w:val="en-US"/>
        </w:rPr>
        <w:t>59</w:t>
      </w:r>
      <w:r>
        <w:t>,78,79].</w:t>
      </w:r>
    </w:p>
    <w:p>
      <w:pPr>
        <w:pStyle w:val="style0"/>
        <w:rPr/>
      </w:pPr>
    </w:p>
    <w:p>
      <w:pPr>
        <w:pStyle w:val="style0"/>
        <w:rPr/>
      </w:pPr>
      <w:r>
        <w:t>11. Clinical Guidelines, Position Statements, and Expert Recommendations</w:t>
      </w:r>
    </w:p>
    <w:p>
      <w:pPr>
        <w:pStyle w:val="style0"/>
        <w:rPr/>
      </w:pPr>
    </w:p>
    <w:p>
      <w:pPr>
        <w:pStyle w:val="style0"/>
        <w:rPr/>
      </w:pPr>
      <w:r>
        <w:t>Multiple professional societies in anesthesiology, surgery, and critical care have published guidance on perioperative fluid management [80]. This reflects the growing recognition that fluid therapy is a major determinant of surgical outcomes. Although specific recommendations differ, contemporary guidelines consistently emphasize the avoidance of both hypovolemia and fluid overload, favoring a balanced, patient-centered approach over rigid adherence to either liberal or restrictive regimens [5</w:t>
      </w:r>
      <w:r>
        <w:rPr>
          <w:lang w:val="en-US"/>
        </w:rPr>
        <w:t>8</w:t>
      </w:r>
      <w:r>
        <w:t>,</w:t>
      </w:r>
      <w:r>
        <w:rPr>
          <w:lang w:val="en-US"/>
        </w:rPr>
        <w:t>59,60,</w:t>
      </w:r>
      <w:r>
        <w:t>62].</w:t>
      </w:r>
    </w:p>
    <w:p>
      <w:pPr>
        <w:pStyle w:val="style0"/>
        <w:rPr/>
      </w:pPr>
    </w:p>
    <w:p>
      <w:pPr>
        <w:pStyle w:val="style0"/>
        <w:rPr/>
      </w:pPr>
      <w:r>
        <w:t>Societies in anesthesiology and perioperative medicine increasingly advocate individualized fluid administration guided by physiological targets, especially in patients undergoing major or high-risk surgery [80]. Goal-directed fluid therapy is frequently recommended to achieve and maintain euvolemia, with a clear preference for dynamic hemodynamic parameters rather than static measures such as central venous pressure. Similarly, surgical and ERAS-focused guidelines discourage routine replacement of presumed “third-space” losses and promote early postoperative de-escalation of intravenous fluids in favor of prompt oral intake [5</w:t>
      </w:r>
      <w:r>
        <w:rPr>
          <w:lang w:val="en-US"/>
        </w:rPr>
        <w:t>8</w:t>
      </w:r>
      <w:r>
        <w:t>,</w:t>
      </w:r>
      <w:r>
        <w:rPr>
          <w:lang w:val="en-US"/>
        </w:rPr>
        <w:t>59,</w:t>
      </w:r>
      <w:r>
        <w:t>60</w:t>
      </w:r>
      <w:r>
        <w:rPr>
          <w:lang w:val="en-US"/>
        </w:rPr>
        <w:t>,</w:t>
      </w:r>
      <w:r>
        <w:t>62,65].</w:t>
      </w:r>
    </w:p>
    <w:p>
      <w:pPr>
        <w:pStyle w:val="style0"/>
        <w:rPr/>
      </w:pPr>
    </w:p>
    <w:p>
      <w:pPr>
        <w:pStyle w:val="style0"/>
        <w:rPr/>
      </w:pPr>
      <w:r>
        <w:t>Across these documents, there is broad consensus that excessive perioperative fluid administration is associated with adverse outcomes, including pulmonary complications, delayed gastrointestinal recovery, and prolonged hospital length of stay. Consequently, routine liberal fluid strategies are no longer recommended for most elective major surgical procedures. At the same time, guidelines caution against excessively restrictive fluid administration in the absence of adequate monitoring, recognizing the risk of hypotension and organ hypoperfusion, particularly in vulnerable patient populations [</w:t>
      </w:r>
      <w:r>
        <w:rPr>
          <w:lang w:val="en-US"/>
        </w:rPr>
        <w:t>2</w:t>
      </w:r>
      <w:r>
        <w:t>,3</w:t>
      </w:r>
      <w:r>
        <w:rPr>
          <w:lang w:val="en-US"/>
        </w:rPr>
        <w:t>0,34</w:t>
      </w:r>
      <w:r>
        <w:t>-36,45].</w:t>
      </w:r>
    </w:p>
    <w:p>
      <w:pPr>
        <w:pStyle w:val="style0"/>
        <w:rPr/>
      </w:pPr>
    </w:p>
    <w:p>
      <w:pPr>
        <w:pStyle w:val="style0"/>
        <w:rPr/>
      </w:pPr>
      <w:r>
        <w:t>Despite this growing alignment, several areas of uncertainty remain. Definitions of “restrictive” and “liberal” fluid therapy continue to vary, which complicates the translation of evidence into clinical practice [12]</w:t>
      </w:r>
      <w:r>
        <w:rPr/>
        <w:fldChar w:fldCharType="begin"/>
      </w:r>
      <w:r>
        <w:instrText xml:space="preserve"> ADDIN ZOTERO_ITEM CSL_CITATION {"citationID":"cygSmjF4","properties":{"unsorted":false,"formattedCitation":"(10)","plainCitation":"(10)","noteIndex":0},"citationItems":[{"id":186,"uris":["http://zotero.org/users/18201388/items/4LPDTHIY"],"itemData":{"id":186,"type":"article-journal","abstract":"Background:\n              Several studies have assessed the effect of a ‘liberal’ vs. a ‘restrictive’ perioperative fluid regimen on post</w:instrText>
      </w:r>
      <w:r>
        <w:rPr>
          <w:rFonts w:ascii="Cambria Math" w:cs="Cambria Math" w:hAnsi="Cambria Math"/>
        </w:rPr>
        <w:instrText>‐</w:instrText>
      </w:r>
      <w:r>
        <w:instrText>operative outcome. The literature was reviewed in order to provide recommendations regarding perioperative fluid regimens.\n            \n            \n              Methods:\n              A PubMed search identified randomized clinical trials and cited studies, comparing two different fixed fluid volumes on post</w:instrText>
      </w:r>
      <w:r>
        <w:rPr>
          <w:rFonts w:ascii="Cambria Math" w:cs="Cambria Math" w:hAnsi="Cambria Math"/>
        </w:rPr>
        <w:instrText>‐</w:instrText>
      </w:r>
      <w:r>
        <w:instrText>operative clinical outcome in major surgery. Studies were assessed for the type of surgery, primary and secondary outcome endpoints, the type and volume of administered fluid and the definition of the perioperative period. Also, information regarding perioperative care and type of anaesthesia was assessed.\n            \n            \n              Results:\n              In the seven randomized studies identified, the range of the liberal\n              intra\n              operative fluid regimen was from 2750 to 5388 ml compared with 998 to 2740 ml for the restrictive fluid regimen. The period for fluid therapy and outcome endpoints were inconsistently defined and only two studies reported perioperative care principles and discharge criteria. Three studies found an improved outcome (morbidity/hospital stay) with a restrictive fluid regimen whereas two studies found no difference and two studies found differences in the selected outcome parameters.\n            \n            \n              Conclusion:\n              Liberal vs. restrictive fixed</w:instrText>
      </w:r>
      <w:r>
        <w:rPr>
          <w:rFonts w:ascii="Cambria Math" w:cs="Cambria Math" w:hAnsi="Cambria Math"/>
        </w:rPr>
        <w:instrText>‐</w:instrText>
      </w:r>
      <w:r>
        <w:instrText>volume regimens are not well defined in the literature regarding the definition, methodology and results, and lack the use of or information on evidence</w:instrText>
      </w:r>
      <w:r>
        <w:rPr>
          <w:rFonts w:ascii="Cambria Math" w:cs="Cambria Math" w:hAnsi="Cambria Math"/>
        </w:rPr>
        <w:instrText>‐</w:instrText>
      </w:r>
      <w:r>
        <w:instrText>based standardized perioperative care</w:instrText>
      </w:r>
      <w:r>
        <w:rPr>
          <w:rFonts w:ascii="Cambria Math" w:cs="Cambria Math" w:hAnsi="Cambria Math"/>
        </w:rPr>
        <w:instrText>‐</w:instrText>
      </w:r>
      <w:r>
        <w:instrText>principles (fast</w:instrText>
      </w:r>
      <w:r>
        <w:rPr>
          <w:rFonts w:ascii="Cambria Math" w:cs="Cambria Math" w:hAnsi="Cambria Math"/>
        </w:rPr>
        <w:instrText>‐</w:instrText>
      </w:r>
      <w:r>
        <w:instrText>track surgery), thereby precluding evidence</w:instrText>
      </w:r>
      <w:r>
        <w:rPr>
          <w:rFonts w:ascii="Cambria Math" w:cs="Cambria Math" w:hAnsi="Cambria Math"/>
        </w:rPr>
        <w:instrText>‐</w:instrText>
      </w:r>
      <w:r>
        <w:instrText>based guidelines for procedure</w:instrText>
      </w:r>
      <w:r>
        <w:rPr>
          <w:rFonts w:ascii="Cambria Math" w:cs="Cambria Math" w:hAnsi="Cambria Math"/>
        </w:rPr>
        <w:instrText>‐</w:instrText>
      </w:r>
      <w:r>
        <w:instrText>specific perioperative fixed</w:instrText>
      </w:r>
      <w:r>
        <w:rPr>
          <w:rFonts w:ascii="Cambria Math" w:cs="Cambria Math" w:hAnsi="Cambria Math"/>
        </w:rPr>
        <w:instrText>‐</w:instrText>
      </w:r>
      <w:r>
        <w:instrText>volume regimens. Optimization of perioperative fluid management may include a combination of fixed crystalloid administration to replace extra</w:instrText>
      </w:r>
      <w:r>
        <w:rPr>
          <w:rFonts w:ascii="Cambria Math" w:cs="Cambria Math" w:hAnsi="Cambria Math"/>
        </w:rPr>
        <w:instrText>‐</w:instrText>
      </w:r>
      <w:r>
        <w:instrText>vascular losses and avoiding fluid excess, together with individualized goal</w:instrText>
      </w:r>
      <w:r>
        <w:rPr>
          <w:rFonts w:ascii="Cambria Math" w:cs="Cambria Math" w:hAnsi="Cambria Math"/>
        </w:rPr>
        <w:instrText>‐</w:instrText>
      </w:r>
      <w:r>
        <w:instrText>directed colloid administration to maintain a maximal stroke volume.","container-title":"Acta Anaesthesiologica Scandinavica","DOI":"10.1111/j.1399-6576.2009.02029.x","ISSN":"0001-5172, 1399-6576","issue":"7","journalAbbreviation":"Acta Anaesthesiol Scand","language":"en","license":"http://onlinelibrary.wiley.com/termsAndConditions#vor","page":"843-851","source":"DOI.org (Crossref)","title":"‘Liberal’ vs. ‘restrictive’ perioperative fluid therapy – a critical assessment of the evidence","volume":"53","author":[{"family":"Bundgaard</w:instrText>
      </w:r>
      <w:r>
        <w:rPr>
          <w:rFonts w:ascii="Cambria Math" w:cs="Cambria Math" w:hAnsi="Cambria Math"/>
        </w:rPr>
        <w:instrText>‐</w:instrText>
      </w:r>
      <w:r>
        <w:instrText xml:space="preserve">Nielsen","given":"M."},{"family":"Secher","given":"N. H."},{"family":"Kehlet","given":"H."}],"issued":{"date-parts":[["2009",8]]}}}],"schema":"https://github.com/citation-style-language/schema/raw/master/csl-citation.json"} </w:instrText>
      </w:r>
      <w:r>
        <w:rPr/>
        <w:fldChar w:fldCharType="separate"/>
      </w:r>
      <w:r>
        <w:t>(10)</w:t>
      </w:r>
      <w:r>
        <w:rPr/>
        <w:fldChar w:fldCharType="end"/>
      </w:r>
      <w:r>
        <w:t>. The optimal fluid strategy for specific surgical subgroups, emergency operations, and patients with substantial comorbidities is still debated. In addition, resource constraints and differences in access to advanced monitoring technologies affect the practical implementation of these recommendations. Overall, expert consensus increasingly supports individualized, dynamically guided fluid management while acknowledging the need for further high-quality research to refine and strengthen best practices [1</w:t>
      </w:r>
      <w:r>
        <w:rPr>
          <w:lang w:val="en-US"/>
        </w:rPr>
        <w:t>0</w:t>
      </w:r>
      <w:r>
        <w:t>,</w:t>
      </w:r>
      <w:r>
        <w:rPr>
          <w:lang w:val="en-US"/>
        </w:rPr>
        <w:t>62</w:t>
      </w:r>
      <w:r>
        <w:t>,63].</w:t>
      </w:r>
    </w:p>
    <w:p>
      <w:pPr>
        <w:pStyle w:val="style0"/>
        <w:rPr/>
      </w:pPr>
    </w:p>
    <w:p>
      <w:pPr>
        <w:pStyle w:val="style0"/>
        <w:rPr/>
      </w:pPr>
      <w:r>
        <w:t>12. Translating Evidence into Clinical Practice</w:t>
      </w:r>
    </w:p>
    <w:p>
      <w:pPr>
        <w:pStyle w:val="style0"/>
        <w:rPr/>
      </w:pPr>
    </w:p>
    <w:p>
      <w:pPr>
        <w:pStyle w:val="style0"/>
        <w:rPr/>
      </w:pPr>
      <w:r>
        <w:t>12.1 Preoperative Assessment of Volume Status</w:t>
      </w:r>
    </w:p>
    <w:p>
      <w:pPr>
        <w:pStyle w:val="style0"/>
        <w:rPr/>
      </w:pPr>
      <w:r>
        <w:t>Effective perioperative fluid management begins with a thorough preoperative evaluation of the patient’s volume status and physiological reserve [81]. Clinical assessment should encompass hydration status, cardiovascular function, renal function, and any comorbid conditions that may influence fluid responsiveness. Key historical factors include recent oral intake, use of diuretics, baseline blood pressure, and functional capacity. Supplementary laboratory investigations such as serum creatinine, electrolyte concentrations, and hemoglobin offer valuable additional information regarding renal function, intravascular volume and oxygen-carrying capacity. In selected high-risk patients, echocardiography or other functional cardiac assessments can help identify limited reserve and inform tailored perioperative fluid strategies [80,81-83].</w:t>
      </w:r>
    </w:p>
    <w:p>
      <w:pPr>
        <w:pStyle w:val="style0"/>
        <w:rPr/>
      </w:pPr>
    </w:p>
    <w:p>
      <w:pPr>
        <w:pStyle w:val="style0"/>
        <w:rPr/>
      </w:pPr>
      <w:r>
        <w:t>12.2 Intraoperative Decision-Making</w:t>
      </w:r>
    </w:p>
    <w:p>
      <w:pPr>
        <w:pStyle w:val="style0"/>
        <w:rPr/>
      </w:pPr>
      <w:r>
        <w:t xml:space="preserve">Intraoperative fluid therapy should be dynamic and integrated with vasopressor administration, guided by continuous reassessment of hemodynamic status rather than delivery of a predetermined volume [84]. Whenever feasible, dynamic indices of fluid responsiveness such as stroke volume variation or pulse pressure variation are preferred to static measures. </w:t>
      </w:r>
      <w:r>
        <w:t>Hypotension requires prompt evaluation of its underlying cause, carefully distinguishing between hypovolemia, vasodilation, and myocardial dysfunction. In many cases, judicious use of vasopressors to counteract anesthesia-induced vasodilation can minimize unnecessary fluid administration [</w:t>
      </w:r>
      <w:r>
        <w:rPr>
          <w:lang w:val="en-US"/>
        </w:rPr>
        <w:t>60</w:t>
      </w:r>
      <w:r>
        <w:t>,6</w:t>
      </w:r>
      <w:r>
        <w:rPr>
          <w:lang w:val="en-US"/>
        </w:rPr>
        <w:t>2</w:t>
      </w:r>
      <w:r>
        <w:t>,84</w:t>
      </w:r>
      <w:r>
        <w:rPr>
          <w:lang w:val="en-US"/>
        </w:rPr>
        <w:t>-</w:t>
      </w:r>
      <w:r>
        <w:t>8</w:t>
      </w:r>
      <w:r>
        <w:rPr>
          <w:lang w:val="en-US"/>
        </w:rPr>
        <w:t>6</w:t>
      </w:r>
      <w:r>
        <w:t>]. Goal-directed fluid therapy protocols provide a structured, evidence-based framework for balancing fluids and vasoactive agents, particularly during major or high-risk procedures, with the dual aim of ensuring adequate tissue perfusion while avoiding fluid overload.</w:t>
      </w:r>
    </w:p>
    <w:p>
      <w:pPr>
        <w:pStyle w:val="style0"/>
        <w:rPr/>
      </w:pPr>
    </w:p>
    <w:p>
      <w:pPr>
        <w:pStyle w:val="style0"/>
        <w:rPr/>
      </w:pPr>
      <w:r>
        <w:t>12.3 Postoperative Fluid Stewardship</w:t>
      </w:r>
    </w:p>
    <w:p>
      <w:pPr>
        <w:pStyle w:val="style0"/>
        <w:rPr/>
      </w:pPr>
      <w:r>
        <w:t>Postoperative fluid management should be regarded as a natural continuation of intraoperative decision-making. Regular monitoring of cumulative fluid balance, urine output, body weight, and clinical signs of either fluid overload or depletion remains essential. Intravenous fluids should be formally reassessed each day and discontinued at the earliest clinically appropriate opportunity. In keeping with Enhanced Recovery After Surgery (ERAS) principles, early resumption of oral intake supports timely de-escalation of intravenous therapy and helps prevent a positive cumulative fluid balance. Structured postoperative fluid stewardship emphasizing prompt transition to enteral hydration is vital to reducing complications and promoting optimal recovery following major surgery [65,66-68].</w:t>
      </w:r>
    </w:p>
    <w:p>
      <w:pPr>
        <w:pStyle w:val="style0"/>
        <w:rPr/>
      </w:pPr>
    </w:p>
    <w:p>
      <w:pPr>
        <w:pStyle w:val="style0"/>
        <w:rPr/>
      </w:pPr>
      <w:r>
        <w:t>13. Emerging Concepts and Unanswered Questions</w:t>
      </w:r>
    </w:p>
    <w:p>
      <w:pPr>
        <w:pStyle w:val="style0"/>
        <w:rPr/>
      </w:pPr>
    </w:p>
    <w:p>
      <w:pPr>
        <w:pStyle w:val="style0"/>
        <w:rPr/>
      </w:pPr>
      <w:r>
        <w:t>Despite considerable progress in perioperative fluid management, important conceptual and practical uncertainties persist. A central challenge remains the absence of standardized definitions for optimal perioperative fluid balance. Terms such as “restrictive,” “liberal,” and “near-zero balance” continue to be applied inconsistently across studies, which hinders direct comparison of findings and complicates the translation of evidence into everyday clinical practice. Future research should prioritize the development of consensus definitions that are both physiologically sound and practically applicable across diverse surgical settings [1</w:t>
      </w:r>
      <w:r>
        <w:rPr>
          <w:lang w:val="en-US"/>
        </w:rPr>
        <w:t>0</w:t>
      </w:r>
      <w:r>
        <w:t>,80].</w:t>
      </w:r>
    </w:p>
    <w:p>
      <w:pPr>
        <w:pStyle w:val="style0"/>
        <w:rPr/>
      </w:pPr>
    </w:p>
    <w:p>
      <w:pPr>
        <w:pStyle w:val="style0"/>
        <w:rPr/>
      </w:pPr>
      <w:r>
        <w:t>There is increasing interest in identifying reliable biomarkers of fluid responsiveness and tissue perfusion that go beyond traditional hemodynamic parameters. Novel markers related to endothelial function, glycocalyx integrity, microcirculatory flow, and organ-specific perfusion hold promise as earlier and more sensitive indicators of fluid requirements and tolerance. Incorporating these biomarkers into routine perioperative decision-making remains an active and rapidly evolving field of investigation [60].</w:t>
      </w:r>
    </w:p>
    <w:p>
      <w:pPr>
        <w:pStyle w:val="style0"/>
        <w:rPr/>
      </w:pPr>
    </w:p>
    <w:p>
      <w:pPr>
        <w:pStyle w:val="style0"/>
        <w:rPr/>
      </w:pPr>
      <w:r>
        <w:t>Precision medicine is also gaining relevance in perioperative fluid therapy. Patient phenotyping based on comorbidities, frailty, inflammatory response, and cardiovascular reserve may enable more individualized fluid strategies tailored to specific risk profiles. Rather than applying a one-size-fits-all approach, future perioperative care is likely to feature stratified fluid management protocols that account for biological and surgical heterogeneity [66].</w:t>
      </w:r>
    </w:p>
    <w:p>
      <w:pPr>
        <w:pStyle w:val="style0"/>
        <w:rPr/>
      </w:pPr>
    </w:p>
    <w:p>
      <w:pPr>
        <w:pStyle w:val="style0"/>
        <w:rPr/>
      </w:pPr>
      <w:r>
        <w:t>Technological advances in monitoring and decision-support systems present additional opportunities. Minimally invasive hemodynamic monitoring, combined with machine learning–</w:t>
      </w:r>
      <w:r>
        <w:t>driven predictive models, offers the potential for real-time, data-informed fluid management. Nevertheless, the clinical effectiveness, cost-effectiveness, and practical implementability of these innovations require careful, rigorous evaluation [87].</w:t>
      </w:r>
    </w:p>
    <w:p>
      <w:pPr>
        <w:pStyle w:val="style0"/>
        <w:rPr/>
      </w:pPr>
    </w:p>
    <w:p>
      <w:pPr>
        <w:pStyle w:val="style0"/>
        <w:rPr/>
      </w:pPr>
      <w:r>
        <w:t>Key priorities for future research include conducting well-designed trials in high-risk and underrepresented patient populations, performing mechanistic studies that elucidate the link between fluid balance and organ dysfunction, and undertaking implementation research to identify and overcome barriers to the adoption of individualized fluid strategies. Addressing these gaps will be critical to further refining perioperative fluid management and ultimately improving outcomes for patients undergoing major surgery.</w:t>
      </w:r>
    </w:p>
    <w:p>
      <w:pPr>
        <w:pStyle w:val="style0"/>
        <w:rPr/>
      </w:pPr>
    </w:p>
    <w:p>
      <w:pPr>
        <w:pStyle w:val="style0"/>
        <w:rPr/>
      </w:pPr>
      <w:r>
        <w:t>14. Conclusion</w:t>
      </w:r>
    </w:p>
    <w:p>
      <w:pPr>
        <w:pStyle w:val="style0"/>
        <w:rPr/>
      </w:pPr>
    </w:p>
    <w:p>
      <w:pPr>
        <w:pStyle w:val="style0"/>
        <w:rPr/>
      </w:pPr>
      <w:r>
        <w:t>Fluid management during the perioperative period continues to play a critical role in determining outcomes following major surgery. Growing evidence indicates that both excessive fluid administration and unduly restrictive regimens can result in significant adverse effects, highlighting the narrow therapeutic window within which fluid therapy must be carefully balanced. Liberal strategies have been linked to tissue edema, respiratory complications, and delayed return of gastrointestinal function, whereas overly restrictive approaches may lead to hypotension, compromised organ perfusion, and acute kidney injury.</w:t>
      </w:r>
    </w:p>
    <w:p>
      <w:pPr>
        <w:pStyle w:val="style0"/>
        <w:rPr/>
      </w:pPr>
      <w:r>
        <w:t>Current data do not favor strict commitment to either fixed liberal or restrictive protocols. Rather, an individualized, physiology-informed approach aimed at preserving near-euvolemia is increasingly regarded as the most appropriate strategy. Goal-directed fluid therapy, guided by dynamic hemodynamic parameters, offers a structured method for adjusting fluid delivery according to the patient’s physiological status and the specific surgical setting.</w:t>
      </w:r>
    </w:p>
    <w:p>
      <w:pPr>
        <w:pStyle w:val="style0"/>
        <w:rPr/>
      </w:pPr>
      <w:r>
        <w:t>Within Enhanced Recovery After Surgery pathways, careful and individualized fluid management has been associated with lower postoperative morbidity, reduced length of hospital stay, and enhanced functional recovery. Continued advancement in perioperative practice will require clearer consensus definitions, improved risk stratification, and further development of precision monitoring tools.</w:t>
      </w:r>
    </w:p>
    <w:p>
      <w:pPr>
        <w:pStyle w:val="style0"/>
        <w:rPr/>
      </w:pPr>
      <w:r>
        <w:t>In summary, effective perioperative fluid management should not be framed as a choice between “liberal” and “restrictive” strategies, but rather as a dynamic, patient-focused process designed to maintain physiological equilibrium and optimize surgical outcomes.</w:t>
      </w:r>
    </w:p>
    <w:p>
      <w:pPr>
        <w:pStyle w:val="style0"/>
        <w:rPr/>
      </w:pPr>
    </w:p>
    <w:p>
      <w:pPr>
        <w:pStyle w:val="style0"/>
        <w:rPr/>
      </w:pPr>
    </w:p>
    <w:p>
      <w:pPr>
        <w:pStyle w:val="style0"/>
        <w:rPr/>
      </w:pPr>
    </w:p>
    <w:p>
      <w:pPr>
        <w:pStyle w:val="style0"/>
        <w:rPr>
          <w:rFonts w:ascii="Calibri" w:cs="Times New Roman" w:eastAsia="Calibri" w:hAnsi="Calibri"/>
          <w:kern w:val="2"/>
          <w:highlight w:val="yellow"/>
          <w:lang w:val="en-US"/>
        </w:rPr>
      </w:pPr>
    </w:p>
    <w:bookmarkStart w:id="0" w:name="_Hlk218868534"/>
    <w:p>
      <w:pPr>
        <w:pStyle w:val="style0"/>
        <w:rPr>
          <w:rFonts w:ascii="Calibri" w:cs="Times New Roman" w:eastAsia="Calibri" w:hAnsi="Calibri"/>
          <w:kern w:val="2"/>
          <w:highlight w:val="yellow"/>
          <w:lang w:val="en-US"/>
        </w:rPr>
      </w:pPr>
    </w:p>
    <w:p>
      <w:pPr>
        <w:pStyle w:val="style157"/>
        <w:rPr>
          <w:rFonts w:ascii="Arial" w:cs="Arial" w:hAnsi="Arial"/>
          <w:highlight w:val="yellow"/>
        </w:rPr>
      </w:pPr>
      <w:r>
        <w:rPr>
          <w:rFonts w:ascii="Arial" w:cs="Arial" w:hAnsi="Arial"/>
          <w:highlight w:val="yellow"/>
        </w:rPr>
        <w:t>Disclaimer (Artificial intelligence)</w:t>
      </w:r>
    </w:p>
    <w:p>
      <w:pPr>
        <w:pStyle w:val="style157"/>
        <w:rPr>
          <w:rFonts w:ascii="Arial" w:cs="Arial" w:hAnsi="Arial"/>
          <w:highlight w:val="yellow"/>
        </w:rPr>
      </w:pPr>
    </w:p>
    <w:p>
      <w:pPr>
        <w:pStyle w:val="style157"/>
        <w:rPr>
          <w:rFonts w:ascii="Arial" w:cs="Arial" w:hAnsi="Arial"/>
          <w:highlight w:val="yellow"/>
        </w:rPr>
      </w:pPr>
      <w:r>
        <w:rPr>
          <w:rFonts w:ascii="Arial" w:cs="Arial" w:hAnsi="Arial"/>
          <w:highlight w:val="yellow"/>
        </w:rPr>
        <w:t>Author(s) hereby declare that NO generative AI technologies such as Large Language Models (</w:t>
      </w:r>
      <w:r>
        <w:rPr>
          <w:rFonts w:ascii="Arial" w:cs="Arial" w:hAnsi="Arial"/>
          <w:highlight w:val="yellow"/>
        </w:rPr>
        <w:t>ChatGPT</w:t>
      </w:r>
      <w:r>
        <w:rPr>
          <w:rFonts w:ascii="Arial" w:cs="Arial" w:hAnsi="Arial"/>
          <w:highlight w:val="yellow"/>
        </w:rPr>
        <w:t xml:space="preserve">, COPILOT, etc.) and text-to-image generators have been used during the writing or editing of this manuscript. </w:t>
      </w:r>
    </w:p>
    <w:bookmarkStart w:id="1" w:name="_GoBack"/>
    <w:bookmarkEnd w:id="0"/>
    <w:bookmarkEnd w:id="1"/>
    <w:p>
      <w:pPr>
        <w:pStyle w:val="style0"/>
        <w:rPr/>
      </w:pPr>
    </w:p>
    <w:p>
      <w:pPr>
        <w:pStyle w:val="style0"/>
        <w:rPr/>
      </w:pPr>
    </w:p>
    <w:p>
      <w:pPr>
        <w:pStyle w:val="style0"/>
        <w:rPr/>
      </w:pPr>
    </w:p>
    <w:p>
      <w:pPr>
        <w:pStyle w:val="style0"/>
        <w:rPr/>
      </w:pPr>
      <w:r>
        <w:t xml:space="preserve">References </w:t>
      </w:r>
    </w:p>
    <w:p>
      <w:pPr>
        <w:pStyle w:val="style265"/>
        <w:rPr/>
      </w:pPr>
      <w:r>
        <w:rPr/>
        <w:fldChar w:fldCharType="begin"/>
      </w:r>
      <w:r>
        <w:instrText xml:space="preserve"> ADDIN ZOTERO_BIBL {"uncited":[],"omitted":[],"custom":[]} CSL_BIBLIOGRAPHY </w:instrText>
      </w:r>
      <w:r>
        <w:rPr/>
        <w:fldChar w:fldCharType="separate"/>
      </w:r>
      <w:r>
        <w:t>1.</w:t>
      </w:r>
      <w:r>
        <w:tab/>
      </w:r>
      <w:r>
        <w:t>Lorente JV, Hahn RG, Jover JL, Del Cojo E, Hervías M, Jiménez I, et al. Role of Crystalloids in the Perioperative Setting: From Basics to Clinical Applications and Enhanced Recovery Protocols. J Clin Med. 2023 Sep 12;12(18):5930. doi:10.3390/jcm12185930 PubMed PMID: 37762871; PubMed Central PMCID: PMC10531658.</w:t>
      </w:r>
    </w:p>
    <w:p>
      <w:pPr>
        <w:pStyle w:val="style265"/>
        <w:rPr/>
      </w:pPr>
      <w:r>
        <w:t>2.</w:t>
      </w:r>
      <w:r>
        <w:tab/>
      </w:r>
      <w:r>
        <w:t>Kang D, Yoo KY. Fluid management in perioperative and critically ill patients. Acute Crit Care. 2019 Nov;34(4):235–45. doi:10.4266/acc.2019.00717 PubMed PMID: 31795621; PubMed Central PMCID: PMC6895467.</w:t>
      </w:r>
    </w:p>
    <w:p>
      <w:pPr>
        <w:pStyle w:val="style265"/>
        <w:rPr/>
      </w:pPr>
      <w:r>
        <w:t>3.</w:t>
      </w:r>
      <w:r>
        <w:tab/>
      </w:r>
      <w:r>
        <w:t>Messina A, Robba C, Calabrò L, Zambelli D, Iannuzzi F, Molinari E, et al. Association between perioperative fluid administration and postoperative outcomes: a 20-year systematic review and a meta-analysis of randomized goal-directed trials in major visceral/noncardiac surgery. Crit Care. 2021 Dec;25(1):43. doi:10.1186/s13054-021-03464-1</w:t>
      </w:r>
    </w:p>
    <w:p>
      <w:pPr>
        <w:pStyle w:val="style265"/>
        <w:rPr/>
      </w:pPr>
      <w:r>
        <w:t>4.</w:t>
      </w:r>
      <w:r>
        <w:tab/>
      </w:r>
      <w:r>
        <w:t>Elia J, Diwan M, Deshpande R, Brainard JC, Karamchandani K. Perioperative Fluid Management and Volume Assessment. Anesthesiol Clin. 2023 Mar;41(1):191–209. doi:10.1016/j.anclin.2022.10.010</w:t>
      </w:r>
    </w:p>
    <w:p>
      <w:pPr>
        <w:pStyle w:val="style265"/>
        <w:rPr/>
      </w:pPr>
      <w:r>
        <w:t>5.</w:t>
      </w:r>
      <w:r>
        <w:tab/>
      </w:r>
      <w:r>
        <w:t>Strunden MS, Heckel K, Goetz AE, Reuter DA. Perioperative fluid and volume management: physiological basis, tools and strategies. Ann Intensive Care. 2011 Dec;1(1):2. doi:10.1186/2110-5820-1-2</w:t>
      </w:r>
    </w:p>
    <w:p>
      <w:pPr>
        <w:pStyle w:val="style265"/>
        <w:rPr/>
      </w:pPr>
      <w:r>
        <w:t>6.</w:t>
      </w:r>
      <w:r>
        <w:tab/>
      </w:r>
      <w:r>
        <w:t>Tatara T. Context-sensitive fluid therapy in critical illness. J Intensive Care. 2016 Dec;4(1):20. doi:10.1186/s40560-016-0150-7</w:t>
      </w:r>
    </w:p>
    <w:p>
      <w:pPr>
        <w:pStyle w:val="style265"/>
        <w:rPr/>
      </w:pPr>
      <w:r>
        <w:t>7.</w:t>
      </w:r>
      <w:r>
        <w:tab/>
      </w:r>
      <w:r>
        <w:t>Acharya K, Rout DK, Kapadia NA, Caroicar YS, Karunakaran NB, Patel P, et al. Surgical Stress Response: A Physiological Review of the Endocrine, Immune, and Metabolic Changes. Cureus. 2025 Dec 26. doi:10.7759/cureus.100101</w:t>
      </w:r>
    </w:p>
    <w:p>
      <w:pPr>
        <w:pStyle w:val="style265"/>
        <w:rPr/>
      </w:pPr>
      <w:r>
        <w:t>8.</w:t>
      </w:r>
      <w:r>
        <w:tab/>
      </w:r>
      <w:r>
        <w:t>Djuric M, Nenadic I, Radisavljevic N, Todorovic D, Stojanovic M, Dimic N, et al. The Influence of Anesthetics on the Functions of the Endothelium and Oxidative Stress: A Critical Review. Biomedicines. 2025 Sep 26;13(10):2357. doi:10.3390/biomedicines13102357</w:t>
      </w:r>
    </w:p>
    <w:p>
      <w:pPr>
        <w:pStyle w:val="style265"/>
        <w:rPr/>
      </w:pPr>
      <w:r>
        <w:t>9.</w:t>
      </w:r>
      <w:r>
        <w:tab/>
      </w:r>
      <w:r>
        <w:t>Bamboat Z, Bordeianou L. Perioperative Fluid Management. Clin Colon Rectal Surg. 2009 Feb;22(01):028–33. doi:10.1055/s-0029-1202883</w:t>
      </w:r>
    </w:p>
    <w:p>
      <w:pPr>
        <w:pStyle w:val="style265"/>
        <w:rPr/>
      </w:pPr>
      <w:r>
        <w:t>10.</w:t>
      </w:r>
      <w:r>
        <w:tab/>
      </w:r>
      <w:r>
        <w:t>Bundgaard</w:t>
      </w:r>
      <w:r>
        <w:rPr>
          <w:rFonts w:ascii="Cambria Math" w:cs="Cambria Math" w:hAnsi="Cambria Math"/>
        </w:rPr>
        <w:t>‐</w:t>
      </w:r>
      <w:r>
        <w:t>Nielsen M, Secher NH, Kehlet H. ‘Liberal’ vs. ‘restrictive’ perioperative fluid therapy – a critical assessment of the evidence. Acta Anaesthesiol Scand. 2009 Aug;53(7):843–51. doi:10.1111/j.1399-6576.2009.02029.x</w:t>
      </w:r>
    </w:p>
    <w:p>
      <w:pPr>
        <w:pStyle w:val="style265"/>
        <w:rPr/>
      </w:pPr>
      <w:r>
        <w:t>11.</w:t>
      </w:r>
      <w:r>
        <w:tab/>
      </w:r>
      <w:r>
        <w:t>Voldby AW, Brandstrup B. Fluid therapy in the perioperative setting—a clinical review. J Intensive Care. 2016 Apr 16;4(1):27. doi:10.1186/s40560-016-0154-3</w:t>
      </w:r>
    </w:p>
    <w:p>
      <w:pPr>
        <w:pStyle w:val="style265"/>
        <w:rPr/>
      </w:pPr>
      <w:r>
        <w:t>12.</w:t>
      </w:r>
      <w:r>
        <w:tab/>
      </w:r>
      <w:r>
        <w:t>Zhu A, Agarwala A, Bao X. Perioperative Fluid Management in the Enhanced Recovery after Surgery (ERAS) Pathway. Clin Colon Rectal Surg. 2019 Mar;32(02):114–20. doi:10.1055/s-0038-1676476</w:t>
      </w:r>
    </w:p>
    <w:p>
      <w:pPr>
        <w:pStyle w:val="style265"/>
        <w:rPr/>
      </w:pPr>
      <w:r>
        <w:t>13.</w:t>
      </w:r>
      <w:r>
        <w:tab/>
      </w:r>
      <w:r>
        <w:t>Messina A, Robba C, Calabrò L, Zambelli D, Iannuzzi F, Molinari E, et al. Perioperative liberal versus restrictive fluid strategies and postoperative outcomes: a systematic review and metanalysis on randomised-controlled trials in major abdominal elective surgery. Crit Care. 2021 Dec;25(1):205. doi:10.1186/s13054-021-03629-y</w:t>
      </w:r>
    </w:p>
    <w:p>
      <w:pPr>
        <w:pStyle w:val="style265"/>
        <w:rPr/>
      </w:pPr>
      <w:r>
        <w:t>14.</w:t>
      </w:r>
      <w:r>
        <w:tab/>
      </w:r>
      <w:r>
        <w:t>Ni Choileain N. Cell Response to Surgery. Arch Surg. 2006 Nov 1;141(11):1132. doi:10.1001/archsurg.141.11.1132</w:t>
      </w:r>
    </w:p>
    <w:p>
      <w:pPr>
        <w:pStyle w:val="style265"/>
        <w:rPr/>
      </w:pPr>
      <w:r>
        <w:t>15.</w:t>
      </w:r>
      <w:r>
        <w:tab/>
      </w:r>
      <w:r>
        <w:t>Frost P. Intravenous fluid therapy in adult inpatients. BMJ. 2015 Jan 6;350(jan06 13):g7620–g7620. doi:10.1136/bmj.g7620</w:t>
      </w:r>
    </w:p>
    <w:p>
      <w:pPr>
        <w:pStyle w:val="style265"/>
        <w:rPr/>
      </w:pPr>
      <w:r>
        <w:t>16.</w:t>
      </w:r>
      <w:r>
        <w:tab/>
      </w:r>
      <w:r>
        <w:t>Komáromi A, Estenberg U, Wernerman J, Rooyackers O, Norberg Å. Capillary leakage with inflammation and surgery. Intensive Care Med Exp. 2015 Dec;3(S1):A286, 2197-425X-3-S1-A286. doi:10.1186/2197-425X-3-S1-A286</w:t>
      </w:r>
    </w:p>
    <w:p>
      <w:pPr>
        <w:pStyle w:val="style265"/>
        <w:rPr/>
      </w:pPr>
      <w:r>
        <w:t>17.</w:t>
      </w:r>
      <w:r>
        <w:tab/>
      </w:r>
      <w:r>
        <w:t>Yi JM, Bang JY, Choi B, Cho C, Lee YH, Lee EK, et al. Population-based volume kinetics of crystalloids and colloids in healthy volunteers. Sci Rep. 2019 Dec 9;9(1):18638. doi:10.1038/s41598-019-55171-1</w:t>
      </w:r>
    </w:p>
    <w:p>
      <w:pPr>
        <w:pStyle w:val="style265"/>
        <w:rPr/>
      </w:pPr>
      <w:r>
        <w:t>18.</w:t>
      </w:r>
      <w:r>
        <w:tab/>
      </w:r>
      <w:r>
        <w:t>Cihoric M, Kehlet H, Højlund J, Lauritsen ML, Kanstrup K, Foss NB. Perioperative changes in fluid distribution and haemodynamics in acute high-risk abdominal surgery. Crit Care Lond Engl. 2023 Jan 16;27(1):20. doi:10.1186/s13054-023-04309-9 PubMed PMID: 36647120; PubMed Central PMCID: PMC9841944.</w:t>
      </w:r>
    </w:p>
    <w:p>
      <w:pPr>
        <w:pStyle w:val="style265"/>
        <w:rPr/>
      </w:pPr>
      <w:r>
        <w:t>19.</w:t>
      </w:r>
      <w:r>
        <w:tab/>
      </w:r>
      <w:r>
        <w:t>Wilson JL, Decker M, Cain C. Intravenous Fluids in Hospitalized Patients: A Review of Best Practices. Mo Med. 2025;122(5):396–402. PubMed PMID: 41132472; PubMed Central PMCID: PMC12543346.</w:t>
      </w:r>
    </w:p>
    <w:p>
      <w:pPr>
        <w:pStyle w:val="style265"/>
        <w:rPr/>
      </w:pPr>
      <w:r>
        <w:t>20.</w:t>
      </w:r>
      <w:r>
        <w:tab/>
      </w:r>
      <w:r>
        <w:t>body fluid compartments [Internet]. Available from: https://howmed.net/physiology/body-fluid-compartments-water-balance/</w:t>
      </w:r>
    </w:p>
    <w:p>
      <w:pPr>
        <w:pStyle w:val="style265"/>
        <w:rPr/>
      </w:pPr>
      <w:r>
        <w:t>21.</w:t>
      </w:r>
      <w:r>
        <w:tab/>
      </w:r>
      <w:r>
        <w:t>Navarro LHC, Bloomstone JA, Auler JOC, Cannesson M, Rocca GD, Gan TJ, et al. Perioperative fluid therapy: a statement from the international Fluid Optimization Group. Perioper Med. 2015 Apr 10;4(1):3. doi:10.1186/s13741-015-0014-z</w:t>
      </w:r>
    </w:p>
    <w:p>
      <w:pPr>
        <w:pStyle w:val="style265"/>
        <w:rPr/>
      </w:pPr>
      <w:r>
        <w:t>22.</w:t>
      </w:r>
      <w:r>
        <w:tab/>
      </w:r>
      <w:r>
        <w:t>Noel-Morgan J, Muir WW. Anesthesia-Associated Relative Hypovolemia: Mechanisms, Monitoring, and Treatment Considerations. Front Vet Sci. 2018 Mar 16;5:53. doi:10.3389/fvets.2018.00053</w:t>
      </w:r>
    </w:p>
    <w:p>
      <w:pPr>
        <w:pStyle w:val="style265"/>
        <w:rPr/>
      </w:pPr>
      <w:r>
        <w:t>23.</w:t>
      </w:r>
      <w:r>
        <w:tab/>
      </w:r>
      <w:r>
        <w:t>Hahn RG. Capillary Filtration of Plasma Is Accelerated During General Anesthesia: A Secondary Population Volume Kinetic Analysis. J Clin Pharmacol. 2025 Jun;65(6):787–97. doi:10.1002/jcph.6182</w:t>
      </w:r>
    </w:p>
    <w:p>
      <w:pPr>
        <w:pStyle w:val="style265"/>
        <w:rPr/>
      </w:pPr>
      <w:r>
        <w:t>24.</w:t>
      </w:r>
      <w:r>
        <w:tab/>
      </w:r>
      <w:r>
        <w:t>Collins SR, Blank RS, Deatherage LS, Dull RO. The Endothelial Glycocalyx: Emerging Concepts in Pulmonary Edema and Acute Lung Injury. Anesth Analg. 2013 Sep;117(3):664–74. doi:10.1213/ANE.0b013e3182975b85</w:t>
      </w:r>
    </w:p>
    <w:p>
      <w:pPr>
        <w:pStyle w:val="style265"/>
        <w:rPr/>
      </w:pPr>
      <w:r>
        <w:t>25.</w:t>
      </w:r>
      <w:r>
        <w:tab/>
      </w:r>
      <w:r>
        <w:t>Cusack B, Buggy DJ. Anaesthesia, analgesia, and the surgical stress response. BJA Educ. 2020 Sep;20(9):321–8. doi:10.1016/j.bjae.2020.04.006</w:t>
      </w:r>
    </w:p>
    <w:p>
      <w:pPr>
        <w:pStyle w:val="style265"/>
        <w:rPr/>
      </w:pPr>
      <w:r>
        <w:t>26.</w:t>
      </w:r>
      <w:r>
        <w:tab/>
      </w:r>
      <w:r>
        <w:t>Khan HQRB, Reilly GC. Protective Treatments against Endothelial Glycocalyx Degradation in Surgery: A Systematic Review and Meta-Analysis. Appl Sci. 2021 Jul 29;11(15):6994. doi:10.3390/app11156994</w:t>
      </w:r>
    </w:p>
    <w:p>
      <w:pPr>
        <w:pStyle w:val="style265"/>
        <w:rPr/>
      </w:pPr>
      <w:r>
        <w:t>27.</w:t>
      </w:r>
      <w:r>
        <w:tab/>
      </w:r>
      <w:r>
        <w:t>Patterson EK, Cepinskas G, Fraser DD. Endothelial Glycocalyx Degradation in Critical Illness and Injury. Front Med. 2022 Jul 8;9:898592. doi:10.3389/fmed.2022.898592</w:t>
      </w:r>
    </w:p>
    <w:p>
      <w:pPr>
        <w:pStyle w:val="style265"/>
        <w:rPr/>
      </w:pPr>
      <w:r>
        <w:t>28.</w:t>
      </w:r>
      <w:r>
        <w:tab/>
      </w:r>
      <w:r>
        <w:t>Ivascu R, Torsin LI, Hostiuc L, Nitipir C, Corneci D, Dutu M. The Surgical Stress Response and Anesthesia: A Narrative Review. J Clin Med. 2024 May 20;13(10):3017. doi:10.3390/jcm13103017</w:t>
      </w:r>
    </w:p>
    <w:p>
      <w:pPr>
        <w:pStyle w:val="style265"/>
        <w:rPr/>
      </w:pPr>
      <w:r>
        <w:t>29.</w:t>
      </w:r>
      <w:r>
        <w:tab/>
      </w:r>
      <w:r>
        <w:t>Chau EHL, Slinger P. Perioperative Fluid Management for Pulmonary Resection Surgery and Esophagectomy. Semin Cardiothorac Vasc Anesth. 2014 Mar;18(1):36–44. doi:10.1177/1089253213491014</w:t>
      </w:r>
    </w:p>
    <w:p>
      <w:pPr>
        <w:pStyle w:val="style265"/>
        <w:rPr/>
      </w:pPr>
      <w:r>
        <w:t>30.</w:t>
      </w:r>
      <w:r>
        <w:tab/>
      </w:r>
      <w:r>
        <w:t>Bellos I, Iliopoulos DC, Perrea DN. Association of postoperative fluid overload with adverse outcomes after congenital heart surgery: a systematic review and dose-response meta-analysis. Pediatr Nephrol. 2020 Jun;35(6):1109–19. doi:10.1007/s00467-020-04489-4</w:t>
      </w:r>
    </w:p>
    <w:p>
      <w:pPr>
        <w:pStyle w:val="style265"/>
        <w:rPr/>
      </w:pPr>
      <w:r>
        <w:t>31.</w:t>
      </w:r>
      <w:r>
        <w:tab/>
      </w:r>
      <w:r>
        <w:t>Voldby AW, Aaen AA, Loprete R, Eskandarani HA, Boolsen AW, Jønck S, et al. Perioperative fluid administration and complications in emergency gastrointestinal surgery—an observational study. Perioper Med. 2022 Dec;11(1):9. doi:10.1186/s13741-021-00235-y</w:t>
      </w:r>
    </w:p>
    <w:p>
      <w:pPr>
        <w:pStyle w:val="style265"/>
        <w:rPr/>
      </w:pPr>
      <w:r>
        <w:t>32.</w:t>
      </w:r>
      <w:r>
        <w:tab/>
      </w:r>
      <w:r>
        <w:t>Bosboom JJ, Wijnberge M, Geerts BF, Kerstens M, Mythen MG, Vlaar APJ, et al. Restrictive versus conventional ward fluid therapy in non-cardiac surgery patients and the effect on postoperative complications: a meta-analysis. Perioper Med. 2023 Sep 21;12(1):52. doi:10.1186/s13741-023-00337-9</w:t>
      </w:r>
    </w:p>
    <w:p>
      <w:pPr>
        <w:pStyle w:val="style265"/>
        <w:rPr/>
      </w:pPr>
      <w:r>
        <w:t>33.</w:t>
      </w:r>
      <w:r>
        <w:tab/>
      </w:r>
      <w:r>
        <w:t>Liu H, Shao Y, Luo J. Impact of perioperative fluid overload on the occurrence of postoperative pulmonary complications following lobectomy. J Thorac Dis. 2024 Aug;16(8):5201–8. doi:10.21037/jtd-24-478</w:t>
      </w:r>
    </w:p>
    <w:p>
      <w:pPr>
        <w:pStyle w:val="style265"/>
        <w:rPr/>
      </w:pPr>
      <w:r>
        <w:t>34.</w:t>
      </w:r>
      <w:r>
        <w:tab/>
      </w:r>
      <w:r>
        <w:t>Gurudatt C. Perioperative fluid therapy: How much is not too much? Indian J Anaesth. 2012;56(4):323. doi:10.4103/0019-5049.100810</w:t>
      </w:r>
    </w:p>
    <w:p>
      <w:pPr>
        <w:pStyle w:val="style265"/>
        <w:rPr/>
      </w:pPr>
      <w:r>
        <w:t>35.</w:t>
      </w:r>
      <w:r>
        <w:tab/>
      </w:r>
      <w:r>
        <w:t>Myles P, Bellomo R, Corcoran T, Forbes A, Wallace S, Peyton P, et al. Restrictive versus liberal fluid therapy in major abdominal surgery (RELIEF): rationale and design for a multicentre randomised trial. BMJ Open. 2017 Mar;7(3):e015358. doi:10.1136/bmjopen-2016-015358</w:t>
      </w:r>
    </w:p>
    <w:p>
      <w:pPr>
        <w:pStyle w:val="style265"/>
        <w:rPr/>
      </w:pPr>
      <w:r>
        <w:t>36.</w:t>
      </w:r>
      <w:r>
        <w:tab/>
      </w:r>
      <w:r>
        <w:t>Myles PS, Bellomo R, Corcoran T, Forbes A, Peyton P, Story D, et al. Restrictive versus Liberal Fluid Therapy for Major Abdominal Surgery. N Engl J Med. 2018 Jun 14;378(24):2263–74. doi:10.1056/NEJMoa1801601</w:t>
      </w:r>
    </w:p>
    <w:p>
      <w:pPr>
        <w:pStyle w:val="style265"/>
        <w:rPr/>
      </w:pPr>
      <w:r>
        <w:t>37.</w:t>
      </w:r>
      <w:r>
        <w:tab/>
      </w:r>
      <w:r>
        <w:t>Phan TD, Uda Y, Peyton PJ, Kluger R, Myles PS. Effect of fluid strategy on stroke volume, cardiac output, and fluid responsiveness in adult patients undergoing major abdominal surgery: a sub-study of the Restrictive versus Liberal Fluid Therapy in Major Abdominal Surgery (RELIEF) trial. Br J Anaesth. 2021 Apr;126(4):818–25. doi:10.1016/j.bja.2021.01.011</w:t>
      </w:r>
    </w:p>
    <w:p>
      <w:pPr>
        <w:pStyle w:val="style265"/>
        <w:rPr/>
      </w:pPr>
      <w:r>
        <w:t>38.</w:t>
      </w:r>
      <w:r>
        <w:tab/>
      </w:r>
      <w:r>
        <w:t>Xing X, Gao Y, Wang H, Qu S, Huang C, Zhang H, et al. Correlation of fluid balance and postoperative pulmonary complications in patients after esophagectomy for cancer. J Thorac Dis. 2015 Nov;7(11):1986–93. doi:10.3978/j.issn.2072-1439.2015.11.24 PubMed PMID: 26716037; PubMed Central PMCID: PMC4669283.</w:t>
      </w:r>
    </w:p>
    <w:p>
      <w:pPr>
        <w:pStyle w:val="style265"/>
        <w:rPr/>
      </w:pPr>
      <w:r>
        <w:t>39.</w:t>
      </w:r>
      <w:r>
        <w:tab/>
      </w:r>
      <w:r>
        <w:t>Kubo Y, Tanaka K, Yamasaki M, Yamashita K, Makino T, Saito T, et al. The Impact of Perioperative Fluid Balance on Postoperative Complications after Esophagectomy for Esophageal Cancer. J Clin Med. 2022 Jun 5;11(11):3219. doi:10.3390/jcm11113219</w:t>
      </w:r>
    </w:p>
    <w:p>
      <w:pPr>
        <w:pStyle w:val="style265"/>
        <w:rPr/>
      </w:pPr>
      <w:r>
        <w:t>40.</w:t>
      </w:r>
      <w:r>
        <w:tab/>
      </w:r>
      <w:r>
        <w:t>Voldby AW, Aaen AA, Møller AM, Brandstrup B. The association of the perioperative fluid balance and cardiopulmonary complications in emergency gastrointestinal surgery: exploration of a randomized trial. Perioper Med. 2024 Apr 26;13(1):32. doi:10.1186/s13741-024-00390-y</w:t>
      </w:r>
    </w:p>
    <w:p>
      <w:pPr>
        <w:pStyle w:val="style265"/>
        <w:rPr/>
      </w:pPr>
      <w:r>
        <w:t>41.</w:t>
      </w:r>
      <w:r>
        <w:tab/>
      </w:r>
      <w:r>
        <w:t>Brandstrup B. Fluid therapy for the surgical patient. Best Pract Res Clin Anaesthesiol. 2006 Jun;20(2):265–83. doi:10.1016/j.bpa.2005.10.007</w:t>
      </w:r>
    </w:p>
    <w:p>
      <w:pPr>
        <w:pStyle w:val="style265"/>
        <w:rPr/>
      </w:pPr>
      <w:r>
        <w:t>42.</w:t>
      </w:r>
      <w:r>
        <w:tab/>
      </w:r>
      <w:r>
        <w:t>Miller TE, Roche AM, Mythen M. Fluid management and goal-directed therapy as an adjunct to Enhanced Recovery After Surgery (ERAS). Can J Anesth Can Anesth. 2015 Feb;62(2):158–68. doi:10.1007/s12630-014-0266-y</w:t>
      </w:r>
    </w:p>
    <w:p>
      <w:pPr>
        <w:pStyle w:val="style265"/>
        <w:rPr/>
      </w:pPr>
      <w:r>
        <w:t>43.</w:t>
      </w:r>
      <w:r>
        <w:tab/>
      </w:r>
      <w:r>
        <w:t>Woodcock TE, Woodcock TM. Revised Starling equation and the glycocalyx model of transvascular fluid exchange: an improved paradigm for prescribing intravenous fluid therapy. Br J Anaesth. 2012 Mar;108(3):384–94. doi:10.1093/bja/aer515</w:t>
      </w:r>
    </w:p>
    <w:p>
      <w:pPr>
        <w:pStyle w:val="style265"/>
        <w:rPr/>
      </w:pPr>
      <w:r>
        <w:t>44.</w:t>
      </w:r>
      <w:r>
        <w:tab/>
      </w:r>
      <w:r>
        <w:t>Pang Q, Liu H, Chen B, Jiang Y. Restrictive and liberal fluid administration in major abdominal surgery. Saudi Med J. 2017 Feb;38(2):123–31. doi:10.15537/smj.2017.2.15077 PubMed PMID: 28133683; PubMed Central PMCID: PMC5329622.</w:t>
      </w:r>
    </w:p>
    <w:p>
      <w:pPr>
        <w:pStyle w:val="style265"/>
        <w:rPr/>
      </w:pPr>
      <w:r>
        <w:t>45.</w:t>
      </w:r>
      <w:r>
        <w:tab/>
      </w:r>
      <w:r>
        <w:t>Miller TE, Myles PS. Perioperative Fluid Therapy for Major Surgery. Anesthesiology. 2019 May;130(5):825–32. doi:10.1097/ALN.0000000000002603</w:t>
      </w:r>
    </w:p>
    <w:p>
      <w:pPr>
        <w:pStyle w:val="style265"/>
        <w:rPr/>
      </w:pPr>
      <w:r>
        <w:t>46.</w:t>
      </w:r>
      <w:r>
        <w:tab/>
      </w:r>
      <w:r>
        <w:t>Brandstrup B, Tønnesen H, Beier-Holgersen R, Hjortsø E, Ørding H, Lindorff-Larsen K, et al. Effects of Intravenous Fluid Restriction on Postoperative Complications: Comparison of Two Perioperative Fluid Regimens: A Randomized Assessor-Blinded Multicenter Trial. Ann Surg. 2003 Nov;238(5):641–8. doi:10.1097/01.sla.0000094387.50865.23</w:t>
      </w:r>
    </w:p>
    <w:p>
      <w:pPr>
        <w:pStyle w:val="style265"/>
        <w:rPr/>
      </w:pPr>
      <w:r>
        <w:t>47.</w:t>
      </w:r>
      <w:r>
        <w:tab/>
      </w:r>
      <w:r>
        <w:t>Nisanevich V, Felsenstein I, Almogy G, Weissman C, Einav S, Matot I. Effect of Intraoperative Fluid Management on Outcome after Intraabdominal Surgery. Anesthesiology. 2005 Jul 1;103(1):25–32. doi:10.1097/00000542-200507000-00008</w:t>
      </w:r>
    </w:p>
    <w:p>
      <w:pPr>
        <w:pStyle w:val="style265"/>
        <w:rPr/>
      </w:pPr>
      <w:r>
        <w:t>48.</w:t>
      </w:r>
      <w:r>
        <w:tab/>
      </w:r>
      <w:r>
        <w:t>Vermeulen H, Hofland J, Legemate DA, Ubbink DT. Intravenous fluid restriction after major abdominal surgery: a randomized blinded clinical trial. Trials. 2009 Dec;10(1):50. doi:10.1186/1745-6215-10-50</w:t>
      </w:r>
    </w:p>
    <w:p>
      <w:pPr>
        <w:pStyle w:val="style265"/>
        <w:rPr/>
      </w:pPr>
      <w:r>
        <w:t>49.</w:t>
      </w:r>
      <w:r>
        <w:tab/>
      </w:r>
      <w:r>
        <w:t>Yang TX, Tan AY, Leung WH, Chong D, Chow YF. Restricted Versus Liberal Versus Goal-Directed Fluid Therapy for Non-vascular Abdominal Surgery: A Network Meta-Analysis and Systematic Review. Cureus. 2023 Apr;15(4):e38238. doi:10.7759/cureus.38238 PubMed PMID: 37261162; PubMed Central PMCID: PMC10226838.</w:t>
      </w:r>
    </w:p>
    <w:p>
      <w:pPr>
        <w:pStyle w:val="style265"/>
        <w:rPr/>
      </w:pPr>
      <w:r>
        <w:t>50.</w:t>
      </w:r>
      <w:r>
        <w:tab/>
      </w:r>
      <w:r>
        <w:t>Corcoran T, Emma Joy Rhodes J, Clarke S, Myles PS, Ho KM. Perioperative Fluid Management Strategies in Major Surgery: A Stratified Meta-Analysis. Anesth Analg. 2012 Mar;114(3):640–51. doi:10.1213/ANE.0b013e318240d6eb</w:t>
      </w:r>
    </w:p>
    <w:p>
      <w:pPr>
        <w:pStyle w:val="style265"/>
        <w:rPr/>
      </w:pPr>
      <w:r>
        <w:t>51.</w:t>
      </w:r>
      <w:r>
        <w:tab/>
      </w:r>
      <w:r>
        <w:t>Schol PBB, Terink IM, Lancé MD, Scheepers HCJ. Liberal or restrictive fluid management during elective surgery: a systematic review and meta-analysis. J Clin Anesth. 2016 Dec;35:26–39. doi:10.1016/j.jclinane.2016.07.010</w:t>
      </w:r>
    </w:p>
    <w:p>
      <w:pPr>
        <w:pStyle w:val="style265"/>
        <w:rPr/>
      </w:pPr>
      <w:r>
        <w:t>52.</w:t>
      </w:r>
      <w:r>
        <w:tab/>
      </w:r>
      <w:r>
        <w:t>Jia FJ, Yan QY, Sun Q, Tuxun T, Liu H, Shao L. Liberal versus restrictive fluid management in abdominal surgery: a meta-analysis. Surg Today. 2017 Mar;47(3):344–56. doi:10.1007/s00595-016-1393-6</w:t>
      </w:r>
    </w:p>
    <w:p>
      <w:pPr>
        <w:pStyle w:val="style265"/>
        <w:rPr/>
      </w:pPr>
      <w:r>
        <w:t>53.</w:t>
      </w:r>
      <w:r>
        <w:tab/>
      </w:r>
      <w:r>
        <w:t>Ding X, Cheng Z, Qian Q. Intravenous Fluids and Acute Kidney Injury. Blood Purif. 2017;43(1–3):163–72. doi:10.1159/000452702</w:t>
      </w:r>
    </w:p>
    <w:p>
      <w:pPr>
        <w:pStyle w:val="style265"/>
        <w:rPr/>
      </w:pPr>
      <w:r>
        <w:t>54.</w:t>
      </w:r>
      <w:r>
        <w:tab/>
      </w:r>
      <w:r>
        <w:t>Mårtensson J, Bellomo R. Does fluid management affect the occurrence of acute kidney injury? Curr Opin Anaesthesiol. 2017 Feb;30(1):84–91. doi:10.1097/ACO.0000000000000407</w:t>
      </w:r>
    </w:p>
    <w:p>
      <w:pPr>
        <w:pStyle w:val="style265"/>
        <w:rPr/>
      </w:pPr>
      <w:r>
        <w:t>55.</w:t>
      </w:r>
      <w:r>
        <w:tab/>
      </w:r>
      <w:r>
        <w:t>Balakrishna A, Walco J, Billings FT, Lopez MG. Perioperative Acute Kidney Injury. Adv Anesth. 2023 Dec;41(1):205–24. doi:10.1016/j.aan.2023.06.005</w:t>
      </w:r>
    </w:p>
    <w:p>
      <w:pPr>
        <w:pStyle w:val="style265"/>
        <w:rPr/>
      </w:pPr>
      <w:r>
        <w:t>56.</w:t>
      </w:r>
      <w:r>
        <w:tab/>
      </w:r>
      <w:r>
        <w:t>Silva JM, De Oliveira AMR, Nogueira FAM, Vianna PMM, Pereira Filho MC, Dias LF, et al. The effect of excess fluid balance on the mortality rate of surgical patients: a multicenter prospective study. Crit Care. 2013 Dec 10;17(6):R288. doi:10.1186/cc13151</w:t>
      </w:r>
    </w:p>
    <w:p>
      <w:pPr>
        <w:pStyle w:val="style265"/>
        <w:rPr/>
      </w:pPr>
      <w:r>
        <w:t>57.</w:t>
      </w:r>
      <w:r>
        <w:tab/>
      </w:r>
      <w:r>
        <w:t>Jin Z, Razak A, Huang H, Muthukumar A, Murphy J, Shteynman L, et al. Intraoperative Goal-Directed Fluid Therapy and Outcomes After Oncologic Surgeries: A Systematic Review and Meta-Analysis. Anesth Analg. 2025 Apr;140(4):821–32. doi:10.1213/ANE.0000000000007277</w:t>
      </w:r>
    </w:p>
    <w:p>
      <w:pPr>
        <w:pStyle w:val="style265"/>
        <w:rPr/>
      </w:pPr>
      <w:r>
        <w:t>58.</w:t>
      </w:r>
      <w:r>
        <w:tab/>
      </w:r>
      <w:r>
        <w:t>Dushianthan A, Knight M, Russell P, Grocott MP. Goal-directed haemodynamic therapy (GDHT) in surgical patients: systematic review and meta-analysis of the impact of GDHT on post-operative pulmonary complications. Perioper Med. 2020 Dec;9(1):30. doi:10.1186/s13741-020-00161-5</w:t>
      </w:r>
    </w:p>
    <w:p>
      <w:pPr>
        <w:pStyle w:val="style265"/>
        <w:rPr/>
      </w:pPr>
      <w:r>
        <w:t>59.</w:t>
      </w:r>
      <w:r>
        <w:tab/>
      </w:r>
      <w:r>
        <w:t>McLain N, Parks S, Collins MJ. Perioperative Goal-Directed Fluid Therapy: A Prime Component of Enhanced Recovery After Surgery. AANA J. 2021 Aug;89(4):351–7. PubMed PMID: 34342573.</w:t>
      </w:r>
    </w:p>
    <w:p>
      <w:pPr>
        <w:pStyle w:val="style265"/>
        <w:rPr/>
      </w:pPr>
      <w:r>
        <w:t>60.</w:t>
      </w:r>
      <w:r>
        <w:tab/>
      </w:r>
      <w:r>
        <w:t>Kan CFK, Skaggs JD. Current Commonly Used Dynamic Parameters and Monitoring Systems for Perioperative Goal-Directed Fluid Therapy: A Review. Yale J Biol Med. 2023 Mar;96(1):107–23. doi:10.59249/JOAP6662 PubMed PMID: 37009197; PubMed Central PMCID: PMC10052600.</w:t>
      </w:r>
    </w:p>
    <w:p>
      <w:pPr>
        <w:pStyle w:val="style265"/>
        <w:rPr/>
      </w:pPr>
      <w:r>
        <w:t>61.</w:t>
      </w:r>
      <w:r>
        <w:tab/>
      </w:r>
      <w:r>
        <w:t>Sun Y, Liang X, Chai F, Shi D, Wang Y. Goal-directed fluid therapy using stroke volume variation on length of stay and postoperative gastrointestinal function after major abdominal surgery-a randomized controlled trial. BMC Anesthesiol. 2023 Dec 4;23(1):397. doi:10.1186/s12871-023-02360-1</w:t>
      </w:r>
    </w:p>
    <w:p>
      <w:pPr>
        <w:pStyle w:val="style265"/>
        <w:rPr/>
      </w:pPr>
      <w:r>
        <w:t>62.</w:t>
      </w:r>
      <w:r>
        <w:tab/>
      </w:r>
      <w:r>
        <w:t>Yerdon A, Taylor K, Woodfin K, Richey R, McMullan S, Chappell D. Goal-directed therapy: what is the goal again? Perioper Med. 2025 May 16;14(1):57. doi:10.1186/s13741-025-00533-9</w:t>
      </w:r>
    </w:p>
    <w:p>
      <w:pPr>
        <w:pStyle w:val="style265"/>
        <w:rPr/>
      </w:pPr>
      <w:r>
        <w:t>63.</w:t>
      </w:r>
      <w:r>
        <w:tab/>
      </w:r>
      <w:r>
        <w:t>Phan TD, Hollo Z, Peyton PJ. Limits of goal-directed fluid therapy or limits of fluid restriction? Br J Anaesth. 2022 Jan;128(1):e22–3. doi:10.1016/j.bja.2021.09.041</w:t>
      </w:r>
    </w:p>
    <w:p>
      <w:pPr>
        <w:pStyle w:val="style265"/>
        <w:rPr/>
      </w:pPr>
      <w:r>
        <w:t>64.</w:t>
      </w:r>
      <w:r>
        <w:tab/>
      </w:r>
      <w:r>
        <w:t>ERAS principles [Internet]. Available from: https://www.acog.org/clinical/clinical-guidance/committee-opinion/articles/2018/09/perioperative-pathways-enhanced-recovery-after-surgery?utm_source=chatgpt.com</w:t>
      </w:r>
    </w:p>
    <w:p>
      <w:pPr>
        <w:pStyle w:val="style265"/>
        <w:rPr/>
      </w:pPr>
      <w:r>
        <w:t>65.</w:t>
      </w:r>
      <w:r>
        <w:tab/>
      </w:r>
      <w:r>
        <w:t>Ljungqvist O, Hubner M. Enhanced recovery after surgery—ERAS—principles, practice and feasibility in the elderly. Aging Clin Exp Res. 2018 Mar;30(3):249–52. doi:10.1007/s40520-018-0905-1</w:t>
      </w:r>
    </w:p>
    <w:p>
      <w:pPr>
        <w:pStyle w:val="style265"/>
        <w:rPr/>
      </w:pPr>
      <w:r>
        <w:t>66.</w:t>
      </w:r>
      <w:r>
        <w:tab/>
      </w:r>
      <w:r>
        <w:t>Maria C, Peter G, Hong L. Goal-directed therapy in intraoperative fluid and hemodynamic management. J Biomed Res. 2013;27(5):357. doi:10.7555/JBR.27.20120128</w:t>
      </w:r>
    </w:p>
    <w:p>
      <w:pPr>
        <w:pStyle w:val="style265"/>
        <w:rPr/>
      </w:pPr>
      <w:r>
        <w:t>67.</w:t>
      </w:r>
      <w:r>
        <w:tab/>
      </w:r>
      <w:r>
        <w:t>Ljungqvist O, Scott M, Fearon KC. Enhanced Recovery After Surgery: A Review. JAMA Surg. 2017 Mar 1;152(3):292. doi:10.1001/jamasurg.2016.4952</w:t>
      </w:r>
    </w:p>
    <w:p>
      <w:pPr>
        <w:pStyle w:val="style265"/>
        <w:rPr/>
      </w:pPr>
      <w:r>
        <w:t>68.</w:t>
      </w:r>
      <w:r>
        <w:tab/>
      </w:r>
      <w:r>
        <w:t>Varadhan KK, Neal KR, Dejong CHC, Fearon KCH, Ljungqvist O, Lobo DN. The enhanced recovery after surgery (ERAS) pathway for patients undergoing major elective open colorectal surgery: A meta-analysis of randomized controlled trials. Clin Nutr. 2010 Aug;29(4):434–40. doi:10.1016/j.clnu.2010.01.004</w:t>
      </w:r>
    </w:p>
    <w:p>
      <w:pPr>
        <w:pStyle w:val="style265"/>
        <w:rPr/>
      </w:pPr>
      <w:r>
        <w:t>69.</w:t>
      </w:r>
      <w:r>
        <w:tab/>
      </w:r>
      <w:r>
        <w:t>Cunningham C, Tapking C, Salter M, Seeton R, Kramer GC, Prough DS, et al. The physiologic responses to a fluid bolus administration in old and young healthy adults. Perioper Med. 2022 Aug 16;11(1):30. doi:10.1186/s13741-022-00266-z</w:t>
      </w:r>
    </w:p>
    <w:p>
      <w:pPr>
        <w:pStyle w:val="style265"/>
        <w:rPr/>
      </w:pPr>
      <w:r>
        <w:t>70.</w:t>
      </w:r>
      <w:r>
        <w:tab/>
      </w:r>
      <w:r>
        <w:t>Mladinov D, Isaza E, Gosling AF, Clark AL, Kukreja J, Brzezinski M. Perioperative Fluid Management. Anesthesiol Clin. 2023 Sep;41(3):613–29. doi:10.1016/j.anclin.2023.03.001</w:t>
      </w:r>
    </w:p>
    <w:p>
      <w:pPr>
        <w:pStyle w:val="style265"/>
        <w:rPr/>
      </w:pPr>
      <w:r>
        <w:t>71.</w:t>
      </w:r>
      <w:r>
        <w:tab/>
      </w:r>
      <w:r>
        <w:t>Liu X, Zhang P, Liu MX, Ma JL, Wei XC, Fan D. Preoperative carbohydrate loading and intraoperative goal-directed fluid therapy for elderly patients undergoing open gastrointestinal surgery: a prospective randomized controlled trial. BMC Anesthesiol. 2021 Dec;21(1):157. doi:10.1186/s12871-021-01377-8</w:t>
      </w:r>
    </w:p>
    <w:p>
      <w:pPr>
        <w:pStyle w:val="style265"/>
        <w:rPr/>
      </w:pPr>
      <w:r>
        <w:t>72.</w:t>
      </w:r>
      <w:r>
        <w:tab/>
      </w:r>
      <w:r>
        <w:t>Haase-Fielitz A, Haase M, Bellomo R, Calzavacca P, Spura A, Baraki H, et al. Perioperative Hemodynamic Instability and Fluid Overload are Associated with Increasing Acute Kidney Injury Severity and Worse Outcome after Cardiac Surgery. Blood Purif. 2017;43(4):298–308. doi:10.1159/000455061</w:t>
      </w:r>
    </w:p>
    <w:p>
      <w:pPr>
        <w:pStyle w:val="style265"/>
        <w:rPr/>
      </w:pPr>
      <w:r>
        <w:t>73.</w:t>
      </w:r>
      <w:r>
        <w:tab/>
      </w:r>
      <w:r>
        <w:t>Mathis MR, Ghadimi K, Benner A, Jewell ES, Janda AM, Joo H, et al. Heart failure diagnostic accuracy, intraoperative fluid management, and postoperative acute kidney injury: a single-centre prospective observational study. Br J Anaesth. 2025 Jan;134(1):32–44. doi:10.1016/j.bja.2024.08.020</w:t>
      </w:r>
    </w:p>
    <w:p>
      <w:pPr>
        <w:pStyle w:val="style265"/>
        <w:rPr/>
      </w:pPr>
      <w:r>
        <w:t>74.</w:t>
      </w:r>
      <w:r>
        <w:tab/>
      </w:r>
      <w:r>
        <w:t>Gumbert SD, Kork F, Jackson ML, Vanga N, Ghebremichael SJ, Wang CY, et al. Perioperative Acute Kidney Injury. Anesthesiology. 2020 Jan;132(1):180–204. doi:10.1097/ALN.0000000000002968</w:t>
      </w:r>
    </w:p>
    <w:p>
      <w:pPr>
        <w:pStyle w:val="style265"/>
        <w:rPr/>
      </w:pPr>
      <w:r>
        <w:t>75.</w:t>
      </w:r>
      <w:r>
        <w:tab/>
      </w:r>
      <w:r>
        <w:t>Degu S, Kejela S, Zeleke HT. Perioperative mortality of emergency and elective surgical patients in a low-income country: a single institution experience. Perioper Med Lond Engl. 2023 Sep 16;12(1):49. doi:10.1186/s13741-023-00341-z PubMed PMID: 37715264; PubMed Central PMCID: PMC10504717.</w:t>
      </w:r>
    </w:p>
    <w:p>
      <w:pPr>
        <w:pStyle w:val="style265"/>
        <w:rPr/>
      </w:pPr>
      <w:r>
        <w:t>76.</w:t>
      </w:r>
      <w:r>
        <w:tab/>
      </w:r>
      <w:r>
        <w:t>Bohnen JD, Ramly EP, Sangji NF, De Moya M, Yeh DD, Lee J, et al. Perioperative risk factors impact outcomes in emergency versus nonemergency surgery differently: Time to separate our national risk-adjustment models? J Trauma Acute Care Surg. 2016 Jul;81(1):122–30. doi:10.1097/TA.0000000000001015</w:t>
      </w:r>
    </w:p>
    <w:p>
      <w:pPr>
        <w:pStyle w:val="style265"/>
        <w:rPr/>
      </w:pPr>
      <w:r>
        <w:t>77.</w:t>
      </w:r>
      <w:r>
        <w:tab/>
      </w:r>
      <w:r>
        <w:t>Bonanno F. Hemorrhagic shock: The “physiology approach.” J Emerg Trauma Shock. 2012;5(4):285. doi:10.4103/0974-2700.102357</w:t>
      </w:r>
    </w:p>
    <w:p>
      <w:pPr>
        <w:pStyle w:val="style265"/>
        <w:rPr/>
      </w:pPr>
      <w:r>
        <w:t>78.</w:t>
      </w:r>
      <w:r>
        <w:tab/>
      </w:r>
      <w:r>
        <w:t>Guo D, Gong J, Cao L, Wei Y, Guo Z, Zhu W. Laparoscopic Surgery Can Reduce Postoperative Edema Compared with Open Surgery. Gastroenterol Res Pract. 2016;2016:5264089. doi:10.1155/2016/5264089 PubMed PMID: 27777583; PubMed Central PMCID: PMC5061971.</w:t>
      </w:r>
    </w:p>
    <w:p>
      <w:pPr>
        <w:pStyle w:val="style265"/>
        <w:rPr/>
      </w:pPr>
      <w:r>
        <w:t>79.</w:t>
      </w:r>
      <w:r>
        <w:tab/>
      </w:r>
      <w:r>
        <w:t>Han JW, Oh AY, Seo KS, Na HS, Koo BW, Lee YJ. Comparison of intraoperative basal fluid requirements in distal pancreatectomy: Laparotomy vs. laparoscopy A retrospective cohort study. Medicine (Baltimore). 2017 Nov;96(47):e8763. doi:10.1097/MD.0000000000008763</w:t>
      </w:r>
    </w:p>
    <w:p>
      <w:pPr>
        <w:pStyle w:val="style265"/>
        <w:rPr/>
      </w:pPr>
      <w:r>
        <w:t>80.</w:t>
      </w:r>
      <w:r>
        <w:tab/>
      </w:r>
      <w:r>
        <w:t>Ostermann M, Auzinger G, Grocott M, Morton-Bailey V, Raphael J, Shaw AD, et al. Perioperative fluid management: evidence-based consensus recommendations from the international multidisciplinary PeriOperative Quality Initiative. Br J Anaesth. 2024 Dec;133(6):1263–75. doi:10.1016/j.bja.2024.07.038</w:t>
      </w:r>
    </w:p>
    <w:p>
      <w:pPr>
        <w:pStyle w:val="style265"/>
        <w:rPr/>
      </w:pPr>
      <w:r>
        <w:t>81.</w:t>
      </w:r>
      <w:r>
        <w:tab/>
      </w:r>
      <w:r>
        <w:t>Bennett VA, Cecconi M. Perioperative fluid management: From physiology to improving clinical outcomes. Indian J Anaesth. 2017 Aug;61(8):614–21. doi:10.4103/ija.IJA_456_17 PubMed PMID: 28890555; PubMed Central PMCID: PMC5579850.</w:t>
      </w:r>
    </w:p>
    <w:p>
      <w:pPr>
        <w:pStyle w:val="style265"/>
        <w:rPr/>
      </w:pPr>
      <w:r>
        <w:t>82.</w:t>
      </w:r>
      <w:r>
        <w:tab/>
      </w:r>
      <w:r>
        <w:t>Choudhuri AH, Kiro K. Perioperative Fluid Manangement. In: Malbrain MLNG, Wong A, Nasa P, Ghosh S, editors. Rational Use of Intravenous Fluids in Critically Ill Patients [Internet]. Cham: Springer International Publishing; 2024 [cited 2026 Feb 20]. p. 363–78. Available from: https://link.springer.com/10.1007/978-3-031-42205-8_18 doi:10.1007/978-3-031-42205-8_18</w:t>
      </w:r>
    </w:p>
    <w:p>
      <w:pPr>
        <w:pStyle w:val="style265"/>
        <w:rPr/>
      </w:pPr>
      <w:r>
        <w:t>83.</w:t>
      </w:r>
      <w:r>
        <w:tab/>
      </w:r>
      <w:r>
        <w:t>Myles PS, Andrews S, Nicholson J, Lobo DN, Mythen M. Contemporary Approaches to Perioperative IV Fluid Therapy. World J Surg. 2017 Oct;41(10):2457–63. doi:10.1007/s00268-017-4055-y</w:t>
      </w:r>
    </w:p>
    <w:p>
      <w:pPr>
        <w:pStyle w:val="style265"/>
        <w:rPr/>
      </w:pPr>
      <w:r>
        <w:t>84.</w:t>
      </w:r>
      <w:r>
        <w:tab/>
      </w:r>
      <w:r>
        <w:t>Lim AC, Potter KF, Worrall E, French WB, Golan MR, Rashid M, et al. The effect of intraoperative goal-directed hemodynamic therapy on volume status, venous congestion, and ventricular function in elective colorectal surgery: an observational pilot study using point-of-care ultrasound. Laparosc Surg. 2025 Jan;9:1–1. doi:10.21037/ls-24-12</w:t>
      </w:r>
    </w:p>
    <w:p>
      <w:pPr>
        <w:pStyle w:val="style265"/>
        <w:rPr/>
      </w:pPr>
      <w:r>
        <w:t>85.</w:t>
      </w:r>
      <w:r>
        <w:tab/>
      </w:r>
      <w:r>
        <w:t>Singh A, Antognini J. Perioperative hypotension and myocardial ischemia: Diagnostic and therapeutic approaches. Ann Card Anaesth. 2011;14(2):127. doi:10.4103/0971-9784.81569</w:t>
      </w:r>
    </w:p>
    <w:p>
      <w:pPr>
        <w:pStyle w:val="style265"/>
        <w:rPr/>
      </w:pPr>
      <w:r>
        <w:t>86.</w:t>
      </w:r>
      <w:r>
        <w:tab/>
      </w:r>
      <w:r>
        <w:t>Guarracino F, Bertini P. Perioperative hypotension: causes and remedies. J Anesth Analg Crit Care. 2022 Dec;2(1):17. doi:10.1186/s44158-022-00045-8</w:t>
      </w:r>
    </w:p>
    <w:p>
      <w:pPr>
        <w:pStyle w:val="style265"/>
        <w:rPr/>
      </w:pPr>
      <w:r>
        <w:t>87.</w:t>
      </w:r>
      <w:r>
        <w:tab/>
      </w:r>
      <w:r>
        <w:t>Michard F, Mulder MP, Gonzalez F, Sanfilippo F. AI for the hemodynamic assessment of critically ill and surgical patients: focus on clinical applications. Ann Intensive Care. 2025;15(1):26. doi:10.1186/s13613-025-01448-w</w:t>
      </w:r>
    </w:p>
    <w:p>
      <w:pPr>
        <w:pStyle w:val="style0"/>
        <w:rPr/>
      </w:pPr>
      <w:r>
        <w:rPr/>
        <w:fldChar w:fldCharType="end"/>
      </w:r>
    </w:p>
    <w:sectPr>
      <w:headerReference w:type="even" r:id="rId5"/>
      <w:headerReference w:type="default" r:id="rId6"/>
      <w:footerReference w:type="even" r:id="rId7"/>
      <w:footerReference w:type="default" r:id="rId8"/>
      <w:headerReference w:type="first" r:id="rId9"/>
      <w:pgSz w:w="12240" w:h="15840" w:orient="portrait"/>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E0002EFF" w:usb1="C000785B" w:usb2="00000009" w:usb3="00000000" w:csb0="000001FF" w:csb1="00000000"/>
  </w:font>
  <w:font w:name="Arial">
    <w:altName w:val="Arial"/>
    <w:panose1 w:val="020b0604020000020204"/>
    <w:charset w:val="00"/>
    <w:family w:val="swiss"/>
    <w:pitch w:val="variable"/>
    <w:sig w:usb0="E0002EFF" w:usb1="C000785B" w:usb2="00000009" w:usb3="00000000" w:csb0="000001FF" w:csb1="00000000"/>
  </w:font>
  <w:font w:name="Calibri">
    <w:altName w:val="Calibri"/>
    <w:panose1 w:val="020f0502020000030204"/>
    <w:charset w:val="00"/>
    <w:family w:val="swiss"/>
    <w:pitch w:val="variable"/>
    <w:sig w:usb0="E4002EFF" w:usb1="C000247B" w:usb2="00000009" w:usb3="00000000" w:csb0="000001FF" w:csb1="00000000"/>
  </w:font>
  <w:font w:name="Arial Unicode MS">
    <w:altName w:val="Arial"/>
    <w:panose1 w:val="020b0604020000020204"/>
    <w:charset w:val="00"/>
    <w:family w:val="roman"/>
    <w:pitch w:val="variable"/>
    <w:sig w:usb0="00000003" w:usb1="00000000" w:usb2="00000000" w:usb3="00000000" w:csb0="00000001" w:csb1="00000000"/>
  </w:font>
  <w:font w:name="Cambria Math">
    <w:altName w:val="Cambria Math"/>
    <w:panose1 w:val="02040503050000030204"/>
    <w:charset w:val="00"/>
    <w:family w:val="roman"/>
    <w:pitch w:val="variable"/>
    <w:sig w:usb0="E00006FF" w:usb1="420024FF" w:usb2="02000000" w:usb3="00000000" w:csb0="0000019F" w:csb1="00000000"/>
  </w:font>
  <w:font w:name="Cambria">
    <w:altName w:val="Cambria"/>
    <w:panose1 w:val="02040503050000030204"/>
    <w:charset w:val="00"/>
    <w:family w:val="roman"/>
    <w:pitch w:val="variable"/>
    <w:sig w:usb0="E00006FF" w:usb1="420024FF" w:usb2="02000000" w:usb3="00000000" w:csb0="0000019F" w:csb1="00000000"/>
  </w:font>
</w:fonts>
</file>

<file path=word/footer3.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rPr/>
    </w:pPr>
  </w:p>
</w:ftr>
</file>

<file path=word/footer4.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rPr/>
    </w:pP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rPr/>
    </w:pPr>
    <w:r>
      <w:rPr>
        <w:noProof/>
      </w:rPr>
      <w:pict>
        <v:shapetype id="_x0000_t136" coordsize="21600,21600" adj="10800" o:spt="136"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locs="@9,0;@10,10800;@11,21600;@12,10800" o:connecttype="custom" o:connectangles="270,180,90,0"/>
          <v:textpath on="t" fitshape="t"/>
          <v:handles>
            <v:h position="#0,bottomRight" xrange="6629,14971"/>
          </v:handles>
          <o:lock v:ext="edit" text="t" shapetype="t"/>
        </v:shapetype>
        <v:shape id="4098" type="#_x0000_t136" fillcolor="silver" stroked="f" style="position:absolute;margin-left:0.0pt;margin-top:0.0pt;width:592.85pt;height:66.9pt;z-index:-2147483644;mso-position-horizontal:center;mso-position-vertical:center;mso-position-horizontal-relative:margin;mso-position-vertical-relative:margin;mso-width-relative:page;mso-height-relative:page;mso-wrap-distance-left:0.0pt;mso-wrap-distance-right:0.0pt;visibility:visible;rotation:-2949120fd;" o:allowincell="false">
          <v:stroke on="f"/>
          <o:lock text="true" v:ext="view"/>
          <v:fill opacity="50%"/>
          <v:textpath string="UNDER PEER REVIEW" fitshape="t" on="t" style="font-size:1.0pt;font-family:&quot;Arial&quot;;"/>
        </v:shape>
      </w:pict>
    </w:r>
  </w:p>
</w:hdr>
</file>

<file path=word/header2.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rPr/>
    </w:pPr>
    <w:r>
      <w:rPr>
        <w:noProof/>
      </w:rPr>
      <w:pict>
        <v:shapetype id="_x0000_t136" coordsize="21600,21600" adj="10800" o:spt="136"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locs="@9,0;@10,10800;@11,21600;@12,10800" o:connecttype="custom" o:connectangles="270,180,90,0"/>
          <v:textpath on="t" fitshape="t"/>
          <v:handles>
            <v:h position="#0,bottomRight" xrange="6629,14971"/>
          </v:handles>
          <o:lock v:ext="edit" text="t" shapetype="t"/>
        </v:shapetype>
        <v:shape id="4099" type="#_x0000_t136" fillcolor="silver" stroked="f" style="position:absolute;margin-left:0.0pt;margin-top:0.0pt;width:592.85pt;height:66.9pt;z-index:-2147483643;mso-position-horizontal:center;mso-position-vertical:center;mso-position-horizontal-relative:margin;mso-position-vertical-relative:margin;mso-width-relative:page;mso-height-relative:page;mso-wrap-distance-left:0.0pt;mso-wrap-distance-right:0.0pt;visibility:visible;rotation:-2949120fd;" o:allowincell="false">
          <v:stroke on="f"/>
          <o:lock text="true" v:ext="view"/>
          <v:fill opacity="50%"/>
          <v:textpath string="UNDER PEER REVIEW" fitshape="t" on="t" style="font-size:1.0pt;font-family:&quot;Arial&quot;;"/>
        </v:shape>
      </w:pict>
    </w:r>
  </w:p>
</w:hdr>
</file>

<file path=word/header5.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rPr/>
    </w:pPr>
    <w:r>
      <w:rPr>
        <w:noProof/>
      </w:rPr>
      <w:pict>
        <v:shapetype id="_x0000_t136" coordsize="21600,21600" adj="10800" o:spt="136"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locs="@9,0;@10,10800;@11,21600;@12,10800" o:connecttype="custom" o:connectangles="270,180,90,0"/>
          <v:textpath on="t" fitshape="t"/>
          <v:handles>
            <v:h position="#0,bottomRight" xrange="6629,14971"/>
          </v:handles>
          <o:lock v:ext="edit" text="t" shapetype="t"/>
        </v:shapetype>
        <v:shape id="4100" type="#_x0000_t136" fillcolor="silver" stroked="f" style="position:absolute;margin-left:0.0pt;margin-top:0.0pt;width:592.85pt;height:66.9pt;z-index:-2147483645;mso-position-horizontal:center;mso-position-vertical:center;mso-position-horizontal-relative:margin;mso-position-vertical-relative:margin;mso-width-relative:page;mso-height-relative:page;mso-wrap-distance-left:0.0pt;mso-wrap-distance-right:0.0pt;visibility:visible;rotation:-2949120fd;" o:allowincell="false">
          <v:stroke on="f"/>
          <o:lock text="true" v:ext="view"/>
          <v:fill opacity="50%"/>
          <v:textpath string="UNDER PEER REVIEW" fitshape="t" on="t" style="font-size:1.0pt;font-family:&quot;Arial&qu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6FAA4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10"/>
  <w:embedTrueTypeFonts/>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Arial" w:cs="Arial" w:eastAsia="Arial" w:hAnsi="Arial"/>
        <w:sz w:val="22"/>
        <w:szCs w:val="22"/>
        <w:lang w:val="en-GB" w:bidi="ar-SA" w:eastAsia="en-US"/>
      </w:rPr>
    </w:rPrDefault>
    <w:pPrDefault>
      <w:pPr>
        <w:spacing w:lineRule="auto" w:line="276"/>
      </w:pPr>
    </w:pPrDefault>
  </w:docDefaults>
  <w:style w:type="paragraph" w:default="1" w:styleId="style0">
    <w:name w:val="Normal"/>
    <w:next w:val="style0"/>
    <w:qFormat/>
    <w:pPr/>
  </w:style>
  <w:style w:type="paragraph" w:styleId="style1">
    <w:name w:val="heading 1"/>
    <w:basedOn w:val="style0"/>
    <w:next w:val="style0"/>
    <w:qFormat/>
    <w:uiPriority w:val="9"/>
    <w:pPr>
      <w:keepNext/>
      <w:keepLines/>
      <w:spacing w:before="400" w:after="120"/>
      <w:outlineLvl w:val="0"/>
    </w:pPr>
    <w:rPr>
      <w:sz w:val="40"/>
      <w:szCs w:val="40"/>
    </w:rPr>
  </w:style>
  <w:style w:type="paragraph" w:styleId="style2">
    <w:name w:val="heading 2"/>
    <w:basedOn w:val="style0"/>
    <w:next w:val="style0"/>
    <w:qFormat/>
    <w:uiPriority w:val="9"/>
    <w:pPr>
      <w:keepNext/>
      <w:keepLines/>
      <w:spacing w:before="360" w:after="120"/>
      <w:outlineLvl w:val="1"/>
    </w:pPr>
    <w:rPr>
      <w:sz w:val="32"/>
      <w:szCs w:val="32"/>
    </w:rPr>
  </w:style>
  <w:style w:type="paragraph" w:styleId="style3">
    <w:name w:val="heading 3"/>
    <w:basedOn w:val="style0"/>
    <w:next w:val="style0"/>
    <w:qFormat/>
    <w:uiPriority w:val="9"/>
    <w:pPr>
      <w:keepNext/>
      <w:keepLines/>
      <w:spacing w:before="320" w:after="80"/>
      <w:outlineLvl w:val="2"/>
    </w:pPr>
    <w:rPr>
      <w:color w:val="434343"/>
      <w:sz w:val="28"/>
      <w:szCs w:val="28"/>
    </w:rPr>
  </w:style>
  <w:style w:type="paragraph" w:styleId="style4">
    <w:name w:val="heading 4"/>
    <w:basedOn w:val="style0"/>
    <w:next w:val="style0"/>
    <w:qFormat/>
    <w:uiPriority w:val="9"/>
    <w:pPr>
      <w:keepNext/>
      <w:keepLines/>
      <w:spacing w:before="280" w:after="80"/>
      <w:outlineLvl w:val="3"/>
    </w:pPr>
    <w:rPr>
      <w:color w:val="666666"/>
      <w:sz w:val="24"/>
      <w:szCs w:val="24"/>
    </w:rPr>
  </w:style>
  <w:style w:type="paragraph" w:styleId="style5">
    <w:name w:val="heading 5"/>
    <w:basedOn w:val="style0"/>
    <w:next w:val="style0"/>
    <w:qFormat/>
    <w:uiPriority w:val="9"/>
    <w:pPr>
      <w:keepNext/>
      <w:keepLines/>
      <w:spacing w:before="240" w:after="80"/>
      <w:outlineLvl w:val="4"/>
    </w:pPr>
    <w:rPr>
      <w:color w:val="666666"/>
    </w:rPr>
  </w:style>
  <w:style w:type="paragraph" w:styleId="style6">
    <w:name w:val="heading 6"/>
    <w:basedOn w:val="style0"/>
    <w:next w:val="style0"/>
    <w:qFormat/>
    <w:uiPriority w:val="9"/>
    <w:pPr>
      <w:keepNext/>
      <w:keepLines/>
      <w:spacing w:before="240" w:after="80"/>
      <w:outlineLvl w:val="5"/>
    </w:pPr>
    <w:rPr>
      <w:i/>
      <w:iCs/>
      <w:color w:val="666666"/>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table" w:customStyle="1" w:styleId="style4097">
    <w:name w:val="TableNormal"/>
    <w:next w:val="style4097"/>
    <w:pPr/>
    <w:rPr/>
    <w:tblPr>
      <w:tblCellMar>
        <w:top w:w="100" w:type="dxa"/>
        <w:left w:w="100" w:type="dxa"/>
        <w:bottom w:w="100" w:type="dxa"/>
        <w:right w:w="100" w:type="dxa"/>
      </w:tblCellMar>
    </w:tblPr>
    <w:tcPr>
      <w:tcBorders/>
    </w:tcPr>
  </w:style>
  <w:style w:type="paragraph" w:styleId="style62">
    <w:name w:val="Title"/>
    <w:basedOn w:val="style0"/>
    <w:next w:val="style0"/>
    <w:qFormat/>
    <w:uiPriority w:val="10"/>
    <w:pPr>
      <w:keepNext/>
      <w:keepLines/>
      <w:spacing w:after="60"/>
    </w:pPr>
    <w:rPr>
      <w:sz w:val="52"/>
      <w:szCs w:val="52"/>
    </w:rPr>
  </w:style>
  <w:style w:type="paragraph" w:styleId="style74">
    <w:name w:val="Subtitle"/>
    <w:basedOn w:val="style0"/>
    <w:next w:val="style0"/>
    <w:qFormat/>
    <w:uiPriority w:val="11"/>
    <w:pPr>
      <w:keepNext/>
      <w:keepLines/>
      <w:spacing w:after="320"/>
    </w:pPr>
    <w:rPr>
      <w:color w:val="666666"/>
      <w:sz w:val="30"/>
      <w:szCs w:val="30"/>
    </w:rPr>
  </w:style>
  <w:style w:type="table" w:customStyle="1" w:styleId="style4098">
    <w:basedOn w:val="style4097"/>
    <w:next w:val="style4098"/>
    <w:pPr/>
    <w:rPr/>
    <w:tblPr>
      <w:tblStyleRowBandSize w:val="1"/>
      <w:tblStyleColBandSize w:val="1"/>
    </w:tblPr>
    <w:tcPr>
      <w:tcBorders/>
    </w:tcPr>
  </w:style>
  <w:style w:type="table" w:customStyle="1" w:styleId="style4099">
    <w:basedOn w:val="style4097"/>
    <w:next w:val="style4099"/>
    <w:pPr/>
    <w:rPr/>
    <w:tblPr>
      <w:tblStyleRowBandSize w:val="1"/>
      <w:tblStyleColBandSize w:val="1"/>
    </w:tblPr>
    <w:tcPr>
      <w:tcBorders/>
    </w:tcPr>
  </w:style>
  <w:style w:type="table" w:customStyle="1" w:styleId="style4100">
    <w:basedOn w:val="style4097"/>
    <w:next w:val="style4100"/>
    <w:pPr/>
    <w:rPr/>
    <w:tblPr>
      <w:tblStyleRowBandSize w:val="1"/>
      <w:tblStyleColBandSize w:val="1"/>
    </w:tblPr>
    <w:tcPr>
      <w:tcBorders/>
    </w:tcPr>
  </w:style>
  <w:style w:type="paragraph" w:styleId="style265">
    <w:name w:val="Bibliography"/>
    <w:basedOn w:val="style0"/>
    <w:next w:val="style0"/>
    <w:uiPriority w:val="37"/>
    <w:pPr>
      <w:tabs>
        <w:tab w:val="left" w:leader="none" w:pos="384"/>
      </w:tabs>
      <w:spacing w:after="240" w:lineRule="auto" w:line="240"/>
      <w:ind w:left="384" w:hanging="384"/>
    </w:pPr>
    <w:rPr/>
  </w:style>
  <w:style w:type="paragraph" w:styleId="style31">
    <w:name w:val="header"/>
    <w:basedOn w:val="style0"/>
    <w:next w:val="style31"/>
    <w:link w:val="style4101"/>
    <w:uiPriority w:val="99"/>
    <w:pPr>
      <w:tabs>
        <w:tab w:val="center" w:leader="none" w:pos="4680"/>
        <w:tab w:val="right" w:leader="none" w:pos="9360"/>
      </w:tabs>
      <w:spacing w:lineRule="auto" w:line="240"/>
    </w:pPr>
    <w:rPr/>
  </w:style>
  <w:style w:type="character" w:customStyle="1" w:styleId="style4101">
    <w:name w:val="Header Char_4abb9b56-bc50-4583-8843-0d3bd1e94486"/>
    <w:basedOn w:val="style65"/>
    <w:next w:val="style4101"/>
    <w:link w:val="style31"/>
    <w:uiPriority w:val="99"/>
  </w:style>
  <w:style w:type="paragraph" w:styleId="style32">
    <w:name w:val="footer"/>
    <w:basedOn w:val="style0"/>
    <w:next w:val="style32"/>
    <w:link w:val="style4102"/>
    <w:uiPriority w:val="99"/>
    <w:pPr>
      <w:tabs>
        <w:tab w:val="center" w:leader="none" w:pos="4680"/>
        <w:tab w:val="right" w:leader="none" w:pos="9360"/>
      </w:tabs>
      <w:spacing w:lineRule="auto" w:line="240"/>
    </w:pPr>
    <w:rPr/>
  </w:style>
  <w:style w:type="character" w:customStyle="1" w:styleId="style4102">
    <w:name w:val="Footer Char_7ce57c54-b87f-4a68-964d-8cbf03ca2db6"/>
    <w:basedOn w:val="style65"/>
    <w:next w:val="style4102"/>
    <w:link w:val="style32"/>
    <w:uiPriority w:val="99"/>
  </w:style>
  <w:style w:type="paragraph" w:styleId="style157">
    <w:name w:val="No Spacing"/>
    <w:next w:val="style157"/>
    <w:qFormat/>
    <w:uiPriority w:val="1"/>
    <w:pPr>
      <w:spacing w:lineRule="auto" w:line="240"/>
    </w:pPr>
    <w:rPr>
      <w:rFonts w:ascii="Calibri" w:cs="宋体" w:eastAsia="Calibri" w:hAnsi="Calibri"/>
    </w:rPr>
  </w:style>
</w:styles>
</file>

<file path=word/_rels/document.xml.rels><?xml version="1.0" encoding="UTF-8"?>
<Relationships xmlns="http://schemas.openxmlformats.org/package/2006/relationships"><Relationship Id="rId11" Type="http://schemas.openxmlformats.org/officeDocument/2006/relationships/fontTable" Target="fontTable.xml"/><Relationship Id="rId10" Type="http://schemas.openxmlformats.org/officeDocument/2006/relationships/styles" Target="styles.xml"/><Relationship Id="rId13" Type="http://schemas.openxmlformats.org/officeDocument/2006/relationships/theme" Target="theme/theme1.xml"/><Relationship Id="rId12" Type="http://schemas.openxmlformats.org/officeDocument/2006/relationships/settings" Target="settings.xml"/><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9" Type="http://schemas.openxmlformats.org/officeDocument/2006/relationships/header" Target="header5.xml"/><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footer" Target="footer3.xml"/><Relationship Id="rId8"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Words>9202</Words>
  <Pages>29</Pages>
  <Characters>63089</Characters>
  <Application>WPS Office</Application>
  <DocSecurity>0</DocSecurity>
  <Paragraphs>452</Paragraphs>
  <ScaleCrop>false</ScaleCrop>
  <LinksUpToDate>false</LinksUpToDate>
  <CharactersWithSpaces>71949</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2026-03-05T17:28:07Z</dcterms:created>
  <dc:creator>WPS Office</dc:creator>
  <lastModifiedBy>Infinix X6816</lastModifiedBy>
  <dcterms:modified xsi:type="dcterms:W3CDTF">2026-03-05T19:53:35Z</dcterms:modified>
  <revision>27</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zotero-version="8.0.3"&gt;&lt;session id="H5LXHG5K"/&gt;&lt;style id="http://www.zotero.org/styles/nlm-citation-sequence" locale="en-US" hasBibliography="1" bibliographyStyleHasBeenSet="1"/&gt;&lt;prefs&gt;&lt;pref name="fieldType" value="Field"/&gt;&lt;pref nam</vt:lpwstr>
  </property>
  <property fmtid="{D5CDD505-2E9C-101B-9397-08002B2CF9AE}" pid="3" name="ZOTERO_PREF_2">
    <vt:lpwstr>e="automaticJournalAbbreviations" value="true"/&gt;&lt;/prefs&gt;&lt;/data&gt;</vt:lpwstr>
  </property>
  <property fmtid="{D5CDD505-2E9C-101B-9397-08002B2CF9AE}" pid="4" name="ICV">
    <vt:lpwstr>6caa4a8ce40e40aa981b8fc5444bcc56</vt:lpwstr>
  </property>
</Properties>
</file>