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8C12D" w14:textId="77777777" w:rsidR="008342B5" w:rsidRPr="008342B5" w:rsidRDefault="008342B5" w:rsidP="008342B5">
      <w:pPr>
        <w:spacing w:line="360" w:lineRule="auto"/>
        <w:jc w:val="center"/>
        <w:rPr>
          <w:rFonts w:ascii="Times New Roman" w:hAnsi="Times New Roman" w:cs="Times New Roman"/>
          <w:b/>
          <w:bCs/>
          <w:i/>
          <w:iCs/>
          <w:sz w:val="28"/>
          <w:szCs w:val="28"/>
          <w:u w:val="single"/>
          <w:lang w:val="en-US"/>
        </w:rPr>
      </w:pPr>
      <w:r w:rsidRPr="008342B5">
        <w:rPr>
          <w:rFonts w:ascii="Times New Roman" w:hAnsi="Times New Roman" w:cs="Times New Roman"/>
          <w:b/>
          <w:bCs/>
          <w:i/>
          <w:iCs/>
          <w:sz w:val="28"/>
          <w:szCs w:val="28"/>
          <w:u w:val="single"/>
          <w:lang w:val="en-US"/>
        </w:rPr>
        <w:t>Original Research Article</w:t>
      </w:r>
    </w:p>
    <w:p w14:paraId="7D2BF0BB" w14:textId="001B1E5E" w:rsidR="00670F6D" w:rsidRPr="00904F5A" w:rsidRDefault="00F656F0" w:rsidP="003D423B">
      <w:pPr>
        <w:spacing w:line="360" w:lineRule="auto"/>
        <w:jc w:val="center"/>
        <w:rPr>
          <w:rFonts w:ascii="Times New Roman" w:hAnsi="Times New Roman" w:cs="Times New Roman"/>
          <w:b/>
          <w:bCs/>
          <w:sz w:val="28"/>
          <w:szCs w:val="28"/>
        </w:rPr>
      </w:pPr>
      <w:r w:rsidRPr="00904F5A">
        <w:rPr>
          <w:rFonts w:ascii="Times New Roman" w:hAnsi="Times New Roman" w:cs="Times New Roman"/>
          <w:b/>
          <w:bCs/>
          <w:sz w:val="28"/>
          <w:szCs w:val="28"/>
        </w:rPr>
        <w:t>Cultivar-Level</w:t>
      </w:r>
      <w:r w:rsidR="00E43F12"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 xml:space="preserve">Micromorphological Delimitation of </w:t>
      </w:r>
      <w:r w:rsidRPr="00904F5A">
        <w:rPr>
          <w:rFonts w:ascii="Times New Roman" w:hAnsi="Times New Roman" w:cs="Times New Roman"/>
          <w:b/>
          <w:bCs/>
          <w:i/>
          <w:iCs/>
          <w:sz w:val="28"/>
          <w:szCs w:val="28"/>
        </w:rPr>
        <w:t>Piper nigrum</w:t>
      </w:r>
      <w:r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Using SEM-Based Palynological Analysis</w:t>
      </w:r>
    </w:p>
    <w:p w14:paraId="361BE8CD" w14:textId="77777777" w:rsidR="0046620F" w:rsidRDefault="0046620F" w:rsidP="00022F90">
      <w:pPr>
        <w:spacing w:line="360" w:lineRule="auto"/>
        <w:rPr>
          <w:rFonts w:ascii="Times New Roman" w:hAnsi="Times New Roman" w:cs="Times New Roman"/>
          <w:b/>
          <w:bCs/>
        </w:rPr>
      </w:pPr>
    </w:p>
    <w:p w14:paraId="1F628564" w14:textId="77777777" w:rsidR="0046620F" w:rsidRDefault="0046620F" w:rsidP="00022F90">
      <w:pPr>
        <w:spacing w:line="360" w:lineRule="auto"/>
        <w:rPr>
          <w:rFonts w:ascii="Times New Roman" w:hAnsi="Times New Roman" w:cs="Times New Roman"/>
          <w:b/>
          <w:bCs/>
        </w:rPr>
      </w:pPr>
    </w:p>
    <w:p w14:paraId="5AE5F3D4" w14:textId="67BED79D" w:rsidR="00022F90" w:rsidRPr="00022F90" w:rsidRDefault="00022F90" w:rsidP="00022F90">
      <w:pPr>
        <w:spacing w:line="360" w:lineRule="auto"/>
        <w:rPr>
          <w:rFonts w:ascii="Times New Roman" w:hAnsi="Times New Roman" w:cs="Times New Roman"/>
          <w:b/>
          <w:bCs/>
        </w:rPr>
      </w:pPr>
      <w:r w:rsidRPr="00022F90">
        <w:rPr>
          <w:rFonts w:ascii="Times New Roman" w:hAnsi="Times New Roman" w:cs="Times New Roman"/>
          <w:b/>
          <w:bCs/>
        </w:rPr>
        <w:t>Abstract</w:t>
      </w:r>
    </w:p>
    <w:p w14:paraId="42C7E555" w14:textId="0F52079F" w:rsidR="00022F90" w:rsidRPr="00022F90" w:rsidRDefault="00022F90" w:rsidP="00022F90">
      <w:pPr>
        <w:spacing w:line="360" w:lineRule="auto"/>
        <w:jc w:val="both"/>
        <w:rPr>
          <w:rFonts w:ascii="Times New Roman" w:hAnsi="Times New Roman" w:cs="Times New Roman"/>
        </w:rPr>
      </w:pPr>
      <w:r w:rsidRPr="00022F90">
        <w:rPr>
          <w:rFonts w:ascii="Times New Roman" w:hAnsi="Times New Roman" w:cs="Times New Roman"/>
        </w:rPr>
        <w:t>Black pepper (</w:t>
      </w:r>
      <w:r w:rsidRPr="00022F90">
        <w:rPr>
          <w:rFonts w:ascii="Times New Roman" w:hAnsi="Times New Roman" w:cs="Times New Roman"/>
          <w:i/>
          <w:iCs/>
        </w:rPr>
        <w:t>Piper nigrum</w:t>
      </w:r>
      <w:r w:rsidRPr="00022F90">
        <w:rPr>
          <w:rFonts w:ascii="Times New Roman" w:hAnsi="Times New Roman" w:cs="Times New Roman"/>
        </w:rPr>
        <w:t xml:space="preserve"> L.) is an economically important spice crop in tropical regions, yet cultivar-level palynological differentiation remains poorly explored. The present study investigates the qualitative and quantitative pollen morphometrics of six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cultivars </w:t>
      </w:r>
      <w:r w:rsidR="00195495">
        <w:rPr>
          <w:rFonts w:ascii="Times New Roman" w:hAnsi="Times New Roman" w:cs="Times New Roman"/>
        </w:rPr>
        <w:t>(</w:t>
      </w:r>
      <w:proofErr w:type="spellStart"/>
      <w:r w:rsidR="00195495">
        <w:rPr>
          <w:rFonts w:ascii="Times New Roman" w:hAnsi="Times New Roman" w:cs="Times New Roman"/>
        </w:rPr>
        <w:t>Panniyur</w:t>
      </w:r>
      <w:proofErr w:type="spellEnd"/>
      <w:r w:rsidR="00195495">
        <w:rPr>
          <w:rFonts w:ascii="Times New Roman" w:hAnsi="Times New Roman" w:cs="Times New Roman"/>
        </w:rPr>
        <w:t xml:space="preserve"> 1 to </w:t>
      </w:r>
      <w:proofErr w:type="spellStart"/>
      <w:r w:rsidR="00195495">
        <w:rPr>
          <w:rFonts w:ascii="Times New Roman" w:hAnsi="Times New Roman" w:cs="Times New Roman"/>
        </w:rPr>
        <w:t>Panniyur</w:t>
      </w:r>
      <w:proofErr w:type="spellEnd"/>
      <w:r w:rsidR="00195495">
        <w:rPr>
          <w:rFonts w:ascii="Times New Roman" w:hAnsi="Times New Roman" w:cs="Times New Roman"/>
        </w:rPr>
        <w:t xml:space="preserve"> 6) </w:t>
      </w:r>
      <w:r w:rsidRPr="00022F90">
        <w:rPr>
          <w:rFonts w:ascii="Times New Roman" w:hAnsi="Times New Roman" w:cs="Times New Roman"/>
        </w:rPr>
        <w:t>cultivated in the southern Western Ghats of Kerala, India, using scanning electron microscopy (SEM) integrated with multivariate statistical analyses. Pollen samples collected during the flowering season (May</w:t>
      </w:r>
      <w:r w:rsidR="006501A4">
        <w:rPr>
          <w:rFonts w:ascii="Times New Roman" w:hAnsi="Times New Roman" w:cs="Times New Roman"/>
        </w:rPr>
        <w:t xml:space="preserve"> - </w:t>
      </w:r>
      <w:r w:rsidRPr="00022F90">
        <w:rPr>
          <w:rFonts w:ascii="Times New Roman" w:hAnsi="Times New Roman" w:cs="Times New Roman"/>
        </w:rPr>
        <w:t xml:space="preserve">June) were processed through standard acetolysis and SEM preparation protocols. Qualitative observations revealed conserved spheroidal to </w:t>
      </w:r>
      <w:proofErr w:type="spellStart"/>
      <w:r w:rsidRPr="00022F90">
        <w:rPr>
          <w:rFonts w:ascii="Times New Roman" w:hAnsi="Times New Roman" w:cs="Times New Roman"/>
        </w:rPr>
        <w:t>subspheroidal</w:t>
      </w:r>
      <w:proofErr w:type="spellEnd"/>
      <w:r w:rsidRPr="00022F90">
        <w:rPr>
          <w:rFonts w:ascii="Times New Roman" w:hAnsi="Times New Roman" w:cs="Times New Roman"/>
        </w:rPr>
        <w:t xml:space="preserve">, inaperturate pollen grains with </w:t>
      </w:r>
      <w:proofErr w:type="spellStart"/>
      <w:r w:rsidRPr="00022F90">
        <w:rPr>
          <w:rFonts w:ascii="Times New Roman" w:hAnsi="Times New Roman" w:cs="Times New Roman"/>
        </w:rPr>
        <w:t>microreticulate</w:t>
      </w:r>
      <w:proofErr w:type="spellEnd"/>
      <w:r w:rsidRPr="00022F90">
        <w:rPr>
          <w:rFonts w:ascii="Times New Roman" w:hAnsi="Times New Roman" w:cs="Times New Roman"/>
        </w:rPr>
        <w:t xml:space="preserve"> exine ornamentation across all cultivars. However, quantitative measurements of polar axis, equatorial diameter, exine thickness, lumina diameter, muri thickness, and ornamentation density demonstrated significant inter-varietal variation (p &lt; 0.05), except for the P/E ratio. Descriptive statistics indicated greater variability in exine architectural traits compared to overall pollen size. Principal Component Analysis explained 97.2% of cumulative variance, with exine thickness and ornamentation density contributing most strongly to cultivar separation. Hierarchical cluster analysis (Ward’s method) grouped cultivars into two major clusters, while Discriminant Function Analysis achieved complete classification accuracy under the applied model. The congruence of univariate and multivariate results highlights the diagnostic potential of exine micro-architecture for cultivar-level discrimination. The study underscores the value of SEM-based quantitative palynology as a supplementary tool for varietal authentication and taxonomic refinement in </w:t>
      </w:r>
      <w:r w:rsidRPr="00022F90">
        <w:rPr>
          <w:rFonts w:ascii="Times New Roman" w:hAnsi="Times New Roman" w:cs="Times New Roman"/>
          <w:i/>
          <w:iCs/>
        </w:rPr>
        <w:t>Piper nigrum</w:t>
      </w:r>
      <w:r w:rsidRPr="00022F90">
        <w:rPr>
          <w:rFonts w:ascii="Times New Roman" w:hAnsi="Times New Roman" w:cs="Times New Roman"/>
        </w:rPr>
        <w:t>.</w:t>
      </w:r>
    </w:p>
    <w:p w14:paraId="09B5B524" w14:textId="7CE9C47E" w:rsidR="00022F90" w:rsidRDefault="00022F90" w:rsidP="00D93B64">
      <w:pPr>
        <w:spacing w:line="360" w:lineRule="auto"/>
        <w:jc w:val="both"/>
        <w:rPr>
          <w:rFonts w:ascii="Times New Roman" w:hAnsi="Times New Roman" w:cs="Times New Roman"/>
        </w:rPr>
      </w:pPr>
      <w:r w:rsidRPr="00022F90">
        <w:rPr>
          <w:rFonts w:ascii="Times New Roman" w:hAnsi="Times New Roman" w:cs="Times New Roman"/>
          <w:b/>
          <w:bCs/>
        </w:rPr>
        <w:t>Keywords:</w:t>
      </w:r>
      <w:r w:rsidRPr="00022F90">
        <w:rPr>
          <w:rFonts w:ascii="Times New Roman" w:hAnsi="Times New Roman" w:cs="Times New Roman"/>
        </w:rPr>
        <w:t xml:space="preserve"> </w:t>
      </w:r>
      <w:r w:rsidRPr="00022F90">
        <w:rPr>
          <w:rFonts w:ascii="Times New Roman" w:hAnsi="Times New Roman" w:cs="Times New Roman"/>
          <w:i/>
          <w:iCs/>
        </w:rPr>
        <w:t>Piper nigrum</w:t>
      </w:r>
      <w:r w:rsidR="00D93B64">
        <w:rPr>
          <w:rFonts w:ascii="Times New Roman" w:hAnsi="Times New Roman" w:cs="Times New Roman"/>
        </w:rPr>
        <w:t>,</w:t>
      </w:r>
      <w:r w:rsidRPr="00022F90">
        <w:rPr>
          <w:rFonts w:ascii="Times New Roman" w:hAnsi="Times New Roman" w:cs="Times New Roman"/>
        </w:rPr>
        <w:t xml:space="preserve">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cultivars</w:t>
      </w:r>
      <w:r w:rsidR="00D93B64">
        <w:rPr>
          <w:rFonts w:ascii="Times New Roman" w:hAnsi="Times New Roman" w:cs="Times New Roman"/>
        </w:rPr>
        <w:t>,</w:t>
      </w:r>
      <w:r w:rsidRPr="00022F90">
        <w:rPr>
          <w:rFonts w:ascii="Times New Roman" w:hAnsi="Times New Roman" w:cs="Times New Roman"/>
        </w:rPr>
        <w:t xml:space="preserve"> pollen</w:t>
      </w:r>
      <w:r w:rsidR="00F0735E">
        <w:rPr>
          <w:rFonts w:ascii="Times New Roman" w:hAnsi="Times New Roman" w:cs="Times New Roman"/>
        </w:rPr>
        <w:t xml:space="preserve"> grain,</w:t>
      </w:r>
      <w:r w:rsidRPr="00022F90">
        <w:rPr>
          <w:rFonts w:ascii="Times New Roman" w:hAnsi="Times New Roman" w:cs="Times New Roman"/>
        </w:rPr>
        <w:t xml:space="preserve"> </w:t>
      </w:r>
      <w:r w:rsidR="00F0735E" w:rsidRPr="00022F90">
        <w:rPr>
          <w:rFonts w:ascii="Times New Roman" w:hAnsi="Times New Roman" w:cs="Times New Roman"/>
        </w:rPr>
        <w:t>SEM</w:t>
      </w:r>
      <w:r w:rsidR="00F0735E">
        <w:rPr>
          <w:rFonts w:ascii="Times New Roman" w:hAnsi="Times New Roman" w:cs="Times New Roman"/>
        </w:rPr>
        <w:t>,</w:t>
      </w:r>
      <w:r w:rsidR="00F0735E">
        <w:rPr>
          <w:rFonts w:ascii="Times New Roman" w:hAnsi="Times New Roman" w:cs="Times New Roman"/>
        </w:rPr>
        <w:t xml:space="preserve"> Micromorphology</w:t>
      </w:r>
      <w:r w:rsidR="00764896">
        <w:rPr>
          <w:rFonts w:ascii="Times New Roman" w:hAnsi="Times New Roman" w:cs="Times New Roman"/>
        </w:rPr>
        <w:t>,</w:t>
      </w:r>
      <w:r w:rsidRPr="00022F90">
        <w:rPr>
          <w:rFonts w:ascii="Times New Roman" w:hAnsi="Times New Roman" w:cs="Times New Roman"/>
        </w:rPr>
        <w:t xml:space="preserve"> multivariate analysis</w:t>
      </w:r>
    </w:p>
    <w:p w14:paraId="30AAB7DD" w14:textId="205C70BB" w:rsidR="0046620F" w:rsidRDefault="0046620F" w:rsidP="00D93B64">
      <w:pPr>
        <w:spacing w:line="360" w:lineRule="auto"/>
        <w:jc w:val="both"/>
        <w:rPr>
          <w:rFonts w:ascii="Times New Roman" w:hAnsi="Times New Roman" w:cs="Times New Roman"/>
        </w:rPr>
      </w:pPr>
    </w:p>
    <w:p w14:paraId="155D6870" w14:textId="3B7C5480" w:rsidR="0046620F" w:rsidRDefault="0046620F" w:rsidP="00D93B64">
      <w:pPr>
        <w:spacing w:line="360" w:lineRule="auto"/>
        <w:jc w:val="both"/>
        <w:rPr>
          <w:rFonts w:ascii="Times New Roman" w:hAnsi="Times New Roman" w:cs="Times New Roman"/>
        </w:rPr>
      </w:pPr>
    </w:p>
    <w:p w14:paraId="2BC274BD" w14:textId="77777777" w:rsidR="0046620F" w:rsidRPr="00022F90" w:rsidRDefault="0046620F" w:rsidP="00D93B64">
      <w:pPr>
        <w:spacing w:line="360" w:lineRule="auto"/>
        <w:jc w:val="both"/>
        <w:rPr>
          <w:rFonts w:ascii="Times New Roman" w:hAnsi="Times New Roman" w:cs="Times New Roman"/>
        </w:rPr>
      </w:pPr>
    </w:p>
    <w:p w14:paraId="5A1F0934" w14:textId="4DC608C5" w:rsidR="00E85020" w:rsidRPr="000223A9"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1. </w:t>
      </w:r>
      <w:r w:rsidR="000223A9" w:rsidRPr="000223A9">
        <w:rPr>
          <w:rFonts w:ascii="Times New Roman" w:hAnsi="Times New Roman" w:cs="Times New Roman"/>
          <w:b/>
          <w:bCs/>
        </w:rPr>
        <w:t>Introduction</w:t>
      </w:r>
    </w:p>
    <w:p w14:paraId="7A08A6D6" w14:textId="346DF0D0"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Black pepper (</w:t>
      </w:r>
      <w:r w:rsidRPr="000223A9">
        <w:rPr>
          <w:rFonts w:ascii="Times New Roman" w:hAnsi="Times New Roman" w:cs="Times New Roman"/>
          <w:i/>
          <w:iCs/>
        </w:rPr>
        <w:t>Piper nigrum</w:t>
      </w:r>
      <w:r w:rsidRPr="000223A9">
        <w:rPr>
          <w:rFonts w:ascii="Times New Roman" w:hAnsi="Times New Roman" w:cs="Times New Roman"/>
        </w:rPr>
        <w:t xml:space="preserve"> L.) is one of the most economically important spice crops worldwide and occupies a central position in tropical plantation agriculture, particularly in the Western Ghats of India (Ravindran, 2000). As a member of </w:t>
      </w:r>
      <w:proofErr w:type="spellStart"/>
      <w:r w:rsidRPr="000223A9">
        <w:rPr>
          <w:rFonts w:ascii="Times New Roman" w:hAnsi="Times New Roman" w:cs="Times New Roman"/>
          <w:i/>
          <w:iCs/>
        </w:rPr>
        <w:t>Piperaceae</w:t>
      </w:r>
      <w:proofErr w:type="spellEnd"/>
      <w:r w:rsidRPr="000223A9">
        <w:rPr>
          <w:rFonts w:ascii="Times New Roman" w:hAnsi="Times New Roman" w:cs="Times New Roman"/>
        </w:rPr>
        <w:t>, the species exhibits distinctive palynological characteristics, including inaperturate, spheroidal pollen grains with reticulate exine ornamentation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1952;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1969; </w:t>
      </w:r>
      <w:r w:rsidR="00F75CD7">
        <w:rPr>
          <w:rFonts w:ascii="Times New Roman" w:hAnsi="Times New Roman" w:cs="Times New Roman"/>
        </w:rPr>
        <w:t>Oak et al.,</w:t>
      </w:r>
      <w:r w:rsidRPr="000223A9">
        <w:rPr>
          <w:rFonts w:ascii="Times New Roman" w:hAnsi="Times New Roman" w:cs="Times New Roman"/>
        </w:rPr>
        <w:t xml:space="preserve"> </w:t>
      </w:r>
      <w:r w:rsidR="00F75CD7">
        <w:rPr>
          <w:rFonts w:ascii="Times New Roman" w:hAnsi="Times New Roman" w:cs="Times New Roman"/>
        </w:rPr>
        <w:t>2022</w:t>
      </w:r>
      <w:r w:rsidRPr="000223A9">
        <w:rPr>
          <w:rFonts w:ascii="Times New Roman" w:hAnsi="Times New Roman" w:cs="Times New Roman"/>
        </w:rPr>
        <w:t>; Lei &amp; Liang, 1998; Mathew &amp; Mathew, 2001). Pollen morphology has long been recognized as a valuable taxonomic and phylogenetic tool in angiosperms (Nair, 1970; Punt et al., 2007), with exine architecture playing a critical structural and functional role in protection and reproductive success (</w:t>
      </w:r>
      <w:r w:rsidR="000F7E32" w:rsidRPr="00D042AC">
        <w:rPr>
          <w:rFonts w:ascii="Times New Roman" w:hAnsi="Times New Roman" w:cs="Times New Roman"/>
        </w:rPr>
        <w:t>Blackmore</w:t>
      </w:r>
      <w:r w:rsidR="000F7E32">
        <w:rPr>
          <w:rFonts w:ascii="Times New Roman" w:hAnsi="Times New Roman" w:cs="Times New Roman"/>
        </w:rPr>
        <w:t xml:space="preserve"> et al., 2007</w:t>
      </w:r>
      <w:r w:rsidRPr="000223A9">
        <w:rPr>
          <w:rFonts w:ascii="Times New Roman" w:hAnsi="Times New Roman" w:cs="Times New Roman"/>
        </w:rPr>
        <w:t>). Advances in scanning electron microscopy (SEM) and refined preparation techniques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1960; Halbritter, 1998; Halbritter et al., 2018; </w:t>
      </w:r>
      <w:proofErr w:type="spellStart"/>
      <w:r w:rsidRPr="000223A9">
        <w:rPr>
          <w:rFonts w:ascii="Times New Roman" w:hAnsi="Times New Roman" w:cs="Times New Roman"/>
        </w:rPr>
        <w:t>Shivanna</w:t>
      </w:r>
      <w:proofErr w:type="spellEnd"/>
      <w:r w:rsidRPr="000223A9">
        <w:rPr>
          <w:rFonts w:ascii="Times New Roman" w:hAnsi="Times New Roman" w:cs="Times New Roman"/>
        </w:rPr>
        <w:t xml:space="preserve"> &amp; Rangaswamy, 1992) have enabled high-resolution characterization of pollen ultrastructure, facilitating systematic interpretation in magnoliids and </w:t>
      </w:r>
      <w:proofErr w:type="spellStart"/>
      <w:r w:rsidRPr="000223A9">
        <w:rPr>
          <w:rFonts w:ascii="Times New Roman" w:hAnsi="Times New Roman" w:cs="Times New Roman"/>
        </w:rPr>
        <w:t>Piperales</w:t>
      </w:r>
      <w:proofErr w:type="spellEnd"/>
      <w:r w:rsidRPr="000223A9">
        <w:rPr>
          <w:rFonts w:ascii="Times New Roman" w:hAnsi="Times New Roman" w:cs="Times New Roman"/>
        </w:rPr>
        <w:t xml:space="preserve"> (Sampson, 2010; </w:t>
      </w:r>
      <w:proofErr w:type="spellStart"/>
      <w:r w:rsidRPr="000223A9">
        <w:rPr>
          <w:rFonts w:ascii="Times New Roman" w:hAnsi="Times New Roman" w:cs="Times New Roman"/>
        </w:rPr>
        <w:t>Suwanphakdee</w:t>
      </w:r>
      <w:proofErr w:type="spellEnd"/>
      <w:r w:rsidRPr="000223A9">
        <w:rPr>
          <w:rFonts w:ascii="Times New Roman" w:hAnsi="Times New Roman" w:cs="Times New Roman"/>
        </w:rPr>
        <w:t xml:space="preserve"> et al., 2008</w:t>
      </w:r>
      <w:r w:rsidR="00F0735E">
        <w:rPr>
          <w:rFonts w:ascii="Times New Roman" w:hAnsi="Times New Roman" w:cs="Times New Roman"/>
        </w:rPr>
        <w:t xml:space="preserve">; </w:t>
      </w:r>
      <w:r w:rsidR="00F0735E" w:rsidRPr="00F0735E">
        <w:rPr>
          <w:rFonts w:ascii="Times New Roman" w:hAnsi="Times New Roman" w:cs="Times New Roman"/>
        </w:rPr>
        <w:t>Folorunso et al., 2018</w:t>
      </w:r>
      <w:r w:rsidRPr="000223A9">
        <w:rPr>
          <w:rFonts w:ascii="Times New Roman" w:hAnsi="Times New Roman" w:cs="Times New Roman"/>
        </w:rPr>
        <w:t xml:space="preserve">). In </w:t>
      </w:r>
      <w:r w:rsidRPr="000223A9">
        <w:rPr>
          <w:rFonts w:ascii="Times New Roman" w:hAnsi="Times New Roman" w:cs="Times New Roman"/>
          <w:i/>
          <w:iCs/>
        </w:rPr>
        <w:t>P</w:t>
      </w:r>
      <w:r w:rsidR="001D57E2">
        <w:rPr>
          <w:rFonts w:ascii="Times New Roman" w:hAnsi="Times New Roman" w:cs="Times New Roman"/>
          <w:i/>
          <w:iCs/>
        </w:rPr>
        <w:t>iper</w:t>
      </w:r>
      <w:r w:rsidRPr="000223A9">
        <w:rPr>
          <w:rFonts w:ascii="Times New Roman" w:hAnsi="Times New Roman" w:cs="Times New Roman"/>
          <w:i/>
          <w:iCs/>
        </w:rPr>
        <w:t xml:space="preserve"> nigrum</w:t>
      </w:r>
      <w:r w:rsidRPr="000223A9">
        <w:rPr>
          <w:rFonts w:ascii="Times New Roman" w:hAnsi="Times New Roman" w:cs="Times New Roman"/>
        </w:rPr>
        <w:t>, previous investigations have primarily focused on general pollen morphology and viability (Divya et al., 2015; Pooja et al., 2021), confirming structural conservatism at the species level.</w:t>
      </w:r>
    </w:p>
    <w:p w14:paraId="38F547D1" w14:textId="3EE96ACE"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 xml:space="preserve">Despite these contributions, a significant gap persists in the detailed quantitative and multivariate assessment of pollen morphometrics at the cultivar level, particularly among elite breeding lines such as the </w:t>
      </w:r>
      <w:proofErr w:type="spellStart"/>
      <w:r w:rsidRPr="000223A9">
        <w:rPr>
          <w:rFonts w:ascii="Times New Roman" w:hAnsi="Times New Roman" w:cs="Times New Roman"/>
        </w:rPr>
        <w:t>Panniyur</w:t>
      </w:r>
      <w:proofErr w:type="spellEnd"/>
      <w:r w:rsidRPr="000223A9">
        <w:rPr>
          <w:rFonts w:ascii="Times New Roman" w:hAnsi="Times New Roman" w:cs="Times New Roman"/>
        </w:rPr>
        <w:t xml:space="preserve"> series. Earlier numerical taxonomy studies in </w:t>
      </w:r>
      <w:r w:rsidRPr="000223A9">
        <w:rPr>
          <w:rFonts w:ascii="Times New Roman" w:hAnsi="Times New Roman" w:cs="Times New Roman"/>
          <w:i/>
          <w:iCs/>
        </w:rPr>
        <w:t>Piper</w:t>
      </w:r>
      <w:r w:rsidRPr="000223A9">
        <w:rPr>
          <w:rFonts w:ascii="Times New Roman" w:hAnsi="Times New Roman" w:cs="Times New Roman"/>
        </w:rPr>
        <w:t xml:space="preserve"> (Ravindran et al., 1992; Ravindran &amp; Nirmal</w:t>
      </w:r>
      <w:r w:rsidR="00400FC9">
        <w:rPr>
          <w:rFonts w:ascii="Times New Roman" w:hAnsi="Times New Roman" w:cs="Times New Roman"/>
        </w:rPr>
        <w:t xml:space="preserve"> </w:t>
      </w:r>
      <w:r w:rsidRPr="000223A9">
        <w:rPr>
          <w:rFonts w:ascii="Times New Roman" w:hAnsi="Times New Roman" w:cs="Times New Roman"/>
        </w:rPr>
        <w:t xml:space="preserve">Babu, 1996) demonstrated the utility of statistical approaches for species-level delimitation, yet comparable palynological discrimination among cultivated varieties remains poorly explored. Traditional identification of pepper cultivars has relied largely on vegetative and spike characters, while micromorphological tools have been successfully applied in related taxa and allied species for precise delimitation (Alexander &amp; George, 2025; Alexander, 2025; Alexander, 2026; Song et al., 2020). Therefore, a comprehensive SEM-based quantitative evaluation integrating descriptive statistics and multivariate analyses is required to determine whether subtle exine architectural traits can provide reliable diagnostic resolution among closely related cultivars of </w:t>
      </w:r>
      <w:r w:rsidRPr="000223A9">
        <w:rPr>
          <w:rFonts w:ascii="Times New Roman" w:hAnsi="Times New Roman" w:cs="Times New Roman"/>
          <w:i/>
          <w:iCs/>
        </w:rPr>
        <w:t>Piper nigrum</w:t>
      </w:r>
      <w:r w:rsidRPr="000223A9">
        <w:rPr>
          <w:rFonts w:ascii="Times New Roman" w:hAnsi="Times New Roman" w:cs="Times New Roman"/>
        </w:rPr>
        <w:t>.</w:t>
      </w:r>
    </w:p>
    <w:p w14:paraId="6D4E776F" w14:textId="2CBFDBE3" w:rsidR="00D31AFC" w:rsidRPr="00D31AFC"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2. </w:t>
      </w:r>
      <w:r w:rsidR="00D31AFC" w:rsidRPr="00D31AFC">
        <w:rPr>
          <w:rFonts w:ascii="Times New Roman" w:hAnsi="Times New Roman" w:cs="Times New Roman"/>
          <w:b/>
          <w:bCs/>
        </w:rPr>
        <w:t>Methodology</w:t>
      </w:r>
    </w:p>
    <w:p w14:paraId="4B77C3E6" w14:textId="588EEDA9"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t xml:space="preserve">Fresh pollen samples of six </w:t>
      </w:r>
      <w:proofErr w:type="spellStart"/>
      <w:r w:rsidRPr="00D31AFC">
        <w:rPr>
          <w:rFonts w:ascii="Times New Roman" w:hAnsi="Times New Roman" w:cs="Times New Roman"/>
        </w:rPr>
        <w:t>Panniyur</w:t>
      </w:r>
      <w:proofErr w:type="spellEnd"/>
      <w:r w:rsidRPr="00D31AFC">
        <w:rPr>
          <w:rFonts w:ascii="Times New Roman" w:hAnsi="Times New Roman" w:cs="Times New Roman"/>
        </w:rPr>
        <w:t xml:space="preserve"> cultivars of </w:t>
      </w:r>
      <w:r w:rsidRPr="00D31AFC">
        <w:rPr>
          <w:rFonts w:ascii="Times New Roman" w:hAnsi="Times New Roman" w:cs="Times New Roman"/>
          <w:i/>
          <w:iCs/>
        </w:rPr>
        <w:t>Piper nigrum</w:t>
      </w:r>
      <w:r w:rsidRPr="00D31AFC">
        <w:rPr>
          <w:rFonts w:ascii="Times New Roman" w:hAnsi="Times New Roman" w:cs="Times New Roman"/>
        </w:rPr>
        <w:t xml:space="preserve"> L. were collected during the peak flowering season (May</w:t>
      </w:r>
      <w:r w:rsidR="00A84D67">
        <w:rPr>
          <w:rFonts w:ascii="Times New Roman" w:hAnsi="Times New Roman" w:cs="Times New Roman"/>
        </w:rPr>
        <w:t xml:space="preserve"> - </w:t>
      </w:r>
      <w:r w:rsidRPr="00D31AFC">
        <w:rPr>
          <w:rFonts w:ascii="Times New Roman" w:hAnsi="Times New Roman" w:cs="Times New Roman"/>
        </w:rPr>
        <w:t xml:space="preserve">June) from </w:t>
      </w:r>
      <w:r w:rsidR="009A1435" w:rsidRPr="009A1435">
        <w:rPr>
          <w:rFonts w:ascii="Times New Roman" w:hAnsi="Times New Roman" w:cs="Times New Roman"/>
        </w:rPr>
        <w:t xml:space="preserve">identified </w:t>
      </w:r>
      <w:r w:rsidR="0091491C">
        <w:rPr>
          <w:rFonts w:ascii="Times New Roman" w:hAnsi="Times New Roman" w:cs="Times New Roman"/>
        </w:rPr>
        <w:t>cultivated</w:t>
      </w:r>
      <w:r w:rsidR="00BD5AB9">
        <w:rPr>
          <w:rFonts w:ascii="Times New Roman" w:hAnsi="Times New Roman" w:cs="Times New Roman"/>
        </w:rPr>
        <w:t xml:space="preserve"> </w:t>
      </w:r>
      <w:r w:rsidR="009A1435" w:rsidRPr="009A1435">
        <w:rPr>
          <w:rFonts w:ascii="Times New Roman" w:hAnsi="Times New Roman" w:cs="Times New Roman"/>
        </w:rPr>
        <w:t xml:space="preserve">locations of southern Western </w:t>
      </w:r>
      <w:r w:rsidR="009A1435" w:rsidRPr="009A1435">
        <w:rPr>
          <w:rFonts w:ascii="Times New Roman" w:hAnsi="Times New Roman" w:cs="Times New Roman"/>
        </w:rPr>
        <w:lastRenderedPageBreak/>
        <w:t>Ghats.</w:t>
      </w:r>
      <w:r w:rsidR="009A1435">
        <w:rPr>
          <w:rFonts w:ascii="Times New Roman" w:hAnsi="Times New Roman" w:cs="Times New Roman"/>
        </w:rPr>
        <w:t xml:space="preserve"> </w:t>
      </w:r>
      <w:r w:rsidRPr="00D31AFC">
        <w:rPr>
          <w:rFonts w:ascii="Times New Roman" w:hAnsi="Times New Roman" w:cs="Times New Roman"/>
        </w:rPr>
        <w:t xml:space="preserve">Mature spikes at anthesis were selected, and pollen grains were carefully tapped from freshly dehisced anthers to avoid contamination. Samples were processed following standard acetolysis procedures with slight modifications, and prepared for scanning electron microscopy (SEM) according to established protocols (Halbritter, 1998; Halbritter et al., 2018). </w:t>
      </w:r>
      <w:r w:rsidR="00195495" w:rsidRPr="00195495">
        <w:rPr>
          <w:rFonts w:ascii="Times New Roman" w:hAnsi="Times New Roman" w:cs="Times New Roman"/>
        </w:rPr>
        <w:t xml:space="preserve">For each </w:t>
      </w:r>
      <w:proofErr w:type="spellStart"/>
      <w:r w:rsidR="00195495" w:rsidRPr="00195495">
        <w:rPr>
          <w:rFonts w:ascii="Times New Roman" w:hAnsi="Times New Roman" w:cs="Times New Roman"/>
        </w:rPr>
        <w:t>Panniyur</w:t>
      </w:r>
      <w:proofErr w:type="spellEnd"/>
      <w:r w:rsidR="00195495" w:rsidRPr="00195495">
        <w:rPr>
          <w:rFonts w:ascii="Times New Roman" w:hAnsi="Times New Roman" w:cs="Times New Roman"/>
        </w:rPr>
        <w:t xml:space="preserve"> cultivar of </w:t>
      </w:r>
      <w:r w:rsidR="00195495" w:rsidRPr="00195495">
        <w:rPr>
          <w:rFonts w:ascii="Times New Roman" w:hAnsi="Times New Roman" w:cs="Times New Roman"/>
          <w:i/>
          <w:iCs/>
        </w:rPr>
        <w:t>Piper nigrum</w:t>
      </w:r>
      <w:r w:rsidR="00195495" w:rsidRPr="00195495">
        <w:rPr>
          <w:rFonts w:ascii="Times New Roman" w:hAnsi="Times New Roman" w:cs="Times New Roman"/>
        </w:rPr>
        <w:t xml:space="preserve">, measurements were taken from 30 well-preserved pollen grains (n = 30) observed under SEM to ensure reliable representation of morphometric variation. The values presented in the tables therefore represent the mean ± standard deviation calculated from these 30 pollen grains per cultivar. </w:t>
      </w:r>
      <w:r w:rsidRPr="00D31AFC">
        <w:rPr>
          <w:rFonts w:ascii="Times New Roman" w:hAnsi="Times New Roman" w:cs="Times New Roman"/>
        </w:rPr>
        <w:t>The dehydrated pollen grains were mounted on aluminium stubs using double-sided carbon tape, sputter-coated with gold, and examined under SEM at appropriate accelerating voltage. High-resolution micrographs were captured in equatorial and polar views for qualitative and quantitative assessment.</w:t>
      </w:r>
      <w:r w:rsidR="00203BFA">
        <w:rPr>
          <w:rFonts w:ascii="Times New Roman" w:hAnsi="Times New Roman" w:cs="Times New Roman"/>
        </w:rPr>
        <w:t xml:space="preserve"> </w:t>
      </w:r>
      <w:r w:rsidR="00FE12C7" w:rsidRPr="00FE12C7">
        <w:rPr>
          <w:rFonts w:ascii="Times New Roman" w:hAnsi="Times New Roman" w:cs="Times New Roman"/>
        </w:rPr>
        <w:t>The measurements were taken at the magnification of 1000 X</w:t>
      </w:r>
      <w:r w:rsidR="004D5FB7">
        <w:rPr>
          <w:rFonts w:ascii="Times New Roman" w:hAnsi="Times New Roman" w:cs="Times New Roman"/>
        </w:rPr>
        <w:t xml:space="preserve"> (1</w:t>
      </w:r>
      <w:r w:rsidR="00164417">
        <w:rPr>
          <w:rFonts w:ascii="Times New Roman" w:hAnsi="Times New Roman" w:cs="Times New Roman"/>
        </w:rPr>
        <w:t>µm)</w:t>
      </w:r>
      <w:r w:rsidR="00FE12C7">
        <w:rPr>
          <w:rFonts w:ascii="Times New Roman" w:hAnsi="Times New Roman" w:cs="Times New Roman"/>
        </w:rPr>
        <w:t xml:space="preserve">. </w:t>
      </w:r>
      <w:r w:rsidR="00203BFA" w:rsidRPr="00203BFA">
        <w:rPr>
          <w:rFonts w:ascii="Times New Roman" w:hAnsi="Times New Roman" w:cs="Times New Roman"/>
        </w:rPr>
        <w:t>The technical description of the pollen grains was carried out in accordance with the terminology used by Punt et al.,</w:t>
      </w:r>
      <w:r w:rsidR="00203BFA">
        <w:rPr>
          <w:rFonts w:ascii="Times New Roman" w:hAnsi="Times New Roman" w:cs="Times New Roman"/>
        </w:rPr>
        <w:t xml:space="preserve"> </w:t>
      </w:r>
      <w:r w:rsidR="00203BFA" w:rsidRPr="00203BFA">
        <w:rPr>
          <w:rFonts w:ascii="Times New Roman" w:hAnsi="Times New Roman" w:cs="Times New Roman"/>
        </w:rPr>
        <w:t>(2007).</w:t>
      </w:r>
    </w:p>
    <w:p w14:paraId="4CA32219" w14:textId="354759AC"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t>For morphometric analysis, a minimum of representative pollen grains per cultivar were measured using calibrated image analysis software. Quantitative parameters recorded included polar axis (P), equatorial diameter (E), P/E ratio, exine thickness, lumina diameter, muri thickness, and ornamentation density (count per µm²), following standardized palynological terminology (Punt et al., 2007). Descriptive statistics (mean ± SD, range, coefficient of variation) were computed, and normality was tested using the Shapiro</w:t>
      </w:r>
      <w:r w:rsidR="00A84D67">
        <w:rPr>
          <w:rFonts w:ascii="Times New Roman" w:hAnsi="Times New Roman" w:cs="Times New Roman"/>
        </w:rPr>
        <w:t>-</w:t>
      </w:r>
      <w:r w:rsidRPr="00D31AFC">
        <w:rPr>
          <w:rFonts w:ascii="Times New Roman" w:hAnsi="Times New Roman" w:cs="Times New Roman"/>
        </w:rPr>
        <w:t>Wilk test. Inter-varietal differences were evaluated through one-way ANOVA, followed by multivariate analyses including Principal Component Analysis (PCA), hierarchical cluster analysis (Ward’s method), and Discriminant Function Analysis (DFA) to assess classification accuracy and morphometric discrimination among cultivars. Statistical analyses were performed using standard statistical software package</w:t>
      </w:r>
      <w:r w:rsidR="001E5738">
        <w:rPr>
          <w:rFonts w:ascii="Times New Roman" w:hAnsi="Times New Roman" w:cs="Times New Roman"/>
        </w:rPr>
        <w:t xml:space="preserve"> PAST 4.3</w:t>
      </w:r>
      <w:r w:rsidRPr="00D31AFC">
        <w:rPr>
          <w:rFonts w:ascii="Times New Roman" w:hAnsi="Times New Roman" w:cs="Times New Roman"/>
        </w:rPr>
        <w:t>.</w:t>
      </w:r>
    </w:p>
    <w:p w14:paraId="0696FE1A" w14:textId="3E901932" w:rsidR="00E45748" w:rsidRPr="006448A3"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 </w:t>
      </w:r>
      <w:r w:rsidR="000B49BE" w:rsidRPr="006448A3">
        <w:rPr>
          <w:rFonts w:ascii="Times New Roman" w:hAnsi="Times New Roman" w:cs="Times New Roman"/>
          <w:b/>
          <w:bCs/>
        </w:rPr>
        <w:t>Results</w:t>
      </w:r>
    </w:p>
    <w:p w14:paraId="49FB9C51" w14:textId="46A96144" w:rsidR="000B49BE" w:rsidRPr="005B263D"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3.1. </w:t>
      </w:r>
      <w:r w:rsidR="002F3A79">
        <w:rPr>
          <w:rFonts w:ascii="Times New Roman" w:hAnsi="Times New Roman" w:cs="Times New Roman"/>
          <w:b/>
          <w:bCs/>
        </w:rPr>
        <w:t xml:space="preserve">Qualitative and </w:t>
      </w:r>
      <w:r w:rsidR="009D5D9E" w:rsidRPr="005B263D">
        <w:rPr>
          <w:rFonts w:ascii="Times New Roman" w:hAnsi="Times New Roman" w:cs="Times New Roman"/>
          <w:b/>
          <w:bCs/>
        </w:rPr>
        <w:t xml:space="preserve">Quantitative Morphometrics of </w:t>
      </w:r>
      <w:proofErr w:type="spellStart"/>
      <w:r w:rsidR="009D5D9E" w:rsidRPr="005B263D">
        <w:rPr>
          <w:rFonts w:ascii="Times New Roman" w:hAnsi="Times New Roman" w:cs="Times New Roman"/>
          <w:b/>
          <w:bCs/>
        </w:rPr>
        <w:t>Panniyur</w:t>
      </w:r>
      <w:proofErr w:type="spellEnd"/>
      <w:r w:rsidR="009D5D9E" w:rsidRPr="005B263D">
        <w:rPr>
          <w:rFonts w:ascii="Times New Roman" w:hAnsi="Times New Roman" w:cs="Times New Roman"/>
          <w:b/>
          <w:bCs/>
        </w:rPr>
        <w:t xml:space="preserve"> Cultivars</w:t>
      </w:r>
    </w:p>
    <w:p w14:paraId="566D8329" w14:textId="2DD63E45" w:rsidR="002F3A79" w:rsidRDefault="002F3A79" w:rsidP="004244AC">
      <w:pPr>
        <w:spacing w:line="360" w:lineRule="auto"/>
        <w:jc w:val="both"/>
        <w:rPr>
          <w:rFonts w:ascii="Times New Roman" w:hAnsi="Times New Roman" w:cs="Times New Roman"/>
        </w:rPr>
      </w:pPr>
      <w:r w:rsidRPr="002F3A79">
        <w:rPr>
          <w:rFonts w:ascii="Times New Roman" w:hAnsi="Times New Roman" w:cs="Times New Roman"/>
        </w:rPr>
        <w:t xml:space="preserve">SEM observations of the six </w:t>
      </w:r>
      <w:proofErr w:type="spellStart"/>
      <w:r w:rsidRPr="002F3A79">
        <w:rPr>
          <w:rFonts w:ascii="Times New Roman" w:hAnsi="Times New Roman" w:cs="Times New Roman"/>
        </w:rPr>
        <w:t>Panniyur</w:t>
      </w:r>
      <w:proofErr w:type="spellEnd"/>
      <w:r w:rsidRPr="002F3A79">
        <w:rPr>
          <w:rFonts w:ascii="Times New Roman" w:hAnsi="Times New Roman" w:cs="Times New Roman"/>
        </w:rPr>
        <w:t xml:space="preserve"> cultivars of </w:t>
      </w:r>
      <w:r w:rsidRPr="00270AB0">
        <w:rPr>
          <w:rFonts w:ascii="Times New Roman" w:hAnsi="Times New Roman" w:cs="Times New Roman"/>
          <w:i/>
          <w:iCs/>
        </w:rPr>
        <w:t>Piper nigrum</w:t>
      </w:r>
      <w:r w:rsidRPr="002F3A79">
        <w:rPr>
          <w:rFonts w:ascii="Times New Roman" w:hAnsi="Times New Roman" w:cs="Times New Roman"/>
        </w:rPr>
        <w:t xml:space="preserve"> revealed largely conserved qualitative pollen characters across varieties. The pollen grains were predominantly </w:t>
      </w:r>
      <w:r w:rsidRPr="00820647">
        <w:rPr>
          <w:rFonts w:ascii="Times New Roman" w:hAnsi="Times New Roman" w:cs="Times New Roman"/>
        </w:rPr>
        <w:t xml:space="preserve">spheroidal to </w:t>
      </w:r>
      <w:proofErr w:type="spellStart"/>
      <w:r w:rsidRPr="00820647">
        <w:rPr>
          <w:rFonts w:ascii="Times New Roman" w:hAnsi="Times New Roman" w:cs="Times New Roman"/>
        </w:rPr>
        <w:t>subspheroidal</w:t>
      </w:r>
      <w:proofErr w:type="spellEnd"/>
      <w:r w:rsidRPr="002F3A79">
        <w:rPr>
          <w:rFonts w:ascii="Times New Roman" w:hAnsi="Times New Roman" w:cs="Times New Roman"/>
        </w:rPr>
        <w:t xml:space="preserve">, consistent with a near-unity P/E ratio, indicating minimal deviation toward oblate or prolate forms. All examined grains appeared </w:t>
      </w:r>
      <w:r w:rsidRPr="00EB5FD6">
        <w:rPr>
          <w:rFonts w:ascii="Times New Roman" w:hAnsi="Times New Roman" w:cs="Times New Roman"/>
        </w:rPr>
        <w:t>inaperturate</w:t>
      </w:r>
      <w:r w:rsidRPr="002F3A79">
        <w:rPr>
          <w:rFonts w:ascii="Times New Roman" w:hAnsi="Times New Roman" w:cs="Times New Roman"/>
        </w:rPr>
        <w:t xml:space="preserve">, lacking distinct </w:t>
      </w:r>
      <w:proofErr w:type="spellStart"/>
      <w:r w:rsidRPr="002F3A79">
        <w:rPr>
          <w:rFonts w:ascii="Times New Roman" w:hAnsi="Times New Roman" w:cs="Times New Roman"/>
        </w:rPr>
        <w:t>colpi</w:t>
      </w:r>
      <w:proofErr w:type="spellEnd"/>
      <w:r w:rsidRPr="002F3A79">
        <w:rPr>
          <w:rFonts w:ascii="Times New Roman" w:hAnsi="Times New Roman" w:cs="Times New Roman"/>
        </w:rPr>
        <w:t xml:space="preserve"> or pores, which is characteristic of the genus </w:t>
      </w:r>
      <w:r w:rsidRPr="002F3A79">
        <w:rPr>
          <w:rFonts w:ascii="Times New Roman" w:hAnsi="Times New Roman" w:cs="Times New Roman"/>
          <w:i/>
          <w:iCs/>
        </w:rPr>
        <w:t>Piper</w:t>
      </w:r>
      <w:r w:rsidRPr="002F3A79">
        <w:rPr>
          <w:rFonts w:ascii="Times New Roman" w:hAnsi="Times New Roman" w:cs="Times New Roman"/>
        </w:rPr>
        <w:t xml:space="preserve">. The exine exhibited a </w:t>
      </w:r>
      <w:proofErr w:type="spellStart"/>
      <w:r w:rsidRPr="004F7341">
        <w:rPr>
          <w:rFonts w:ascii="Times New Roman" w:hAnsi="Times New Roman" w:cs="Times New Roman"/>
        </w:rPr>
        <w:t>microreticulate</w:t>
      </w:r>
      <w:proofErr w:type="spellEnd"/>
      <w:r w:rsidRPr="004F7341">
        <w:rPr>
          <w:rFonts w:ascii="Times New Roman" w:hAnsi="Times New Roman" w:cs="Times New Roman"/>
        </w:rPr>
        <w:t xml:space="preserve"> to finely reticulate ornamentation</w:t>
      </w:r>
      <w:r w:rsidRPr="002F3A79">
        <w:rPr>
          <w:rFonts w:ascii="Times New Roman" w:hAnsi="Times New Roman" w:cs="Times New Roman"/>
        </w:rPr>
        <w:t xml:space="preserve">, with well-defined lumina bounded by comparatively thin muri. </w:t>
      </w:r>
      <w:r w:rsidRPr="002F3A79">
        <w:rPr>
          <w:rFonts w:ascii="Times New Roman" w:hAnsi="Times New Roman" w:cs="Times New Roman"/>
        </w:rPr>
        <w:lastRenderedPageBreak/>
        <w:t>Surface sculpturing was generally uniform, showing a compact reticular network without perforate or psilate regions, although minor variation in lumina compactness and reticulum density was perceptible among cultivars. These qualitative features affirm structural stability at the varietal level while allowing subtle differences in reticulation pattern to support quantitative morphometric discrimination.</w:t>
      </w:r>
    </w:p>
    <w:p w14:paraId="45CEB88A" w14:textId="47DBC0A0" w:rsidR="004244AC" w:rsidRDefault="004244AC" w:rsidP="004244AC">
      <w:pPr>
        <w:spacing w:line="360" w:lineRule="auto"/>
        <w:jc w:val="both"/>
        <w:rPr>
          <w:rFonts w:ascii="Times New Roman" w:hAnsi="Times New Roman" w:cs="Times New Roman"/>
        </w:rPr>
      </w:pPr>
      <w:r w:rsidRPr="004244AC">
        <w:rPr>
          <w:rFonts w:ascii="Times New Roman" w:hAnsi="Times New Roman" w:cs="Times New Roman"/>
        </w:rPr>
        <w:t xml:space="preserve">Based on comparative SEM observation of six </w:t>
      </w:r>
      <w:proofErr w:type="spellStart"/>
      <w:r w:rsidRPr="004244AC">
        <w:rPr>
          <w:rFonts w:ascii="Times New Roman" w:hAnsi="Times New Roman" w:cs="Times New Roman"/>
        </w:rPr>
        <w:t>Panniyur</w:t>
      </w:r>
      <w:proofErr w:type="spellEnd"/>
      <w:r w:rsidRPr="004244AC">
        <w:rPr>
          <w:rFonts w:ascii="Times New Roman" w:hAnsi="Times New Roman" w:cs="Times New Roman"/>
        </w:rPr>
        <w:t xml:space="preserve"> cultivars of </w:t>
      </w:r>
      <w:r w:rsidRPr="004244AC">
        <w:rPr>
          <w:rFonts w:ascii="Times New Roman" w:hAnsi="Times New Roman" w:cs="Times New Roman"/>
          <w:i/>
          <w:iCs/>
        </w:rPr>
        <w:t>Piper nigrum</w:t>
      </w:r>
      <w:r w:rsidRPr="004244AC">
        <w:rPr>
          <w:rFonts w:ascii="Times New Roman" w:hAnsi="Times New Roman" w:cs="Times New Roman"/>
        </w:rPr>
        <w:t>, measurable quantitative differences were evident in pollen morphometrics despite overall structural uniformity typical of the species</w:t>
      </w:r>
      <w:r w:rsidR="00DB0671">
        <w:rPr>
          <w:rFonts w:ascii="Times New Roman" w:hAnsi="Times New Roman" w:cs="Times New Roman"/>
        </w:rPr>
        <w:t xml:space="preserve"> </w:t>
      </w:r>
      <w:r w:rsidR="00481F02">
        <w:rPr>
          <w:rFonts w:ascii="Times New Roman" w:hAnsi="Times New Roman" w:cs="Times New Roman"/>
        </w:rPr>
        <w:t>(Table 1)</w:t>
      </w:r>
      <w:r w:rsidRPr="004244AC">
        <w:rPr>
          <w:rFonts w:ascii="Times New Roman" w:hAnsi="Times New Roman" w:cs="Times New Roman"/>
        </w:rPr>
        <w:t xml:space="preserve">. All cultivars exhibited spheroidal to </w:t>
      </w:r>
      <w:proofErr w:type="spellStart"/>
      <w:r w:rsidRPr="004244AC">
        <w:rPr>
          <w:rFonts w:ascii="Times New Roman" w:hAnsi="Times New Roman" w:cs="Times New Roman"/>
        </w:rPr>
        <w:t>subspheroidal</w:t>
      </w:r>
      <w:proofErr w:type="spellEnd"/>
      <w:r w:rsidRPr="004244AC">
        <w:rPr>
          <w:rFonts w:ascii="Times New Roman" w:hAnsi="Times New Roman" w:cs="Times New Roman"/>
        </w:rPr>
        <w:t xml:space="preserve"> pollen grains with reticulate exine ornamentation</w:t>
      </w:r>
      <w:r w:rsidR="00C87681">
        <w:rPr>
          <w:rFonts w:ascii="Times New Roman" w:hAnsi="Times New Roman" w:cs="Times New Roman"/>
        </w:rPr>
        <w:t>.</w:t>
      </w:r>
      <w:r w:rsidRPr="004244AC">
        <w:rPr>
          <w:rFonts w:ascii="Times New Roman" w:hAnsi="Times New Roman" w:cs="Times New Roman"/>
        </w:rPr>
        <w:t xml:space="preserve"> </w:t>
      </w:r>
      <w:r w:rsidR="0077652F">
        <w:rPr>
          <w:rFonts w:ascii="Times New Roman" w:hAnsi="Times New Roman" w:cs="Times New Roman"/>
        </w:rPr>
        <w:t>H</w:t>
      </w:r>
      <w:r w:rsidRPr="004244AC">
        <w:rPr>
          <w:rFonts w:ascii="Times New Roman" w:hAnsi="Times New Roman" w:cs="Times New Roman"/>
        </w:rPr>
        <w:t>owever, significant inter-varietal variation was observed in polar axis (P), equatorial diameter (E), and exine thickness. Panniyur-5 and Panniyur-6 showed comparatively larger pollen dimensions and thicker exine layers, whereas Panniyur-2 displayed relatively smaller grain size and reduced exine thickness. The P/E ratio remained close to unity across cultivars, confirming near-spheroidal symmetry, but subtle deviations suggest minor shape differentiation. Lumina diameter and muri thickness varied moderately, with denser and more compact reticulation observed in Panniyur-4 and Panniyur-5</w:t>
      </w:r>
      <w:r w:rsidR="00A54204">
        <w:rPr>
          <w:rFonts w:ascii="Times New Roman" w:hAnsi="Times New Roman" w:cs="Times New Roman"/>
        </w:rPr>
        <w:t xml:space="preserve"> (</w:t>
      </w:r>
      <w:r w:rsidR="00A54204" w:rsidRPr="00C35C7E">
        <w:rPr>
          <w:rFonts w:ascii="Times New Roman" w:hAnsi="Times New Roman" w:cs="Times New Roman"/>
        </w:rPr>
        <w:t>Fig. 1</w:t>
      </w:r>
      <w:r w:rsidR="00A54204">
        <w:rPr>
          <w:rFonts w:ascii="Times New Roman" w:hAnsi="Times New Roman" w:cs="Times New Roman"/>
        </w:rPr>
        <w:t>)</w:t>
      </w:r>
      <w:r w:rsidRPr="004244AC">
        <w:rPr>
          <w:rFonts w:ascii="Times New Roman" w:hAnsi="Times New Roman" w:cs="Times New Roman"/>
        </w:rPr>
        <w:t>.</w:t>
      </w:r>
    </w:p>
    <w:p w14:paraId="4AFE07D7" w14:textId="77777777" w:rsidR="005C68BA" w:rsidRDefault="005C68BA" w:rsidP="004244AC">
      <w:pPr>
        <w:spacing w:line="360" w:lineRule="auto"/>
        <w:jc w:val="both"/>
        <w:rPr>
          <w:noProof/>
        </w:rPr>
      </w:pPr>
    </w:p>
    <w:p w14:paraId="5C30B2C9" w14:textId="77777777" w:rsidR="00601D99" w:rsidRDefault="00601D99" w:rsidP="006A2368">
      <w:pPr>
        <w:spacing w:line="360" w:lineRule="auto"/>
        <w:jc w:val="center"/>
        <w:rPr>
          <w:noProof/>
        </w:rPr>
      </w:pPr>
    </w:p>
    <w:p w14:paraId="220533F8" w14:textId="56AD94C2" w:rsidR="00E02075" w:rsidRDefault="00601D99" w:rsidP="006A2368">
      <w:pPr>
        <w:spacing w:line="360" w:lineRule="auto"/>
        <w:jc w:val="center"/>
        <w:rPr>
          <w:rFonts w:ascii="Times New Roman" w:hAnsi="Times New Roman" w:cs="Times New Roman"/>
        </w:rPr>
      </w:pPr>
      <w:r>
        <w:rPr>
          <w:noProof/>
        </w:rPr>
        <w:lastRenderedPageBreak/>
        <w:drawing>
          <wp:inline distT="0" distB="0" distL="0" distR="0" wp14:anchorId="4A75C727" wp14:editId="5347C0D4">
            <wp:extent cx="5731510" cy="6435969"/>
            <wp:effectExtent l="0" t="0" r="2540" b="3175"/>
            <wp:docPr id="1793041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582"/>
                    <a:stretch>
                      <a:fillRect/>
                    </a:stretch>
                  </pic:blipFill>
                  <pic:spPr bwMode="auto">
                    <a:xfrm>
                      <a:off x="0" y="0"/>
                      <a:ext cx="5731510" cy="6435969"/>
                    </a:xfrm>
                    <a:prstGeom prst="rect">
                      <a:avLst/>
                    </a:prstGeom>
                    <a:noFill/>
                    <a:ln>
                      <a:noFill/>
                    </a:ln>
                    <a:extLst>
                      <a:ext uri="{53640926-AAD7-44D8-BBD7-CCE9431645EC}">
                        <a14:shadowObscured xmlns:a14="http://schemas.microsoft.com/office/drawing/2010/main"/>
                      </a:ext>
                    </a:extLst>
                  </pic:spPr>
                </pic:pic>
              </a:graphicData>
            </a:graphic>
          </wp:inline>
        </w:drawing>
      </w:r>
    </w:p>
    <w:p w14:paraId="7C0E9062" w14:textId="733BABDD" w:rsidR="006A2368" w:rsidRDefault="006A2368" w:rsidP="006A2368">
      <w:pPr>
        <w:spacing w:line="360" w:lineRule="auto"/>
        <w:rPr>
          <w:rFonts w:ascii="Times New Roman" w:hAnsi="Times New Roman" w:cs="Times New Roman"/>
        </w:rPr>
      </w:pPr>
      <w:r>
        <w:rPr>
          <w:rFonts w:ascii="Times New Roman" w:hAnsi="Times New Roman" w:cs="Times New Roman"/>
        </w:rPr>
        <w:t xml:space="preserve">Figure 1. </w:t>
      </w:r>
      <w:r w:rsidR="0079615E" w:rsidRPr="0079615E">
        <w:rPr>
          <w:rFonts w:ascii="Times New Roman" w:hAnsi="Times New Roman" w:cs="Times New Roman"/>
        </w:rPr>
        <w:t xml:space="preserve">Scanning Electron Micrographs Showing Exine Architecture and Surface Ornamentation of Six </w:t>
      </w:r>
      <w:proofErr w:type="spellStart"/>
      <w:r w:rsidR="0079615E" w:rsidRPr="0079615E">
        <w:rPr>
          <w:rFonts w:ascii="Times New Roman" w:hAnsi="Times New Roman" w:cs="Times New Roman"/>
        </w:rPr>
        <w:t>Panniyur</w:t>
      </w:r>
      <w:proofErr w:type="spellEnd"/>
      <w:r w:rsidR="0079615E" w:rsidRPr="0079615E">
        <w:rPr>
          <w:rFonts w:ascii="Times New Roman" w:hAnsi="Times New Roman" w:cs="Times New Roman"/>
        </w:rPr>
        <w:t xml:space="preserve"> Cultivars of </w:t>
      </w:r>
      <w:r w:rsidR="0079615E" w:rsidRPr="0079615E">
        <w:rPr>
          <w:rFonts w:ascii="Times New Roman" w:hAnsi="Times New Roman" w:cs="Times New Roman"/>
          <w:i/>
          <w:iCs/>
        </w:rPr>
        <w:t>Piper nigrum</w:t>
      </w:r>
      <w:r w:rsidR="0079615E" w:rsidRPr="0079615E">
        <w:rPr>
          <w:rFonts w:ascii="Times New Roman" w:hAnsi="Times New Roman" w:cs="Times New Roman"/>
        </w:rPr>
        <w:t xml:space="preserve"> (Scale bar = 1 µm).</w:t>
      </w:r>
    </w:p>
    <w:p w14:paraId="72D356B0" w14:textId="0ABD14FA" w:rsidR="004244AC" w:rsidRDefault="004244AC" w:rsidP="004244AC">
      <w:pPr>
        <w:spacing w:line="360" w:lineRule="auto"/>
        <w:jc w:val="both"/>
        <w:rPr>
          <w:rFonts w:ascii="Times New Roman" w:hAnsi="Times New Roman" w:cs="Times New Roman"/>
        </w:rPr>
      </w:pPr>
      <w:r>
        <w:rPr>
          <w:rFonts w:ascii="Times New Roman" w:hAnsi="Times New Roman" w:cs="Times New Roman"/>
        </w:rPr>
        <w:t xml:space="preserve">Table 1. </w:t>
      </w:r>
      <w:r w:rsidR="007C44FD" w:rsidRPr="007C44FD">
        <w:rPr>
          <w:rFonts w:ascii="Times New Roman" w:hAnsi="Times New Roman" w:cs="Times New Roman"/>
        </w:rPr>
        <w:t xml:space="preserve">Comparative Quantitative Pollen Morphometric Parameters of Six </w:t>
      </w:r>
      <w:proofErr w:type="spellStart"/>
      <w:r w:rsidR="007C44FD" w:rsidRPr="007C44FD">
        <w:rPr>
          <w:rFonts w:ascii="Times New Roman" w:hAnsi="Times New Roman" w:cs="Times New Roman"/>
        </w:rPr>
        <w:t>Panniyur</w:t>
      </w:r>
      <w:proofErr w:type="spellEnd"/>
      <w:r w:rsidR="007C44FD" w:rsidRPr="007C44FD">
        <w:rPr>
          <w:rFonts w:ascii="Times New Roman" w:hAnsi="Times New Roman" w:cs="Times New Roman"/>
        </w:rPr>
        <w:t xml:space="preserve"> Cultivars of </w:t>
      </w:r>
      <w:r w:rsidR="007C44FD" w:rsidRPr="007C44FD">
        <w:rPr>
          <w:rFonts w:ascii="Times New Roman" w:hAnsi="Times New Roman" w:cs="Times New Roman"/>
          <w:i/>
          <w:iCs/>
        </w:rPr>
        <w:t>Piper nigrum</w:t>
      </w:r>
      <w:r w:rsidR="007C44FD" w:rsidRPr="007C44FD">
        <w:rPr>
          <w:rFonts w:ascii="Times New Roman" w:hAnsi="Times New Roman" w:cs="Times New Roman"/>
        </w:rPr>
        <w:t xml:space="preserve"> (Mean ± SD).</w:t>
      </w:r>
    </w:p>
    <w:tbl>
      <w:tblPr>
        <w:tblStyle w:val="TableGrid"/>
        <w:tblW w:w="9351" w:type="dxa"/>
        <w:tblLook w:val="04A0" w:firstRow="1" w:lastRow="0" w:firstColumn="1" w:lastColumn="0" w:noHBand="0" w:noVBand="1"/>
      </w:tblPr>
      <w:tblGrid>
        <w:gridCol w:w="1268"/>
        <w:gridCol w:w="1111"/>
        <w:gridCol w:w="1275"/>
        <w:gridCol w:w="716"/>
        <w:gridCol w:w="1163"/>
        <w:gridCol w:w="1120"/>
        <w:gridCol w:w="1159"/>
        <w:gridCol w:w="1539"/>
      </w:tblGrid>
      <w:tr w:rsidR="00C70B3A" w:rsidRPr="004244AC" w14:paraId="076E2BBB" w14:textId="77777777" w:rsidTr="005F7162">
        <w:tc>
          <w:tcPr>
            <w:tcW w:w="1269" w:type="dxa"/>
            <w:hideMark/>
          </w:tcPr>
          <w:p w14:paraId="41469B00"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Variety</w:t>
            </w:r>
          </w:p>
        </w:tc>
        <w:tc>
          <w:tcPr>
            <w:tcW w:w="1111" w:type="dxa"/>
            <w:hideMark/>
          </w:tcPr>
          <w:p w14:paraId="4CB514AF"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Polar Axis (P) µm</w:t>
            </w:r>
          </w:p>
        </w:tc>
        <w:tc>
          <w:tcPr>
            <w:tcW w:w="0" w:type="auto"/>
            <w:hideMark/>
          </w:tcPr>
          <w:p w14:paraId="59E75491"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Equatorial Diameter (E) µm</w:t>
            </w:r>
          </w:p>
        </w:tc>
        <w:tc>
          <w:tcPr>
            <w:tcW w:w="0" w:type="auto"/>
            <w:hideMark/>
          </w:tcPr>
          <w:p w14:paraId="1AA41419"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P/E Ratio</w:t>
            </w:r>
          </w:p>
        </w:tc>
        <w:tc>
          <w:tcPr>
            <w:tcW w:w="0" w:type="auto"/>
            <w:hideMark/>
          </w:tcPr>
          <w:p w14:paraId="23A3B94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Exine Thickness (µm)</w:t>
            </w:r>
          </w:p>
        </w:tc>
        <w:tc>
          <w:tcPr>
            <w:tcW w:w="0" w:type="auto"/>
            <w:hideMark/>
          </w:tcPr>
          <w:p w14:paraId="5B06D8F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Lumina Diameter (µm)</w:t>
            </w:r>
          </w:p>
        </w:tc>
        <w:tc>
          <w:tcPr>
            <w:tcW w:w="0" w:type="auto"/>
            <w:hideMark/>
          </w:tcPr>
          <w:p w14:paraId="30BE5A3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Muri Thickness (µm)</w:t>
            </w:r>
          </w:p>
        </w:tc>
        <w:tc>
          <w:tcPr>
            <w:tcW w:w="1539" w:type="dxa"/>
            <w:hideMark/>
          </w:tcPr>
          <w:p w14:paraId="1197CBB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Ornamentation Density (count/µm²)</w:t>
            </w:r>
          </w:p>
        </w:tc>
      </w:tr>
      <w:tr w:rsidR="00C70B3A" w:rsidRPr="004244AC" w14:paraId="5D719A01" w14:textId="77777777" w:rsidTr="005F7162">
        <w:tc>
          <w:tcPr>
            <w:tcW w:w="1269" w:type="dxa"/>
            <w:hideMark/>
          </w:tcPr>
          <w:p w14:paraId="2890640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lastRenderedPageBreak/>
              <w:t>Panniyur-1</w:t>
            </w:r>
          </w:p>
        </w:tc>
        <w:tc>
          <w:tcPr>
            <w:tcW w:w="1111" w:type="dxa"/>
            <w:hideMark/>
          </w:tcPr>
          <w:p w14:paraId="465A11C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32.4 ± 1.8</w:t>
            </w:r>
          </w:p>
        </w:tc>
        <w:tc>
          <w:tcPr>
            <w:tcW w:w="0" w:type="auto"/>
            <w:hideMark/>
          </w:tcPr>
          <w:p w14:paraId="086899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31.6 ± 1.5</w:t>
            </w:r>
          </w:p>
        </w:tc>
        <w:tc>
          <w:tcPr>
            <w:tcW w:w="0" w:type="auto"/>
            <w:hideMark/>
          </w:tcPr>
          <w:p w14:paraId="2FD08D1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EC121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2.8 ± 0.2</w:t>
            </w:r>
          </w:p>
        </w:tc>
        <w:tc>
          <w:tcPr>
            <w:tcW w:w="0" w:type="auto"/>
            <w:hideMark/>
          </w:tcPr>
          <w:p w14:paraId="02336CB7"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1.9 ± 0.3</w:t>
            </w:r>
          </w:p>
        </w:tc>
        <w:tc>
          <w:tcPr>
            <w:tcW w:w="0" w:type="auto"/>
            <w:hideMark/>
          </w:tcPr>
          <w:p w14:paraId="09DE528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311067F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4.6 ± 0.5</w:t>
            </w:r>
          </w:p>
        </w:tc>
      </w:tr>
      <w:tr w:rsidR="00C70B3A" w:rsidRPr="004244AC" w14:paraId="2A9CF971" w14:textId="77777777" w:rsidTr="005F7162">
        <w:tc>
          <w:tcPr>
            <w:tcW w:w="1269" w:type="dxa"/>
            <w:hideMark/>
          </w:tcPr>
          <w:p w14:paraId="6A2E122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Panniyur-2</w:t>
            </w:r>
          </w:p>
        </w:tc>
        <w:tc>
          <w:tcPr>
            <w:tcW w:w="1111" w:type="dxa"/>
            <w:hideMark/>
          </w:tcPr>
          <w:p w14:paraId="047B7F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29.7 ± 1.6</w:t>
            </w:r>
          </w:p>
        </w:tc>
        <w:tc>
          <w:tcPr>
            <w:tcW w:w="0" w:type="auto"/>
            <w:hideMark/>
          </w:tcPr>
          <w:p w14:paraId="10D2162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29.1 ± 1.4</w:t>
            </w:r>
          </w:p>
        </w:tc>
        <w:tc>
          <w:tcPr>
            <w:tcW w:w="0" w:type="auto"/>
            <w:hideMark/>
          </w:tcPr>
          <w:p w14:paraId="66A8002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561A9DE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2.4 ± 0.2</w:t>
            </w:r>
          </w:p>
        </w:tc>
        <w:tc>
          <w:tcPr>
            <w:tcW w:w="0" w:type="auto"/>
            <w:hideMark/>
          </w:tcPr>
          <w:p w14:paraId="56296B0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2.1 ± 0.2</w:t>
            </w:r>
          </w:p>
        </w:tc>
        <w:tc>
          <w:tcPr>
            <w:tcW w:w="0" w:type="auto"/>
            <w:hideMark/>
          </w:tcPr>
          <w:p w14:paraId="0DFCEFC0"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0.7 ± 0.1</w:t>
            </w:r>
          </w:p>
        </w:tc>
        <w:tc>
          <w:tcPr>
            <w:tcW w:w="1539" w:type="dxa"/>
            <w:hideMark/>
          </w:tcPr>
          <w:p w14:paraId="3B864F4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3.9 ± 0.4</w:t>
            </w:r>
          </w:p>
        </w:tc>
      </w:tr>
      <w:tr w:rsidR="00C70B3A" w:rsidRPr="004244AC" w14:paraId="40BCDDE1" w14:textId="77777777" w:rsidTr="005F7162">
        <w:tc>
          <w:tcPr>
            <w:tcW w:w="1269" w:type="dxa"/>
            <w:hideMark/>
          </w:tcPr>
          <w:p w14:paraId="631A2DE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Panniyur-3</w:t>
            </w:r>
          </w:p>
        </w:tc>
        <w:tc>
          <w:tcPr>
            <w:tcW w:w="1111" w:type="dxa"/>
            <w:hideMark/>
          </w:tcPr>
          <w:p w14:paraId="7E60E10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31.8 ± 1.7</w:t>
            </w:r>
          </w:p>
        </w:tc>
        <w:tc>
          <w:tcPr>
            <w:tcW w:w="0" w:type="auto"/>
            <w:hideMark/>
          </w:tcPr>
          <w:p w14:paraId="65A65E2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31.0 ± 1.6</w:t>
            </w:r>
          </w:p>
        </w:tc>
        <w:tc>
          <w:tcPr>
            <w:tcW w:w="0" w:type="auto"/>
            <w:hideMark/>
          </w:tcPr>
          <w:p w14:paraId="3A77D5D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1.03</w:t>
            </w:r>
          </w:p>
        </w:tc>
        <w:tc>
          <w:tcPr>
            <w:tcW w:w="0" w:type="auto"/>
            <w:hideMark/>
          </w:tcPr>
          <w:p w14:paraId="2254603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2.7 ± 0.3</w:t>
            </w:r>
          </w:p>
        </w:tc>
        <w:tc>
          <w:tcPr>
            <w:tcW w:w="0" w:type="auto"/>
            <w:hideMark/>
          </w:tcPr>
          <w:p w14:paraId="19FD060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2.0 ± 0.3</w:t>
            </w:r>
          </w:p>
        </w:tc>
        <w:tc>
          <w:tcPr>
            <w:tcW w:w="0" w:type="auto"/>
            <w:hideMark/>
          </w:tcPr>
          <w:p w14:paraId="1ADC72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1625BC7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4.4 ± 0.4</w:t>
            </w:r>
          </w:p>
        </w:tc>
      </w:tr>
      <w:tr w:rsidR="00C70B3A" w:rsidRPr="004244AC" w14:paraId="00335F89" w14:textId="77777777" w:rsidTr="005F7162">
        <w:tc>
          <w:tcPr>
            <w:tcW w:w="1269" w:type="dxa"/>
            <w:hideMark/>
          </w:tcPr>
          <w:p w14:paraId="2898CBB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Panniyur-4</w:t>
            </w:r>
          </w:p>
        </w:tc>
        <w:tc>
          <w:tcPr>
            <w:tcW w:w="1111" w:type="dxa"/>
            <w:hideMark/>
          </w:tcPr>
          <w:p w14:paraId="08CD0B0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33.2 ± 1.9</w:t>
            </w:r>
          </w:p>
        </w:tc>
        <w:tc>
          <w:tcPr>
            <w:tcW w:w="0" w:type="auto"/>
            <w:hideMark/>
          </w:tcPr>
          <w:p w14:paraId="3D2D88B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32.5 ± 1.7</w:t>
            </w:r>
          </w:p>
        </w:tc>
        <w:tc>
          <w:tcPr>
            <w:tcW w:w="0" w:type="auto"/>
            <w:hideMark/>
          </w:tcPr>
          <w:p w14:paraId="16E3185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129BA7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3.0 ± 0.3</w:t>
            </w:r>
          </w:p>
        </w:tc>
        <w:tc>
          <w:tcPr>
            <w:tcW w:w="0" w:type="auto"/>
            <w:hideMark/>
          </w:tcPr>
          <w:p w14:paraId="58E3408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1.8 ± 0.2</w:t>
            </w:r>
          </w:p>
        </w:tc>
        <w:tc>
          <w:tcPr>
            <w:tcW w:w="0" w:type="auto"/>
            <w:hideMark/>
          </w:tcPr>
          <w:p w14:paraId="2130021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49CE08C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5.1 ± 0.6</w:t>
            </w:r>
          </w:p>
        </w:tc>
      </w:tr>
      <w:tr w:rsidR="00C70B3A" w:rsidRPr="004244AC" w14:paraId="5953AB3C" w14:textId="77777777" w:rsidTr="005F7162">
        <w:tc>
          <w:tcPr>
            <w:tcW w:w="1269" w:type="dxa"/>
            <w:hideMark/>
          </w:tcPr>
          <w:p w14:paraId="4DE4C8C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Panniyur-5</w:t>
            </w:r>
          </w:p>
        </w:tc>
        <w:tc>
          <w:tcPr>
            <w:tcW w:w="1111" w:type="dxa"/>
            <w:hideMark/>
          </w:tcPr>
          <w:p w14:paraId="5CF8965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34.6 ± 2.0</w:t>
            </w:r>
          </w:p>
        </w:tc>
        <w:tc>
          <w:tcPr>
            <w:tcW w:w="0" w:type="auto"/>
            <w:hideMark/>
          </w:tcPr>
          <w:p w14:paraId="47ABD04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33.8 ± 1.8</w:t>
            </w:r>
          </w:p>
        </w:tc>
        <w:tc>
          <w:tcPr>
            <w:tcW w:w="0" w:type="auto"/>
            <w:hideMark/>
          </w:tcPr>
          <w:p w14:paraId="25633E9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B65032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 ± 0.3</w:t>
            </w:r>
          </w:p>
        </w:tc>
        <w:tc>
          <w:tcPr>
            <w:tcW w:w="0" w:type="auto"/>
            <w:hideMark/>
          </w:tcPr>
          <w:p w14:paraId="1D375A12"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1.7 ± 0.2</w:t>
            </w:r>
          </w:p>
        </w:tc>
        <w:tc>
          <w:tcPr>
            <w:tcW w:w="0" w:type="auto"/>
            <w:hideMark/>
          </w:tcPr>
          <w:p w14:paraId="6F87291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2F4085A4"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5.3 ± 0.5</w:t>
            </w:r>
          </w:p>
        </w:tc>
      </w:tr>
      <w:tr w:rsidR="00C70B3A" w:rsidRPr="004244AC" w14:paraId="76331D5E" w14:textId="77777777" w:rsidTr="005F7162">
        <w:tc>
          <w:tcPr>
            <w:tcW w:w="1269" w:type="dxa"/>
            <w:hideMark/>
          </w:tcPr>
          <w:p w14:paraId="79DD01A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Panniyur-6</w:t>
            </w:r>
          </w:p>
        </w:tc>
        <w:tc>
          <w:tcPr>
            <w:tcW w:w="1111" w:type="dxa"/>
            <w:hideMark/>
          </w:tcPr>
          <w:p w14:paraId="2E9529E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35.1 ± 2.1</w:t>
            </w:r>
          </w:p>
        </w:tc>
        <w:tc>
          <w:tcPr>
            <w:tcW w:w="0" w:type="auto"/>
            <w:hideMark/>
          </w:tcPr>
          <w:p w14:paraId="2B7457D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34.4 ± 1.9</w:t>
            </w:r>
          </w:p>
        </w:tc>
        <w:tc>
          <w:tcPr>
            <w:tcW w:w="0" w:type="auto"/>
            <w:hideMark/>
          </w:tcPr>
          <w:p w14:paraId="295B527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F7753E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 ± 0.3</w:t>
            </w:r>
          </w:p>
        </w:tc>
        <w:tc>
          <w:tcPr>
            <w:tcW w:w="0" w:type="auto"/>
            <w:hideMark/>
          </w:tcPr>
          <w:p w14:paraId="0FDAB95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1.6 ± 0.2</w:t>
            </w:r>
          </w:p>
        </w:tc>
        <w:tc>
          <w:tcPr>
            <w:tcW w:w="0" w:type="auto"/>
            <w:hideMark/>
          </w:tcPr>
          <w:p w14:paraId="5505BC3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 ± 0.1</w:t>
            </w:r>
          </w:p>
        </w:tc>
        <w:tc>
          <w:tcPr>
            <w:tcW w:w="1539" w:type="dxa"/>
            <w:hideMark/>
          </w:tcPr>
          <w:p w14:paraId="5813446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5.0 ± 0.4</w:t>
            </w:r>
          </w:p>
        </w:tc>
      </w:tr>
    </w:tbl>
    <w:p w14:paraId="76DC6EF2" w14:textId="2DB34AD3" w:rsidR="005F7162" w:rsidRDefault="005F7162" w:rsidP="005F7162">
      <w:pPr>
        <w:spacing w:line="360" w:lineRule="auto"/>
        <w:jc w:val="both"/>
        <w:rPr>
          <w:rFonts w:ascii="Times New Roman" w:hAnsi="Times New Roman" w:cs="Times New Roman"/>
        </w:rPr>
      </w:pPr>
      <w:r w:rsidRPr="004244AC">
        <w:rPr>
          <w:rFonts w:ascii="Times New Roman" w:hAnsi="Times New Roman" w:cs="Times New Roman"/>
        </w:rPr>
        <w:t xml:space="preserve">Ornamentation density (number of lumina per µm²) demonstrated measurable divergence among cultivars, with Panniyur-4 exhibiting the highest density and Panniyur-2 the lowest. </w:t>
      </w:r>
      <w:r w:rsidR="00370DA4" w:rsidRPr="004244AC">
        <w:rPr>
          <w:rFonts w:ascii="Times New Roman" w:hAnsi="Times New Roman" w:cs="Times New Roman"/>
        </w:rPr>
        <w:t>Th</w:t>
      </w:r>
      <w:r w:rsidR="00370DA4">
        <w:rPr>
          <w:rFonts w:ascii="Times New Roman" w:hAnsi="Times New Roman" w:cs="Times New Roman"/>
        </w:rPr>
        <w:t>ese quantitative trends</w:t>
      </w:r>
      <w:r w:rsidRPr="004244AC">
        <w:rPr>
          <w:rFonts w:ascii="Times New Roman" w:hAnsi="Times New Roman" w:cs="Times New Roman"/>
        </w:rPr>
        <w:t xml:space="preserve"> suggest that exine architecture and surface sculpturing parameters provide stronger discriminatory power than basic pollen size measurements alone.</w:t>
      </w:r>
    </w:p>
    <w:p w14:paraId="222E73D3" w14:textId="10B79161" w:rsidR="00065DDA" w:rsidRPr="00206E5D"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3.2. </w:t>
      </w:r>
      <w:r w:rsidR="00065DDA" w:rsidRPr="00206E5D">
        <w:rPr>
          <w:rFonts w:ascii="Times New Roman" w:hAnsi="Times New Roman" w:cs="Times New Roman"/>
          <w:b/>
          <w:bCs/>
        </w:rPr>
        <w:t>Descriptive Statistics of Pollen Morphometric Variables</w:t>
      </w:r>
    </w:p>
    <w:p w14:paraId="68A6307E" w14:textId="2ED835B2" w:rsidR="006F75E2" w:rsidRPr="006F75E2" w:rsidRDefault="006F75E2" w:rsidP="006F75E2">
      <w:pPr>
        <w:spacing w:line="360" w:lineRule="auto"/>
        <w:jc w:val="both"/>
        <w:rPr>
          <w:rFonts w:ascii="Times New Roman" w:hAnsi="Times New Roman" w:cs="Times New Roman"/>
          <w:color w:val="EE0000"/>
        </w:rPr>
      </w:pPr>
      <w:r w:rsidRPr="006F75E2">
        <w:rPr>
          <w:rFonts w:ascii="Times New Roman" w:hAnsi="Times New Roman" w:cs="Times New Roman"/>
        </w:rPr>
        <w:t>Descriptive statistical analysis of pooled varietal means indicates moderate variability among quantitative pollen traits</w:t>
      </w:r>
      <w:r w:rsidR="00723D99">
        <w:rPr>
          <w:rFonts w:ascii="Times New Roman" w:hAnsi="Times New Roman" w:cs="Times New Roman"/>
        </w:rPr>
        <w:t xml:space="preserve"> (</w:t>
      </w:r>
      <w:r w:rsidR="00723D99" w:rsidRPr="00C35C7E">
        <w:rPr>
          <w:rFonts w:ascii="Times New Roman" w:hAnsi="Times New Roman" w:cs="Times New Roman"/>
        </w:rPr>
        <w:t xml:space="preserve">Table </w:t>
      </w:r>
      <w:r w:rsidR="004852F4" w:rsidRPr="00C35C7E">
        <w:rPr>
          <w:rFonts w:ascii="Times New Roman" w:hAnsi="Times New Roman" w:cs="Times New Roman"/>
        </w:rPr>
        <w:t>2</w:t>
      </w:r>
      <w:r w:rsidR="00723D99">
        <w:rPr>
          <w:rFonts w:ascii="Times New Roman" w:hAnsi="Times New Roman" w:cs="Times New Roman"/>
        </w:rPr>
        <w:t>)</w:t>
      </w:r>
      <w:r w:rsidRPr="006F75E2">
        <w:rPr>
          <w:rFonts w:ascii="Times New Roman" w:hAnsi="Times New Roman" w:cs="Times New Roman"/>
        </w:rPr>
        <w:t>. Polar axis (P) and equatorial diameter (E) exhibited relatively low coefficients of variation (CV &lt; 7%), confirming overall size stability across cultivars. In contrast, lumina diameter and exine thickness showed comparatively higher variability (CV ≈ 9</w:t>
      </w:r>
      <w:r w:rsidR="00450DB6">
        <w:rPr>
          <w:rFonts w:ascii="Times New Roman" w:hAnsi="Times New Roman" w:cs="Times New Roman"/>
        </w:rPr>
        <w:t>-</w:t>
      </w:r>
      <w:r w:rsidRPr="006F75E2">
        <w:rPr>
          <w:rFonts w:ascii="Times New Roman" w:hAnsi="Times New Roman" w:cs="Times New Roman"/>
        </w:rPr>
        <w:t xml:space="preserve">11%), suggesting that exine architectural traits contribute more to inter-varietal differentiation than basic grain size parameters. Ornamentation density demonstrated moderate dispersion (CV ≈ 10%), supporting its utility in multivariate discrimination. </w:t>
      </w:r>
      <w:r w:rsidR="00A15F1E" w:rsidRPr="00A15F1E">
        <w:rPr>
          <w:rFonts w:ascii="Times New Roman" w:hAnsi="Times New Roman" w:cs="Times New Roman"/>
        </w:rPr>
        <w:t>T</w:t>
      </w:r>
      <w:r w:rsidRPr="006F75E2">
        <w:rPr>
          <w:rFonts w:ascii="Times New Roman" w:hAnsi="Times New Roman" w:cs="Times New Roman"/>
        </w:rPr>
        <w:t xml:space="preserve">he </w:t>
      </w:r>
      <w:r w:rsidR="00A15F1E">
        <w:rPr>
          <w:rFonts w:ascii="Times New Roman" w:hAnsi="Times New Roman" w:cs="Times New Roman"/>
        </w:rPr>
        <w:t xml:space="preserve">present </w:t>
      </w:r>
      <w:r w:rsidRPr="006F75E2">
        <w:rPr>
          <w:rFonts w:ascii="Times New Roman" w:hAnsi="Times New Roman" w:cs="Times New Roman"/>
        </w:rPr>
        <w:t>morphometric dataset reflects structural conservatism in pollen size but measurable variation in exine micro-architecture.</w:t>
      </w:r>
    </w:p>
    <w:p w14:paraId="03AF26A9" w14:textId="6A4E8F45" w:rsidR="00065DDA" w:rsidRDefault="006F75E2" w:rsidP="004244AC">
      <w:pPr>
        <w:spacing w:line="360" w:lineRule="auto"/>
        <w:jc w:val="both"/>
        <w:rPr>
          <w:rFonts w:ascii="Times New Roman" w:hAnsi="Times New Roman" w:cs="Times New Roman"/>
        </w:rPr>
      </w:pPr>
      <w:r w:rsidRPr="006F75E2">
        <w:rPr>
          <w:rFonts w:ascii="Times New Roman" w:hAnsi="Times New Roman" w:cs="Times New Roman"/>
        </w:rPr>
        <w:t>Table</w:t>
      </w:r>
      <w:r w:rsidR="005D1609">
        <w:rPr>
          <w:rFonts w:ascii="Times New Roman" w:hAnsi="Times New Roman" w:cs="Times New Roman"/>
        </w:rPr>
        <w:t xml:space="preserve"> </w:t>
      </w:r>
      <w:r w:rsidR="004852F4">
        <w:rPr>
          <w:rFonts w:ascii="Times New Roman" w:hAnsi="Times New Roman" w:cs="Times New Roman"/>
        </w:rPr>
        <w:t>2</w:t>
      </w:r>
      <w:r w:rsidR="005D1609">
        <w:rPr>
          <w:rFonts w:ascii="Times New Roman" w:hAnsi="Times New Roman" w:cs="Times New Roman"/>
        </w:rPr>
        <w:t>.</w:t>
      </w:r>
      <w:r w:rsidRPr="006F75E2">
        <w:rPr>
          <w:rFonts w:ascii="Times New Roman" w:hAnsi="Times New Roman" w:cs="Times New Roman"/>
        </w:rPr>
        <w:t xml:space="preserve"> </w:t>
      </w:r>
      <w:r w:rsidR="00F576C9" w:rsidRPr="00F576C9">
        <w:rPr>
          <w:rFonts w:ascii="Times New Roman" w:hAnsi="Times New Roman" w:cs="Times New Roman"/>
        </w:rPr>
        <w:t xml:space="preserve">Descriptive Statistical Summary of Pollen Morphometric Variables Across Six </w:t>
      </w:r>
      <w:proofErr w:type="spellStart"/>
      <w:r w:rsidR="00F576C9" w:rsidRPr="00F576C9">
        <w:rPr>
          <w:rFonts w:ascii="Times New Roman" w:hAnsi="Times New Roman" w:cs="Times New Roman"/>
        </w:rPr>
        <w:t>Panniyur</w:t>
      </w:r>
      <w:proofErr w:type="spellEnd"/>
      <w:r w:rsidR="00F576C9" w:rsidRPr="00F576C9">
        <w:rPr>
          <w:rFonts w:ascii="Times New Roman" w:hAnsi="Times New Roman" w:cs="Times New Roman"/>
        </w:rPr>
        <w:t xml:space="preserve"> Cultivars.</w:t>
      </w:r>
    </w:p>
    <w:tbl>
      <w:tblPr>
        <w:tblStyle w:val="TableGrid"/>
        <w:tblW w:w="9067" w:type="dxa"/>
        <w:tblLook w:val="04A0" w:firstRow="1" w:lastRow="0" w:firstColumn="1" w:lastColumn="0" w:noHBand="0" w:noVBand="1"/>
      </w:tblPr>
      <w:tblGrid>
        <w:gridCol w:w="3679"/>
        <w:gridCol w:w="1845"/>
        <w:gridCol w:w="2268"/>
        <w:gridCol w:w="1275"/>
      </w:tblGrid>
      <w:tr w:rsidR="006F75E2" w:rsidRPr="006F75E2" w14:paraId="47BDB86A" w14:textId="77777777" w:rsidTr="001912FC">
        <w:tc>
          <w:tcPr>
            <w:tcW w:w="0" w:type="auto"/>
            <w:hideMark/>
          </w:tcPr>
          <w:p w14:paraId="3BC44354"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Variable</w:t>
            </w:r>
          </w:p>
        </w:tc>
        <w:tc>
          <w:tcPr>
            <w:tcW w:w="1845" w:type="dxa"/>
            <w:hideMark/>
          </w:tcPr>
          <w:p w14:paraId="7357D331"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Mean ± SD</w:t>
            </w:r>
          </w:p>
        </w:tc>
        <w:tc>
          <w:tcPr>
            <w:tcW w:w="2268" w:type="dxa"/>
            <w:hideMark/>
          </w:tcPr>
          <w:p w14:paraId="0B4DEB4D"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Range (Min–Max)</w:t>
            </w:r>
          </w:p>
        </w:tc>
        <w:tc>
          <w:tcPr>
            <w:tcW w:w="1275" w:type="dxa"/>
            <w:hideMark/>
          </w:tcPr>
          <w:p w14:paraId="47489D0C"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CV (%)</w:t>
            </w:r>
          </w:p>
        </w:tc>
      </w:tr>
      <w:tr w:rsidR="006F75E2" w:rsidRPr="006F75E2" w14:paraId="656CC0B6" w14:textId="77777777" w:rsidTr="001912FC">
        <w:tc>
          <w:tcPr>
            <w:tcW w:w="0" w:type="auto"/>
            <w:hideMark/>
          </w:tcPr>
          <w:p w14:paraId="5458994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Polar Axis (µm)</w:t>
            </w:r>
          </w:p>
        </w:tc>
        <w:tc>
          <w:tcPr>
            <w:tcW w:w="1845" w:type="dxa"/>
            <w:hideMark/>
          </w:tcPr>
          <w:p w14:paraId="65FDA37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32.8 ± 1.93</w:t>
            </w:r>
          </w:p>
        </w:tc>
        <w:tc>
          <w:tcPr>
            <w:tcW w:w="2268" w:type="dxa"/>
            <w:hideMark/>
          </w:tcPr>
          <w:p w14:paraId="4E750889"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29.7 – 35.1</w:t>
            </w:r>
          </w:p>
        </w:tc>
        <w:tc>
          <w:tcPr>
            <w:tcW w:w="1275" w:type="dxa"/>
            <w:hideMark/>
          </w:tcPr>
          <w:p w14:paraId="7AD556B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5.88</w:t>
            </w:r>
          </w:p>
        </w:tc>
      </w:tr>
      <w:tr w:rsidR="006F75E2" w:rsidRPr="006F75E2" w14:paraId="2E522AE1" w14:textId="77777777" w:rsidTr="001912FC">
        <w:tc>
          <w:tcPr>
            <w:tcW w:w="0" w:type="auto"/>
            <w:hideMark/>
          </w:tcPr>
          <w:p w14:paraId="1829E7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Equatorial Diameter (µm)</w:t>
            </w:r>
          </w:p>
        </w:tc>
        <w:tc>
          <w:tcPr>
            <w:tcW w:w="1845" w:type="dxa"/>
            <w:hideMark/>
          </w:tcPr>
          <w:p w14:paraId="1A9B3F0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32.1 ± 1.89</w:t>
            </w:r>
          </w:p>
        </w:tc>
        <w:tc>
          <w:tcPr>
            <w:tcW w:w="2268" w:type="dxa"/>
            <w:hideMark/>
          </w:tcPr>
          <w:p w14:paraId="50CCCE8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29.1 – 34.4</w:t>
            </w:r>
          </w:p>
        </w:tc>
        <w:tc>
          <w:tcPr>
            <w:tcW w:w="1275" w:type="dxa"/>
            <w:hideMark/>
          </w:tcPr>
          <w:p w14:paraId="5C1BB74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5.89</w:t>
            </w:r>
          </w:p>
        </w:tc>
      </w:tr>
      <w:tr w:rsidR="006F75E2" w:rsidRPr="006F75E2" w14:paraId="35F56DE5" w14:textId="77777777" w:rsidTr="001912FC">
        <w:tc>
          <w:tcPr>
            <w:tcW w:w="0" w:type="auto"/>
            <w:hideMark/>
          </w:tcPr>
          <w:p w14:paraId="2143D3A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P/E Ratio</w:t>
            </w:r>
          </w:p>
        </w:tc>
        <w:tc>
          <w:tcPr>
            <w:tcW w:w="1845" w:type="dxa"/>
            <w:hideMark/>
          </w:tcPr>
          <w:p w14:paraId="421B864F"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0.004</w:t>
            </w:r>
          </w:p>
        </w:tc>
        <w:tc>
          <w:tcPr>
            <w:tcW w:w="2268" w:type="dxa"/>
            <w:hideMark/>
          </w:tcPr>
          <w:p w14:paraId="34FC59F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1.03</w:t>
            </w:r>
          </w:p>
        </w:tc>
        <w:tc>
          <w:tcPr>
            <w:tcW w:w="1275" w:type="dxa"/>
            <w:hideMark/>
          </w:tcPr>
          <w:p w14:paraId="50144DB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0.39</w:t>
            </w:r>
          </w:p>
        </w:tc>
      </w:tr>
      <w:tr w:rsidR="006F75E2" w:rsidRPr="006F75E2" w14:paraId="1014506C" w14:textId="77777777" w:rsidTr="001912FC">
        <w:tc>
          <w:tcPr>
            <w:tcW w:w="0" w:type="auto"/>
            <w:hideMark/>
          </w:tcPr>
          <w:p w14:paraId="2385C7EE"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Exine Thickness (µm)</w:t>
            </w:r>
          </w:p>
        </w:tc>
        <w:tc>
          <w:tcPr>
            <w:tcW w:w="1845" w:type="dxa"/>
            <w:hideMark/>
          </w:tcPr>
          <w:p w14:paraId="5E53B1DA"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 ± 0.33</w:t>
            </w:r>
          </w:p>
        </w:tc>
        <w:tc>
          <w:tcPr>
            <w:tcW w:w="2268" w:type="dxa"/>
            <w:hideMark/>
          </w:tcPr>
          <w:p w14:paraId="4BDAE17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2.4 – 3.3</w:t>
            </w:r>
          </w:p>
        </w:tc>
        <w:tc>
          <w:tcPr>
            <w:tcW w:w="1275" w:type="dxa"/>
            <w:hideMark/>
          </w:tcPr>
          <w:p w14:paraId="27089A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11.38</w:t>
            </w:r>
          </w:p>
        </w:tc>
      </w:tr>
      <w:tr w:rsidR="006F75E2" w:rsidRPr="006F75E2" w14:paraId="6417BF31" w14:textId="77777777" w:rsidTr="001912FC">
        <w:tc>
          <w:tcPr>
            <w:tcW w:w="0" w:type="auto"/>
            <w:hideMark/>
          </w:tcPr>
          <w:p w14:paraId="765DE78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Lumina Diameter (µm)</w:t>
            </w:r>
          </w:p>
        </w:tc>
        <w:tc>
          <w:tcPr>
            <w:tcW w:w="1845" w:type="dxa"/>
            <w:hideMark/>
          </w:tcPr>
          <w:p w14:paraId="0B88B51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1.85 ± 0.19</w:t>
            </w:r>
          </w:p>
        </w:tc>
        <w:tc>
          <w:tcPr>
            <w:tcW w:w="2268" w:type="dxa"/>
            <w:hideMark/>
          </w:tcPr>
          <w:p w14:paraId="1696DA24"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1.6 – 2.1</w:t>
            </w:r>
          </w:p>
        </w:tc>
        <w:tc>
          <w:tcPr>
            <w:tcW w:w="1275" w:type="dxa"/>
            <w:hideMark/>
          </w:tcPr>
          <w:p w14:paraId="343B5AD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10.27</w:t>
            </w:r>
          </w:p>
        </w:tc>
      </w:tr>
      <w:tr w:rsidR="006F75E2" w:rsidRPr="006F75E2" w14:paraId="18D3FB86" w14:textId="77777777" w:rsidTr="001912FC">
        <w:tc>
          <w:tcPr>
            <w:tcW w:w="0" w:type="auto"/>
            <w:hideMark/>
          </w:tcPr>
          <w:p w14:paraId="7E0EAEA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Muri Thickness (µm)</w:t>
            </w:r>
          </w:p>
        </w:tc>
        <w:tc>
          <w:tcPr>
            <w:tcW w:w="1845" w:type="dxa"/>
            <w:hideMark/>
          </w:tcPr>
          <w:p w14:paraId="144E9C6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0.85 ± 0.10</w:t>
            </w:r>
          </w:p>
        </w:tc>
        <w:tc>
          <w:tcPr>
            <w:tcW w:w="2268" w:type="dxa"/>
            <w:hideMark/>
          </w:tcPr>
          <w:p w14:paraId="26D1DDC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0.7 – 1.0</w:t>
            </w:r>
          </w:p>
        </w:tc>
        <w:tc>
          <w:tcPr>
            <w:tcW w:w="1275" w:type="dxa"/>
            <w:hideMark/>
          </w:tcPr>
          <w:p w14:paraId="5C35D90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11.76</w:t>
            </w:r>
          </w:p>
        </w:tc>
      </w:tr>
      <w:tr w:rsidR="006F75E2" w:rsidRPr="006F75E2" w14:paraId="2B881EA5" w14:textId="77777777" w:rsidTr="001912FC">
        <w:tc>
          <w:tcPr>
            <w:tcW w:w="0" w:type="auto"/>
            <w:hideMark/>
          </w:tcPr>
          <w:p w14:paraId="1765019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Ornamentation Density (count/µm²)</w:t>
            </w:r>
          </w:p>
        </w:tc>
        <w:tc>
          <w:tcPr>
            <w:tcW w:w="1845" w:type="dxa"/>
            <w:hideMark/>
          </w:tcPr>
          <w:p w14:paraId="18FA193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4.72 ± 0.54</w:t>
            </w:r>
          </w:p>
        </w:tc>
        <w:tc>
          <w:tcPr>
            <w:tcW w:w="2268" w:type="dxa"/>
            <w:hideMark/>
          </w:tcPr>
          <w:p w14:paraId="4DA6A21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3.9 – 5.3</w:t>
            </w:r>
          </w:p>
        </w:tc>
        <w:tc>
          <w:tcPr>
            <w:tcW w:w="1275" w:type="dxa"/>
            <w:hideMark/>
          </w:tcPr>
          <w:p w14:paraId="0CA4DB92"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11.44</w:t>
            </w:r>
          </w:p>
        </w:tc>
      </w:tr>
    </w:tbl>
    <w:p w14:paraId="39EB07C6" w14:textId="4DA89D9A" w:rsidR="006F75E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lastRenderedPageBreak/>
        <w:t xml:space="preserve">3.4. </w:t>
      </w:r>
      <w:r w:rsidR="00BE3F1F" w:rsidRPr="00D17D14">
        <w:rPr>
          <w:rFonts w:ascii="Times New Roman" w:hAnsi="Times New Roman" w:cs="Times New Roman"/>
          <w:b/>
          <w:bCs/>
        </w:rPr>
        <w:t xml:space="preserve">Normality Assessment </w:t>
      </w:r>
      <w:r w:rsidR="003B6CB6">
        <w:rPr>
          <w:rFonts w:ascii="Times New Roman" w:hAnsi="Times New Roman" w:cs="Times New Roman"/>
          <w:b/>
          <w:bCs/>
        </w:rPr>
        <w:t>-</w:t>
      </w:r>
      <w:r w:rsidR="00BE3F1F" w:rsidRPr="00D17D14">
        <w:rPr>
          <w:rFonts w:ascii="Times New Roman" w:hAnsi="Times New Roman" w:cs="Times New Roman"/>
          <w:b/>
          <w:bCs/>
        </w:rPr>
        <w:t xml:space="preserve"> Shapiro</w:t>
      </w:r>
      <w:r w:rsidR="002E1B60">
        <w:rPr>
          <w:rFonts w:ascii="Times New Roman" w:hAnsi="Times New Roman" w:cs="Times New Roman"/>
          <w:b/>
          <w:bCs/>
        </w:rPr>
        <w:t>-</w:t>
      </w:r>
      <w:r w:rsidR="00BE3F1F" w:rsidRPr="00D17D14">
        <w:rPr>
          <w:rFonts w:ascii="Times New Roman" w:hAnsi="Times New Roman" w:cs="Times New Roman"/>
          <w:b/>
          <w:bCs/>
        </w:rPr>
        <w:t>Wilk Test</w:t>
      </w:r>
    </w:p>
    <w:p w14:paraId="0C690177" w14:textId="0AF69997" w:rsidR="00CE5FE5" w:rsidRDefault="005C1897" w:rsidP="004244AC">
      <w:pPr>
        <w:spacing w:line="360" w:lineRule="auto"/>
        <w:jc w:val="both"/>
        <w:rPr>
          <w:rFonts w:ascii="Times New Roman" w:hAnsi="Times New Roman" w:cs="Times New Roman"/>
        </w:rPr>
      </w:pPr>
      <w:r w:rsidRPr="005C1897">
        <w:rPr>
          <w:rFonts w:ascii="Times New Roman" w:hAnsi="Times New Roman" w:cs="Times New Roman"/>
        </w:rPr>
        <w:t>Shapiro–Wilk normality testing performed on the varietal mean dataset (n = 6) indicated that all quantitative pollen variables conformed to normal distribution (p &gt; 0.05). The W statistics were close to 1.0 for all traits, suggesting no significant deviation from Gaussian distribution. Exine thickness and ornamentation density showed slightly lower W values compared to size parameters, reflecting moderate dispersion but still within acceptable normal limits</w:t>
      </w:r>
      <w:r w:rsidR="00460998">
        <w:rPr>
          <w:rFonts w:ascii="Times New Roman" w:hAnsi="Times New Roman" w:cs="Times New Roman"/>
        </w:rPr>
        <w:t xml:space="preserve"> (</w:t>
      </w:r>
      <w:r w:rsidR="00460998" w:rsidRPr="00C35C7E">
        <w:rPr>
          <w:rFonts w:ascii="Times New Roman" w:hAnsi="Times New Roman" w:cs="Times New Roman"/>
        </w:rPr>
        <w:t xml:space="preserve">Table </w:t>
      </w:r>
      <w:r w:rsidR="00AD3B1A" w:rsidRPr="00C35C7E">
        <w:rPr>
          <w:rFonts w:ascii="Times New Roman" w:hAnsi="Times New Roman" w:cs="Times New Roman"/>
        </w:rPr>
        <w:t>3</w:t>
      </w:r>
      <w:r w:rsidR="00CE5FE5">
        <w:rPr>
          <w:rFonts w:ascii="Times New Roman" w:hAnsi="Times New Roman" w:cs="Times New Roman"/>
        </w:rPr>
        <w:t xml:space="preserve">) </w:t>
      </w:r>
    </w:p>
    <w:p w14:paraId="424F52B2" w14:textId="589CEEDB" w:rsidR="001F1106" w:rsidRDefault="00CE5FE5" w:rsidP="004244AC">
      <w:pPr>
        <w:spacing w:line="360" w:lineRule="auto"/>
        <w:jc w:val="both"/>
        <w:rPr>
          <w:rFonts w:ascii="Times New Roman" w:hAnsi="Times New Roman" w:cs="Times New Roman"/>
        </w:rPr>
      </w:pPr>
      <w:r>
        <w:rPr>
          <w:rFonts w:ascii="Times New Roman" w:hAnsi="Times New Roman" w:cs="Times New Roman"/>
        </w:rPr>
        <w:t>Ta</w:t>
      </w:r>
      <w:r w:rsidR="005C1897" w:rsidRPr="005C1897">
        <w:rPr>
          <w:rFonts w:ascii="Times New Roman" w:hAnsi="Times New Roman" w:cs="Times New Roman"/>
        </w:rPr>
        <w:t>ble</w:t>
      </w:r>
      <w:r w:rsidR="009977AE">
        <w:rPr>
          <w:rFonts w:ascii="Times New Roman" w:hAnsi="Times New Roman" w:cs="Times New Roman"/>
        </w:rPr>
        <w:t xml:space="preserve"> </w:t>
      </w:r>
      <w:r w:rsidR="00AD3B1A">
        <w:rPr>
          <w:rFonts w:ascii="Times New Roman" w:hAnsi="Times New Roman" w:cs="Times New Roman"/>
        </w:rPr>
        <w:t>3</w:t>
      </w:r>
      <w:r w:rsidR="004F6862">
        <w:rPr>
          <w:rFonts w:ascii="Times New Roman" w:hAnsi="Times New Roman" w:cs="Times New Roman"/>
        </w:rPr>
        <w:t>.</w:t>
      </w:r>
      <w:r w:rsidR="005C1897" w:rsidRPr="005C1897">
        <w:rPr>
          <w:rFonts w:ascii="Times New Roman" w:hAnsi="Times New Roman" w:cs="Times New Roman"/>
        </w:rPr>
        <w:t xml:space="preserve"> </w:t>
      </w:r>
      <w:r w:rsidR="00F576C9" w:rsidRPr="00F576C9">
        <w:rPr>
          <w:rFonts w:ascii="Times New Roman" w:hAnsi="Times New Roman" w:cs="Times New Roman"/>
        </w:rPr>
        <w:t>Shapiro</w:t>
      </w:r>
      <w:r w:rsidR="000953B1">
        <w:rPr>
          <w:rFonts w:ascii="Times New Roman" w:hAnsi="Times New Roman" w:cs="Times New Roman"/>
        </w:rPr>
        <w:t>-</w:t>
      </w:r>
      <w:r w:rsidR="00F576C9" w:rsidRPr="00F576C9">
        <w:rPr>
          <w:rFonts w:ascii="Times New Roman" w:hAnsi="Times New Roman" w:cs="Times New Roman"/>
        </w:rPr>
        <w:t>Wilk Normality Test for Quantitative Pollen Morphometric Variables.</w:t>
      </w:r>
    </w:p>
    <w:tbl>
      <w:tblPr>
        <w:tblStyle w:val="TableGrid"/>
        <w:tblW w:w="0" w:type="auto"/>
        <w:tblLook w:val="04A0" w:firstRow="1" w:lastRow="0" w:firstColumn="1" w:lastColumn="0" w:noHBand="0" w:noVBand="1"/>
      </w:tblPr>
      <w:tblGrid>
        <w:gridCol w:w="2689"/>
        <w:gridCol w:w="1713"/>
        <w:gridCol w:w="1276"/>
        <w:gridCol w:w="1970"/>
      </w:tblGrid>
      <w:tr w:rsidR="005C1897" w:rsidRPr="005C1897" w14:paraId="07205912" w14:textId="77777777" w:rsidTr="00B604D7">
        <w:tc>
          <w:tcPr>
            <w:tcW w:w="2689" w:type="dxa"/>
            <w:hideMark/>
          </w:tcPr>
          <w:p w14:paraId="26D8EF5B"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Variable</w:t>
            </w:r>
          </w:p>
        </w:tc>
        <w:tc>
          <w:tcPr>
            <w:tcW w:w="1713" w:type="dxa"/>
            <w:hideMark/>
          </w:tcPr>
          <w:p w14:paraId="6B634F2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W Statistic</w:t>
            </w:r>
          </w:p>
        </w:tc>
        <w:tc>
          <w:tcPr>
            <w:tcW w:w="1276" w:type="dxa"/>
            <w:hideMark/>
          </w:tcPr>
          <w:p w14:paraId="5BE03D8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p-value</w:t>
            </w:r>
          </w:p>
        </w:tc>
        <w:tc>
          <w:tcPr>
            <w:tcW w:w="0" w:type="auto"/>
            <w:hideMark/>
          </w:tcPr>
          <w:p w14:paraId="44A4F38E"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Normality Status</w:t>
            </w:r>
          </w:p>
        </w:tc>
      </w:tr>
      <w:tr w:rsidR="005C1897" w:rsidRPr="005C1897" w14:paraId="703F1A18" w14:textId="77777777" w:rsidTr="00B604D7">
        <w:tc>
          <w:tcPr>
            <w:tcW w:w="2689" w:type="dxa"/>
            <w:hideMark/>
          </w:tcPr>
          <w:p w14:paraId="7F05A9C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Polar Axis (P)</w:t>
            </w:r>
          </w:p>
        </w:tc>
        <w:tc>
          <w:tcPr>
            <w:tcW w:w="1713" w:type="dxa"/>
            <w:hideMark/>
          </w:tcPr>
          <w:p w14:paraId="174F37D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0.964</w:t>
            </w:r>
          </w:p>
        </w:tc>
        <w:tc>
          <w:tcPr>
            <w:tcW w:w="1276" w:type="dxa"/>
            <w:hideMark/>
          </w:tcPr>
          <w:p w14:paraId="551F3429"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0.84</w:t>
            </w:r>
          </w:p>
        </w:tc>
        <w:tc>
          <w:tcPr>
            <w:tcW w:w="0" w:type="auto"/>
            <w:hideMark/>
          </w:tcPr>
          <w:p w14:paraId="2920F40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3AD1007" w14:textId="77777777" w:rsidTr="00B604D7">
        <w:tc>
          <w:tcPr>
            <w:tcW w:w="2689" w:type="dxa"/>
            <w:hideMark/>
          </w:tcPr>
          <w:p w14:paraId="3FD8EB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Equatorial Diameter (E)</w:t>
            </w:r>
          </w:p>
        </w:tc>
        <w:tc>
          <w:tcPr>
            <w:tcW w:w="1713" w:type="dxa"/>
            <w:hideMark/>
          </w:tcPr>
          <w:p w14:paraId="7FC4E81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0.971</w:t>
            </w:r>
          </w:p>
        </w:tc>
        <w:tc>
          <w:tcPr>
            <w:tcW w:w="1276" w:type="dxa"/>
            <w:hideMark/>
          </w:tcPr>
          <w:p w14:paraId="4009646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0.89</w:t>
            </w:r>
          </w:p>
        </w:tc>
        <w:tc>
          <w:tcPr>
            <w:tcW w:w="0" w:type="auto"/>
            <w:hideMark/>
          </w:tcPr>
          <w:p w14:paraId="435E4C9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24B36D1F" w14:textId="77777777" w:rsidTr="00B604D7">
        <w:tc>
          <w:tcPr>
            <w:tcW w:w="2689" w:type="dxa"/>
            <w:hideMark/>
          </w:tcPr>
          <w:p w14:paraId="714CA7D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P/E Ratio</w:t>
            </w:r>
          </w:p>
        </w:tc>
        <w:tc>
          <w:tcPr>
            <w:tcW w:w="1713" w:type="dxa"/>
            <w:hideMark/>
          </w:tcPr>
          <w:p w14:paraId="24CFF8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0.948</w:t>
            </w:r>
          </w:p>
        </w:tc>
        <w:tc>
          <w:tcPr>
            <w:tcW w:w="1276" w:type="dxa"/>
            <w:hideMark/>
          </w:tcPr>
          <w:p w14:paraId="5977DB0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0.72</w:t>
            </w:r>
          </w:p>
        </w:tc>
        <w:tc>
          <w:tcPr>
            <w:tcW w:w="0" w:type="auto"/>
            <w:hideMark/>
          </w:tcPr>
          <w:p w14:paraId="661A942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029E4C" w14:textId="77777777" w:rsidTr="00B604D7">
        <w:tc>
          <w:tcPr>
            <w:tcW w:w="2689" w:type="dxa"/>
            <w:hideMark/>
          </w:tcPr>
          <w:p w14:paraId="126E11E3"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Exine Thickness</w:t>
            </w:r>
          </w:p>
        </w:tc>
        <w:tc>
          <w:tcPr>
            <w:tcW w:w="1713" w:type="dxa"/>
            <w:hideMark/>
          </w:tcPr>
          <w:p w14:paraId="23B0D9D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0.931</w:t>
            </w:r>
          </w:p>
        </w:tc>
        <w:tc>
          <w:tcPr>
            <w:tcW w:w="1276" w:type="dxa"/>
            <w:hideMark/>
          </w:tcPr>
          <w:p w14:paraId="52A256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0.59</w:t>
            </w:r>
          </w:p>
        </w:tc>
        <w:tc>
          <w:tcPr>
            <w:tcW w:w="0" w:type="auto"/>
            <w:hideMark/>
          </w:tcPr>
          <w:p w14:paraId="38D8034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8A3DE9" w14:textId="77777777" w:rsidTr="00B604D7">
        <w:tc>
          <w:tcPr>
            <w:tcW w:w="2689" w:type="dxa"/>
            <w:hideMark/>
          </w:tcPr>
          <w:p w14:paraId="497FABD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Lumina Diameter</w:t>
            </w:r>
          </w:p>
        </w:tc>
        <w:tc>
          <w:tcPr>
            <w:tcW w:w="1713" w:type="dxa"/>
            <w:hideMark/>
          </w:tcPr>
          <w:p w14:paraId="41F035F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0.939</w:t>
            </w:r>
          </w:p>
        </w:tc>
        <w:tc>
          <w:tcPr>
            <w:tcW w:w="1276" w:type="dxa"/>
            <w:hideMark/>
          </w:tcPr>
          <w:p w14:paraId="37531CE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0.63</w:t>
            </w:r>
          </w:p>
        </w:tc>
        <w:tc>
          <w:tcPr>
            <w:tcW w:w="0" w:type="auto"/>
            <w:hideMark/>
          </w:tcPr>
          <w:p w14:paraId="0A895B8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41D7E113" w14:textId="77777777" w:rsidTr="00B604D7">
        <w:tc>
          <w:tcPr>
            <w:tcW w:w="2689" w:type="dxa"/>
            <w:hideMark/>
          </w:tcPr>
          <w:p w14:paraId="1C75FFFE"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Muri Thickness</w:t>
            </w:r>
          </w:p>
        </w:tc>
        <w:tc>
          <w:tcPr>
            <w:tcW w:w="1713" w:type="dxa"/>
            <w:hideMark/>
          </w:tcPr>
          <w:p w14:paraId="75EA7FC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0.955</w:t>
            </w:r>
          </w:p>
        </w:tc>
        <w:tc>
          <w:tcPr>
            <w:tcW w:w="1276" w:type="dxa"/>
            <w:hideMark/>
          </w:tcPr>
          <w:p w14:paraId="4034BA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0.78</w:t>
            </w:r>
          </w:p>
        </w:tc>
        <w:tc>
          <w:tcPr>
            <w:tcW w:w="0" w:type="auto"/>
            <w:hideMark/>
          </w:tcPr>
          <w:p w14:paraId="41D9211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F1B33A7" w14:textId="77777777" w:rsidTr="00B604D7">
        <w:tc>
          <w:tcPr>
            <w:tcW w:w="2689" w:type="dxa"/>
            <w:hideMark/>
          </w:tcPr>
          <w:p w14:paraId="11E26EB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Ornamentation Density</w:t>
            </w:r>
          </w:p>
        </w:tc>
        <w:tc>
          <w:tcPr>
            <w:tcW w:w="1713" w:type="dxa"/>
            <w:hideMark/>
          </w:tcPr>
          <w:p w14:paraId="36BD5F8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0.928</w:t>
            </w:r>
          </w:p>
        </w:tc>
        <w:tc>
          <w:tcPr>
            <w:tcW w:w="1276" w:type="dxa"/>
            <w:hideMark/>
          </w:tcPr>
          <w:p w14:paraId="1A05C49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0.56</w:t>
            </w:r>
          </w:p>
        </w:tc>
        <w:tc>
          <w:tcPr>
            <w:tcW w:w="0" w:type="auto"/>
            <w:hideMark/>
          </w:tcPr>
          <w:p w14:paraId="6A53777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bl>
    <w:p w14:paraId="40E4C77E" w14:textId="77777777" w:rsidR="00D313C6" w:rsidRDefault="00D313C6" w:rsidP="004244AC">
      <w:pPr>
        <w:spacing w:line="360" w:lineRule="auto"/>
        <w:jc w:val="both"/>
        <w:rPr>
          <w:rFonts w:ascii="Times New Roman" w:hAnsi="Times New Roman" w:cs="Times New Roman"/>
          <w:b/>
          <w:bCs/>
        </w:rPr>
      </w:pPr>
    </w:p>
    <w:p w14:paraId="55C7B8F0" w14:textId="687B816B" w:rsidR="00E2138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3.5. </w:t>
      </w:r>
      <w:r w:rsidR="00E21382" w:rsidRPr="00D17D14">
        <w:rPr>
          <w:rFonts w:ascii="Times New Roman" w:hAnsi="Times New Roman" w:cs="Times New Roman"/>
          <w:b/>
          <w:bCs/>
        </w:rPr>
        <w:t>One-Way ANOVA Results</w:t>
      </w:r>
    </w:p>
    <w:p w14:paraId="44B72C59" w14:textId="0BCBC273" w:rsidR="00E21382" w:rsidRDefault="008D3E83" w:rsidP="004244AC">
      <w:pPr>
        <w:spacing w:line="360" w:lineRule="auto"/>
        <w:jc w:val="both"/>
        <w:rPr>
          <w:rFonts w:ascii="Times New Roman" w:hAnsi="Times New Roman" w:cs="Times New Roman"/>
        </w:rPr>
      </w:pPr>
      <w:r>
        <w:rPr>
          <w:rFonts w:ascii="Times New Roman" w:hAnsi="Times New Roman" w:cs="Times New Roman"/>
        </w:rPr>
        <w:t>O</w:t>
      </w:r>
      <w:r w:rsidR="0010472F" w:rsidRPr="0010472F">
        <w:rPr>
          <w:rFonts w:ascii="Times New Roman" w:hAnsi="Times New Roman" w:cs="Times New Roman"/>
        </w:rPr>
        <w:t xml:space="preserve">ne-way ANOVA was performed to test for significant differences among the six </w:t>
      </w:r>
      <w:proofErr w:type="spellStart"/>
      <w:r w:rsidR="0010472F" w:rsidRPr="0010472F">
        <w:rPr>
          <w:rFonts w:ascii="Times New Roman" w:hAnsi="Times New Roman" w:cs="Times New Roman"/>
        </w:rPr>
        <w:t>Panniyur</w:t>
      </w:r>
      <w:proofErr w:type="spellEnd"/>
      <w:r w:rsidR="0010472F" w:rsidRPr="0010472F">
        <w:rPr>
          <w:rFonts w:ascii="Times New Roman" w:hAnsi="Times New Roman" w:cs="Times New Roman"/>
        </w:rPr>
        <w:t xml:space="preserve"> cultivars for each quantitative pollen variable</w:t>
      </w:r>
      <w:r w:rsidR="005D648E">
        <w:rPr>
          <w:rFonts w:ascii="Times New Roman" w:hAnsi="Times New Roman" w:cs="Times New Roman"/>
        </w:rPr>
        <w:t xml:space="preserve"> (Table </w:t>
      </w:r>
      <w:r w:rsidR="00AD3B1A">
        <w:rPr>
          <w:rFonts w:ascii="Times New Roman" w:hAnsi="Times New Roman" w:cs="Times New Roman"/>
        </w:rPr>
        <w:t>4</w:t>
      </w:r>
      <w:r w:rsidR="005D648E">
        <w:rPr>
          <w:rFonts w:ascii="Times New Roman" w:hAnsi="Times New Roman" w:cs="Times New Roman"/>
        </w:rPr>
        <w:t>)</w:t>
      </w:r>
      <w:r w:rsidR="0010472F" w:rsidRPr="0010472F">
        <w:rPr>
          <w:rFonts w:ascii="Times New Roman" w:hAnsi="Times New Roman" w:cs="Times New Roman"/>
        </w:rPr>
        <w:t xml:space="preserve">. The analysis revealed statistically significant inter-varietal variation in polar axis length, equatorial diameter, exine thickness, lumina diameter, muri thickness, and ornamentation density (p &lt; 0.05). The P/E ratio did not show significant variation (p &gt; 0.05), confirming overall spheroidal stability across cultivars. Among the measured traits, exine thickness and ornamentation density showed comparatively higher F-values, indicating stronger discriminatory power at the varietal level. </w:t>
      </w:r>
    </w:p>
    <w:p w14:paraId="46AC9F79" w14:textId="6D224517" w:rsidR="0010472F" w:rsidRDefault="0010472F" w:rsidP="004244AC">
      <w:pPr>
        <w:spacing w:line="360" w:lineRule="auto"/>
        <w:jc w:val="both"/>
        <w:rPr>
          <w:rFonts w:ascii="Times New Roman" w:hAnsi="Times New Roman" w:cs="Times New Roman"/>
        </w:rPr>
      </w:pPr>
      <w:r w:rsidRPr="00C35C7E">
        <w:rPr>
          <w:rFonts w:ascii="Times New Roman" w:hAnsi="Times New Roman" w:cs="Times New Roman"/>
        </w:rPr>
        <w:t>Table</w:t>
      </w:r>
      <w:r w:rsidR="005D648E" w:rsidRPr="00C35C7E">
        <w:rPr>
          <w:rFonts w:ascii="Times New Roman" w:hAnsi="Times New Roman" w:cs="Times New Roman"/>
        </w:rPr>
        <w:t xml:space="preserve"> </w:t>
      </w:r>
      <w:r w:rsidR="00AD3B1A" w:rsidRPr="00C35C7E">
        <w:rPr>
          <w:rFonts w:ascii="Times New Roman" w:hAnsi="Times New Roman" w:cs="Times New Roman"/>
        </w:rPr>
        <w:t>4</w:t>
      </w:r>
      <w:r w:rsidR="005D648E" w:rsidRPr="00C35C7E">
        <w:rPr>
          <w:rFonts w:ascii="Times New Roman" w:hAnsi="Times New Roman" w:cs="Times New Roman"/>
        </w:rPr>
        <w:t>.</w:t>
      </w:r>
      <w:r w:rsidRPr="00C35C7E">
        <w:rPr>
          <w:rFonts w:ascii="Times New Roman" w:hAnsi="Times New Roman" w:cs="Times New Roman"/>
        </w:rPr>
        <w:t xml:space="preserve"> </w:t>
      </w:r>
      <w:r w:rsidR="00A41B29" w:rsidRPr="00A41B29">
        <w:rPr>
          <w:rFonts w:ascii="Times New Roman" w:hAnsi="Times New Roman" w:cs="Times New Roman"/>
        </w:rPr>
        <w:t xml:space="preserve">One-Way ANOVA Results Indicating Inter-Varietal Differences in Pollen Morphometric Traits Among Six </w:t>
      </w:r>
      <w:proofErr w:type="spellStart"/>
      <w:r w:rsidR="00A41B29" w:rsidRPr="00A41B29">
        <w:rPr>
          <w:rFonts w:ascii="Times New Roman" w:hAnsi="Times New Roman" w:cs="Times New Roman"/>
        </w:rPr>
        <w:t>Panniyur</w:t>
      </w:r>
      <w:proofErr w:type="spellEnd"/>
      <w:r w:rsidR="00A41B29" w:rsidRPr="00A41B29">
        <w:rPr>
          <w:rFonts w:ascii="Times New Roman" w:hAnsi="Times New Roman" w:cs="Times New Roman"/>
        </w:rPr>
        <w:t xml:space="preserve"> Cultivars.</w:t>
      </w:r>
    </w:p>
    <w:tbl>
      <w:tblPr>
        <w:tblStyle w:val="TableGrid"/>
        <w:tblW w:w="0" w:type="auto"/>
        <w:tblLook w:val="04A0" w:firstRow="1" w:lastRow="0" w:firstColumn="1" w:lastColumn="0" w:noHBand="0" w:noVBand="1"/>
      </w:tblPr>
      <w:tblGrid>
        <w:gridCol w:w="2972"/>
        <w:gridCol w:w="1418"/>
        <w:gridCol w:w="1701"/>
        <w:gridCol w:w="2126"/>
      </w:tblGrid>
      <w:tr w:rsidR="0010472F" w:rsidRPr="0010472F" w14:paraId="6A3181E6" w14:textId="77777777" w:rsidTr="0010472F">
        <w:tc>
          <w:tcPr>
            <w:tcW w:w="2972" w:type="dxa"/>
            <w:hideMark/>
          </w:tcPr>
          <w:p w14:paraId="3E29274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Variable</w:t>
            </w:r>
          </w:p>
        </w:tc>
        <w:tc>
          <w:tcPr>
            <w:tcW w:w="1418" w:type="dxa"/>
            <w:hideMark/>
          </w:tcPr>
          <w:p w14:paraId="4BD4E7D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F (5, 30)</w:t>
            </w:r>
          </w:p>
        </w:tc>
        <w:tc>
          <w:tcPr>
            <w:tcW w:w="1701" w:type="dxa"/>
            <w:hideMark/>
          </w:tcPr>
          <w:p w14:paraId="41D0335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p-value</w:t>
            </w:r>
          </w:p>
        </w:tc>
        <w:tc>
          <w:tcPr>
            <w:tcW w:w="2126" w:type="dxa"/>
            <w:hideMark/>
          </w:tcPr>
          <w:p w14:paraId="6B4FA9C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Significance</w:t>
            </w:r>
          </w:p>
        </w:tc>
      </w:tr>
      <w:tr w:rsidR="0010472F" w:rsidRPr="0010472F" w14:paraId="1DA91FAD" w14:textId="77777777" w:rsidTr="0010472F">
        <w:tc>
          <w:tcPr>
            <w:tcW w:w="2972" w:type="dxa"/>
            <w:hideMark/>
          </w:tcPr>
          <w:p w14:paraId="0851346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Polar Axis (P)</w:t>
            </w:r>
          </w:p>
        </w:tc>
        <w:tc>
          <w:tcPr>
            <w:tcW w:w="1418" w:type="dxa"/>
            <w:hideMark/>
          </w:tcPr>
          <w:p w14:paraId="2E53A00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6.42</w:t>
            </w:r>
          </w:p>
        </w:tc>
        <w:tc>
          <w:tcPr>
            <w:tcW w:w="1701" w:type="dxa"/>
            <w:hideMark/>
          </w:tcPr>
          <w:p w14:paraId="592EA2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0.0018</w:t>
            </w:r>
          </w:p>
        </w:tc>
        <w:tc>
          <w:tcPr>
            <w:tcW w:w="2126" w:type="dxa"/>
            <w:hideMark/>
          </w:tcPr>
          <w:p w14:paraId="6D1A1B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045650C" w14:textId="77777777" w:rsidTr="0010472F">
        <w:tc>
          <w:tcPr>
            <w:tcW w:w="2972" w:type="dxa"/>
            <w:hideMark/>
          </w:tcPr>
          <w:p w14:paraId="7C30FD18"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Equatorial Diameter (E)</w:t>
            </w:r>
          </w:p>
        </w:tc>
        <w:tc>
          <w:tcPr>
            <w:tcW w:w="1418" w:type="dxa"/>
            <w:hideMark/>
          </w:tcPr>
          <w:p w14:paraId="7E6A8C5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5.97</w:t>
            </w:r>
          </w:p>
        </w:tc>
        <w:tc>
          <w:tcPr>
            <w:tcW w:w="1701" w:type="dxa"/>
            <w:hideMark/>
          </w:tcPr>
          <w:p w14:paraId="58969A9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0.0029</w:t>
            </w:r>
          </w:p>
        </w:tc>
        <w:tc>
          <w:tcPr>
            <w:tcW w:w="2126" w:type="dxa"/>
            <w:hideMark/>
          </w:tcPr>
          <w:p w14:paraId="24B509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75679BE" w14:textId="77777777" w:rsidTr="0010472F">
        <w:tc>
          <w:tcPr>
            <w:tcW w:w="2972" w:type="dxa"/>
            <w:hideMark/>
          </w:tcPr>
          <w:p w14:paraId="11424EF6"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P/E Ratio</w:t>
            </w:r>
          </w:p>
        </w:tc>
        <w:tc>
          <w:tcPr>
            <w:tcW w:w="1418" w:type="dxa"/>
            <w:hideMark/>
          </w:tcPr>
          <w:p w14:paraId="37DBDF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1.21</w:t>
            </w:r>
          </w:p>
        </w:tc>
        <w:tc>
          <w:tcPr>
            <w:tcW w:w="1701" w:type="dxa"/>
            <w:hideMark/>
          </w:tcPr>
          <w:p w14:paraId="09172AF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0.324</w:t>
            </w:r>
          </w:p>
        </w:tc>
        <w:tc>
          <w:tcPr>
            <w:tcW w:w="2126" w:type="dxa"/>
            <w:hideMark/>
          </w:tcPr>
          <w:p w14:paraId="58D7514A"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Not Significant</w:t>
            </w:r>
          </w:p>
        </w:tc>
      </w:tr>
      <w:tr w:rsidR="0010472F" w:rsidRPr="0010472F" w14:paraId="17485449" w14:textId="77777777" w:rsidTr="0010472F">
        <w:tc>
          <w:tcPr>
            <w:tcW w:w="2972" w:type="dxa"/>
            <w:hideMark/>
          </w:tcPr>
          <w:p w14:paraId="2B89638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lastRenderedPageBreak/>
              <w:t>Exine Thickness</w:t>
            </w:r>
          </w:p>
        </w:tc>
        <w:tc>
          <w:tcPr>
            <w:tcW w:w="1418" w:type="dxa"/>
            <w:hideMark/>
          </w:tcPr>
          <w:p w14:paraId="50BB6B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8.54</w:t>
            </w:r>
          </w:p>
        </w:tc>
        <w:tc>
          <w:tcPr>
            <w:tcW w:w="1701" w:type="dxa"/>
            <w:hideMark/>
          </w:tcPr>
          <w:p w14:paraId="410DC40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0.0004</w:t>
            </w:r>
          </w:p>
        </w:tc>
        <w:tc>
          <w:tcPr>
            <w:tcW w:w="2126" w:type="dxa"/>
            <w:hideMark/>
          </w:tcPr>
          <w:p w14:paraId="4826E5B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3E25F03" w14:textId="77777777" w:rsidTr="0010472F">
        <w:tc>
          <w:tcPr>
            <w:tcW w:w="2972" w:type="dxa"/>
            <w:hideMark/>
          </w:tcPr>
          <w:p w14:paraId="4CD6391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Lumina Diameter</w:t>
            </w:r>
          </w:p>
        </w:tc>
        <w:tc>
          <w:tcPr>
            <w:tcW w:w="1418" w:type="dxa"/>
            <w:hideMark/>
          </w:tcPr>
          <w:p w14:paraId="515895D2"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4.88</w:t>
            </w:r>
          </w:p>
        </w:tc>
        <w:tc>
          <w:tcPr>
            <w:tcW w:w="1701" w:type="dxa"/>
            <w:hideMark/>
          </w:tcPr>
          <w:p w14:paraId="4E78862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0.0056</w:t>
            </w:r>
          </w:p>
        </w:tc>
        <w:tc>
          <w:tcPr>
            <w:tcW w:w="2126" w:type="dxa"/>
            <w:hideMark/>
          </w:tcPr>
          <w:p w14:paraId="00BFA9D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1024F9B" w14:textId="77777777" w:rsidTr="0010472F">
        <w:tc>
          <w:tcPr>
            <w:tcW w:w="2972" w:type="dxa"/>
            <w:hideMark/>
          </w:tcPr>
          <w:p w14:paraId="2E63D6C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Muri Thickness</w:t>
            </w:r>
          </w:p>
        </w:tc>
        <w:tc>
          <w:tcPr>
            <w:tcW w:w="1418" w:type="dxa"/>
            <w:hideMark/>
          </w:tcPr>
          <w:p w14:paraId="47324ED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5.11</w:t>
            </w:r>
          </w:p>
        </w:tc>
        <w:tc>
          <w:tcPr>
            <w:tcW w:w="1701" w:type="dxa"/>
            <w:hideMark/>
          </w:tcPr>
          <w:p w14:paraId="7006F50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0.0042</w:t>
            </w:r>
          </w:p>
        </w:tc>
        <w:tc>
          <w:tcPr>
            <w:tcW w:w="2126" w:type="dxa"/>
            <w:hideMark/>
          </w:tcPr>
          <w:p w14:paraId="55F206F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6B13DAE" w14:textId="77777777" w:rsidTr="0010472F">
        <w:tc>
          <w:tcPr>
            <w:tcW w:w="2972" w:type="dxa"/>
            <w:hideMark/>
          </w:tcPr>
          <w:p w14:paraId="10B4BC4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Ornamentation Density</w:t>
            </w:r>
          </w:p>
        </w:tc>
        <w:tc>
          <w:tcPr>
            <w:tcW w:w="1418" w:type="dxa"/>
            <w:hideMark/>
          </w:tcPr>
          <w:p w14:paraId="00A801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7.26</w:t>
            </w:r>
          </w:p>
        </w:tc>
        <w:tc>
          <w:tcPr>
            <w:tcW w:w="1701" w:type="dxa"/>
            <w:hideMark/>
          </w:tcPr>
          <w:p w14:paraId="4843FD9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0.0009</w:t>
            </w:r>
          </w:p>
        </w:tc>
        <w:tc>
          <w:tcPr>
            <w:tcW w:w="2126" w:type="dxa"/>
            <w:hideMark/>
          </w:tcPr>
          <w:p w14:paraId="736361F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bl>
    <w:p w14:paraId="1F761214" w14:textId="0537BA64" w:rsidR="005D648E" w:rsidRDefault="005D648E" w:rsidP="004244AC">
      <w:pPr>
        <w:spacing w:line="360" w:lineRule="auto"/>
        <w:jc w:val="both"/>
        <w:rPr>
          <w:rFonts w:ascii="Times New Roman" w:hAnsi="Times New Roman" w:cs="Times New Roman"/>
        </w:rPr>
      </w:pPr>
    </w:p>
    <w:p w14:paraId="28629EDE" w14:textId="19307C92" w:rsidR="0010472F" w:rsidRDefault="00556913" w:rsidP="004244AC">
      <w:pPr>
        <w:spacing w:line="360" w:lineRule="auto"/>
        <w:jc w:val="both"/>
        <w:rPr>
          <w:rFonts w:ascii="Times New Roman" w:hAnsi="Times New Roman" w:cs="Times New Roman"/>
        </w:rPr>
      </w:pPr>
      <w:r w:rsidRPr="00556913">
        <w:rPr>
          <w:rFonts w:ascii="Times New Roman" w:hAnsi="Times New Roman" w:cs="Times New Roman"/>
        </w:rPr>
        <w:t xml:space="preserve">The ANOVA results demonstrate that most exine architectural traits contribute significantly to varietal differentiation, whereas overall pollen shape (P/E ratio) remains conserved. Exine thickness and ornamentation density emerged as the most discriminating quantitative variables among the six </w:t>
      </w:r>
      <w:proofErr w:type="spellStart"/>
      <w:r w:rsidRPr="00556913">
        <w:rPr>
          <w:rFonts w:ascii="Times New Roman" w:hAnsi="Times New Roman" w:cs="Times New Roman"/>
        </w:rPr>
        <w:t>Panniyur</w:t>
      </w:r>
      <w:proofErr w:type="spellEnd"/>
      <w:r w:rsidRPr="00556913">
        <w:rPr>
          <w:rFonts w:ascii="Times New Roman" w:hAnsi="Times New Roman" w:cs="Times New Roman"/>
        </w:rPr>
        <w:t xml:space="preserve"> cultivars.</w:t>
      </w:r>
    </w:p>
    <w:p w14:paraId="147ADA3F" w14:textId="01AC4161" w:rsidR="00556913" w:rsidRPr="005D7A5E"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3.6. </w:t>
      </w:r>
      <w:r w:rsidR="0033426A" w:rsidRPr="005D7A5E">
        <w:rPr>
          <w:rFonts w:ascii="Times New Roman" w:hAnsi="Times New Roman" w:cs="Times New Roman"/>
          <w:b/>
          <w:bCs/>
        </w:rPr>
        <w:t>Principal Component Analysis (PCA)</w:t>
      </w:r>
    </w:p>
    <w:p w14:paraId="08AAD0BD" w14:textId="3CBCC6AB" w:rsidR="0033426A" w:rsidRDefault="00D17D14" w:rsidP="004244AC">
      <w:pPr>
        <w:spacing w:line="360" w:lineRule="auto"/>
        <w:jc w:val="both"/>
        <w:rPr>
          <w:rFonts w:ascii="Times New Roman" w:hAnsi="Times New Roman" w:cs="Times New Roman"/>
        </w:rPr>
      </w:pPr>
      <w:r w:rsidRPr="00813D7F">
        <w:rPr>
          <w:rFonts w:ascii="Times New Roman" w:hAnsi="Times New Roman" w:cs="Times New Roman"/>
        </w:rPr>
        <w:t xml:space="preserve">Principal Component Analysis of the seven quantitative pollen variables in six </w:t>
      </w:r>
      <w:proofErr w:type="spellStart"/>
      <w:r w:rsidRPr="00813D7F">
        <w:rPr>
          <w:rFonts w:ascii="Times New Roman" w:hAnsi="Times New Roman" w:cs="Times New Roman"/>
        </w:rPr>
        <w:t>Panniyur</w:t>
      </w:r>
      <w:proofErr w:type="spellEnd"/>
      <w:r w:rsidRPr="00813D7F">
        <w:rPr>
          <w:rFonts w:ascii="Times New Roman" w:hAnsi="Times New Roman" w:cs="Times New Roman"/>
        </w:rPr>
        <w:t xml:space="preserve"> cultivars of </w:t>
      </w:r>
      <w:r w:rsidRPr="00813D7F">
        <w:rPr>
          <w:rFonts w:ascii="Times New Roman" w:hAnsi="Times New Roman" w:cs="Times New Roman"/>
          <w:i/>
          <w:iCs/>
        </w:rPr>
        <w:t>Piper nigrum</w:t>
      </w:r>
      <w:r w:rsidRPr="00813D7F">
        <w:rPr>
          <w:rFonts w:ascii="Times New Roman" w:hAnsi="Times New Roman" w:cs="Times New Roman"/>
        </w:rPr>
        <w:t xml:space="preserve"> revealed that PC1 explained 84.1% of the total variance, while PC2 accounted for 13.1%, together contributing 97.2% of cumulative variation</w:t>
      </w:r>
      <w:r w:rsidR="00137623">
        <w:rPr>
          <w:rFonts w:ascii="Times New Roman" w:hAnsi="Times New Roman" w:cs="Times New Roman"/>
        </w:rPr>
        <w:t xml:space="preserve"> </w:t>
      </w:r>
      <w:r w:rsidRPr="00D17D14">
        <w:rPr>
          <w:rFonts w:ascii="Times New Roman" w:hAnsi="Times New Roman" w:cs="Times New Roman"/>
        </w:rPr>
        <w:t xml:space="preserve">PC1 was strongly influenced by pollen size parameters (Polar axis, Equatorial diameter), exine thickness, muri thickness, and ornamentation density, indicating that these traits drive primary varietal differentiation. PC2 was largely associated with P/E ratio and lumina diameter, reflecting minor shape-related variation. The biplot </w:t>
      </w:r>
      <w:r w:rsidR="00630905">
        <w:rPr>
          <w:rFonts w:ascii="Times New Roman" w:hAnsi="Times New Roman" w:cs="Times New Roman"/>
        </w:rPr>
        <w:t>in f</w:t>
      </w:r>
      <w:r w:rsidR="00630905" w:rsidRPr="00C35C7E">
        <w:rPr>
          <w:rFonts w:ascii="Times New Roman" w:hAnsi="Times New Roman" w:cs="Times New Roman"/>
        </w:rPr>
        <w:t>ig</w:t>
      </w:r>
      <w:r w:rsidR="00630905">
        <w:rPr>
          <w:rFonts w:ascii="Times New Roman" w:hAnsi="Times New Roman" w:cs="Times New Roman"/>
        </w:rPr>
        <w:t>ure</w:t>
      </w:r>
      <w:r w:rsidR="00630905" w:rsidRPr="00C35C7E">
        <w:rPr>
          <w:rFonts w:ascii="Times New Roman" w:hAnsi="Times New Roman" w:cs="Times New Roman"/>
        </w:rPr>
        <w:t xml:space="preserve"> 2</w:t>
      </w:r>
      <w:r w:rsidR="00630905" w:rsidRPr="00D17D14">
        <w:rPr>
          <w:rFonts w:ascii="Times New Roman" w:hAnsi="Times New Roman" w:cs="Times New Roman"/>
        </w:rPr>
        <w:t xml:space="preserve"> </w:t>
      </w:r>
      <w:r w:rsidRPr="00D17D14">
        <w:rPr>
          <w:rFonts w:ascii="Times New Roman" w:hAnsi="Times New Roman" w:cs="Times New Roman"/>
        </w:rPr>
        <w:t>demonstrates clear separation of Panniyur-2 along the positive PC1 axis due to smaller size but distinct surface traits, while Panniyur-5 and Panniyur-6 cluster together, reflecting morphological similarity in exine architecture. The strong loading of exine thickness and ornamentation density confirms their major contribution to cultivar discrimination.</w:t>
      </w:r>
    </w:p>
    <w:p w14:paraId="5CE67CBA" w14:textId="62765442" w:rsidR="00903100" w:rsidRDefault="00016D01" w:rsidP="004244AC">
      <w:pPr>
        <w:spacing w:line="360" w:lineRule="auto"/>
        <w:jc w:val="both"/>
        <w:rPr>
          <w:rFonts w:ascii="Times New Roman" w:hAnsi="Times New Roman" w:cs="Times New Roman"/>
        </w:rPr>
      </w:pPr>
      <w:r>
        <w:rPr>
          <w:noProof/>
        </w:rPr>
        <w:lastRenderedPageBreak/>
        <w:drawing>
          <wp:inline distT="0" distB="0" distL="0" distR="0" wp14:anchorId="54FB6D5D" wp14:editId="03B2E620">
            <wp:extent cx="5731510" cy="4291330"/>
            <wp:effectExtent l="0" t="0" r="2540" b="0"/>
            <wp:docPr id="23470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a:graphicData>
            </a:graphic>
          </wp:inline>
        </w:drawing>
      </w:r>
    </w:p>
    <w:p w14:paraId="27536B9B" w14:textId="25352123" w:rsidR="00903100" w:rsidRDefault="008947D7" w:rsidP="004244AC">
      <w:pPr>
        <w:spacing w:line="360" w:lineRule="auto"/>
        <w:jc w:val="both"/>
        <w:rPr>
          <w:rFonts w:ascii="Times New Roman" w:hAnsi="Times New Roman" w:cs="Times New Roman"/>
        </w:rPr>
      </w:pPr>
      <w:r>
        <w:rPr>
          <w:rFonts w:ascii="Times New Roman" w:hAnsi="Times New Roman" w:cs="Times New Roman"/>
        </w:rPr>
        <w:t xml:space="preserve">Figure </w:t>
      </w:r>
      <w:r w:rsidR="00AD3B1A" w:rsidRPr="00A8379A">
        <w:rPr>
          <w:rFonts w:ascii="Times New Roman" w:hAnsi="Times New Roman" w:cs="Times New Roman"/>
        </w:rPr>
        <w:t>2</w:t>
      </w:r>
      <w:r w:rsidRPr="00A8379A">
        <w:rPr>
          <w:rFonts w:ascii="Times New Roman" w:hAnsi="Times New Roman" w:cs="Times New Roman"/>
        </w:rPr>
        <w:t>.</w:t>
      </w:r>
      <w:r>
        <w:rPr>
          <w:rFonts w:ascii="Times New Roman" w:hAnsi="Times New Roman" w:cs="Times New Roman"/>
        </w:rPr>
        <w:t xml:space="preserve"> </w:t>
      </w:r>
      <w:r w:rsidR="00A8379A" w:rsidRPr="00A8379A">
        <w:rPr>
          <w:rFonts w:ascii="Times New Roman" w:hAnsi="Times New Roman" w:cs="Times New Roman"/>
        </w:rPr>
        <w:t xml:space="preserve">Principal Component Analysis (PCA) Biplot Showing Morphometric Differentiation Among Six </w:t>
      </w:r>
      <w:proofErr w:type="spellStart"/>
      <w:r w:rsidR="00A8379A" w:rsidRPr="00A8379A">
        <w:rPr>
          <w:rFonts w:ascii="Times New Roman" w:hAnsi="Times New Roman" w:cs="Times New Roman"/>
        </w:rPr>
        <w:t>Panniyur</w:t>
      </w:r>
      <w:proofErr w:type="spellEnd"/>
      <w:r w:rsidR="00A8379A" w:rsidRPr="00A8379A">
        <w:rPr>
          <w:rFonts w:ascii="Times New Roman" w:hAnsi="Times New Roman" w:cs="Times New Roman"/>
        </w:rPr>
        <w:t xml:space="preserve"> Cultivars of </w:t>
      </w:r>
      <w:r w:rsidR="00A8379A" w:rsidRPr="00A8379A">
        <w:rPr>
          <w:rFonts w:ascii="Times New Roman" w:hAnsi="Times New Roman" w:cs="Times New Roman"/>
          <w:i/>
          <w:iCs/>
        </w:rPr>
        <w:t>Piper nigrum</w:t>
      </w:r>
      <w:r w:rsidR="00A8379A" w:rsidRPr="00A8379A">
        <w:rPr>
          <w:rFonts w:ascii="Times New Roman" w:hAnsi="Times New Roman" w:cs="Times New Roman"/>
        </w:rPr>
        <w:t>.</w:t>
      </w:r>
    </w:p>
    <w:p w14:paraId="49286B68" w14:textId="51182D2D" w:rsidR="008947D7" w:rsidRPr="00DE7682"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3.7. </w:t>
      </w:r>
      <w:r w:rsidR="00D13419" w:rsidRPr="00DE7682">
        <w:rPr>
          <w:rFonts w:ascii="Times New Roman" w:hAnsi="Times New Roman" w:cs="Times New Roman"/>
          <w:b/>
          <w:bCs/>
        </w:rPr>
        <w:t>Hierarchical Cluster Analysis (Ward’s Method)</w:t>
      </w:r>
    </w:p>
    <w:p w14:paraId="738339A4" w14:textId="4E66E7B1" w:rsidR="00DE7682" w:rsidRDefault="00DE7682" w:rsidP="004244AC">
      <w:pPr>
        <w:spacing w:line="360" w:lineRule="auto"/>
        <w:jc w:val="both"/>
        <w:rPr>
          <w:rFonts w:ascii="Times New Roman" w:hAnsi="Times New Roman" w:cs="Times New Roman"/>
        </w:rPr>
      </w:pPr>
      <w:r w:rsidRPr="00DE7682">
        <w:rPr>
          <w:rFonts w:ascii="Times New Roman" w:hAnsi="Times New Roman" w:cs="Times New Roman"/>
        </w:rPr>
        <w:t xml:space="preserve">Ward’s hierarchical clustering based on standardized pollen morphometric variables clearly separated the six </w:t>
      </w:r>
      <w:proofErr w:type="spellStart"/>
      <w:r w:rsidRPr="00DE7682">
        <w:rPr>
          <w:rFonts w:ascii="Times New Roman" w:hAnsi="Times New Roman" w:cs="Times New Roman"/>
        </w:rPr>
        <w:t>Panniyur</w:t>
      </w:r>
      <w:proofErr w:type="spellEnd"/>
      <w:r w:rsidRPr="00DE7682">
        <w:rPr>
          <w:rFonts w:ascii="Times New Roman" w:hAnsi="Times New Roman" w:cs="Times New Roman"/>
        </w:rPr>
        <w:t xml:space="preserve"> cultivars into two major clusters</w:t>
      </w:r>
      <w:r w:rsidR="001C5889">
        <w:rPr>
          <w:rFonts w:ascii="Times New Roman" w:hAnsi="Times New Roman" w:cs="Times New Roman"/>
        </w:rPr>
        <w:t xml:space="preserve"> (</w:t>
      </w:r>
      <w:r w:rsidR="001C5889" w:rsidRPr="00C35C7E">
        <w:rPr>
          <w:rFonts w:ascii="Times New Roman" w:hAnsi="Times New Roman" w:cs="Times New Roman"/>
        </w:rPr>
        <w:t>Fig</w:t>
      </w:r>
      <w:r w:rsidR="00AD3B1A" w:rsidRPr="00C35C7E">
        <w:rPr>
          <w:rFonts w:ascii="Times New Roman" w:hAnsi="Times New Roman" w:cs="Times New Roman"/>
        </w:rPr>
        <w:t>. 3</w:t>
      </w:r>
      <w:r w:rsidR="001C5889">
        <w:rPr>
          <w:rFonts w:ascii="Times New Roman" w:hAnsi="Times New Roman" w:cs="Times New Roman"/>
        </w:rPr>
        <w:t>)</w:t>
      </w:r>
      <w:r w:rsidRPr="00DE7682">
        <w:rPr>
          <w:rFonts w:ascii="Times New Roman" w:hAnsi="Times New Roman" w:cs="Times New Roman"/>
        </w:rPr>
        <w:t xml:space="preserve">. The first cluster grouped </w:t>
      </w:r>
      <w:r w:rsidRPr="001701E0">
        <w:rPr>
          <w:rFonts w:ascii="Times New Roman" w:hAnsi="Times New Roman" w:cs="Times New Roman"/>
        </w:rPr>
        <w:t xml:space="preserve">P4, P5, and P6, indicating strong similarity in exine thickness, muri thickness, and ornamentation density. The second cluster comprised P1, P2, and P3, </w:t>
      </w:r>
      <w:r w:rsidRPr="00DE7682">
        <w:rPr>
          <w:rFonts w:ascii="Times New Roman" w:hAnsi="Times New Roman" w:cs="Times New Roman"/>
        </w:rPr>
        <w:t>reflecting closer resemblance in basic pollen size parameters (polar and equatorial dimensions). Within clusters, P4 and P5 showed the closest affinity, while P2 formed a relatively distinct branch within its group, consistent with its smaller pollen size and lower ornamentation density observed in ANOVA and PCA. The substantial linkage distance between the two primary clusters confirms meaningful morphometric divergence among cultivar groups, supporting the utility of pollen architectural traits for varietal discrimination.</w:t>
      </w:r>
    </w:p>
    <w:p w14:paraId="0246831B" w14:textId="1BE6C8DA" w:rsidR="00631DA1" w:rsidRDefault="008D7FF5" w:rsidP="008D7FF5">
      <w:pPr>
        <w:spacing w:line="360" w:lineRule="auto"/>
        <w:jc w:val="center"/>
        <w:rPr>
          <w:rFonts w:ascii="Times New Roman" w:hAnsi="Times New Roman" w:cs="Times New Roman"/>
        </w:rPr>
      </w:pPr>
      <w:r>
        <w:rPr>
          <w:noProof/>
        </w:rPr>
        <w:lastRenderedPageBreak/>
        <w:drawing>
          <wp:inline distT="0" distB="0" distL="0" distR="0" wp14:anchorId="71EFD396" wp14:editId="1F2EDF0F">
            <wp:extent cx="5204202" cy="3882683"/>
            <wp:effectExtent l="0" t="0" r="0" b="3810"/>
            <wp:docPr id="1504943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423" cy="3885832"/>
                    </a:xfrm>
                    <a:prstGeom prst="rect">
                      <a:avLst/>
                    </a:prstGeom>
                    <a:noFill/>
                    <a:ln>
                      <a:noFill/>
                    </a:ln>
                  </pic:spPr>
                </pic:pic>
              </a:graphicData>
            </a:graphic>
          </wp:inline>
        </w:drawing>
      </w:r>
    </w:p>
    <w:p w14:paraId="14E0F5B4" w14:textId="77777777" w:rsidR="006F6942" w:rsidRDefault="00D13419" w:rsidP="009248ED">
      <w:pPr>
        <w:spacing w:line="360" w:lineRule="auto"/>
        <w:jc w:val="both"/>
        <w:rPr>
          <w:rFonts w:ascii="Times New Roman" w:hAnsi="Times New Roman" w:cs="Times New Roman"/>
        </w:rPr>
      </w:pPr>
      <w:r>
        <w:rPr>
          <w:rFonts w:ascii="Times New Roman" w:hAnsi="Times New Roman" w:cs="Times New Roman"/>
        </w:rPr>
        <w:t xml:space="preserve">Figure </w:t>
      </w:r>
      <w:r w:rsidR="00AD3B1A">
        <w:rPr>
          <w:rFonts w:ascii="Times New Roman" w:hAnsi="Times New Roman" w:cs="Times New Roman"/>
        </w:rPr>
        <w:t>3.</w:t>
      </w:r>
      <w:r>
        <w:rPr>
          <w:rFonts w:ascii="Times New Roman" w:hAnsi="Times New Roman" w:cs="Times New Roman"/>
        </w:rPr>
        <w:t xml:space="preserve"> </w:t>
      </w:r>
      <w:r w:rsidR="006F6942" w:rsidRPr="006F6942">
        <w:rPr>
          <w:rFonts w:ascii="Times New Roman" w:hAnsi="Times New Roman" w:cs="Times New Roman"/>
        </w:rPr>
        <w:t xml:space="preserve">Hierarchical Cluster Dendrogram (Ward’s Method) Illustrating Morphometric Relationships Among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Cultivars of </w:t>
      </w:r>
      <w:r w:rsidR="006F6942" w:rsidRPr="006F6942">
        <w:rPr>
          <w:rFonts w:ascii="Times New Roman" w:hAnsi="Times New Roman" w:cs="Times New Roman"/>
          <w:i/>
          <w:iCs/>
        </w:rPr>
        <w:t>Piper nigrum</w:t>
      </w:r>
      <w:r w:rsidR="006F6942" w:rsidRPr="006F6942">
        <w:rPr>
          <w:rFonts w:ascii="Times New Roman" w:hAnsi="Times New Roman" w:cs="Times New Roman"/>
        </w:rPr>
        <w:t>.</w:t>
      </w:r>
    </w:p>
    <w:p w14:paraId="5EAA5294" w14:textId="32983974" w:rsidR="009248ED" w:rsidRPr="009248ED" w:rsidRDefault="006448A3" w:rsidP="009248ED">
      <w:pPr>
        <w:spacing w:line="360" w:lineRule="auto"/>
        <w:jc w:val="both"/>
        <w:rPr>
          <w:rFonts w:ascii="Times New Roman" w:hAnsi="Times New Roman" w:cs="Times New Roman"/>
          <w:b/>
          <w:bCs/>
        </w:rPr>
      </w:pPr>
      <w:r>
        <w:rPr>
          <w:rFonts w:ascii="Times New Roman" w:hAnsi="Times New Roman" w:cs="Times New Roman"/>
          <w:b/>
          <w:bCs/>
        </w:rPr>
        <w:t xml:space="preserve">3.8. </w:t>
      </w:r>
      <w:r w:rsidR="009248ED" w:rsidRPr="009248ED">
        <w:rPr>
          <w:rFonts w:ascii="Times New Roman" w:hAnsi="Times New Roman" w:cs="Times New Roman"/>
          <w:b/>
          <w:bCs/>
        </w:rPr>
        <w:t>Discriminant Function Analysis (DFA)</w:t>
      </w:r>
    </w:p>
    <w:p w14:paraId="26448CA5" w14:textId="6F9D9E2A" w:rsidR="00105CAC" w:rsidRPr="00C35C7E" w:rsidRDefault="00021B4D" w:rsidP="004244AC">
      <w:pPr>
        <w:spacing w:line="360" w:lineRule="auto"/>
        <w:jc w:val="both"/>
        <w:rPr>
          <w:rFonts w:ascii="Times New Roman" w:hAnsi="Times New Roman" w:cs="Times New Roman"/>
        </w:rPr>
      </w:pPr>
      <w:r w:rsidRPr="00021B4D">
        <w:rPr>
          <w:rFonts w:ascii="Times New Roman" w:hAnsi="Times New Roman" w:cs="Times New Roman"/>
        </w:rPr>
        <w:t xml:space="preserve">Discriminant Function Analysis was performed to evaluate the classification accuracy of pollen morphometric variables among the six </w:t>
      </w:r>
      <w:proofErr w:type="spellStart"/>
      <w:r w:rsidRPr="00021B4D">
        <w:rPr>
          <w:rFonts w:ascii="Times New Roman" w:hAnsi="Times New Roman" w:cs="Times New Roman"/>
        </w:rPr>
        <w:t>Panniyur</w:t>
      </w:r>
      <w:proofErr w:type="spellEnd"/>
      <w:r w:rsidRPr="00021B4D">
        <w:rPr>
          <w:rFonts w:ascii="Times New Roman" w:hAnsi="Times New Roman" w:cs="Times New Roman"/>
        </w:rPr>
        <w:t xml:space="preserve"> cultivars of </w:t>
      </w:r>
      <w:r w:rsidRPr="00021B4D">
        <w:rPr>
          <w:rFonts w:ascii="Times New Roman" w:hAnsi="Times New Roman" w:cs="Times New Roman"/>
          <w:i/>
          <w:iCs/>
        </w:rPr>
        <w:t>Piper nigrum</w:t>
      </w:r>
      <w:r w:rsidRPr="00021B4D">
        <w:rPr>
          <w:rFonts w:ascii="Times New Roman" w:hAnsi="Times New Roman" w:cs="Times New Roman"/>
        </w:rPr>
        <w:t xml:space="preserve">. Two discriminant functions (LD1 and LD2) were extracted, with LD1 explaining the majority of between-group variance. Clear spatial segregation of cultivar groups is observed along LD1, primarily driven by exine thickness, ornamentation density, and pollen size parameters. Leave-One-Out Cross-Validation yielded </w:t>
      </w:r>
      <w:r w:rsidRPr="00847A81">
        <w:rPr>
          <w:rFonts w:ascii="Times New Roman" w:hAnsi="Times New Roman" w:cs="Times New Roman"/>
        </w:rPr>
        <w:t>100% classification accuracy</w:t>
      </w:r>
      <w:r w:rsidRPr="00021B4D">
        <w:rPr>
          <w:rFonts w:ascii="Times New Roman" w:hAnsi="Times New Roman" w:cs="Times New Roman"/>
        </w:rPr>
        <w:t>, indicating strong discriminatory power of the combined morphometric dataset. The DFA ordination confirms results from PCA and cluster analysis, demonstrating that exine architectural traits significantly enhance varietal discrimination, while basic pollen shape parameters contribute secondary differentiation.</w:t>
      </w:r>
      <w:r w:rsidR="00230F64">
        <w:rPr>
          <w:rFonts w:ascii="Times New Roman" w:hAnsi="Times New Roman" w:cs="Times New Roman"/>
        </w:rPr>
        <w:t xml:space="preserve"> </w:t>
      </w:r>
      <w:r w:rsidR="00230F64" w:rsidRPr="00C35C7E">
        <w:rPr>
          <w:rFonts w:ascii="Times New Roman" w:hAnsi="Times New Roman" w:cs="Times New Roman"/>
        </w:rPr>
        <w:t xml:space="preserve">The different colours in the DFA </w:t>
      </w:r>
      <w:r w:rsidR="00297799">
        <w:rPr>
          <w:rFonts w:ascii="Times New Roman" w:hAnsi="Times New Roman" w:cs="Times New Roman"/>
        </w:rPr>
        <w:t xml:space="preserve">in </w:t>
      </w:r>
      <w:r w:rsidR="00230F64" w:rsidRPr="00C35C7E">
        <w:rPr>
          <w:rFonts w:ascii="Times New Roman" w:hAnsi="Times New Roman" w:cs="Times New Roman"/>
        </w:rPr>
        <w:t>figure</w:t>
      </w:r>
      <w:r w:rsidR="00297799" w:rsidRPr="00C35C7E">
        <w:rPr>
          <w:rFonts w:ascii="Times New Roman" w:hAnsi="Times New Roman" w:cs="Times New Roman"/>
        </w:rPr>
        <w:t xml:space="preserve"> 4</w:t>
      </w:r>
      <w:r w:rsidR="00230F64" w:rsidRPr="00C35C7E">
        <w:rPr>
          <w:rFonts w:ascii="Times New Roman" w:hAnsi="Times New Roman" w:cs="Times New Roman"/>
        </w:rPr>
        <w:t xml:space="preserve"> represent individual </w:t>
      </w:r>
      <w:proofErr w:type="spellStart"/>
      <w:r w:rsidR="00230F64" w:rsidRPr="00C35C7E">
        <w:rPr>
          <w:rFonts w:ascii="Times New Roman" w:hAnsi="Times New Roman" w:cs="Times New Roman"/>
        </w:rPr>
        <w:t>Panniyur</w:t>
      </w:r>
      <w:proofErr w:type="spellEnd"/>
      <w:r w:rsidR="00230F64" w:rsidRPr="00C35C7E">
        <w:rPr>
          <w:rFonts w:ascii="Times New Roman" w:hAnsi="Times New Roman" w:cs="Times New Roman"/>
        </w:rPr>
        <w:t xml:space="preserve"> cultivars, with each colour corresponding to one cultivar group to visually distinguish their separation and clustering patterns in discriminant space.</w:t>
      </w:r>
    </w:p>
    <w:p w14:paraId="268C206F" w14:textId="04600482" w:rsidR="00105CAC" w:rsidRDefault="007C6471" w:rsidP="007C6471">
      <w:pPr>
        <w:spacing w:line="360" w:lineRule="auto"/>
        <w:jc w:val="center"/>
        <w:rPr>
          <w:rFonts w:ascii="Times New Roman" w:hAnsi="Times New Roman" w:cs="Times New Roman"/>
        </w:rPr>
      </w:pPr>
      <w:r>
        <w:rPr>
          <w:noProof/>
        </w:rPr>
        <w:lastRenderedPageBreak/>
        <w:drawing>
          <wp:inline distT="0" distB="0" distL="0" distR="0" wp14:anchorId="1200214F" wp14:editId="4CB37B89">
            <wp:extent cx="5449328" cy="4065563"/>
            <wp:effectExtent l="0" t="0" r="0" b="0"/>
            <wp:docPr id="676495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238" cy="4069226"/>
                    </a:xfrm>
                    <a:prstGeom prst="rect">
                      <a:avLst/>
                    </a:prstGeom>
                    <a:noFill/>
                    <a:ln>
                      <a:noFill/>
                    </a:ln>
                  </pic:spPr>
                </pic:pic>
              </a:graphicData>
            </a:graphic>
          </wp:inline>
        </w:drawing>
      </w:r>
    </w:p>
    <w:p w14:paraId="6A5825A3" w14:textId="43684730" w:rsidR="00105CAC" w:rsidRDefault="00105CAC" w:rsidP="004244AC">
      <w:pPr>
        <w:spacing w:line="360" w:lineRule="auto"/>
        <w:jc w:val="both"/>
        <w:rPr>
          <w:rFonts w:ascii="Times New Roman" w:hAnsi="Times New Roman" w:cs="Times New Roman"/>
        </w:rPr>
      </w:pPr>
      <w:r>
        <w:rPr>
          <w:rFonts w:ascii="Times New Roman" w:hAnsi="Times New Roman" w:cs="Times New Roman"/>
        </w:rPr>
        <w:t>Figure</w:t>
      </w:r>
      <w:r w:rsidR="00177523">
        <w:rPr>
          <w:rFonts w:ascii="Times New Roman" w:hAnsi="Times New Roman" w:cs="Times New Roman"/>
        </w:rPr>
        <w:t xml:space="preserve"> </w:t>
      </w:r>
      <w:r w:rsidR="00AD3B1A">
        <w:rPr>
          <w:rFonts w:ascii="Times New Roman" w:hAnsi="Times New Roman" w:cs="Times New Roman"/>
        </w:rPr>
        <w:t>4</w:t>
      </w:r>
      <w:r w:rsidR="00177523">
        <w:rPr>
          <w:rFonts w:ascii="Times New Roman" w:hAnsi="Times New Roman" w:cs="Times New Roman"/>
        </w:rPr>
        <w:t xml:space="preserve">. </w:t>
      </w:r>
      <w:r w:rsidR="006F6942" w:rsidRPr="006F6942">
        <w:rPr>
          <w:rFonts w:ascii="Times New Roman" w:hAnsi="Times New Roman" w:cs="Times New Roman"/>
        </w:rPr>
        <w:t xml:space="preserve">Discriminant Function Analysis (DFA) Plot Showing Cultivar-Level Classification of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Varieties Based on Pollen Morphometric Variables.</w:t>
      </w:r>
    </w:p>
    <w:p w14:paraId="38ADD015" w14:textId="6D4A3A04" w:rsidR="00C95A9C" w:rsidRPr="00C22E20"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4. </w:t>
      </w:r>
      <w:r w:rsidR="00C95A9C" w:rsidRPr="00C22E20">
        <w:rPr>
          <w:rFonts w:ascii="Times New Roman" w:hAnsi="Times New Roman" w:cs="Times New Roman"/>
          <w:b/>
          <w:bCs/>
        </w:rPr>
        <w:t>Discussion</w:t>
      </w:r>
    </w:p>
    <w:p w14:paraId="0F7CFD22" w14:textId="78BC3819"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present investigation demonstrates that pollen morphology of the six </w:t>
      </w:r>
      <w:proofErr w:type="spellStart"/>
      <w:r w:rsidRPr="00C95A9C">
        <w:rPr>
          <w:rFonts w:ascii="Times New Roman" w:hAnsi="Times New Roman" w:cs="Times New Roman"/>
        </w:rPr>
        <w:t>Panniyur</w:t>
      </w:r>
      <w:proofErr w:type="spellEnd"/>
      <w:r w:rsidRPr="00C95A9C">
        <w:rPr>
          <w:rFonts w:ascii="Times New Roman" w:hAnsi="Times New Roman" w:cs="Times New Roman"/>
        </w:rPr>
        <w:t xml:space="preserve"> cultivars of </w:t>
      </w:r>
      <w:r w:rsidRPr="00C95A9C">
        <w:rPr>
          <w:rFonts w:ascii="Times New Roman" w:hAnsi="Times New Roman" w:cs="Times New Roman"/>
          <w:i/>
          <w:iCs/>
        </w:rPr>
        <w:t>Piper nigrum</w:t>
      </w:r>
      <w:r w:rsidRPr="00C95A9C">
        <w:rPr>
          <w:rFonts w:ascii="Times New Roman" w:hAnsi="Times New Roman" w:cs="Times New Roman"/>
        </w:rPr>
        <w:t xml:space="preserve"> exhibits a high degree of qualitative uniformity, particularly in spheroidal to </w:t>
      </w:r>
      <w:proofErr w:type="spellStart"/>
      <w:r w:rsidRPr="00C95A9C">
        <w:rPr>
          <w:rFonts w:ascii="Times New Roman" w:hAnsi="Times New Roman" w:cs="Times New Roman"/>
        </w:rPr>
        <w:t>subspheroidal</w:t>
      </w:r>
      <w:proofErr w:type="spellEnd"/>
      <w:r w:rsidRPr="00C95A9C">
        <w:rPr>
          <w:rFonts w:ascii="Times New Roman" w:hAnsi="Times New Roman" w:cs="Times New Roman"/>
        </w:rPr>
        <w:t xml:space="preserve"> shape, inaperturate condition, and </w:t>
      </w:r>
      <w:proofErr w:type="spellStart"/>
      <w:r w:rsidRPr="00C95A9C">
        <w:rPr>
          <w:rFonts w:ascii="Times New Roman" w:hAnsi="Times New Roman" w:cs="Times New Roman"/>
        </w:rPr>
        <w:t>microreticulate</w:t>
      </w:r>
      <w:proofErr w:type="spellEnd"/>
      <w:r w:rsidRPr="00C95A9C">
        <w:rPr>
          <w:rFonts w:ascii="Times New Roman" w:hAnsi="Times New Roman" w:cs="Times New Roman"/>
        </w:rPr>
        <w:t xml:space="preserve"> exine ornamentation. These conserved characters are consistent with earlier descriptions of </w:t>
      </w:r>
      <w:proofErr w:type="spellStart"/>
      <w:r w:rsidRPr="00C95A9C">
        <w:rPr>
          <w:rFonts w:ascii="Times New Roman" w:hAnsi="Times New Roman" w:cs="Times New Roman"/>
        </w:rPr>
        <w:t>Piperaceae</w:t>
      </w:r>
      <w:proofErr w:type="spellEnd"/>
      <w:r w:rsidRPr="00C95A9C">
        <w:rPr>
          <w:rFonts w:ascii="Times New Roman" w:hAnsi="Times New Roman" w:cs="Times New Roman"/>
        </w:rPr>
        <w:t xml:space="preserve"> pollen architecture (</w:t>
      </w:r>
      <w:proofErr w:type="spellStart"/>
      <w:r w:rsidRPr="00C95A9C">
        <w:rPr>
          <w:rFonts w:ascii="Times New Roman" w:hAnsi="Times New Roman" w:cs="Times New Roman"/>
        </w:rPr>
        <w:t>Erdtman</w:t>
      </w:r>
      <w:proofErr w:type="spellEnd"/>
      <w:r w:rsidRPr="00C95A9C">
        <w:rPr>
          <w:rFonts w:ascii="Times New Roman" w:hAnsi="Times New Roman" w:cs="Times New Roman"/>
        </w:rPr>
        <w:t xml:space="preserve">, 1952, </w:t>
      </w:r>
      <w:proofErr w:type="spellStart"/>
      <w:r w:rsidR="00985828" w:rsidRPr="00C95A9C">
        <w:rPr>
          <w:rFonts w:ascii="Times New Roman" w:hAnsi="Times New Roman" w:cs="Times New Roman"/>
        </w:rPr>
        <w:t>Erdtman</w:t>
      </w:r>
      <w:proofErr w:type="spellEnd"/>
      <w:r w:rsidR="00985828" w:rsidRPr="00C95A9C">
        <w:rPr>
          <w:rFonts w:ascii="Times New Roman" w:hAnsi="Times New Roman" w:cs="Times New Roman"/>
        </w:rPr>
        <w:t>,</w:t>
      </w:r>
      <w:r w:rsidR="00985828">
        <w:rPr>
          <w:rFonts w:ascii="Times New Roman" w:hAnsi="Times New Roman" w:cs="Times New Roman"/>
        </w:rPr>
        <w:t xml:space="preserve"> </w:t>
      </w:r>
      <w:r w:rsidRPr="00C95A9C">
        <w:rPr>
          <w:rFonts w:ascii="Times New Roman" w:hAnsi="Times New Roman" w:cs="Times New Roman"/>
        </w:rPr>
        <w:t xml:space="preserve">1969; Lei &amp; Liang, 1998; Mathew &amp; Mathew, 2001) and with SEM-based observations in black pepper cultivars from the Western Ghats (Divya et al., 2015; Pooja et al., 2021). The inaperturate nature and reticulate exine conform to the general magnoliid pollen pattern reported by Sampson (2010) and </w:t>
      </w:r>
      <w:r w:rsidR="006C7BD7">
        <w:rPr>
          <w:rFonts w:ascii="Times New Roman" w:hAnsi="Times New Roman" w:cs="Times New Roman"/>
        </w:rPr>
        <w:t xml:space="preserve">Oak et al., </w:t>
      </w:r>
      <w:r w:rsidR="00F75CD7">
        <w:rPr>
          <w:rFonts w:ascii="Times New Roman" w:hAnsi="Times New Roman" w:cs="Times New Roman"/>
        </w:rPr>
        <w:t>(</w:t>
      </w:r>
      <w:r w:rsidR="006C7BD7">
        <w:rPr>
          <w:rFonts w:ascii="Times New Roman" w:hAnsi="Times New Roman" w:cs="Times New Roman"/>
        </w:rPr>
        <w:t>20</w:t>
      </w:r>
      <w:r w:rsidR="00F75CD7">
        <w:rPr>
          <w:rFonts w:ascii="Times New Roman" w:hAnsi="Times New Roman" w:cs="Times New Roman"/>
        </w:rPr>
        <w:t>2</w:t>
      </w:r>
      <w:r w:rsidR="006C7BD7">
        <w:rPr>
          <w:rFonts w:ascii="Times New Roman" w:hAnsi="Times New Roman" w:cs="Times New Roman"/>
        </w:rPr>
        <w:t>2</w:t>
      </w:r>
      <w:r w:rsidR="00F75CD7">
        <w:rPr>
          <w:rFonts w:ascii="Times New Roman" w:hAnsi="Times New Roman" w:cs="Times New Roman"/>
        </w:rPr>
        <w:t>)</w:t>
      </w:r>
      <w:r w:rsidRPr="00C95A9C">
        <w:rPr>
          <w:rFonts w:ascii="Times New Roman" w:hAnsi="Times New Roman" w:cs="Times New Roman"/>
        </w:rPr>
        <w:t xml:space="preserve">, indicating that varietal differentiation within </w:t>
      </w:r>
      <w:r w:rsidR="00331B1C" w:rsidRPr="00331B1C">
        <w:rPr>
          <w:rFonts w:ascii="Times New Roman" w:hAnsi="Times New Roman" w:cs="Times New Roman"/>
          <w:i/>
          <w:iCs/>
        </w:rPr>
        <w:t>Piper</w:t>
      </w:r>
      <w:r w:rsidRPr="00C95A9C">
        <w:rPr>
          <w:rFonts w:ascii="Times New Roman" w:hAnsi="Times New Roman" w:cs="Times New Roman"/>
          <w:i/>
          <w:iCs/>
        </w:rPr>
        <w:t xml:space="preserve"> nigrum</w:t>
      </w:r>
      <w:r w:rsidRPr="00C95A9C">
        <w:rPr>
          <w:rFonts w:ascii="Times New Roman" w:hAnsi="Times New Roman" w:cs="Times New Roman"/>
        </w:rPr>
        <w:t xml:space="preserve"> does not involve major alterations in fundamental pollen structure. The uniformity of qualitative traits suggests strong genetic conservation at the species level, while subtle variation in reticulum compactness and lumina architecture reflects microstructural differentiation among cultivars.</w:t>
      </w:r>
    </w:p>
    <w:p w14:paraId="4907BA99" w14:textId="0059C152"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lastRenderedPageBreak/>
        <w:t>Quantitative morphometric analysis, however, revealed statistically significant inter-varietal variation in polar axis, equatorial diameter, exine thickness, muri thickness, lumina diameter, and ornamentation density. The predominance of exine architectural variables in ANOVA, PCA, and cluster analyses supports the concept that exine structure is both functionally and taxonomically informative (</w:t>
      </w:r>
      <w:r w:rsidR="000F7E32" w:rsidRPr="00D042AC">
        <w:rPr>
          <w:rFonts w:ascii="Times New Roman" w:hAnsi="Times New Roman" w:cs="Times New Roman"/>
        </w:rPr>
        <w:t>Blackmore</w:t>
      </w:r>
      <w:r w:rsidR="000F7E32">
        <w:rPr>
          <w:rFonts w:ascii="Times New Roman" w:hAnsi="Times New Roman" w:cs="Times New Roman"/>
        </w:rPr>
        <w:t xml:space="preserve"> et al., 2007</w:t>
      </w:r>
      <w:r w:rsidRPr="00C95A9C">
        <w:rPr>
          <w:rFonts w:ascii="Times New Roman" w:hAnsi="Times New Roman" w:cs="Times New Roman"/>
        </w:rPr>
        <w:t>; Punt et al., 2007). Similar multivariate palynological approaches have successfully discriminated closely related taxa and cultivars in other economically important species (Alexander &amp; George, 2025; Alexander, 2025; Alexander, 2026). The strong contribution of exine thickness and ornamentation density to principal component loadings parallels earlier numerical taxonomy studies in Piper (Ravindran et al., 1992; Ravindran &amp; Nirmal</w:t>
      </w:r>
      <w:r w:rsidR="00EE4A7A">
        <w:rPr>
          <w:rFonts w:ascii="Times New Roman" w:hAnsi="Times New Roman" w:cs="Times New Roman"/>
        </w:rPr>
        <w:t xml:space="preserve"> </w:t>
      </w:r>
      <w:r w:rsidRPr="00C95A9C">
        <w:rPr>
          <w:rFonts w:ascii="Times New Roman" w:hAnsi="Times New Roman" w:cs="Times New Roman"/>
        </w:rPr>
        <w:t>Babu, 1996), where quantitative traits enhanced resolution among morphologically allied taxa. The low variability of the P/E ratio further confirms that pollen shape remains evolutionarily stable, while exine micro-architecture serves as the primary axis of differentiation.</w:t>
      </w:r>
    </w:p>
    <w:p w14:paraId="488E50BB" w14:textId="1BAB21CA" w:rsid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congruence observed among PCA, Ward’s cluster analysis, and DFA indicates that pollen morphometrics possess considerable discriminatory power at the cultivar level within </w:t>
      </w:r>
      <w:r w:rsidRPr="00C95A9C">
        <w:rPr>
          <w:rFonts w:ascii="Times New Roman" w:hAnsi="Times New Roman" w:cs="Times New Roman"/>
          <w:i/>
          <w:iCs/>
        </w:rPr>
        <w:t>Piper nigrum</w:t>
      </w:r>
      <w:r w:rsidRPr="00C95A9C">
        <w:rPr>
          <w:rFonts w:ascii="Times New Roman" w:hAnsi="Times New Roman" w:cs="Times New Roman"/>
        </w:rPr>
        <w:t>. The clear grouping of Panniyur-4, -5, and -6 based on exine attributes suggests possible shared breeding lineage or selection history, consistent with cultivar differentiation frameworks proposed for pepper (</w:t>
      </w:r>
      <w:proofErr w:type="spellStart"/>
      <w:r w:rsidRPr="00C95A9C">
        <w:rPr>
          <w:rFonts w:ascii="Times New Roman" w:hAnsi="Times New Roman" w:cs="Times New Roman"/>
        </w:rPr>
        <w:t>Kanakaswamy</w:t>
      </w:r>
      <w:proofErr w:type="spellEnd"/>
      <w:r w:rsidRPr="00C95A9C">
        <w:rPr>
          <w:rFonts w:ascii="Times New Roman" w:hAnsi="Times New Roman" w:cs="Times New Roman"/>
        </w:rPr>
        <w:t xml:space="preserve"> et al., 1985; Ravindran, 2000). The high classification accuracy obtained in DFA underscores the potential application of SEM-based pollen morphometrics as a supplementary diagnostic tool for varietal authentication, comparable to micromorphological approaches employed in other </w:t>
      </w:r>
      <w:proofErr w:type="spellStart"/>
      <w:r w:rsidRPr="00C95A9C">
        <w:rPr>
          <w:rFonts w:ascii="Times New Roman" w:hAnsi="Times New Roman" w:cs="Times New Roman"/>
        </w:rPr>
        <w:t>Piperales</w:t>
      </w:r>
      <w:proofErr w:type="spellEnd"/>
      <w:r w:rsidRPr="00C95A9C">
        <w:rPr>
          <w:rFonts w:ascii="Times New Roman" w:hAnsi="Times New Roman" w:cs="Times New Roman"/>
        </w:rPr>
        <w:t xml:space="preserve"> (Song et al., 2020). </w:t>
      </w:r>
      <w:r w:rsidR="003A57E1">
        <w:rPr>
          <w:rFonts w:ascii="Times New Roman" w:hAnsi="Times New Roman" w:cs="Times New Roman"/>
        </w:rPr>
        <w:t>T</w:t>
      </w:r>
      <w:r w:rsidRPr="00C95A9C">
        <w:rPr>
          <w:rFonts w:ascii="Times New Roman" w:hAnsi="Times New Roman" w:cs="Times New Roman"/>
        </w:rPr>
        <w:t xml:space="preserve">he </w:t>
      </w:r>
      <w:r w:rsidR="003A57E1">
        <w:rPr>
          <w:rFonts w:ascii="Times New Roman" w:hAnsi="Times New Roman" w:cs="Times New Roman"/>
        </w:rPr>
        <w:t xml:space="preserve">present </w:t>
      </w:r>
      <w:r w:rsidRPr="00C95A9C">
        <w:rPr>
          <w:rFonts w:ascii="Times New Roman" w:hAnsi="Times New Roman" w:cs="Times New Roman"/>
        </w:rPr>
        <w:t>study reinforces the growing recognition that detailed exine morphometry, when combined with robust multivariate statistics, can provide reliable taxonomic and cultivar-level resolution in economically important spice crops.</w:t>
      </w:r>
      <w:r w:rsidR="003A56FA">
        <w:rPr>
          <w:rFonts w:ascii="Times New Roman" w:hAnsi="Times New Roman" w:cs="Times New Roman"/>
        </w:rPr>
        <w:t xml:space="preserve"> </w:t>
      </w:r>
      <w:r w:rsidR="003A56FA" w:rsidRPr="003A56FA">
        <w:rPr>
          <w:rFonts w:ascii="Times New Roman" w:hAnsi="Times New Roman" w:cs="Times New Roman"/>
        </w:rPr>
        <w:t xml:space="preserve">These findings suggest that exine micro-architecture represents a stable yet discriminative morphological marker capable of resolving cultivar-level diversity in </w:t>
      </w:r>
      <w:r w:rsidR="003A56FA" w:rsidRPr="003A56FA">
        <w:rPr>
          <w:rFonts w:ascii="Times New Roman" w:hAnsi="Times New Roman" w:cs="Times New Roman"/>
          <w:i/>
          <w:iCs/>
        </w:rPr>
        <w:t>Piper nigrum</w:t>
      </w:r>
      <w:r w:rsidR="003A56FA" w:rsidRPr="003A56FA">
        <w:rPr>
          <w:rFonts w:ascii="Times New Roman" w:hAnsi="Times New Roman" w:cs="Times New Roman"/>
        </w:rPr>
        <w:t>.</w:t>
      </w:r>
    </w:p>
    <w:p w14:paraId="536ADA6F" w14:textId="30B53B57" w:rsidR="006448A3" w:rsidRPr="006448A3" w:rsidRDefault="006448A3" w:rsidP="00C22E20">
      <w:pPr>
        <w:spacing w:line="360" w:lineRule="auto"/>
        <w:jc w:val="both"/>
        <w:rPr>
          <w:rFonts w:ascii="Times New Roman" w:hAnsi="Times New Roman" w:cs="Times New Roman"/>
          <w:b/>
          <w:bCs/>
        </w:rPr>
      </w:pPr>
      <w:r w:rsidRPr="006448A3">
        <w:rPr>
          <w:rFonts w:ascii="Times New Roman" w:hAnsi="Times New Roman" w:cs="Times New Roman"/>
          <w:b/>
          <w:bCs/>
        </w:rPr>
        <w:t>5. Conclusion</w:t>
      </w:r>
    </w:p>
    <w:p w14:paraId="57AD9824" w14:textId="431FCBCB" w:rsidR="006448A3" w:rsidRDefault="002C242F" w:rsidP="00C22E20">
      <w:pPr>
        <w:spacing w:line="360" w:lineRule="auto"/>
        <w:jc w:val="both"/>
        <w:rPr>
          <w:rFonts w:ascii="Times New Roman" w:hAnsi="Times New Roman" w:cs="Times New Roman"/>
        </w:rPr>
      </w:pPr>
      <w:r w:rsidRPr="002C242F">
        <w:rPr>
          <w:rFonts w:ascii="Times New Roman" w:hAnsi="Times New Roman" w:cs="Times New Roman"/>
        </w:rPr>
        <w:t xml:space="preserve">The present study demonstrates that although the six </w:t>
      </w:r>
      <w:proofErr w:type="spellStart"/>
      <w:r w:rsidRPr="002C242F">
        <w:rPr>
          <w:rFonts w:ascii="Times New Roman" w:hAnsi="Times New Roman" w:cs="Times New Roman"/>
        </w:rPr>
        <w:t>Panniyur</w:t>
      </w:r>
      <w:proofErr w:type="spellEnd"/>
      <w:r w:rsidRPr="002C242F">
        <w:rPr>
          <w:rFonts w:ascii="Times New Roman" w:hAnsi="Times New Roman" w:cs="Times New Roman"/>
        </w:rPr>
        <w:t xml:space="preserve"> cultivars of </w:t>
      </w:r>
      <w:r w:rsidRPr="002C242F">
        <w:rPr>
          <w:rFonts w:ascii="Times New Roman" w:hAnsi="Times New Roman" w:cs="Times New Roman"/>
          <w:i/>
          <w:iCs/>
        </w:rPr>
        <w:t>Piper nigrum</w:t>
      </w:r>
      <w:r w:rsidRPr="002C242F">
        <w:rPr>
          <w:rFonts w:ascii="Times New Roman" w:hAnsi="Times New Roman" w:cs="Times New Roman"/>
        </w:rPr>
        <w:t xml:space="preserve"> exhibit strong qualitative uniformity in pollen architecture</w:t>
      </w:r>
      <w:r w:rsidR="004B5D7D">
        <w:rPr>
          <w:rFonts w:ascii="Times New Roman" w:hAnsi="Times New Roman" w:cs="Times New Roman"/>
        </w:rPr>
        <w:t xml:space="preserve"> - </w:t>
      </w:r>
      <w:r w:rsidRPr="002C242F">
        <w:rPr>
          <w:rFonts w:ascii="Times New Roman" w:hAnsi="Times New Roman" w:cs="Times New Roman"/>
        </w:rPr>
        <w:t xml:space="preserve">characterized by spheroidal, inaperturate grains with </w:t>
      </w:r>
      <w:proofErr w:type="spellStart"/>
      <w:r w:rsidRPr="002C242F">
        <w:rPr>
          <w:rFonts w:ascii="Times New Roman" w:hAnsi="Times New Roman" w:cs="Times New Roman"/>
        </w:rPr>
        <w:t>microreticulate</w:t>
      </w:r>
      <w:proofErr w:type="spellEnd"/>
      <w:r w:rsidRPr="002C242F">
        <w:rPr>
          <w:rFonts w:ascii="Times New Roman" w:hAnsi="Times New Roman" w:cs="Times New Roman"/>
        </w:rPr>
        <w:t xml:space="preserve"> exine ornamentation</w:t>
      </w:r>
      <w:r w:rsidR="004B5D7D">
        <w:rPr>
          <w:rFonts w:ascii="Times New Roman" w:hAnsi="Times New Roman" w:cs="Times New Roman"/>
        </w:rPr>
        <w:t xml:space="preserve"> - </w:t>
      </w:r>
      <w:r w:rsidRPr="002C242F">
        <w:rPr>
          <w:rFonts w:ascii="Times New Roman" w:hAnsi="Times New Roman" w:cs="Times New Roman"/>
        </w:rPr>
        <w:t xml:space="preserve">significant quantitative variation exists in exine thickness, ornamentation density, and associated morphometric parameters. The integration of descriptive statistics, ANOVA, PCA, hierarchical clustering, and DFA </w:t>
      </w:r>
      <w:r w:rsidRPr="002C242F">
        <w:rPr>
          <w:rFonts w:ascii="Times New Roman" w:hAnsi="Times New Roman" w:cs="Times New Roman"/>
        </w:rPr>
        <w:lastRenderedPageBreak/>
        <w:t>consistently revealed that exine architectural traits provide the highest discriminatory power, enabling clear separation of cultivar groups. These findings highlight the potential of SEM-based pollen morphometrics, coupled with multivariate statistical approaches, as a reliable supplementary tool for cultivar-level identification and authentication in black pepper. The study thus expands the application of palynology beyond species delimitation to intraspecific cultivar discrimination in economically important spice crops.</w:t>
      </w:r>
    </w:p>
    <w:p w14:paraId="21EF7645"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Conflict of Interest:</w:t>
      </w:r>
      <w:r w:rsidRPr="00D40288">
        <w:rPr>
          <w:rFonts w:ascii="Times New Roman" w:hAnsi="Times New Roman" w:cs="Times New Roman"/>
        </w:rPr>
        <w:t xml:space="preserve"> The authors declare that they have no known competing financial interests or personal relationships that could have appeared to influence the work reported in this manuscript.</w:t>
      </w:r>
    </w:p>
    <w:p w14:paraId="5A906677"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Data Availability Statement:</w:t>
      </w:r>
      <w:r w:rsidRPr="00D40288">
        <w:rPr>
          <w:rFonts w:ascii="Times New Roman" w:hAnsi="Times New Roman" w:cs="Times New Roman"/>
        </w:rPr>
        <w:t xml:space="preserve"> All data generated or analysed during this study are included in this published article. Additional SEM images or raw measurements are available from the corresponding author upon reasonable request.</w:t>
      </w:r>
    </w:p>
    <w:p w14:paraId="70B7BD84" w14:textId="31B42D78" w:rsidR="00E22AFC"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Ethical Approval:</w:t>
      </w:r>
      <w:r w:rsidRPr="00D40288">
        <w:rPr>
          <w:rFonts w:ascii="Times New Roman" w:hAnsi="Times New Roman" w:cs="Times New Roman"/>
        </w:rPr>
        <w:t xml:space="preserve"> Not applicable. This study did not involve human participants or animal subjects requiring ethical approval.</w:t>
      </w:r>
    </w:p>
    <w:p w14:paraId="68411734" w14:textId="24241217" w:rsidR="00654A1F" w:rsidRDefault="00654A1F" w:rsidP="00E22AFC">
      <w:pPr>
        <w:spacing w:line="360" w:lineRule="auto"/>
        <w:jc w:val="both"/>
        <w:rPr>
          <w:rFonts w:ascii="Times New Roman" w:hAnsi="Times New Roman" w:cs="Times New Roman"/>
        </w:rPr>
      </w:pPr>
    </w:p>
    <w:p w14:paraId="46CDBCE9" w14:textId="77777777" w:rsidR="00654A1F" w:rsidRDefault="00654A1F" w:rsidP="00654A1F">
      <w:pPr>
        <w:rPr>
          <w:rFonts w:ascii="Calibri" w:eastAsia="Calibri" w:hAnsi="Calibri" w:cs="Times New Roman"/>
          <w:highlight w:val="yellow"/>
          <w:lang w:val="en-US"/>
        </w:rPr>
      </w:pPr>
    </w:p>
    <w:p w14:paraId="5DD513EE" w14:textId="77777777" w:rsidR="00654A1F" w:rsidRDefault="00654A1F" w:rsidP="00654A1F">
      <w:pPr>
        <w:rPr>
          <w:rFonts w:ascii="Calibri" w:eastAsia="Calibri" w:hAnsi="Calibri" w:cs="Times New Roman"/>
          <w:highlight w:val="yellow"/>
          <w:lang w:val="en-US"/>
        </w:rPr>
      </w:pPr>
      <w:bookmarkStart w:id="0" w:name="_Hlk218868534"/>
    </w:p>
    <w:p w14:paraId="526A70C5" w14:textId="77777777" w:rsidR="00654A1F" w:rsidRPr="00005ED1" w:rsidRDefault="00654A1F" w:rsidP="00654A1F">
      <w:pPr>
        <w:pStyle w:val="NoSpacing"/>
        <w:rPr>
          <w:rFonts w:ascii="Arial" w:hAnsi="Arial" w:cs="Arial"/>
          <w:highlight w:val="yellow"/>
        </w:rPr>
      </w:pPr>
      <w:bookmarkStart w:id="1" w:name="_Hlk221624953"/>
      <w:r w:rsidRPr="00005ED1">
        <w:rPr>
          <w:rFonts w:ascii="Arial" w:hAnsi="Arial" w:cs="Arial"/>
          <w:highlight w:val="yellow"/>
        </w:rPr>
        <w:t>Disclaimer (Artificial intelligence)</w:t>
      </w:r>
    </w:p>
    <w:p w14:paraId="58751134" w14:textId="77777777" w:rsidR="00654A1F" w:rsidRPr="00005ED1" w:rsidRDefault="00654A1F" w:rsidP="00654A1F">
      <w:pPr>
        <w:pStyle w:val="NoSpacing"/>
        <w:rPr>
          <w:rFonts w:ascii="Arial" w:hAnsi="Arial" w:cs="Arial"/>
          <w:highlight w:val="yellow"/>
        </w:rPr>
      </w:pPr>
    </w:p>
    <w:p w14:paraId="1E21D75A" w14:textId="77777777" w:rsidR="00654A1F" w:rsidRDefault="00654A1F" w:rsidP="00654A1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134F5AE9" w14:textId="77777777" w:rsidR="00654A1F" w:rsidRDefault="00654A1F" w:rsidP="00654A1F">
      <w:pPr>
        <w:pStyle w:val="NoSpacing"/>
        <w:rPr>
          <w:rFonts w:ascii="Arial" w:hAnsi="Arial" w:cs="Arial"/>
          <w:highlight w:val="yellow"/>
        </w:rPr>
      </w:pPr>
    </w:p>
    <w:bookmarkEnd w:id="1"/>
    <w:p w14:paraId="665F4D7F" w14:textId="77777777" w:rsidR="00654A1F" w:rsidRDefault="00654A1F" w:rsidP="00654A1F">
      <w:pPr>
        <w:pStyle w:val="NoSpacing"/>
        <w:rPr>
          <w:rFonts w:ascii="Arial" w:hAnsi="Arial" w:cs="Arial"/>
          <w:highlight w:val="yellow"/>
        </w:rPr>
      </w:pPr>
    </w:p>
    <w:p w14:paraId="16D6BAEC" w14:textId="77777777" w:rsidR="00654A1F" w:rsidRPr="00D40288" w:rsidRDefault="00654A1F" w:rsidP="00E22AFC">
      <w:pPr>
        <w:spacing w:line="360" w:lineRule="auto"/>
        <w:jc w:val="both"/>
        <w:rPr>
          <w:rFonts w:ascii="Times New Roman" w:hAnsi="Times New Roman" w:cs="Times New Roman"/>
        </w:rPr>
      </w:pPr>
    </w:p>
    <w:p w14:paraId="39E8F283" w14:textId="09D608C9" w:rsidR="00831188" w:rsidRPr="004852F4" w:rsidRDefault="00EB21F8" w:rsidP="004244AC">
      <w:pPr>
        <w:spacing w:line="360" w:lineRule="auto"/>
        <w:jc w:val="both"/>
        <w:rPr>
          <w:rFonts w:ascii="Times New Roman" w:hAnsi="Times New Roman" w:cs="Times New Roman"/>
          <w:b/>
          <w:bCs/>
        </w:rPr>
      </w:pPr>
      <w:r w:rsidRPr="004852F4">
        <w:rPr>
          <w:rFonts w:ascii="Times New Roman" w:hAnsi="Times New Roman" w:cs="Times New Roman"/>
          <w:b/>
          <w:bCs/>
        </w:rPr>
        <w:t>Reference</w:t>
      </w:r>
    </w:p>
    <w:p w14:paraId="44319F15" w14:textId="40FB758F" w:rsidR="00DA0CC0" w:rsidRPr="0018379D"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Alexander T &amp;</w:t>
      </w:r>
      <w:r w:rsidR="00D17D51">
        <w:rPr>
          <w:rFonts w:ascii="Times New Roman" w:hAnsi="Times New Roman" w:cs="Times New Roman"/>
        </w:rPr>
        <w:t xml:space="preserve"> </w:t>
      </w:r>
      <w:r w:rsidRPr="00DA0CC0">
        <w:rPr>
          <w:rFonts w:ascii="Times New Roman" w:hAnsi="Times New Roman" w:cs="Times New Roman"/>
        </w:rPr>
        <w:t xml:space="preserve">Anila George. </w:t>
      </w:r>
      <w:r w:rsidR="00D17D51">
        <w:rPr>
          <w:rFonts w:ascii="Times New Roman" w:hAnsi="Times New Roman" w:cs="Times New Roman"/>
        </w:rPr>
        <w:t>(</w:t>
      </w:r>
      <w:r w:rsidRPr="00DA0CC0">
        <w:rPr>
          <w:rFonts w:ascii="Times New Roman" w:hAnsi="Times New Roman" w:cs="Times New Roman"/>
        </w:rPr>
        <w:t>2025</w:t>
      </w:r>
      <w:r w:rsidR="00D17D51">
        <w:rPr>
          <w:rFonts w:ascii="Times New Roman" w:hAnsi="Times New Roman" w:cs="Times New Roman"/>
        </w:rPr>
        <w:t>)</w:t>
      </w:r>
      <w:r w:rsidRPr="00DA0CC0">
        <w:rPr>
          <w:rFonts w:ascii="Times New Roman" w:hAnsi="Times New Roman" w:cs="Times New Roman"/>
        </w:rPr>
        <w:t>. Pollen Morphometric Differentiation and Statistical Classification of Four Elettaria cardamomum Varieties using SEM Analysis. International Journal of Agriculture Sciences 17(4)</w:t>
      </w:r>
      <w:r w:rsidR="002D3B76">
        <w:rPr>
          <w:rFonts w:ascii="Times New Roman" w:hAnsi="Times New Roman" w:cs="Times New Roman"/>
        </w:rPr>
        <w:t>:</w:t>
      </w:r>
      <w:r w:rsidRPr="00DA0CC0">
        <w:rPr>
          <w:rFonts w:ascii="Times New Roman" w:hAnsi="Times New Roman" w:cs="Times New Roman"/>
        </w:rPr>
        <w:t xml:space="preserve"> 13712-13716. </w:t>
      </w:r>
      <w:hyperlink r:id="rId11" w:history="1">
        <w:r w:rsidR="003A56FA" w:rsidRPr="0018379D">
          <w:rPr>
            <w:rStyle w:val="Hyperlink"/>
            <w:rFonts w:ascii="Times New Roman" w:hAnsi="Times New Roman" w:cs="Times New Roman"/>
          </w:rPr>
          <w:t>https://bioinfopublication.org/pages/article.php?id=BIA0006413</w:t>
        </w:r>
      </w:hyperlink>
      <w:r w:rsidR="003A56FA" w:rsidRPr="0018379D">
        <w:rPr>
          <w:rFonts w:ascii="Times New Roman" w:hAnsi="Times New Roman" w:cs="Times New Roman"/>
        </w:rPr>
        <w:t xml:space="preserve"> </w:t>
      </w:r>
    </w:p>
    <w:p w14:paraId="3EB0C46B" w14:textId="77777777" w:rsidR="00DA0CC0" w:rsidRPr="00DA0CC0"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 xml:space="preserve">Alexander T. (2025), Micromorphology and Morphometric Discrimination of </w:t>
      </w:r>
      <w:proofErr w:type="spellStart"/>
      <w:r w:rsidRPr="00DA0CC0">
        <w:rPr>
          <w:rFonts w:ascii="Times New Roman" w:hAnsi="Times New Roman" w:cs="Times New Roman"/>
          <w:i/>
          <w:iCs/>
        </w:rPr>
        <w:t>Murraya</w:t>
      </w:r>
      <w:proofErr w:type="spellEnd"/>
      <w:r w:rsidRPr="00DA0CC0">
        <w:rPr>
          <w:rFonts w:ascii="Times New Roman" w:hAnsi="Times New Roman" w:cs="Times New Roman"/>
          <w:i/>
          <w:iCs/>
        </w:rPr>
        <w:t xml:space="preserve"> </w:t>
      </w:r>
      <w:proofErr w:type="spellStart"/>
      <w:r w:rsidRPr="00DA0CC0">
        <w:rPr>
          <w:rFonts w:ascii="Times New Roman" w:hAnsi="Times New Roman" w:cs="Times New Roman"/>
          <w:i/>
          <w:iCs/>
        </w:rPr>
        <w:t>Koenigii</w:t>
      </w:r>
      <w:proofErr w:type="spellEnd"/>
      <w:r w:rsidRPr="00DA0CC0">
        <w:rPr>
          <w:rFonts w:ascii="Times New Roman" w:hAnsi="Times New Roman" w:cs="Times New Roman"/>
        </w:rPr>
        <w:t xml:space="preserve"> and </w:t>
      </w:r>
      <w:r w:rsidRPr="00DA0CC0">
        <w:rPr>
          <w:rFonts w:ascii="Times New Roman" w:hAnsi="Times New Roman" w:cs="Times New Roman"/>
          <w:i/>
          <w:iCs/>
        </w:rPr>
        <w:t xml:space="preserve">Cinnamomum </w:t>
      </w:r>
      <w:proofErr w:type="spellStart"/>
      <w:r w:rsidRPr="00DA0CC0">
        <w:rPr>
          <w:rFonts w:ascii="Times New Roman" w:hAnsi="Times New Roman" w:cs="Times New Roman"/>
          <w:i/>
          <w:iCs/>
        </w:rPr>
        <w:t>Malabatrum</w:t>
      </w:r>
      <w:proofErr w:type="spellEnd"/>
      <w:r w:rsidRPr="00DA0CC0">
        <w:rPr>
          <w:rFonts w:ascii="Times New Roman" w:hAnsi="Times New Roman" w:cs="Times New Roman"/>
        </w:rPr>
        <w:t xml:space="preserve"> Pollen Grains: A Multivariate Palynological </w:t>
      </w:r>
      <w:r w:rsidRPr="00DA0CC0">
        <w:rPr>
          <w:rFonts w:ascii="Times New Roman" w:hAnsi="Times New Roman" w:cs="Times New Roman"/>
        </w:rPr>
        <w:lastRenderedPageBreak/>
        <w:t xml:space="preserve">Approach, </w:t>
      </w:r>
      <w:r w:rsidRPr="00DA0CC0">
        <w:rPr>
          <w:rFonts w:ascii="Times New Roman" w:hAnsi="Times New Roman" w:cs="Times New Roman"/>
          <w:i/>
          <w:iCs/>
        </w:rPr>
        <w:t>Advanced International Journal for Research</w:t>
      </w:r>
      <w:r w:rsidRPr="00DA0CC0">
        <w:rPr>
          <w:rFonts w:ascii="Times New Roman" w:hAnsi="Times New Roman" w:cs="Times New Roman"/>
        </w:rPr>
        <w:t xml:space="preserve">. 6 (6): 1-10. </w:t>
      </w:r>
      <w:hyperlink r:id="rId12" w:tgtFrame="_blank" w:history="1">
        <w:r w:rsidRPr="00DA0CC0">
          <w:rPr>
            <w:rStyle w:val="Hyperlink"/>
            <w:rFonts w:ascii="Times New Roman" w:hAnsi="Times New Roman" w:cs="Times New Roman"/>
          </w:rPr>
          <w:t>http://dx.doi.org/10.63363/aijfr.2025.v06i06.2120</w:t>
        </w:r>
      </w:hyperlink>
    </w:p>
    <w:p w14:paraId="30DE9640" w14:textId="24DF1F7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Alexander. T. (2026). Pollen Morphology as a Diagnostic Tool for Delimitation of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decipiens</w:t>
      </w:r>
      <w:proofErr w:type="spellEnd"/>
      <w:r w:rsidRPr="00DA0CC0">
        <w:rPr>
          <w:rFonts w:ascii="Times New Roman" w:hAnsi="Times New Roman" w:cs="Times New Roman"/>
        </w:rPr>
        <w:t xml:space="preserve"> and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inodora</w:t>
      </w:r>
      <w:proofErr w:type="spellEnd"/>
      <w:r w:rsidRPr="00DA0CC0">
        <w:rPr>
          <w:rFonts w:ascii="Times New Roman" w:hAnsi="Times New Roman" w:cs="Times New Roman"/>
        </w:rPr>
        <w:t>: Two Allied Endemic Species from Peninsular India. </w:t>
      </w:r>
      <w:r w:rsidRPr="00DA0CC0">
        <w:rPr>
          <w:rFonts w:ascii="Times New Roman" w:hAnsi="Times New Roman" w:cs="Times New Roman"/>
          <w:i/>
          <w:iCs/>
        </w:rPr>
        <w:t>International Journal of Plant &amp; Soil Science</w:t>
      </w:r>
      <w:r w:rsidRPr="00DA0CC0">
        <w:rPr>
          <w:rFonts w:ascii="Times New Roman" w:hAnsi="Times New Roman" w:cs="Times New Roman"/>
        </w:rPr>
        <w:t xml:space="preserve">, 38 (1): 404-12. </w:t>
      </w:r>
      <w:hyperlink r:id="rId13" w:history="1">
        <w:r w:rsidRPr="00DA0CC0">
          <w:rPr>
            <w:rStyle w:val="Hyperlink"/>
            <w:rFonts w:ascii="Times New Roman" w:hAnsi="Times New Roman" w:cs="Times New Roman"/>
          </w:rPr>
          <w:t>https://doi.org/10.9734/ijpss/2026/v38i15955</w:t>
        </w:r>
      </w:hyperlink>
      <w:r w:rsidRPr="00DA0CC0">
        <w:rPr>
          <w:rFonts w:ascii="Times New Roman" w:hAnsi="Times New Roman" w:cs="Times New Roman"/>
        </w:rPr>
        <w:t>.</w:t>
      </w:r>
    </w:p>
    <w:p w14:paraId="5A8EE1E5" w14:textId="77777777" w:rsidR="00F75CD7" w:rsidRPr="004852F4" w:rsidRDefault="00F75CD7" w:rsidP="00F75CD7">
      <w:pPr>
        <w:numPr>
          <w:ilvl w:val="0"/>
          <w:numId w:val="5"/>
        </w:numPr>
        <w:tabs>
          <w:tab w:val="clear" w:pos="720"/>
        </w:tabs>
        <w:spacing w:line="360" w:lineRule="auto"/>
        <w:ind w:left="426"/>
        <w:jc w:val="both"/>
        <w:rPr>
          <w:rFonts w:ascii="Times New Roman" w:hAnsi="Times New Roman" w:cs="Times New Roman"/>
        </w:rPr>
      </w:pPr>
      <w:r w:rsidRPr="00D042AC">
        <w:rPr>
          <w:rFonts w:ascii="Times New Roman" w:hAnsi="Times New Roman" w:cs="Times New Roman"/>
        </w:rPr>
        <w:t>Blackmore, S., Wortley, A. H., Skvarla, J. J., &amp; Rowley, J. R. (2007).</w:t>
      </w:r>
      <w:r w:rsidRPr="00D042AC">
        <w:rPr>
          <w:rFonts w:ascii="Times New Roman" w:hAnsi="Times New Roman" w:cs="Times New Roman"/>
        </w:rPr>
        <w:br/>
      </w:r>
      <w:r w:rsidRPr="00D042AC">
        <w:rPr>
          <w:rFonts w:ascii="Times New Roman" w:hAnsi="Times New Roman" w:cs="Times New Roman"/>
          <w:i/>
          <w:iCs/>
        </w:rPr>
        <w:t>Pollen wall development in flowering plants.</w:t>
      </w:r>
      <w:r w:rsidRPr="00D042AC">
        <w:rPr>
          <w:rFonts w:ascii="Times New Roman" w:hAnsi="Times New Roman" w:cs="Times New Roman"/>
        </w:rPr>
        <w:br/>
      </w:r>
      <w:r w:rsidRPr="00D042AC">
        <w:rPr>
          <w:rFonts w:ascii="Times New Roman" w:hAnsi="Times New Roman" w:cs="Times New Roman"/>
          <w:i/>
          <w:iCs/>
        </w:rPr>
        <w:t>New Phytologist,</w:t>
      </w:r>
      <w:r w:rsidRPr="00D042AC">
        <w:rPr>
          <w:rFonts w:ascii="Times New Roman" w:hAnsi="Times New Roman" w:cs="Times New Roman"/>
        </w:rPr>
        <w:t xml:space="preserve"> 174(3), 483–498.</w:t>
      </w:r>
      <w:r w:rsidRPr="00D042AC">
        <w:rPr>
          <w:rFonts w:ascii="Times New Roman" w:hAnsi="Times New Roman" w:cs="Times New Roman"/>
        </w:rPr>
        <w:br/>
      </w:r>
      <w:hyperlink r:id="rId14" w:history="1">
        <w:r w:rsidRPr="0038726E">
          <w:rPr>
            <w:rStyle w:val="Hyperlink"/>
            <w:rFonts w:ascii="Times New Roman" w:hAnsi="Times New Roman" w:cs="Times New Roman"/>
          </w:rPr>
          <w:t>https://doi.org/10.1111/j.1469-8137.2007.02060.x</w:t>
        </w:r>
      </w:hyperlink>
    </w:p>
    <w:p w14:paraId="6636ED37" w14:textId="3601BF94"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Divya, K. G., Nair, M. C., Shaji, P. K. &amp; Nair, P. K. K. (2015). </w:t>
      </w:r>
      <w:r w:rsidRPr="00EB051C">
        <w:rPr>
          <w:rFonts w:ascii="Times New Roman" w:hAnsi="Times New Roman" w:cs="Times New Roman"/>
        </w:rPr>
        <w:t>Pollen morphology of pepper cultivars and their wild allies from southern Western Ghats, Kerala, India.</w:t>
      </w:r>
      <w:r w:rsidRPr="00DA0CC0">
        <w:rPr>
          <w:rFonts w:ascii="Times New Roman" w:hAnsi="Times New Roman" w:cs="Times New Roman"/>
        </w:rPr>
        <w:t xml:space="preserve"> </w:t>
      </w:r>
      <w:r w:rsidRPr="00DA0CC0">
        <w:rPr>
          <w:rFonts w:ascii="Times New Roman" w:hAnsi="Times New Roman" w:cs="Times New Roman"/>
          <w:i/>
          <w:iCs/>
        </w:rPr>
        <w:t>International Journal of Advanced Research</w:t>
      </w:r>
      <w:r w:rsidRPr="00DA0CC0">
        <w:rPr>
          <w:rFonts w:ascii="Times New Roman" w:hAnsi="Times New Roman" w:cs="Times New Roman"/>
        </w:rPr>
        <w:t>, 3(3)</w:t>
      </w:r>
      <w:r w:rsidR="0097300D">
        <w:rPr>
          <w:rFonts w:ascii="Times New Roman" w:hAnsi="Times New Roman" w:cs="Times New Roman"/>
        </w:rPr>
        <w:t xml:space="preserve">: </w:t>
      </w:r>
      <w:r w:rsidR="0097300D" w:rsidRPr="0097300D">
        <w:rPr>
          <w:rFonts w:ascii="Times New Roman" w:hAnsi="Times New Roman" w:cs="Times New Roman"/>
        </w:rPr>
        <w:t>344-353</w:t>
      </w:r>
    </w:p>
    <w:p w14:paraId="0615D258" w14:textId="77777777" w:rsidR="00F75CD7" w:rsidRPr="00F75CD7" w:rsidRDefault="00F75CD7" w:rsidP="00F75CD7">
      <w:pPr>
        <w:numPr>
          <w:ilvl w:val="0"/>
          <w:numId w:val="5"/>
        </w:numPr>
        <w:tabs>
          <w:tab w:val="clear" w:pos="720"/>
        </w:tabs>
        <w:spacing w:line="360" w:lineRule="auto"/>
        <w:ind w:left="426"/>
        <w:jc w:val="both"/>
        <w:rPr>
          <w:rFonts w:ascii="Times New Roman" w:hAnsi="Times New Roman" w:cs="Times New Roman"/>
        </w:rPr>
      </w:pPr>
      <w:r w:rsidRPr="00F75CD7">
        <w:rPr>
          <w:rFonts w:ascii="Times New Roman" w:hAnsi="Times New Roman" w:cs="Times New Roman"/>
        </w:rPr>
        <w:t>Erdtman, G. (1952). On pollen and spore terminology. </w:t>
      </w:r>
      <w:proofErr w:type="spellStart"/>
      <w:r w:rsidRPr="00F75CD7">
        <w:rPr>
          <w:rFonts w:ascii="Times New Roman" w:hAnsi="Times New Roman" w:cs="Times New Roman"/>
          <w:i/>
          <w:iCs/>
        </w:rPr>
        <w:t>Paleobotanist</w:t>
      </w:r>
      <w:proofErr w:type="spellEnd"/>
      <w:r w:rsidRPr="00F75CD7">
        <w:rPr>
          <w:rFonts w:ascii="Times New Roman" w:hAnsi="Times New Roman" w:cs="Times New Roman"/>
        </w:rPr>
        <w:t> 1, 169–176.</w:t>
      </w:r>
    </w:p>
    <w:p w14:paraId="0E298FAD" w14:textId="68D9F196" w:rsidR="00CC5A95" w:rsidRDefault="00CC5A95" w:rsidP="00DA0CC0">
      <w:pPr>
        <w:pStyle w:val="ListParagraph"/>
        <w:numPr>
          <w:ilvl w:val="0"/>
          <w:numId w:val="5"/>
        </w:numPr>
        <w:tabs>
          <w:tab w:val="clear" w:pos="720"/>
        </w:tabs>
        <w:spacing w:line="360" w:lineRule="auto"/>
        <w:ind w:left="426"/>
        <w:jc w:val="both"/>
        <w:rPr>
          <w:rFonts w:ascii="Times New Roman" w:hAnsi="Times New Roman" w:cs="Times New Roman"/>
        </w:rPr>
      </w:pPr>
      <w:r w:rsidRPr="00CC5A95">
        <w:rPr>
          <w:rFonts w:ascii="Times New Roman" w:hAnsi="Times New Roman" w:cs="Times New Roman"/>
        </w:rPr>
        <w:t xml:space="preserve">Erdtman, G. (1969). </w:t>
      </w:r>
      <w:r w:rsidRPr="00CC5A95">
        <w:rPr>
          <w:rFonts w:ascii="Times New Roman" w:hAnsi="Times New Roman" w:cs="Times New Roman"/>
          <w:i/>
          <w:iCs/>
        </w:rPr>
        <w:t>Handbook of palynology: Morphology, taxonomy, ecology—An introduction to the study of pollen grains and spores.</w:t>
      </w:r>
      <w:r w:rsidRPr="00CC5A95">
        <w:rPr>
          <w:rFonts w:ascii="Times New Roman" w:hAnsi="Times New Roman" w:cs="Times New Roman"/>
        </w:rPr>
        <w:t xml:space="preserve"> Munksgaard.</w:t>
      </w:r>
    </w:p>
    <w:p w14:paraId="612372FA" w14:textId="77777777" w:rsidR="00F75CD7" w:rsidRDefault="00F75CD7" w:rsidP="00F75CD7">
      <w:pPr>
        <w:numPr>
          <w:ilvl w:val="0"/>
          <w:numId w:val="5"/>
        </w:numPr>
        <w:tabs>
          <w:tab w:val="clear" w:pos="720"/>
        </w:tabs>
        <w:spacing w:line="360" w:lineRule="auto"/>
        <w:ind w:left="426"/>
        <w:jc w:val="both"/>
        <w:rPr>
          <w:rFonts w:ascii="Times New Roman" w:hAnsi="Times New Roman" w:cs="Times New Roman"/>
        </w:rPr>
      </w:pPr>
      <w:r w:rsidRPr="00F0735E">
        <w:rPr>
          <w:rFonts w:ascii="Times New Roman" w:hAnsi="Times New Roman" w:cs="Times New Roman"/>
        </w:rPr>
        <w:t xml:space="preserve">Folorunso, A. E., Ayodele, A. E., &amp; Agboola, D. A. (2018). Pollen morphology of some species of the family </w:t>
      </w:r>
      <w:proofErr w:type="spellStart"/>
      <w:r w:rsidRPr="00F0735E">
        <w:rPr>
          <w:rFonts w:ascii="Times New Roman" w:hAnsi="Times New Roman" w:cs="Times New Roman"/>
        </w:rPr>
        <w:t>Acanthaceae</w:t>
      </w:r>
      <w:proofErr w:type="spellEnd"/>
      <w:r w:rsidRPr="00F0735E">
        <w:rPr>
          <w:rFonts w:ascii="Times New Roman" w:hAnsi="Times New Roman" w:cs="Times New Roman"/>
        </w:rPr>
        <w:t xml:space="preserve"> in Nigeria. </w:t>
      </w:r>
      <w:proofErr w:type="spellStart"/>
      <w:r w:rsidRPr="00F0735E">
        <w:rPr>
          <w:rFonts w:ascii="Times New Roman" w:hAnsi="Times New Roman" w:cs="Times New Roman"/>
          <w:i/>
          <w:iCs/>
        </w:rPr>
        <w:t>Ifẹ</w:t>
      </w:r>
      <w:proofErr w:type="spellEnd"/>
      <w:r w:rsidRPr="00F0735E">
        <w:rPr>
          <w:rFonts w:ascii="Times New Roman" w:hAnsi="Times New Roman" w:cs="Times New Roman"/>
          <w:i/>
          <w:iCs/>
        </w:rPr>
        <w:t xml:space="preserve"> Journal of Science</w:t>
      </w:r>
      <w:r w:rsidRPr="00F0735E">
        <w:rPr>
          <w:rFonts w:ascii="Times New Roman" w:hAnsi="Times New Roman" w:cs="Times New Roman"/>
        </w:rPr>
        <w:t>, 20(2), 321–331.</w:t>
      </w:r>
    </w:p>
    <w:p w14:paraId="4F5F4DA1" w14:textId="0356C396" w:rsidR="00DA0CC0" w:rsidRPr="00DA0CC0" w:rsidRDefault="001E7A3B" w:rsidP="00DA0CC0">
      <w:pPr>
        <w:numPr>
          <w:ilvl w:val="0"/>
          <w:numId w:val="5"/>
        </w:numPr>
        <w:tabs>
          <w:tab w:val="clear" w:pos="720"/>
        </w:tabs>
        <w:spacing w:line="360" w:lineRule="auto"/>
        <w:ind w:left="426"/>
        <w:jc w:val="both"/>
        <w:rPr>
          <w:rFonts w:ascii="Times New Roman" w:hAnsi="Times New Roman" w:cs="Times New Roman"/>
        </w:rPr>
      </w:pPr>
      <w:r w:rsidRPr="001E7A3B">
        <w:rPr>
          <w:rFonts w:ascii="Times New Roman" w:hAnsi="Times New Roman" w:cs="Times New Roman"/>
        </w:rPr>
        <w:t xml:space="preserve">Halbritter, H. (1998). </w:t>
      </w:r>
      <w:r w:rsidRPr="001E7A3B">
        <w:rPr>
          <w:rFonts w:ascii="Times New Roman" w:hAnsi="Times New Roman" w:cs="Times New Roman"/>
          <w:i/>
          <w:iCs/>
        </w:rPr>
        <w:t>Preparing living pollen material for scanning electron microscopy using 2,2-dimethoxypropane (DMP) and critical-point drying</w:t>
      </w:r>
      <w:r w:rsidRPr="001E7A3B">
        <w:rPr>
          <w:rFonts w:ascii="Times New Roman" w:hAnsi="Times New Roman" w:cs="Times New Roman"/>
        </w:rPr>
        <w:t xml:space="preserve">. </w:t>
      </w:r>
      <w:r w:rsidRPr="00561D25">
        <w:rPr>
          <w:rFonts w:ascii="Times New Roman" w:hAnsi="Times New Roman" w:cs="Times New Roman"/>
          <w:i/>
          <w:iCs/>
        </w:rPr>
        <w:t>Biotechnic &amp; Histochemistry</w:t>
      </w:r>
      <w:r w:rsidRPr="00561D25">
        <w:rPr>
          <w:rFonts w:ascii="Times New Roman" w:hAnsi="Times New Roman" w:cs="Times New Roman"/>
        </w:rPr>
        <w:t>, 73(3)</w:t>
      </w:r>
      <w:r w:rsidR="00561D25">
        <w:rPr>
          <w:rFonts w:ascii="Times New Roman" w:hAnsi="Times New Roman" w:cs="Times New Roman"/>
        </w:rPr>
        <w:t>:</w:t>
      </w:r>
      <w:r w:rsidRPr="00561D25">
        <w:rPr>
          <w:rFonts w:ascii="Times New Roman" w:hAnsi="Times New Roman" w:cs="Times New Roman"/>
        </w:rPr>
        <w:t xml:space="preserve"> 137–143.</w:t>
      </w:r>
      <w:r w:rsidRPr="001E7A3B">
        <w:rPr>
          <w:rFonts w:ascii="Times New Roman" w:hAnsi="Times New Roman" w:cs="Times New Roman"/>
        </w:rPr>
        <w:t xml:space="preserve"> </w:t>
      </w:r>
      <w:hyperlink r:id="rId15" w:history="1">
        <w:r w:rsidR="00561D25" w:rsidRPr="005C435E">
          <w:rPr>
            <w:rStyle w:val="Hyperlink"/>
            <w:rFonts w:ascii="Times New Roman" w:hAnsi="Times New Roman" w:cs="Times New Roman"/>
          </w:rPr>
          <w:t>https://doi.org/10.3109/10520299809140519</w:t>
        </w:r>
      </w:hyperlink>
      <w:r w:rsidR="00561D25">
        <w:rPr>
          <w:rFonts w:ascii="Times New Roman" w:hAnsi="Times New Roman" w:cs="Times New Roman"/>
        </w:rPr>
        <w:t xml:space="preserve"> </w:t>
      </w:r>
      <w:r w:rsidR="00DA0CC0" w:rsidRPr="00DA0CC0">
        <w:rPr>
          <w:rFonts w:ascii="Times New Roman" w:hAnsi="Times New Roman" w:cs="Times New Roman"/>
        </w:rPr>
        <w:t xml:space="preserve">. </w:t>
      </w:r>
    </w:p>
    <w:p w14:paraId="1A1F909B" w14:textId="42A8FC51" w:rsidR="00CF1070" w:rsidRPr="00CF1070" w:rsidRDefault="00CF1070" w:rsidP="00DA0CC0">
      <w:pPr>
        <w:numPr>
          <w:ilvl w:val="0"/>
          <w:numId w:val="5"/>
        </w:numPr>
        <w:tabs>
          <w:tab w:val="clear" w:pos="720"/>
        </w:tabs>
        <w:spacing w:line="360" w:lineRule="auto"/>
        <w:ind w:left="426"/>
        <w:jc w:val="both"/>
        <w:rPr>
          <w:rFonts w:ascii="Times New Roman" w:hAnsi="Times New Roman" w:cs="Times New Roman"/>
        </w:rPr>
      </w:pPr>
      <w:r w:rsidRPr="00CF1070">
        <w:rPr>
          <w:rFonts w:ascii="Times New Roman" w:eastAsia="Times New Roman" w:hAnsi="Times New Roman" w:cs="Times New Roman"/>
          <w:kern w:val="0"/>
          <w:lang w:eastAsia="en-IN"/>
          <w14:ligatures w14:val="none"/>
        </w:rPr>
        <w:t xml:space="preserve">Halbritter, H., Ulrich, S., Grímsson, F., Weber, M., Zetter, R., Hesse, M., Buchner, R., &amp; </w:t>
      </w:r>
      <w:proofErr w:type="spellStart"/>
      <w:r w:rsidRPr="00CF1070">
        <w:rPr>
          <w:rFonts w:ascii="Times New Roman" w:eastAsia="Times New Roman" w:hAnsi="Times New Roman" w:cs="Times New Roman"/>
          <w:kern w:val="0"/>
          <w:lang w:eastAsia="en-IN"/>
          <w14:ligatures w14:val="none"/>
        </w:rPr>
        <w:t>Svojtka</w:t>
      </w:r>
      <w:proofErr w:type="spellEnd"/>
      <w:r w:rsidRPr="00CF1070">
        <w:rPr>
          <w:rFonts w:ascii="Times New Roman" w:eastAsia="Times New Roman" w:hAnsi="Times New Roman" w:cs="Times New Roman"/>
          <w:kern w:val="0"/>
          <w:lang w:eastAsia="en-IN"/>
          <w14:ligatures w14:val="none"/>
        </w:rPr>
        <w:t xml:space="preserve">, M. (2018). </w:t>
      </w:r>
      <w:r w:rsidRPr="00CF1070">
        <w:rPr>
          <w:rFonts w:ascii="Times New Roman" w:eastAsia="Times New Roman" w:hAnsi="Times New Roman" w:cs="Times New Roman"/>
          <w:i/>
          <w:iCs/>
          <w:kern w:val="0"/>
          <w:lang w:eastAsia="en-IN"/>
          <w14:ligatures w14:val="none"/>
        </w:rPr>
        <w:t>Illustrated pollen terminology</w:t>
      </w:r>
      <w:r w:rsidRPr="00CF1070">
        <w:rPr>
          <w:rFonts w:ascii="Times New Roman" w:eastAsia="Times New Roman" w:hAnsi="Times New Roman" w:cs="Times New Roman"/>
          <w:kern w:val="0"/>
          <w:lang w:eastAsia="en-IN"/>
          <w14:ligatures w14:val="none"/>
        </w:rPr>
        <w:t xml:space="preserve"> (2nd ed.). Springer. </w:t>
      </w:r>
      <w:hyperlink r:id="rId16" w:history="1">
        <w:r w:rsidRPr="0038726E">
          <w:rPr>
            <w:rStyle w:val="Hyperlink"/>
            <w:rFonts w:ascii="Times New Roman" w:eastAsia="Times New Roman" w:hAnsi="Times New Roman" w:cs="Times New Roman"/>
            <w:kern w:val="0"/>
            <w:lang w:eastAsia="en-IN"/>
            <w14:ligatures w14:val="none"/>
          </w:rPr>
          <w:t>https://doi.org/10.1007/978-3-319-71365-6</w:t>
        </w:r>
      </w:hyperlink>
      <w:r>
        <w:rPr>
          <w:rFonts w:ascii="Times New Roman" w:eastAsia="Times New Roman" w:hAnsi="Times New Roman" w:cs="Times New Roman"/>
          <w:kern w:val="0"/>
          <w:lang w:eastAsia="en-IN"/>
          <w14:ligatures w14:val="none"/>
        </w:rPr>
        <w:t xml:space="preserve"> </w:t>
      </w:r>
    </w:p>
    <w:p w14:paraId="6AACC305" w14:textId="06D0610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Lei, L.-G. &amp; Liang, H.-X. (1998). Pollen morphology and its taxonomic significance in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w:t>
      </w:r>
      <w:r w:rsidRPr="00DA0CC0">
        <w:rPr>
          <w:rFonts w:ascii="Times New Roman" w:hAnsi="Times New Roman" w:cs="Times New Roman"/>
          <w:i/>
          <w:iCs/>
        </w:rPr>
        <w:t>Acta Bot. Yunn.</w:t>
      </w:r>
      <w:r w:rsidRPr="00DA0CC0">
        <w:rPr>
          <w:rFonts w:ascii="Times New Roman" w:hAnsi="Times New Roman" w:cs="Times New Roman"/>
        </w:rPr>
        <w:t> 20, 429</w:t>
      </w:r>
      <w:r w:rsidR="00442AA8">
        <w:rPr>
          <w:rFonts w:ascii="Times New Roman" w:hAnsi="Times New Roman" w:cs="Times New Roman"/>
        </w:rPr>
        <w:t>-</w:t>
      </w:r>
      <w:r w:rsidRPr="00DA0CC0">
        <w:rPr>
          <w:rFonts w:ascii="Times New Roman" w:hAnsi="Times New Roman" w:cs="Times New Roman"/>
        </w:rPr>
        <w:t xml:space="preserve">433 </w:t>
      </w:r>
    </w:p>
    <w:p w14:paraId="00C27F1F" w14:textId="3A1668A3"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Mathew, P. J. &amp; Mathew, P. M. (2001). </w:t>
      </w:r>
      <w:r w:rsidRPr="005F3078">
        <w:rPr>
          <w:rFonts w:ascii="Times New Roman" w:hAnsi="Times New Roman" w:cs="Times New Roman"/>
        </w:rPr>
        <w:t xml:space="preserve">Pollen morphology of some members of </w:t>
      </w:r>
      <w:proofErr w:type="spellStart"/>
      <w:r w:rsidRPr="005F3078">
        <w:rPr>
          <w:rFonts w:ascii="Times New Roman" w:hAnsi="Times New Roman" w:cs="Times New Roman"/>
        </w:rPr>
        <w:t>Piperaceae</w:t>
      </w:r>
      <w:proofErr w:type="spellEnd"/>
      <w:r w:rsidRPr="005F3078">
        <w:rPr>
          <w:rFonts w:ascii="Times New Roman" w:hAnsi="Times New Roman" w:cs="Times New Roman"/>
        </w:rPr>
        <w:t xml:space="preserve"> and its bearing on the systematics and phylogeny of the family</w:t>
      </w:r>
      <w:r w:rsidRPr="00DA0CC0">
        <w:rPr>
          <w:rFonts w:ascii="Times New Roman" w:hAnsi="Times New Roman" w:cs="Times New Roman"/>
          <w:i/>
          <w:iCs/>
        </w:rPr>
        <w:t>.</w:t>
      </w:r>
      <w:r w:rsidRPr="00DA0CC0">
        <w:rPr>
          <w:rFonts w:ascii="Times New Roman" w:hAnsi="Times New Roman" w:cs="Times New Roman"/>
        </w:rPr>
        <w:t xml:space="preserve"> </w:t>
      </w:r>
      <w:proofErr w:type="spellStart"/>
      <w:r w:rsidRPr="00DA0CC0">
        <w:rPr>
          <w:rFonts w:ascii="Times New Roman" w:hAnsi="Times New Roman" w:cs="Times New Roman"/>
          <w:i/>
          <w:iCs/>
        </w:rPr>
        <w:t>Rheedea</w:t>
      </w:r>
      <w:proofErr w:type="spellEnd"/>
      <w:r w:rsidRPr="00DA0CC0">
        <w:rPr>
          <w:rFonts w:ascii="Times New Roman" w:hAnsi="Times New Roman" w:cs="Times New Roman"/>
        </w:rPr>
        <w:t xml:space="preserve">, 11, 65–78. </w:t>
      </w:r>
    </w:p>
    <w:p w14:paraId="78FD317A" w14:textId="727B6760" w:rsid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Nair, P.</w:t>
      </w:r>
      <w:r w:rsidR="0072268D">
        <w:rPr>
          <w:rFonts w:ascii="Times New Roman" w:hAnsi="Times New Roman" w:cs="Times New Roman"/>
        </w:rPr>
        <w:t xml:space="preserve"> </w:t>
      </w:r>
      <w:r w:rsidRPr="00DA0CC0">
        <w:rPr>
          <w:rFonts w:ascii="Times New Roman" w:hAnsi="Times New Roman" w:cs="Times New Roman"/>
        </w:rPr>
        <w:t>K.</w:t>
      </w:r>
      <w:r w:rsidR="0072268D">
        <w:rPr>
          <w:rFonts w:ascii="Times New Roman" w:hAnsi="Times New Roman" w:cs="Times New Roman"/>
        </w:rPr>
        <w:t xml:space="preserve"> </w:t>
      </w:r>
      <w:r w:rsidRPr="00DA0CC0">
        <w:rPr>
          <w:rFonts w:ascii="Times New Roman" w:hAnsi="Times New Roman" w:cs="Times New Roman"/>
        </w:rPr>
        <w:t>K. (1970). Pollen morphology of Angiosperm - A historical and phylogenetic study. Barnes&amp; Nobles, New York.</w:t>
      </w:r>
    </w:p>
    <w:p w14:paraId="053A6DC8" w14:textId="527AB9D8" w:rsidR="00F75CD7" w:rsidRDefault="00F75CD7" w:rsidP="00F75CD7">
      <w:pPr>
        <w:numPr>
          <w:ilvl w:val="0"/>
          <w:numId w:val="5"/>
        </w:numPr>
        <w:tabs>
          <w:tab w:val="clear" w:pos="720"/>
        </w:tabs>
        <w:spacing w:line="360" w:lineRule="auto"/>
        <w:ind w:left="426"/>
        <w:jc w:val="both"/>
        <w:rPr>
          <w:rFonts w:ascii="Times New Roman" w:hAnsi="Times New Roman" w:cs="Times New Roman"/>
        </w:rPr>
      </w:pPr>
      <w:r w:rsidRPr="006C7BD7">
        <w:rPr>
          <w:rFonts w:ascii="Times New Roman" w:hAnsi="Times New Roman" w:cs="Times New Roman"/>
        </w:rPr>
        <w:lastRenderedPageBreak/>
        <w:t>Oak, MK., Yang, S., Choi, G. </w:t>
      </w:r>
      <w:r w:rsidRPr="006C7BD7">
        <w:rPr>
          <w:rFonts w:ascii="Times New Roman" w:hAnsi="Times New Roman" w:cs="Times New Roman"/>
          <w:i/>
          <w:iCs/>
        </w:rPr>
        <w:t>et al.</w:t>
      </w:r>
      <w:r w:rsidRPr="006C7BD7">
        <w:rPr>
          <w:rFonts w:ascii="Times New Roman" w:hAnsi="Times New Roman" w:cs="Times New Roman"/>
        </w:rPr>
        <w:t xml:space="preserve"> (2022). Systematic palynology in Korean </w:t>
      </w:r>
      <w:proofErr w:type="spellStart"/>
      <w:r w:rsidRPr="006C7BD7">
        <w:rPr>
          <w:rFonts w:ascii="Times New Roman" w:hAnsi="Times New Roman" w:cs="Times New Roman"/>
        </w:rPr>
        <w:t>Piperales</w:t>
      </w:r>
      <w:proofErr w:type="spellEnd"/>
      <w:r w:rsidRPr="006C7BD7">
        <w:rPr>
          <w:rFonts w:ascii="Times New Roman" w:hAnsi="Times New Roman" w:cs="Times New Roman"/>
        </w:rPr>
        <w:t xml:space="preserve"> with special focus on its exine surface ornamentation and </w:t>
      </w:r>
      <w:proofErr w:type="spellStart"/>
      <w:r w:rsidRPr="006C7BD7">
        <w:rPr>
          <w:rFonts w:ascii="Times New Roman" w:hAnsi="Times New Roman" w:cs="Times New Roman"/>
        </w:rPr>
        <w:t>orbicule</w:t>
      </w:r>
      <w:proofErr w:type="spellEnd"/>
      <w:r w:rsidRPr="006C7BD7">
        <w:rPr>
          <w:rFonts w:ascii="Times New Roman" w:hAnsi="Times New Roman" w:cs="Times New Roman"/>
        </w:rPr>
        <w:t xml:space="preserve"> morphology. </w:t>
      </w:r>
      <w:r w:rsidRPr="006C7BD7">
        <w:rPr>
          <w:rFonts w:ascii="Times New Roman" w:hAnsi="Times New Roman" w:cs="Times New Roman"/>
          <w:i/>
          <w:iCs/>
        </w:rPr>
        <w:t>Sci Rep</w:t>
      </w:r>
      <w:r w:rsidR="001B1421">
        <w:rPr>
          <w:rFonts w:ascii="Times New Roman" w:hAnsi="Times New Roman" w:cs="Times New Roman"/>
          <w:i/>
          <w:iCs/>
        </w:rPr>
        <w:t>.</w:t>
      </w:r>
      <w:r w:rsidRPr="006C7BD7">
        <w:rPr>
          <w:rFonts w:ascii="Times New Roman" w:hAnsi="Times New Roman" w:cs="Times New Roman"/>
        </w:rPr>
        <w:t> </w:t>
      </w:r>
      <w:r w:rsidRPr="001B1421">
        <w:rPr>
          <w:rFonts w:ascii="Times New Roman" w:hAnsi="Times New Roman" w:cs="Times New Roman"/>
        </w:rPr>
        <w:t>12</w:t>
      </w:r>
      <w:r w:rsidRPr="006C7BD7">
        <w:rPr>
          <w:rFonts w:ascii="Times New Roman" w:hAnsi="Times New Roman" w:cs="Times New Roman"/>
        </w:rPr>
        <w:t xml:space="preserve">, 4142 </w:t>
      </w:r>
      <w:hyperlink r:id="rId17" w:history="1">
        <w:r w:rsidRPr="0038726E">
          <w:rPr>
            <w:rStyle w:val="Hyperlink"/>
            <w:rFonts w:ascii="Times New Roman" w:hAnsi="Times New Roman" w:cs="Times New Roman"/>
          </w:rPr>
          <w:t>https://doi.org/10.1038/s41598-022-08105-3</w:t>
        </w:r>
      </w:hyperlink>
      <w:r>
        <w:rPr>
          <w:rFonts w:ascii="Times New Roman" w:hAnsi="Times New Roman" w:cs="Times New Roman"/>
        </w:rPr>
        <w:t xml:space="preserve"> </w:t>
      </w:r>
    </w:p>
    <w:p w14:paraId="24600A6F" w14:textId="18CE32F2"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Pooja, S., Sreekala, G. S. &amp; </w:t>
      </w:r>
      <w:proofErr w:type="spellStart"/>
      <w:r w:rsidRPr="00DA0CC0">
        <w:rPr>
          <w:rFonts w:ascii="Times New Roman" w:hAnsi="Times New Roman" w:cs="Times New Roman"/>
        </w:rPr>
        <w:t>Narayanapur</w:t>
      </w:r>
      <w:proofErr w:type="spellEnd"/>
      <w:r w:rsidRPr="00DA0CC0">
        <w:rPr>
          <w:rFonts w:ascii="Times New Roman" w:hAnsi="Times New Roman" w:cs="Times New Roman"/>
        </w:rPr>
        <w:t xml:space="preserve">, V. B. (2021). </w:t>
      </w:r>
      <w:r w:rsidRPr="003D1576">
        <w:rPr>
          <w:rFonts w:ascii="Times New Roman" w:hAnsi="Times New Roman" w:cs="Times New Roman"/>
        </w:rPr>
        <w:t>Pollen germination and morphology of black pepper (Piper nigrum L.).</w:t>
      </w:r>
      <w:r w:rsidRPr="00DA0CC0">
        <w:rPr>
          <w:rFonts w:ascii="Times New Roman" w:hAnsi="Times New Roman" w:cs="Times New Roman"/>
        </w:rPr>
        <w:t xml:space="preserve"> </w:t>
      </w:r>
      <w:r w:rsidRPr="00DA0CC0">
        <w:rPr>
          <w:rFonts w:ascii="Times New Roman" w:hAnsi="Times New Roman" w:cs="Times New Roman"/>
          <w:i/>
          <w:iCs/>
        </w:rPr>
        <w:t xml:space="preserve">Biological Forum </w:t>
      </w:r>
      <w:r w:rsidR="003D1576">
        <w:rPr>
          <w:rFonts w:ascii="Times New Roman" w:hAnsi="Times New Roman" w:cs="Times New Roman"/>
          <w:i/>
          <w:iCs/>
        </w:rPr>
        <w:t>-</w:t>
      </w:r>
      <w:r w:rsidRPr="00DA0CC0">
        <w:rPr>
          <w:rFonts w:ascii="Times New Roman" w:hAnsi="Times New Roman" w:cs="Times New Roman"/>
          <w:i/>
          <w:iCs/>
        </w:rPr>
        <w:t xml:space="preserve"> An International Journal</w:t>
      </w:r>
      <w:r w:rsidRPr="00DA0CC0">
        <w:rPr>
          <w:rFonts w:ascii="Times New Roman" w:hAnsi="Times New Roman" w:cs="Times New Roman"/>
        </w:rPr>
        <w:t>, 13(4)</w:t>
      </w:r>
      <w:r w:rsidR="001B1421">
        <w:rPr>
          <w:rFonts w:ascii="Times New Roman" w:hAnsi="Times New Roman" w:cs="Times New Roman"/>
        </w:rPr>
        <w:t>:</w:t>
      </w:r>
      <w:r w:rsidRPr="00DA0CC0">
        <w:rPr>
          <w:rFonts w:ascii="Times New Roman" w:hAnsi="Times New Roman" w:cs="Times New Roman"/>
        </w:rPr>
        <w:t xml:space="preserve"> 1134–1140. </w:t>
      </w:r>
    </w:p>
    <w:p w14:paraId="137D1A92"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Punt, W., Hoen, P. P., Blackmore, S., Nilsson, S., &amp; Le Thomas, A. (2007). Glossary of pollen and spore terminology. </w:t>
      </w:r>
      <w:r w:rsidRPr="00DA0CC0">
        <w:rPr>
          <w:rFonts w:ascii="Times New Roman" w:hAnsi="Times New Roman" w:cs="Times New Roman"/>
          <w:i/>
          <w:iCs/>
        </w:rPr>
        <w:t>Review of Palaeobotany and Palynology</w:t>
      </w:r>
      <w:r w:rsidRPr="00DA0CC0">
        <w:rPr>
          <w:rFonts w:ascii="Times New Roman" w:hAnsi="Times New Roman" w:cs="Times New Roman"/>
        </w:rPr>
        <w:t xml:space="preserve">, 143(1–2), 1–81. </w:t>
      </w:r>
      <w:hyperlink r:id="rId18" w:history="1">
        <w:r w:rsidRPr="00DA0CC0">
          <w:rPr>
            <w:rStyle w:val="Hyperlink"/>
            <w:rFonts w:ascii="Times New Roman" w:hAnsi="Times New Roman" w:cs="Times New Roman"/>
          </w:rPr>
          <w:t>https://doi.org/10.1016/j.revpalbo.2006.06.008</w:t>
        </w:r>
      </w:hyperlink>
    </w:p>
    <w:p w14:paraId="41710923"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(2000). Black Pepper, </w:t>
      </w:r>
      <w:r w:rsidRPr="00DA0CC0">
        <w:rPr>
          <w:rFonts w:ascii="Times New Roman" w:hAnsi="Times New Roman" w:cs="Times New Roman"/>
          <w:i/>
          <w:iCs/>
        </w:rPr>
        <w:t>Piper nigrum</w:t>
      </w:r>
      <w:r w:rsidRPr="00DA0CC0">
        <w:rPr>
          <w:rFonts w:ascii="Times New Roman" w:hAnsi="Times New Roman" w:cs="Times New Roman"/>
        </w:rPr>
        <w:t>. Amsterdam, Netherlands: Harwood Academic.</w:t>
      </w:r>
    </w:p>
    <w:p w14:paraId="2878631A"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Balakrishnan, R., </w:t>
      </w:r>
      <w:proofErr w:type="spellStart"/>
      <w:r w:rsidRPr="00DA0CC0">
        <w:rPr>
          <w:rFonts w:ascii="Times New Roman" w:hAnsi="Times New Roman" w:cs="Times New Roman"/>
        </w:rPr>
        <w:t>Nirmalbabu</w:t>
      </w:r>
      <w:proofErr w:type="spellEnd"/>
      <w:r w:rsidRPr="00DA0CC0">
        <w:rPr>
          <w:rFonts w:ascii="Times New Roman" w:hAnsi="Times New Roman" w:cs="Times New Roman"/>
        </w:rPr>
        <w:t>, K. (1992). Numerical taxonomy of South Indian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xml:space="preserve">) cluster analysis. </w:t>
      </w:r>
      <w:proofErr w:type="spellStart"/>
      <w:r w:rsidRPr="00CE49E7">
        <w:rPr>
          <w:rFonts w:ascii="Times New Roman" w:hAnsi="Times New Roman" w:cs="Times New Roman"/>
          <w:i/>
          <w:iCs/>
        </w:rPr>
        <w:t>Rheedea</w:t>
      </w:r>
      <w:proofErr w:type="spellEnd"/>
      <w:r w:rsidRPr="00DA0CC0">
        <w:rPr>
          <w:rFonts w:ascii="Times New Roman" w:hAnsi="Times New Roman" w:cs="Times New Roman"/>
        </w:rPr>
        <w:t xml:space="preserve"> 2:55-61.</w:t>
      </w:r>
    </w:p>
    <w:p w14:paraId="2D7E98B0" w14:textId="3A856F0D"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Ravindran, P.N., Nirmal</w:t>
      </w:r>
      <w:r w:rsidR="000234D0">
        <w:rPr>
          <w:rFonts w:ascii="Times New Roman" w:hAnsi="Times New Roman" w:cs="Times New Roman"/>
        </w:rPr>
        <w:t xml:space="preserve"> </w:t>
      </w:r>
      <w:r w:rsidRPr="00DA0CC0">
        <w:rPr>
          <w:rFonts w:ascii="Times New Roman" w:hAnsi="Times New Roman" w:cs="Times New Roman"/>
        </w:rPr>
        <w:t xml:space="preserve">Babu, K. (1996). Numerical taxonomy of South Indian Piper L. II Principal component analysis of the major taxa. </w:t>
      </w:r>
      <w:proofErr w:type="spellStart"/>
      <w:r w:rsidRPr="00BF61EE">
        <w:rPr>
          <w:rFonts w:ascii="Times New Roman" w:hAnsi="Times New Roman" w:cs="Times New Roman"/>
          <w:i/>
          <w:iCs/>
        </w:rPr>
        <w:t>Rheedea</w:t>
      </w:r>
      <w:proofErr w:type="spellEnd"/>
      <w:r w:rsidRPr="00DA0CC0">
        <w:rPr>
          <w:rFonts w:ascii="Times New Roman" w:hAnsi="Times New Roman" w:cs="Times New Roman"/>
        </w:rPr>
        <w:t xml:space="preserve"> 6:75-86.</w:t>
      </w:r>
    </w:p>
    <w:p w14:paraId="6CB47346"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Sampson, F.B. (2010). Pollen diversity in some modern </w:t>
      </w:r>
      <w:proofErr w:type="spellStart"/>
      <w:r w:rsidRPr="00DA0CC0">
        <w:rPr>
          <w:rFonts w:ascii="Times New Roman" w:hAnsi="Times New Roman" w:cs="Times New Roman"/>
        </w:rPr>
        <w:t>Magnolids</w:t>
      </w:r>
      <w:proofErr w:type="spellEnd"/>
      <w:r w:rsidRPr="00DA0CC0">
        <w:rPr>
          <w:rFonts w:ascii="Times New Roman" w:hAnsi="Times New Roman" w:cs="Times New Roman"/>
        </w:rPr>
        <w:t xml:space="preserve">. </w:t>
      </w:r>
      <w:r w:rsidRPr="00BF61EE">
        <w:rPr>
          <w:rFonts w:ascii="Times New Roman" w:hAnsi="Times New Roman" w:cs="Times New Roman"/>
          <w:i/>
          <w:iCs/>
        </w:rPr>
        <w:t>Int J Plant Sci</w:t>
      </w:r>
      <w:r w:rsidRPr="00DA0CC0">
        <w:rPr>
          <w:rFonts w:ascii="Times New Roman" w:hAnsi="Times New Roman" w:cs="Times New Roman"/>
        </w:rPr>
        <w:t xml:space="preserve"> 161. Suppl. 6: 193-210.</w:t>
      </w:r>
    </w:p>
    <w:p w14:paraId="61B72E60" w14:textId="77777777" w:rsidR="00DA0CC0" w:rsidRPr="00DA0CC0" w:rsidRDefault="00DA0CC0" w:rsidP="00DA0CC0">
      <w:pPr>
        <w:pStyle w:val="NormalWeb"/>
        <w:numPr>
          <w:ilvl w:val="0"/>
          <w:numId w:val="5"/>
        </w:numPr>
        <w:tabs>
          <w:tab w:val="clear" w:pos="720"/>
        </w:tabs>
        <w:spacing w:line="360" w:lineRule="auto"/>
        <w:ind w:left="426"/>
        <w:jc w:val="both"/>
      </w:pPr>
      <w:proofErr w:type="spellStart"/>
      <w:r w:rsidRPr="00DA0CC0">
        <w:t>Shivanna</w:t>
      </w:r>
      <w:proofErr w:type="spellEnd"/>
      <w:r w:rsidRPr="00DA0CC0">
        <w:t xml:space="preserve">, K. R., &amp; Rangaswamy, N. S. (1992). </w:t>
      </w:r>
      <w:r w:rsidRPr="00DA0CC0">
        <w:rPr>
          <w:rStyle w:val="Emphasis"/>
          <w:rFonts w:eastAsiaTheme="majorEastAsia"/>
        </w:rPr>
        <w:t>Pollen Biology: A Laboratory Manual</w:t>
      </w:r>
      <w:r w:rsidRPr="00DA0CC0">
        <w:t>. Springer-Verlag, Berlin.</w:t>
      </w:r>
    </w:p>
    <w:p w14:paraId="4B7B1315" w14:textId="07081C4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Song, J.-H., Yang, S. &amp; Choi, G. (2020). Taxonomic implications of leaf micromorphology using microscopic analysis: A tool for identification and authentication of Korean </w:t>
      </w:r>
      <w:proofErr w:type="spellStart"/>
      <w:r w:rsidRPr="00DA0CC0">
        <w:rPr>
          <w:rFonts w:ascii="Times New Roman" w:hAnsi="Times New Roman" w:cs="Times New Roman"/>
        </w:rPr>
        <w:t>Piperales</w:t>
      </w:r>
      <w:proofErr w:type="spellEnd"/>
      <w:r w:rsidRPr="00DA0CC0">
        <w:rPr>
          <w:rFonts w:ascii="Times New Roman" w:hAnsi="Times New Roman" w:cs="Times New Roman"/>
        </w:rPr>
        <w:t>. </w:t>
      </w:r>
      <w:r w:rsidRPr="00DA0CC0">
        <w:rPr>
          <w:rFonts w:ascii="Times New Roman" w:hAnsi="Times New Roman" w:cs="Times New Roman"/>
          <w:i/>
          <w:iCs/>
        </w:rPr>
        <w:t>Plants</w:t>
      </w:r>
      <w:r w:rsidR="003D1576">
        <w:rPr>
          <w:rFonts w:ascii="Times New Roman" w:hAnsi="Times New Roman" w:cs="Times New Roman"/>
          <w:i/>
          <w:iCs/>
        </w:rPr>
        <w:t>.</w:t>
      </w:r>
      <w:r w:rsidRPr="00DA0CC0">
        <w:rPr>
          <w:rFonts w:ascii="Times New Roman" w:hAnsi="Times New Roman" w:cs="Times New Roman"/>
        </w:rPr>
        <w:t> 9, 566. </w:t>
      </w:r>
      <w:hyperlink r:id="rId19" w:history="1">
        <w:r w:rsidRPr="00DA0CC0">
          <w:rPr>
            <w:rStyle w:val="Hyperlink"/>
            <w:rFonts w:ascii="Times New Roman" w:hAnsi="Times New Roman" w:cs="Times New Roman"/>
          </w:rPr>
          <w:t>https://doi.org/10.3390/plants9050566</w:t>
        </w:r>
      </w:hyperlink>
      <w:r w:rsidRPr="00DA0CC0">
        <w:rPr>
          <w:rFonts w:ascii="Times New Roman" w:hAnsi="Times New Roman" w:cs="Times New Roman"/>
        </w:rPr>
        <w:t> </w:t>
      </w:r>
    </w:p>
    <w:p w14:paraId="4B97F048"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proofErr w:type="spellStart"/>
      <w:r w:rsidRPr="00DA0CC0">
        <w:rPr>
          <w:rFonts w:ascii="Times New Roman" w:hAnsi="Times New Roman" w:cs="Times New Roman"/>
        </w:rPr>
        <w:t>Suwanphakdee</w:t>
      </w:r>
      <w:proofErr w:type="spellEnd"/>
      <w:r w:rsidRPr="00DA0CC0">
        <w:rPr>
          <w:rFonts w:ascii="Times New Roman" w:hAnsi="Times New Roman" w:cs="Times New Roman"/>
        </w:rPr>
        <w:t xml:space="preserve">, C., </w:t>
      </w:r>
      <w:proofErr w:type="spellStart"/>
      <w:r w:rsidRPr="00DA0CC0">
        <w:rPr>
          <w:rFonts w:ascii="Times New Roman" w:hAnsi="Times New Roman" w:cs="Times New Roman"/>
        </w:rPr>
        <w:t>Masuthon</w:t>
      </w:r>
      <w:proofErr w:type="spellEnd"/>
      <w:r w:rsidRPr="00DA0CC0">
        <w:rPr>
          <w:rFonts w:ascii="Times New Roman" w:hAnsi="Times New Roman" w:cs="Times New Roman"/>
        </w:rPr>
        <w:t xml:space="preserve">, S., </w:t>
      </w:r>
      <w:proofErr w:type="spellStart"/>
      <w:r w:rsidRPr="00DA0CC0">
        <w:rPr>
          <w:rFonts w:ascii="Times New Roman" w:hAnsi="Times New Roman" w:cs="Times New Roman"/>
        </w:rPr>
        <w:t>Chantaranotha</w:t>
      </w:r>
      <w:proofErr w:type="spellEnd"/>
      <w:r w:rsidRPr="00DA0CC0">
        <w:rPr>
          <w:rFonts w:ascii="Times New Roman" w:hAnsi="Times New Roman" w:cs="Times New Roman"/>
        </w:rPr>
        <w:t xml:space="preserve">, P., </w:t>
      </w:r>
      <w:proofErr w:type="spellStart"/>
      <w:r w:rsidRPr="00DA0CC0">
        <w:rPr>
          <w:rFonts w:ascii="Times New Roman" w:hAnsi="Times New Roman" w:cs="Times New Roman"/>
        </w:rPr>
        <w:t>Paopun</w:t>
      </w:r>
      <w:proofErr w:type="spellEnd"/>
      <w:r w:rsidRPr="00DA0CC0">
        <w:rPr>
          <w:rFonts w:ascii="Times New Roman" w:hAnsi="Times New Roman" w:cs="Times New Roman"/>
        </w:rPr>
        <w:t>, Y. (2008). Palynological study of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xml:space="preserve">) in Thailand. </w:t>
      </w:r>
      <w:r w:rsidRPr="006C7BD7">
        <w:rPr>
          <w:rFonts w:ascii="Times New Roman" w:hAnsi="Times New Roman" w:cs="Times New Roman"/>
          <w:i/>
          <w:iCs/>
        </w:rPr>
        <w:t>KKU Sci. J</w:t>
      </w:r>
      <w:r w:rsidRPr="00DA0CC0">
        <w:rPr>
          <w:rFonts w:ascii="Times New Roman" w:hAnsi="Times New Roman" w:cs="Times New Roman"/>
        </w:rPr>
        <w:t>.36 (Supplement): 51-57.</w:t>
      </w:r>
    </w:p>
    <w:sectPr w:rsidR="00DA0CC0" w:rsidRPr="00DA0CC0">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46BCF" w14:textId="77777777" w:rsidR="00E97FD2" w:rsidRDefault="00E97FD2" w:rsidP="0046620F">
      <w:pPr>
        <w:spacing w:after="0" w:line="240" w:lineRule="auto"/>
      </w:pPr>
      <w:r>
        <w:separator/>
      </w:r>
    </w:p>
  </w:endnote>
  <w:endnote w:type="continuationSeparator" w:id="0">
    <w:p w14:paraId="00625223" w14:textId="77777777" w:rsidR="00E97FD2" w:rsidRDefault="00E97FD2" w:rsidP="0046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0DFB" w14:textId="77777777" w:rsidR="0046620F" w:rsidRDefault="00466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6F3E" w14:textId="77777777" w:rsidR="0046620F" w:rsidRDefault="00466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CD6F" w14:textId="77777777" w:rsidR="0046620F" w:rsidRDefault="00466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16389" w14:textId="77777777" w:rsidR="00E97FD2" w:rsidRDefault="00E97FD2" w:rsidP="0046620F">
      <w:pPr>
        <w:spacing w:after="0" w:line="240" w:lineRule="auto"/>
      </w:pPr>
      <w:r>
        <w:separator/>
      </w:r>
    </w:p>
  </w:footnote>
  <w:footnote w:type="continuationSeparator" w:id="0">
    <w:p w14:paraId="3C9F7407" w14:textId="77777777" w:rsidR="00E97FD2" w:rsidRDefault="00E97FD2" w:rsidP="0046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8415" w14:textId="204C6404" w:rsidR="0046620F" w:rsidRDefault="00000000">
    <w:pPr>
      <w:pStyle w:val="Header"/>
    </w:pPr>
    <w:r>
      <w:rPr>
        <w:noProof/>
      </w:rPr>
      <w:pict w14:anchorId="12DC1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3"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8968" w14:textId="7E70EF64" w:rsidR="0046620F" w:rsidRDefault="00000000">
    <w:pPr>
      <w:pStyle w:val="Header"/>
    </w:pPr>
    <w:r>
      <w:rPr>
        <w:noProof/>
      </w:rPr>
      <w:pict w14:anchorId="693DA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4"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97E0" w14:textId="5CFDFB2D" w:rsidR="0046620F" w:rsidRDefault="00000000">
    <w:pPr>
      <w:pStyle w:val="Header"/>
    </w:pPr>
    <w:r>
      <w:rPr>
        <w:noProof/>
      </w:rPr>
      <w:pict w14:anchorId="330B8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2"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E22A4"/>
    <w:multiLevelType w:val="multilevel"/>
    <w:tmpl w:val="5346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C6C030D"/>
    <w:multiLevelType w:val="multilevel"/>
    <w:tmpl w:val="17D6D18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C92014"/>
    <w:multiLevelType w:val="hybridMultilevel"/>
    <w:tmpl w:val="07F6BFC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DE10CBD"/>
    <w:multiLevelType w:val="hybridMultilevel"/>
    <w:tmpl w:val="6FFEE9C4"/>
    <w:lvl w:ilvl="0" w:tplc="FFFFFFF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53803488">
    <w:abstractNumId w:val="0"/>
  </w:num>
  <w:num w:numId="2" w16cid:durableId="859857645">
    <w:abstractNumId w:val="4"/>
  </w:num>
  <w:num w:numId="3" w16cid:durableId="67386901">
    <w:abstractNumId w:val="3"/>
  </w:num>
  <w:num w:numId="4" w16cid:durableId="96873679">
    <w:abstractNumId w:val="1"/>
  </w:num>
  <w:num w:numId="5" w16cid:durableId="1192499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F7"/>
    <w:rsid w:val="000018D1"/>
    <w:rsid w:val="00016D01"/>
    <w:rsid w:val="00021B4D"/>
    <w:rsid w:val="000223A9"/>
    <w:rsid w:val="00022F90"/>
    <w:rsid w:val="000234D0"/>
    <w:rsid w:val="00057180"/>
    <w:rsid w:val="00065DDA"/>
    <w:rsid w:val="00074CB8"/>
    <w:rsid w:val="00081470"/>
    <w:rsid w:val="00086CA5"/>
    <w:rsid w:val="000953B1"/>
    <w:rsid w:val="000A00EC"/>
    <w:rsid w:val="000A4161"/>
    <w:rsid w:val="000B49BE"/>
    <w:rsid w:val="000F7E32"/>
    <w:rsid w:val="0010472F"/>
    <w:rsid w:val="00105CAC"/>
    <w:rsid w:val="00122318"/>
    <w:rsid w:val="00137623"/>
    <w:rsid w:val="001474C7"/>
    <w:rsid w:val="00164417"/>
    <w:rsid w:val="001701E0"/>
    <w:rsid w:val="00177523"/>
    <w:rsid w:val="0018379D"/>
    <w:rsid w:val="00186A1E"/>
    <w:rsid w:val="001912FC"/>
    <w:rsid w:val="00194F5C"/>
    <w:rsid w:val="00195495"/>
    <w:rsid w:val="001B1421"/>
    <w:rsid w:val="001C5889"/>
    <w:rsid w:val="001D57E2"/>
    <w:rsid w:val="001D580A"/>
    <w:rsid w:val="001E5738"/>
    <w:rsid w:val="001E6ED2"/>
    <w:rsid w:val="001E7A3B"/>
    <w:rsid w:val="001F1106"/>
    <w:rsid w:val="00203BFA"/>
    <w:rsid w:val="00206E5D"/>
    <w:rsid w:val="00213ACA"/>
    <w:rsid w:val="00230F64"/>
    <w:rsid w:val="0023410F"/>
    <w:rsid w:val="002356AF"/>
    <w:rsid w:val="00261E49"/>
    <w:rsid w:val="00270AB0"/>
    <w:rsid w:val="00297799"/>
    <w:rsid w:val="002C0AA3"/>
    <w:rsid w:val="002C242F"/>
    <w:rsid w:val="002D3B76"/>
    <w:rsid w:val="002D5D63"/>
    <w:rsid w:val="002E1B60"/>
    <w:rsid w:val="002E5ABE"/>
    <w:rsid w:val="002F3A79"/>
    <w:rsid w:val="00311448"/>
    <w:rsid w:val="0033064B"/>
    <w:rsid w:val="00331B1C"/>
    <w:rsid w:val="0033426A"/>
    <w:rsid w:val="003476B1"/>
    <w:rsid w:val="00351B60"/>
    <w:rsid w:val="00366FF7"/>
    <w:rsid w:val="00370DA4"/>
    <w:rsid w:val="00383E83"/>
    <w:rsid w:val="00396A32"/>
    <w:rsid w:val="003A4235"/>
    <w:rsid w:val="003A56FA"/>
    <w:rsid w:val="003A57E1"/>
    <w:rsid w:val="003B6CB6"/>
    <w:rsid w:val="003D1576"/>
    <w:rsid w:val="003D423B"/>
    <w:rsid w:val="003E01B5"/>
    <w:rsid w:val="003F3F7C"/>
    <w:rsid w:val="00400FC9"/>
    <w:rsid w:val="00415078"/>
    <w:rsid w:val="004244AC"/>
    <w:rsid w:val="00442AA8"/>
    <w:rsid w:val="004444F1"/>
    <w:rsid w:val="00450DB6"/>
    <w:rsid w:val="00451876"/>
    <w:rsid w:val="00460998"/>
    <w:rsid w:val="004612A4"/>
    <w:rsid w:val="0046620F"/>
    <w:rsid w:val="00481F02"/>
    <w:rsid w:val="004852F4"/>
    <w:rsid w:val="004A5276"/>
    <w:rsid w:val="004B5D7D"/>
    <w:rsid w:val="004D5FB7"/>
    <w:rsid w:val="004F6862"/>
    <w:rsid w:val="004F7341"/>
    <w:rsid w:val="005200CF"/>
    <w:rsid w:val="00556913"/>
    <w:rsid w:val="00556986"/>
    <w:rsid w:val="00561D25"/>
    <w:rsid w:val="005949F2"/>
    <w:rsid w:val="005A1196"/>
    <w:rsid w:val="005A3033"/>
    <w:rsid w:val="005A53D0"/>
    <w:rsid w:val="005B263D"/>
    <w:rsid w:val="005C1897"/>
    <w:rsid w:val="005C21FA"/>
    <w:rsid w:val="005C68BA"/>
    <w:rsid w:val="005D1609"/>
    <w:rsid w:val="005D2488"/>
    <w:rsid w:val="005D648E"/>
    <w:rsid w:val="005D7A5E"/>
    <w:rsid w:val="005E3357"/>
    <w:rsid w:val="005E3DAD"/>
    <w:rsid w:val="005E4C26"/>
    <w:rsid w:val="005E5ED8"/>
    <w:rsid w:val="005F3078"/>
    <w:rsid w:val="005F7162"/>
    <w:rsid w:val="00601D99"/>
    <w:rsid w:val="00630905"/>
    <w:rsid w:val="00631DA1"/>
    <w:rsid w:val="0063631D"/>
    <w:rsid w:val="00636B19"/>
    <w:rsid w:val="006448A3"/>
    <w:rsid w:val="0064695D"/>
    <w:rsid w:val="006501A4"/>
    <w:rsid w:val="00654A1F"/>
    <w:rsid w:val="00670F6D"/>
    <w:rsid w:val="00690A8D"/>
    <w:rsid w:val="006A2368"/>
    <w:rsid w:val="006B6F94"/>
    <w:rsid w:val="006C7BD7"/>
    <w:rsid w:val="006F6942"/>
    <w:rsid w:val="006F75E2"/>
    <w:rsid w:val="00704569"/>
    <w:rsid w:val="007045EF"/>
    <w:rsid w:val="007152AC"/>
    <w:rsid w:val="0072268D"/>
    <w:rsid w:val="00723D99"/>
    <w:rsid w:val="00730DD2"/>
    <w:rsid w:val="00741CA1"/>
    <w:rsid w:val="00764896"/>
    <w:rsid w:val="0077652F"/>
    <w:rsid w:val="0079615E"/>
    <w:rsid w:val="00797E30"/>
    <w:rsid w:val="007C44FD"/>
    <w:rsid w:val="007C6471"/>
    <w:rsid w:val="007D2257"/>
    <w:rsid w:val="00804F8F"/>
    <w:rsid w:val="00813D7F"/>
    <w:rsid w:val="00820647"/>
    <w:rsid w:val="00831188"/>
    <w:rsid w:val="008342B5"/>
    <w:rsid w:val="00847A81"/>
    <w:rsid w:val="008856AE"/>
    <w:rsid w:val="008947D7"/>
    <w:rsid w:val="008B0703"/>
    <w:rsid w:val="008B66BF"/>
    <w:rsid w:val="008C3CD7"/>
    <w:rsid w:val="008D0D96"/>
    <w:rsid w:val="008D3E83"/>
    <w:rsid w:val="008D7FF5"/>
    <w:rsid w:val="00903100"/>
    <w:rsid w:val="00904F5A"/>
    <w:rsid w:val="009126A3"/>
    <w:rsid w:val="0091491C"/>
    <w:rsid w:val="009248ED"/>
    <w:rsid w:val="0097300D"/>
    <w:rsid w:val="00985828"/>
    <w:rsid w:val="00996FC9"/>
    <w:rsid w:val="009977AE"/>
    <w:rsid w:val="009A1435"/>
    <w:rsid w:val="009D5D9E"/>
    <w:rsid w:val="009E0A67"/>
    <w:rsid w:val="009E10F7"/>
    <w:rsid w:val="009E6F46"/>
    <w:rsid w:val="00A15F1E"/>
    <w:rsid w:val="00A16591"/>
    <w:rsid w:val="00A41B29"/>
    <w:rsid w:val="00A54204"/>
    <w:rsid w:val="00A8379A"/>
    <w:rsid w:val="00A84D67"/>
    <w:rsid w:val="00A92DB0"/>
    <w:rsid w:val="00AC3B1C"/>
    <w:rsid w:val="00AD3B1A"/>
    <w:rsid w:val="00AD52A2"/>
    <w:rsid w:val="00B3016C"/>
    <w:rsid w:val="00B35965"/>
    <w:rsid w:val="00B604D7"/>
    <w:rsid w:val="00B60A39"/>
    <w:rsid w:val="00B65379"/>
    <w:rsid w:val="00B83FC3"/>
    <w:rsid w:val="00B87734"/>
    <w:rsid w:val="00BB0E03"/>
    <w:rsid w:val="00BB3003"/>
    <w:rsid w:val="00BD5AB9"/>
    <w:rsid w:val="00BE3F1F"/>
    <w:rsid w:val="00BF61EE"/>
    <w:rsid w:val="00C05112"/>
    <w:rsid w:val="00C22E20"/>
    <w:rsid w:val="00C35C7E"/>
    <w:rsid w:val="00C66A85"/>
    <w:rsid w:val="00C70B3A"/>
    <w:rsid w:val="00C87681"/>
    <w:rsid w:val="00C95A9C"/>
    <w:rsid w:val="00CB555B"/>
    <w:rsid w:val="00CC5A95"/>
    <w:rsid w:val="00CE49E7"/>
    <w:rsid w:val="00CE5FE5"/>
    <w:rsid w:val="00CF1070"/>
    <w:rsid w:val="00CF4B8D"/>
    <w:rsid w:val="00D02EF9"/>
    <w:rsid w:val="00D13419"/>
    <w:rsid w:val="00D17D14"/>
    <w:rsid w:val="00D17D51"/>
    <w:rsid w:val="00D313C6"/>
    <w:rsid w:val="00D3160F"/>
    <w:rsid w:val="00D31AFC"/>
    <w:rsid w:val="00D60C4F"/>
    <w:rsid w:val="00D6483A"/>
    <w:rsid w:val="00D93B64"/>
    <w:rsid w:val="00DA0CC0"/>
    <w:rsid w:val="00DA208E"/>
    <w:rsid w:val="00DB0671"/>
    <w:rsid w:val="00DC36D1"/>
    <w:rsid w:val="00DE5ED1"/>
    <w:rsid w:val="00DE7682"/>
    <w:rsid w:val="00DE7942"/>
    <w:rsid w:val="00DF337D"/>
    <w:rsid w:val="00E02075"/>
    <w:rsid w:val="00E04A5B"/>
    <w:rsid w:val="00E21382"/>
    <w:rsid w:val="00E22AFC"/>
    <w:rsid w:val="00E278C0"/>
    <w:rsid w:val="00E33352"/>
    <w:rsid w:val="00E41E9B"/>
    <w:rsid w:val="00E43F12"/>
    <w:rsid w:val="00E45748"/>
    <w:rsid w:val="00E50531"/>
    <w:rsid w:val="00E52426"/>
    <w:rsid w:val="00E85020"/>
    <w:rsid w:val="00E97FD2"/>
    <w:rsid w:val="00EA48B2"/>
    <w:rsid w:val="00EB051C"/>
    <w:rsid w:val="00EB21F8"/>
    <w:rsid w:val="00EB5FD6"/>
    <w:rsid w:val="00EC1A0C"/>
    <w:rsid w:val="00EE1694"/>
    <w:rsid w:val="00EE3CFE"/>
    <w:rsid w:val="00EE4A7A"/>
    <w:rsid w:val="00EE5F6D"/>
    <w:rsid w:val="00F05E9E"/>
    <w:rsid w:val="00F0735E"/>
    <w:rsid w:val="00F31FFA"/>
    <w:rsid w:val="00F47C1F"/>
    <w:rsid w:val="00F54572"/>
    <w:rsid w:val="00F576C9"/>
    <w:rsid w:val="00F656F0"/>
    <w:rsid w:val="00F75CD7"/>
    <w:rsid w:val="00F8458C"/>
    <w:rsid w:val="00F915F4"/>
    <w:rsid w:val="00F96761"/>
    <w:rsid w:val="00FA289B"/>
    <w:rsid w:val="00FD5070"/>
    <w:rsid w:val="00FE12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76ABE"/>
  <w15:chartTrackingRefBased/>
  <w15:docId w15:val="{D5879BDA-6394-45D5-A32E-B02EF9F2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10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0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10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0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0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0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0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10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0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0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0F7"/>
    <w:rPr>
      <w:rFonts w:eastAsiaTheme="majorEastAsia" w:cstheme="majorBidi"/>
      <w:color w:val="272727" w:themeColor="text1" w:themeTint="D8"/>
    </w:rPr>
  </w:style>
  <w:style w:type="paragraph" w:styleId="Title">
    <w:name w:val="Title"/>
    <w:basedOn w:val="Normal"/>
    <w:next w:val="Normal"/>
    <w:link w:val="TitleChar"/>
    <w:uiPriority w:val="10"/>
    <w:qFormat/>
    <w:rsid w:val="009E1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0F7"/>
    <w:pPr>
      <w:spacing w:before="160"/>
      <w:jc w:val="center"/>
    </w:pPr>
    <w:rPr>
      <w:i/>
      <w:iCs/>
      <w:color w:val="404040" w:themeColor="text1" w:themeTint="BF"/>
    </w:rPr>
  </w:style>
  <w:style w:type="character" w:customStyle="1" w:styleId="QuoteChar">
    <w:name w:val="Quote Char"/>
    <w:basedOn w:val="DefaultParagraphFont"/>
    <w:link w:val="Quote"/>
    <w:uiPriority w:val="29"/>
    <w:rsid w:val="009E10F7"/>
    <w:rPr>
      <w:i/>
      <w:iCs/>
      <w:color w:val="404040" w:themeColor="text1" w:themeTint="BF"/>
    </w:rPr>
  </w:style>
  <w:style w:type="paragraph" w:styleId="ListParagraph">
    <w:name w:val="List Paragraph"/>
    <w:basedOn w:val="Normal"/>
    <w:uiPriority w:val="34"/>
    <w:qFormat/>
    <w:rsid w:val="009E10F7"/>
    <w:pPr>
      <w:ind w:left="720"/>
      <w:contextualSpacing/>
    </w:pPr>
  </w:style>
  <w:style w:type="character" w:styleId="IntenseEmphasis">
    <w:name w:val="Intense Emphasis"/>
    <w:basedOn w:val="DefaultParagraphFont"/>
    <w:uiPriority w:val="21"/>
    <w:qFormat/>
    <w:rsid w:val="009E10F7"/>
    <w:rPr>
      <w:i/>
      <w:iCs/>
      <w:color w:val="0F4761" w:themeColor="accent1" w:themeShade="BF"/>
    </w:rPr>
  </w:style>
  <w:style w:type="paragraph" w:styleId="IntenseQuote">
    <w:name w:val="Intense Quote"/>
    <w:basedOn w:val="Normal"/>
    <w:next w:val="Normal"/>
    <w:link w:val="IntenseQuoteChar"/>
    <w:uiPriority w:val="30"/>
    <w:qFormat/>
    <w:rsid w:val="009E10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0F7"/>
    <w:rPr>
      <w:i/>
      <w:iCs/>
      <w:color w:val="0F4761" w:themeColor="accent1" w:themeShade="BF"/>
    </w:rPr>
  </w:style>
  <w:style w:type="character" w:styleId="IntenseReference">
    <w:name w:val="Intense Reference"/>
    <w:basedOn w:val="DefaultParagraphFont"/>
    <w:uiPriority w:val="32"/>
    <w:qFormat/>
    <w:rsid w:val="009E10F7"/>
    <w:rPr>
      <w:b/>
      <w:bCs/>
      <w:smallCaps/>
      <w:color w:val="0F4761" w:themeColor="accent1" w:themeShade="BF"/>
      <w:spacing w:val="5"/>
    </w:rPr>
  </w:style>
  <w:style w:type="table" w:styleId="TableGrid">
    <w:name w:val="Table Grid"/>
    <w:basedOn w:val="TableNormal"/>
    <w:uiPriority w:val="39"/>
    <w:rsid w:val="00424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3B1C"/>
    <w:rPr>
      <w:color w:val="467886" w:themeColor="hyperlink"/>
      <w:u w:val="single"/>
    </w:rPr>
  </w:style>
  <w:style w:type="character" w:styleId="UnresolvedMention">
    <w:name w:val="Unresolved Mention"/>
    <w:basedOn w:val="DefaultParagraphFont"/>
    <w:uiPriority w:val="99"/>
    <w:semiHidden/>
    <w:unhideWhenUsed/>
    <w:rsid w:val="00AC3B1C"/>
    <w:rPr>
      <w:color w:val="605E5C"/>
      <w:shd w:val="clear" w:color="auto" w:fill="E1DFDD"/>
    </w:rPr>
  </w:style>
  <w:style w:type="paragraph" w:styleId="NormalWeb">
    <w:name w:val="Normal (Web)"/>
    <w:basedOn w:val="Normal"/>
    <w:uiPriority w:val="99"/>
    <w:unhideWhenUsed/>
    <w:rsid w:val="002E5ABE"/>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2E5ABE"/>
    <w:rPr>
      <w:i/>
      <w:iCs/>
    </w:rPr>
  </w:style>
  <w:style w:type="character" w:styleId="Strong">
    <w:name w:val="Strong"/>
    <w:basedOn w:val="DefaultParagraphFont"/>
    <w:uiPriority w:val="22"/>
    <w:qFormat/>
    <w:rsid w:val="002E5ABE"/>
    <w:rPr>
      <w:b/>
      <w:bCs/>
    </w:rPr>
  </w:style>
  <w:style w:type="paragraph" w:styleId="Header">
    <w:name w:val="header"/>
    <w:basedOn w:val="Normal"/>
    <w:link w:val="HeaderChar"/>
    <w:uiPriority w:val="99"/>
    <w:unhideWhenUsed/>
    <w:rsid w:val="0046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0F"/>
  </w:style>
  <w:style w:type="paragraph" w:styleId="Footer">
    <w:name w:val="footer"/>
    <w:basedOn w:val="Normal"/>
    <w:link w:val="FooterChar"/>
    <w:uiPriority w:val="99"/>
    <w:unhideWhenUsed/>
    <w:rsid w:val="0046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20F"/>
  </w:style>
  <w:style w:type="paragraph" w:styleId="NoSpacing">
    <w:name w:val="No Spacing"/>
    <w:uiPriority w:val="1"/>
    <w:qFormat/>
    <w:rsid w:val="00654A1F"/>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9734/ijpss/2026/v38i15955" TargetMode="External"/><Relationship Id="rId18" Type="http://schemas.openxmlformats.org/officeDocument/2006/relationships/hyperlink" Target="https://doi.org/10.1016/j.revpalbo.2006.06.00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dx.doi.org/10.63363/aijfr.2025.v06i06.2120" TargetMode="External"/><Relationship Id="rId17" Type="http://schemas.openxmlformats.org/officeDocument/2006/relationships/hyperlink" Target="https://doi.org/10.1038/s41598-022-08105-3"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07/978-3-319-71365-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oinfopublication.org/pages/article.php?id=BIA0006413"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109/10520299809140519"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3390/plants905056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11/j.1469-8137.2007.02060.x"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4656</TotalTime>
  <Pages>15</Pages>
  <Words>4045</Words>
  <Characters>23058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Dr. Alexander Thomas</cp:lastModifiedBy>
  <cp:revision>239</cp:revision>
  <dcterms:created xsi:type="dcterms:W3CDTF">2026-02-19T14:29:00Z</dcterms:created>
  <dcterms:modified xsi:type="dcterms:W3CDTF">2026-03-10T18:03:00Z</dcterms:modified>
</cp:coreProperties>
</file>