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E67F" w14:textId="13B133ED" w:rsidR="00947AFC" w:rsidRPr="00947AFC" w:rsidRDefault="00947AFC" w:rsidP="00947AFC">
      <w:pPr>
        <w:pStyle w:val="Heading1"/>
        <w:rPr>
          <w:kern w:val="0"/>
        </w:rPr>
      </w:pPr>
      <w:r w:rsidRPr="00947AFC">
        <w:rPr>
          <w:kern w:val="0"/>
        </w:rPr>
        <w:t xml:space="preserve">An overview of </w:t>
      </w:r>
      <w:r w:rsidR="002D03EF" w:rsidRPr="00407A96">
        <w:rPr>
          <w:i/>
          <w:iCs/>
          <w:kern w:val="0"/>
          <w:highlight w:val="yellow"/>
        </w:rPr>
        <w:t>Angiostrongylus cantonensis</w:t>
      </w:r>
      <w:r w:rsidRPr="00947AFC">
        <w:rPr>
          <w:kern w:val="0"/>
        </w:rPr>
        <w:t>: systematics, morphology, life cycle, human infection, diagnosis and therapy</w:t>
      </w:r>
    </w:p>
    <w:p w14:paraId="57C07CF0" w14:textId="77777777" w:rsid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p>
    <w:p w14:paraId="0E85E51F"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Abstract</w:t>
      </w:r>
    </w:p>
    <w:p w14:paraId="41B3993F" w14:textId="7CE8D8EB" w:rsidR="00947AFC" w:rsidRPr="00947AFC" w:rsidRDefault="002D03EF" w:rsidP="00947AFC">
      <w:pPr>
        <w:spacing w:before="100" w:beforeAutospacing="1" w:after="100" w:afterAutospacing="1" w:line="240" w:lineRule="auto"/>
        <w:ind w:left="0" w:right="0" w:firstLine="0"/>
        <w:jc w:val="left"/>
        <w:rPr>
          <w:color w:val="auto"/>
          <w:kern w:val="0"/>
          <w:lang w:val="en-US" w:eastAsia="en-US"/>
        </w:rPr>
      </w:pPr>
      <w:r w:rsidRPr="00407A96">
        <w:rPr>
          <w:i/>
          <w:iCs/>
          <w:color w:val="auto"/>
          <w:kern w:val="0"/>
          <w:highlight w:val="yellow"/>
          <w:lang w:val="en-US" w:eastAsia="en-US"/>
        </w:rPr>
        <w:t>Angiostrongylus cantonensis</w:t>
      </w:r>
      <w:r w:rsidR="00947AFC" w:rsidRPr="00947AFC">
        <w:rPr>
          <w:color w:val="auto"/>
          <w:kern w:val="0"/>
          <w:lang w:val="en-US" w:eastAsia="en-US"/>
        </w:rPr>
        <w:t>, commonly known as the rat lungworm, is a food-borne and environmentally transmitted nematode of increasing global importance. The parasite is maintained primarily in rat definitive hosts and gastropod intermediate hosts, while humans and several other vertebrates act as accidental hosts in whom larval migration to the central nervous system produces neuroangiostrongyliasis, classically expressed as eosinophilic meningitis or meningoencephalitis. In recent decades, expanded geographic dispersal, changing food systems, invasive snail populations, wider recognition of imported disease, and improved molecular tools have brought renewed attention to this helminth. This review synthesises current knowledge on the parasite’s systematics, morphology, developmental biology, transmission ecology, human infection, diagnosis and therapy. Particular attention is given to ongoing taxonomic debates, the morphological features of adults and larval stages that are relevant to diagnosis and experimental work, the ecological complexity of intermediate and paratenic host networks, and the mechanisms by which larval neurotropism leads to inflammatory neurological disease in humans. Diagnostic progress has been driven by more rigorous clinical case definitions and by nucleic acid amplification assays applied to cerebrospinal fluid and other specimens, although access and standardisation remain uneven. Therapeutic management continues to rely on supportive care, repeated lumbar puncture when indicated, and corticosteroids, with albendazole used selectively, usually in combination with steroids, in carefully chosen clinical contexts. Despite substantial advances, important gaps remain in surveillance, exposure quantification, taxonomy–genotype concordance, and high-quality therapeutic trials. A consolidated appraisal of these themes is essential for improving case recognition, guiding rational management, and refining future research priorities in this neglected but increasingly consequential zoonosis.</w:t>
      </w:r>
    </w:p>
    <w:p w14:paraId="220AEE90" w14:textId="6AD38EF0"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Keywords: </w:t>
      </w:r>
      <w:r w:rsidR="002D03EF" w:rsidRPr="00407A96">
        <w:rPr>
          <w:i/>
          <w:iCs/>
          <w:color w:val="auto"/>
          <w:kern w:val="0"/>
          <w:highlight w:val="yellow"/>
          <w:lang w:val="en-US" w:eastAsia="en-US"/>
        </w:rPr>
        <w:t xml:space="preserve">Angiostrongylus </w:t>
      </w:r>
      <w:r w:rsidR="002D03EF" w:rsidRPr="00407A96">
        <w:rPr>
          <w:i/>
          <w:iCs/>
          <w:color w:val="auto"/>
          <w:kern w:val="0"/>
          <w:highlight w:val="yellow"/>
          <w:lang w:val="en-US" w:eastAsia="en-US"/>
        </w:rPr>
        <w:t xml:space="preserve">cantonensis, </w:t>
      </w:r>
      <w:r w:rsidR="002D03EF" w:rsidRPr="00407A96">
        <w:rPr>
          <w:color w:val="auto"/>
          <w:kern w:val="0"/>
          <w:highlight w:val="yellow"/>
          <w:lang w:val="en-US" w:eastAsia="en-US"/>
        </w:rPr>
        <w:t>Angiostrongyliasis</w:t>
      </w:r>
      <w:r w:rsidRPr="00407A96">
        <w:rPr>
          <w:color w:val="auto"/>
          <w:kern w:val="0"/>
          <w:highlight w:val="yellow"/>
          <w:lang w:val="en-US" w:eastAsia="en-US"/>
        </w:rPr>
        <w:t xml:space="preserve">, </w:t>
      </w:r>
      <w:r w:rsidR="00760B77" w:rsidRPr="00407A96">
        <w:rPr>
          <w:color w:val="auto"/>
          <w:kern w:val="0"/>
          <w:highlight w:val="yellow"/>
          <w:lang w:val="en-US" w:eastAsia="en-US"/>
        </w:rPr>
        <w:t>E</w:t>
      </w:r>
      <w:r w:rsidRPr="00407A96">
        <w:rPr>
          <w:color w:val="auto"/>
          <w:kern w:val="0"/>
          <w:highlight w:val="yellow"/>
          <w:lang w:val="en-US" w:eastAsia="en-US"/>
        </w:rPr>
        <w:t xml:space="preserve">osinophilic meningitis, </w:t>
      </w:r>
      <w:r w:rsidR="00760B77" w:rsidRPr="00407A96">
        <w:rPr>
          <w:color w:val="auto"/>
          <w:kern w:val="0"/>
          <w:highlight w:val="yellow"/>
          <w:lang w:val="en-US" w:eastAsia="en-US"/>
        </w:rPr>
        <w:t>R</w:t>
      </w:r>
      <w:r w:rsidRPr="00407A96">
        <w:rPr>
          <w:color w:val="auto"/>
          <w:kern w:val="0"/>
          <w:highlight w:val="yellow"/>
          <w:lang w:val="en-US" w:eastAsia="en-US"/>
        </w:rPr>
        <w:t>at lungworm,</w:t>
      </w:r>
      <w:r w:rsidR="00760B77" w:rsidRPr="00407A96">
        <w:rPr>
          <w:color w:val="auto"/>
          <w:kern w:val="0"/>
          <w:highlight w:val="yellow"/>
          <w:lang w:val="en-US" w:eastAsia="en-US"/>
        </w:rPr>
        <w:t xml:space="preserve"> A</w:t>
      </w:r>
      <w:r w:rsidRPr="00407A96">
        <w:rPr>
          <w:color w:val="auto"/>
          <w:kern w:val="0"/>
          <w:highlight w:val="yellow"/>
          <w:lang w:val="en-US" w:eastAsia="en-US"/>
        </w:rPr>
        <w:t xml:space="preserve">lbendazole, </w:t>
      </w:r>
      <w:r w:rsidR="00760B77" w:rsidRPr="00407A96">
        <w:rPr>
          <w:color w:val="auto"/>
          <w:kern w:val="0"/>
          <w:highlight w:val="yellow"/>
          <w:lang w:val="en-US" w:eastAsia="en-US"/>
        </w:rPr>
        <w:t>Corticosteroids</w:t>
      </w:r>
    </w:p>
    <w:p w14:paraId="186EDAA3"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1. Introduction</w:t>
      </w:r>
    </w:p>
    <w:p w14:paraId="72B4C662" w14:textId="511F8C31" w:rsidR="00A15778" w:rsidRPr="00407A96" w:rsidRDefault="002D03EF" w:rsidP="00A15778">
      <w:pPr>
        <w:spacing w:before="100" w:beforeAutospacing="1" w:after="100" w:afterAutospacing="1" w:line="240" w:lineRule="auto"/>
        <w:ind w:left="0" w:right="0" w:firstLine="0"/>
        <w:jc w:val="left"/>
        <w:rPr>
          <w:color w:val="auto"/>
          <w:kern w:val="0"/>
          <w:highlight w:val="yellow"/>
          <w:lang w:val="en-US" w:eastAsia="en-US"/>
        </w:rPr>
      </w:pPr>
      <w:r w:rsidRPr="00407A96">
        <w:rPr>
          <w:i/>
          <w:iCs/>
          <w:color w:val="auto"/>
          <w:kern w:val="0"/>
          <w:highlight w:val="yellow"/>
          <w:lang w:val="en-US" w:eastAsia="en-US"/>
        </w:rPr>
        <w:t>Angiostrongylus cantonensis</w:t>
      </w:r>
      <w:r w:rsidR="00947AFC" w:rsidRPr="00407A96">
        <w:rPr>
          <w:color w:val="auto"/>
          <w:kern w:val="0"/>
          <w:highlight w:val="yellow"/>
          <w:lang w:val="en-US" w:eastAsia="en-US"/>
        </w:rPr>
        <w:t xml:space="preserve"> is a metastrongyloid nematode whose natural cycle is sustained </w:t>
      </w:r>
      <w:r w:rsidR="00947AFC" w:rsidRPr="00947AFC">
        <w:rPr>
          <w:color w:val="auto"/>
          <w:kern w:val="0"/>
          <w:lang w:val="en-US" w:eastAsia="en-US"/>
        </w:rPr>
        <w:t>between rats as definitive hosts and a wide diversity of terrestrial and freshwater gastropods as intermediate hosts</w:t>
      </w:r>
      <w:r w:rsidR="004B2A59">
        <w:rPr>
          <w:color w:val="auto"/>
          <w:kern w:val="0"/>
          <w:lang w:val="en-US" w:eastAsia="en-US"/>
        </w:rPr>
        <w:t xml:space="preserve"> (</w:t>
      </w:r>
      <w:r w:rsidR="004B2A59" w:rsidRPr="00407A96">
        <w:rPr>
          <w:highlight w:val="yellow"/>
        </w:rPr>
        <w:t>Lv</w:t>
      </w:r>
      <w:r w:rsidR="004B2A59" w:rsidRPr="00407A96">
        <w:rPr>
          <w:highlight w:val="yellow"/>
        </w:rPr>
        <w:t xml:space="preserve"> </w:t>
      </w:r>
      <w:r w:rsidR="004B2A59" w:rsidRPr="00407A96">
        <w:rPr>
          <w:highlight w:val="yellow"/>
        </w:rPr>
        <w:t>&amp; Zhou,</w:t>
      </w:r>
      <w:r w:rsidR="004B2A59" w:rsidRPr="00407A96">
        <w:rPr>
          <w:highlight w:val="yellow"/>
        </w:rPr>
        <w:t xml:space="preserve"> </w:t>
      </w:r>
      <w:r w:rsidR="004B2A59" w:rsidRPr="00407A96">
        <w:rPr>
          <w:highlight w:val="yellow"/>
        </w:rPr>
        <w:t>2025</w:t>
      </w:r>
      <w:r w:rsidR="004B2A59" w:rsidRPr="00407A96">
        <w:rPr>
          <w:highlight w:val="yellow"/>
        </w:rPr>
        <w:t>)</w:t>
      </w:r>
      <w:r w:rsidR="00947AFC" w:rsidRPr="00407A96">
        <w:rPr>
          <w:color w:val="auto"/>
          <w:kern w:val="0"/>
          <w:highlight w:val="yellow"/>
          <w:lang w:val="en-US" w:eastAsia="en-US"/>
        </w:rPr>
        <w:t>.</w:t>
      </w:r>
      <w:r w:rsidR="001D38F8" w:rsidRPr="00407A96">
        <w:rPr>
          <w:color w:val="auto"/>
          <w:kern w:val="0"/>
          <w:highlight w:val="yellow"/>
          <w:lang w:val="en-US" w:eastAsia="en-US"/>
        </w:rPr>
        <w:t xml:space="preserve"> </w:t>
      </w:r>
      <w:r w:rsidR="001D38F8" w:rsidRPr="00407A96">
        <w:rPr>
          <w:color w:val="auto"/>
          <w:kern w:val="0"/>
          <w:highlight w:val="yellow"/>
          <w:lang w:eastAsia="en-US"/>
        </w:rPr>
        <w:t xml:space="preserve">More than 20 vertebrate species, including humans, have been reported as </w:t>
      </w:r>
      <w:r w:rsidR="001D38F8" w:rsidRPr="00407A96">
        <w:rPr>
          <w:i/>
          <w:iCs/>
          <w:color w:val="auto"/>
          <w:kern w:val="0"/>
          <w:highlight w:val="yellow"/>
          <w:lang w:eastAsia="en-US"/>
        </w:rPr>
        <w:t>accidental hosts of A. cantonensis lungworm</w:t>
      </w:r>
      <w:r w:rsidR="004B2A59" w:rsidRPr="00407A96">
        <w:rPr>
          <w:i/>
          <w:iCs/>
          <w:color w:val="auto"/>
          <w:kern w:val="0"/>
          <w:highlight w:val="yellow"/>
          <w:lang w:eastAsia="en-US"/>
        </w:rPr>
        <w:t xml:space="preserve"> (</w:t>
      </w:r>
      <w:r w:rsidR="004B2A59" w:rsidRPr="00407A96">
        <w:rPr>
          <w:highlight w:val="yellow"/>
          <w:lang w:val="en-US"/>
        </w:rPr>
        <w:t>Delgado-Serra et al., 2022</w:t>
      </w:r>
      <w:r w:rsidR="004B2A59" w:rsidRPr="00407A96">
        <w:rPr>
          <w:highlight w:val="yellow"/>
          <w:lang w:val="en-US"/>
        </w:rPr>
        <w:t>)</w:t>
      </w:r>
      <w:r w:rsidR="001D38F8" w:rsidRPr="00407A96">
        <w:rPr>
          <w:color w:val="auto"/>
          <w:kern w:val="0"/>
          <w:highlight w:val="yellow"/>
          <w:lang w:eastAsia="en-US"/>
        </w:rPr>
        <w:t>.</w:t>
      </w:r>
      <w:r w:rsidR="00947AFC" w:rsidRPr="00407A96">
        <w:rPr>
          <w:color w:val="auto"/>
          <w:kern w:val="0"/>
          <w:highlight w:val="yellow"/>
          <w:lang w:val="en-US" w:eastAsia="en-US"/>
        </w:rPr>
        <w:t xml:space="preserve"> </w:t>
      </w:r>
      <w:r w:rsidRPr="00407A96">
        <w:rPr>
          <w:color w:val="auto"/>
          <w:kern w:val="0"/>
          <w:highlight w:val="yellow"/>
          <w:lang w:eastAsia="en-US"/>
        </w:rPr>
        <w:t xml:space="preserve">It </w:t>
      </w:r>
      <w:r w:rsidRPr="00407A96">
        <w:rPr>
          <w:color w:val="auto"/>
          <w:kern w:val="0"/>
          <w:highlight w:val="yellow"/>
          <w:lang w:eastAsia="en-US"/>
        </w:rPr>
        <w:t xml:space="preserve">is generally considered </w:t>
      </w:r>
      <w:r w:rsidR="001D38F8" w:rsidRPr="00407A96">
        <w:rPr>
          <w:color w:val="auto"/>
          <w:kern w:val="0"/>
          <w:highlight w:val="yellow"/>
          <w:lang w:eastAsia="en-US"/>
        </w:rPr>
        <w:t xml:space="preserve">a </w:t>
      </w:r>
      <w:r w:rsidRPr="00407A96">
        <w:rPr>
          <w:color w:val="auto"/>
          <w:kern w:val="0"/>
          <w:highlight w:val="yellow"/>
          <w:lang w:eastAsia="en-US"/>
        </w:rPr>
        <w:t xml:space="preserve">tropical/subtropical parasite, limited by low temperatures, and is assumed to have originated in southern China or Southeast Asia, the region in which it </w:t>
      </w:r>
      <w:r w:rsidRPr="00407A96">
        <w:rPr>
          <w:color w:val="auto"/>
          <w:kern w:val="0"/>
          <w:highlight w:val="yellow"/>
          <w:lang w:eastAsia="en-US"/>
        </w:rPr>
        <w:lastRenderedPageBreak/>
        <w:t>was first discovered</w:t>
      </w:r>
      <w:r w:rsidRPr="00407A96">
        <w:rPr>
          <w:color w:val="auto"/>
          <w:kern w:val="0"/>
          <w:highlight w:val="yellow"/>
          <w:lang w:eastAsia="en-US"/>
        </w:rPr>
        <w:t xml:space="preserve"> (</w:t>
      </w:r>
      <w:r w:rsidR="004B2A59" w:rsidRPr="00407A96">
        <w:rPr>
          <w:highlight w:val="yellow"/>
          <w:lang w:val="en-US"/>
        </w:rPr>
        <w:t>Carvalho</w:t>
      </w:r>
      <w:r w:rsidR="004B2A59" w:rsidRPr="00407A96">
        <w:rPr>
          <w:highlight w:val="yellow"/>
          <w:lang w:val="en-US"/>
        </w:rPr>
        <w:t xml:space="preserve"> et al., 2022</w:t>
      </w:r>
      <w:r w:rsidR="001D38F8" w:rsidRPr="00407A96">
        <w:rPr>
          <w:highlight w:val="yellow"/>
          <w:lang w:val="en-US"/>
        </w:rPr>
        <w:t xml:space="preserve">; </w:t>
      </w:r>
      <w:r w:rsidRPr="00407A96">
        <w:rPr>
          <w:highlight w:val="yellow"/>
        </w:rPr>
        <w:t>Griffin</w:t>
      </w:r>
      <w:r w:rsidRPr="00407A96">
        <w:rPr>
          <w:highlight w:val="yellow"/>
        </w:rPr>
        <w:t xml:space="preserve"> et al., 2025</w:t>
      </w:r>
      <w:r w:rsidR="001D38F8" w:rsidRPr="00407A96">
        <w:rPr>
          <w:highlight w:val="yellow"/>
        </w:rPr>
        <w:t>).</w:t>
      </w:r>
      <w:r w:rsidRPr="00407A96">
        <w:rPr>
          <w:highlight w:val="yellow"/>
        </w:rPr>
        <w:t xml:space="preserve"> </w:t>
      </w:r>
      <w:r w:rsidRPr="00407A96">
        <w:rPr>
          <w:color w:val="auto"/>
          <w:kern w:val="0"/>
          <w:highlight w:val="yellow"/>
          <w:lang w:eastAsia="en-US"/>
        </w:rPr>
        <w:t xml:space="preserve"> </w:t>
      </w:r>
      <w:r w:rsidR="00947AFC" w:rsidRPr="00947AFC">
        <w:rPr>
          <w:color w:val="auto"/>
          <w:kern w:val="0"/>
          <w:lang w:val="en-US" w:eastAsia="en-US"/>
        </w:rPr>
        <w:t xml:space="preserve">In humans, the parasite does not usually complete development, yet the migration of larvae through the central nervous system is sufficient to provoke a clinically significant inflammatory disease that is widely recognised as the leading infectious cause of eosinophilic meningitis (Wang et al., 2008; Barratt et al., 2016; Graeff-Teixeira et al., 2023). </w:t>
      </w:r>
      <w:r w:rsidR="00A15778" w:rsidRPr="00407A96">
        <w:rPr>
          <w:i/>
          <w:iCs/>
          <w:color w:val="auto"/>
          <w:kern w:val="0"/>
          <w:highlight w:val="yellow"/>
          <w:lang w:eastAsia="en-US"/>
        </w:rPr>
        <w:t>Angiostrongylus cantonensis</w:t>
      </w:r>
      <w:r w:rsidR="00A15778" w:rsidRPr="00407A96">
        <w:rPr>
          <w:color w:val="auto"/>
          <w:kern w:val="0"/>
          <w:highlight w:val="yellow"/>
          <w:lang w:eastAsia="en-US"/>
        </w:rPr>
        <w:t xml:space="preserve"> is the leading cause of human eosinophilic meningoencephalitis and, if not managed correctly, can lead to serious life-threatening complications (</w:t>
      </w:r>
      <w:r w:rsidR="00A15778" w:rsidRPr="00407A96">
        <w:rPr>
          <w:highlight w:val="yellow"/>
        </w:rPr>
        <w:t>Estaño, 2023)</w:t>
      </w:r>
      <w:r w:rsidR="00A15778" w:rsidRPr="00407A96">
        <w:rPr>
          <w:color w:val="auto"/>
          <w:kern w:val="0"/>
          <w:highlight w:val="yellow"/>
          <w:lang w:eastAsia="en-US"/>
        </w:rPr>
        <w:t xml:space="preserve">. </w:t>
      </w:r>
      <w:r w:rsidR="00947AFC" w:rsidRPr="00947AFC">
        <w:rPr>
          <w:color w:val="auto"/>
          <w:kern w:val="0"/>
          <w:lang w:val="en-US" w:eastAsia="en-US"/>
        </w:rPr>
        <w:t>The resulting syndrome ranges from self-limited meningeal irritation to severe encephalitic or radiculomyelitic disease, occasionally with ocular involvement, long-term neurological sequelae or death (Ansdell &amp; Wattanagoon, 2018; Graeff-Teixeira et al., 2023).</w:t>
      </w:r>
      <w:r w:rsidR="00A15778">
        <w:rPr>
          <w:color w:val="auto"/>
          <w:kern w:val="0"/>
          <w:lang w:val="en-US" w:eastAsia="en-US"/>
        </w:rPr>
        <w:t xml:space="preserve"> </w:t>
      </w:r>
      <w:r w:rsidR="00A15778" w:rsidRPr="00407A96">
        <w:rPr>
          <w:color w:val="auto"/>
          <w:kern w:val="0"/>
          <w:highlight w:val="yellow"/>
          <w:lang w:val="en-US" w:eastAsia="en-US"/>
        </w:rPr>
        <w:t xml:space="preserve">Human cases of angiostrongyliasis occur when people unintentionally ingest a third stage larvae of </w:t>
      </w:r>
      <w:r w:rsidR="00A15778" w:rsidRPr="00407A96">
        <w:rPr>
          <w:i/>
          <w:iCs/>
          <w:color w:val="auto"/>
          <w:kern w:val="0"/>
          <w:highlight w:val="yellow"/>
          <w:lang w:val="en-US" w:eastAsia="en-US"/>
        </w:rPr>
        <w:t xml:space="preserve">Angiostrongylus </w:t>
      </w:r>
      <w:r w:rsidR="00A15778" w:rsidRPr="00407A96">
        <w:rPr>
          <w:color w:val="auto"/>
          <w:kern w:val="0"/>
          <w:highlight w:val="yellow"/>
          <w:lang w:val="en-US" w:eastAsia="en-US"/>
        </w:rPr>
        <w:t>by either consuming uncooked gastropods (or other paratenic hosts), eating raw contaminated vegetables, or drinking non-boiled contaminated water</w:t>
      </w:r>
      <w:r w:rsidR="00A15778" w:rsidRPr="00407A96">
        <w:rPr>
          <w:color w:val="auto"/>
          <w:kern w:val="0"/>
          <w:highlight w:val="yellow"/>
          <w:lang w:val="en-US" w:eastAsia="en-US"/>
        </w:rPr>
        <w:t xml:space="preserve"> (</w:t>
      </w:r>
      <w:r w:rsidR="00A15778" w:rsidRPr="00407A96">
        <w:rPr>
          <w:highlight w:val="yellow"/>
        </w:rPr>
        <w:t>Li</w:t>
      </w:r>
      <w:r w:rsidR="00A15778" w:rsidRPr="00407A96">
        <w:rPr>
          <w:highlight w:val="yellow"/>
        </w:rPr>
        <w:t xml:space="preserve"> et al. 2025).</w:t>
      </w:r>
      <w:r w:rsidR="00A15778" w:rsidRPr="00407A96">
        <w:rPr>
          <w:color w:val="auto"/>
          <w:kern w:val="0"/>
          <w:highlight w:val="yellow"/>
          <w:lang w:val="en-US" w:eastAsia="en-US"/>
        </w:rPr>
        <w:t xml:space="preserve"> </w:t>
      </w:r>
    </w:p>
    <w:p w14:paraId="6FC66E43" w14:textId="1C2BA081"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p>
    <w:p w14:paraId="2A80F262" w14:textId="5DB35C9C"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Historically associated with South-East Asia, the Pacific Islands and parts of East Asia, the geographical footprint of A. cantonensis has widened through the movement of rats, invasive gastropods, food trade and travel-related exposure. Autochthonous and imported human cases are now documented across a broader tropical and subtropical belt, and the parasite has been detected in regions where its public health significance was previously underappreciated (Cowie, 2013; Barratt et al., 2016; Graeff-Teixeira et al., 2023). This expansion, together with increased recognition of food-borne parasitic disease and improvements in diagnostic capacity, has converted A. cantonensis from a regionally familiar helminth into a pathogen of wider global concern.</w:t>
      </w:r>
    </w:p>
    <w:p w14:paraId="2FDF5EC3" w14:textId="55B44A48"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modern literature on A. cantonensis has expanded in several directions. Comparative and molecular systematic work has sharpened discussion about species boundaries, cryptic diversity and the relationship of A. cantonensis to other angiostrongylids (Monte et al., 2012; Cowie et al., 2022). Experimental and field studies have clarified aspects of larval development, host use and environmental persistence that are central to transmission biology (Lv et al., 2009; Cowie, 2013). Clinical literature has refined </w:t>
      </w:r>
      <w:r w:rsidR="00A15778">
        <w:rPr>
          <w:color w:val="auto"/>
          <w:kern w:val="0"/>
          <w:lang w:val="en-US" w:eastAsia="en-US"/>
        </w:rPr>
        <w:t xml:space="preserve">the </w:t>
      </w:r>
      <w:r w:rsidRPr="00947AFC">
        <w:rPr>
          <w:color w:val="auto"/>
          <w:kern w:val="0"/>
          <w:lang w:val="en-US" w:eastAsia="en-US"/>
        </w:rPr>
        <w:t>understanding of the spectrum of neuroangiostrongyliasis, while contemporary diagnostic studies and expert guidelines have helped standardise case definition and treatment approaches (Qvarnstrom et al., 2016; Johnston et al., 2019; Graeff-Teixeira et al., 2023).</w:t>
      </w:r>
    </w:p>
    <w:p w14:paraId="27432B6B"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From a scholarly perspective, A. cantonensis is especially instructive because it sits at the intersection of parasitology, invasive species biology, food safety, neurology and tropical medicine. Its study also illustrates the tension between classical morphology and modern molecular methods in helminth systematics, and between empiric clinical management and evidence-based therapy in a relatively neglected disease. A review that integrates these dimensions is therefore warranted.</w:t>
      </w:r>
    </w:p>
    <w:p w14:paraId="56E573C6"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1.1 Scope and objective of the review</w:t>
      </w:r>
    </w:p>
    <w:p w14:paraId="3B974CD8" w14:textId="42520925"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This review aims to provide an integrated and clinically useful overview of </w:t>
      </w:r>
      <w:r w:rsidR="002D03EF" w:rsidRPr="002D03EF">
        <w:rPr>
          <w:i/>
          <w:iCs/>
          <w:color w:val="auto"/>
          <w:kern w:val="0"/>
          <w:lang w:val="en-US" w:eastAsia="en-US"/>
        </w:rPr>
        <w:t>Angiostrongylus cantonensis</w:t>
      </w:r>
      <w:r w:rsidRPr="00947AFC">
        <w:rPr>
          <w:color w:val="auto"/>
          <w:kern w:val="0"/>
          <w:lang w:val="en-US" w:eastAsia="en-US"/>
        </w:rPr>
        <w:t xml:space="preserve"> by examining six interconnected domains: systematics, morphology, life cycle, human infection, diagnosis and therapy. The objective is to synthesise major developments in these areas, highlight points of consensus and uncertainty, and present a structured account that is useful to parasitologists, clinicians, epidemiologists and public health researchers.</w:t>
      </w:r>
    </w:p>
    <w:p w14:paraId="366BD31C"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lastRenderedPageBreak/>
        <w:t>2. Methods for literature selection</w:t>
      </w:r>
    </w:p>
    <w:p w14:paraId="618EAE70" w14:textId="6035A602"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A structured narrative literature search was undertaken in PubMed, Web of Science, Scopus and Google Scholar to identify publications relevant to A. cantonensis and human angiostrongyliasis. The principal search terms included combinations of “</w:t>
      </w:r>
      <w:r w:rsidR="002D03EF" w:rsidRPr="002D03EF">
        <w:rPr>
          <w:i/>
          <w:iCs/>
          <w:color w:val="auto"/>
          <w:kern w:val="0"/>
          <w:lang w:val="en-US" w:eastAsia="en-US"/>
        </w:rPr>
        <w:t>Angiostrongylus cantonensis</w:t>
      </w:r>
      <w:r w:rsidRPr="00947AFC">
        <w:rPr>
          <w:color w:val="auto"/>
          <w:kern w:val="0"/>
          <w:lang w:val="en-US" w:eastAsia="en-US"/>
        </w:rPr>
        <w:t>”, “rat lungworm”, “neuroangiostrongyliasis”, “eosinophilic meningitis”, “diagnosis”, “PCR”, “treatment”, “albendazole”, “corticosteroids”, “systematics”, “taxonomy”, “morphology” and “life cycle”. The primary date range for recent literature was 2005 to 2026, while selected earlier classic papers were considered where they were historically foundational for taxonomy, morphology or disease recognition.</w:t>
      </w:r>
    </w:p>
    <w:p w14:paraId="39C6F3A7"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Priority was given to peer-reviewed reviews, clinical studies, experimental studies, diagnostic evaluations, systematic analyses and authoritative consensus or guideline papers that directly addressed the present review topic. Publications were excluded when they were non-scholarly, duplicated across databases without added value, lacked sufficient methodological description for key claims, or were peripheral to the biology or clinical relevance of A. cantonensis. Reference lists of major papers were also screened to identify additional relevant sources.</w:t>
      </w:r>
    </w:p>
    <w:p w14:paraId="207E15E7"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3. Systematics and morphology</w:t>
      </w:r>
    </w:p>
    <w:p w14:paraId="201AF64B"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3.1 Taxonomic position and nomenclatural considerations</w:t>
      </w:r>
    </w:p>
    <w:p w14:paraId="456757A3" w14:textId="052E8534" w:rsidR="00947AFC" w:rsidRPr="00947AFC" w:rsidRDefault="002D03EF" w:rsidP="00947AFC">
      <w:pPr>
        <w:spacing w:before="100" w:beforeAutospacing="1" w:after="100" w:afterAutospacing="1" w:line="240" w:lineRule="auto"/>
        <w:ind w:left="0" w:right="0" w:firstLine="0"/>
        <w:jc w:val="left"/>
        <w:rPr>
          <w:color w:val="auto"/>
          <w:kern w:val="0"/>
          <w:lang w:val="en-US" w:eastAsia="en-US"/>
        </w:rPr>
      </w:pPr>
      <w:r w:rsidRPr="002D03EF">
        <w:rPr>
          <w:i/>
          <w:iCs/>
          <w:color w:val="auto"/>
          <w:kern w:val="0"/>
          <w:lang w:val="en-US" w:eastAsia="en-US"/>
        </w:rPr>
        <w:t>Angiostrongylus cantonensis</w:t>
      </w:r>
      <w:r w:rsidR="00947AFC" w:rsidRPr="00947AFC">
        <w:rPr>
          <w:color w:val="auto"/>
          <w:kern w:val="0"/>
          <w:lang w:val="en-US" w:eastAsia="en-US"/>
        </w:rPr>
        <w:t xml:space="preserve"> belongs to the order Strongylida and to the metastrongyloid nematodes, a group characterised by indirect life cycles and frequent use of molluscan intermediate hosts. Within this assemblage, the genus Angiostrongylus has undergone repeated taxonomic reconsideration, partly because of morphological overlap with related taxa and partly because molecular data have not always mapped neatly onto traditional genus-level concepts (Monte et al., 2012; Cowie et al., 2022).</w:t>
      </w:r>
    </w:p>
    <w:p w14:paraId="2899F17E"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Recent systematic work has shown that apparently simple species labels can conceal substantial complexity. Molecular studies have revealed marked geographic structure, discordance among markers, the possibility of cryptic taxa, and the need to interpret sequence-based phylogenies in conjunction with morphology, biogeography and host range (Monte et al., 2012; Cowie et al., 2022). Comparative analysis of Angiostrongylus and related genera further suggests that taxonomic interpretation should not be reduced to a single locus or to historical host association alone (Cowie et al., 2022).</w:t>
      </w:r>
    </w:p>
    <w:p w14:paraId="34D22A1E" w14:textId="00484201"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At the species level, A. cantonensis is distinguished from congeners by a combination of morphological and biological traits, but some of these distinctions require expert examination and have historically been obscured by incomplete descriptions or overlapping character states. This matters beyond nomenclature because robust species delimitation underpins ecological surveillance, experimental reproducibility and the interpretation of diagnostics that rely on sequence identity. The continued use of well-curated voucher material, multi-locus comparisons and integrated taxonomy</w:t>
      </w:r>
      <w:r w:rsidR="00A15778">
        <w:rPr>
          <w:color w:val="auto"/>
          <w:kern w:val="0"/>
          <w:lang w:val="en-US" w:eastAsia="en-US"/>
        </w:rPr>
        <w:t>,</w:t>
      </w:r>
      <w:r w:rsidRPr="00947AFC">
        <w:rPr>
          <w:color w:val="auto"/>
          <w:kern w:val="0"/>
          <w:lang w:val="en-US" w:eastAsia="en-US"/>
        </w:rPr>
        <w:t xml:space="preserve"> therefore</w:t>
      </w:r>
      <w:r w:rsidR="00A15778">
        <w:rPr>
          <w:color w:val="auto"/>
          <w:kern w:val="0"/>
          <w:lang w:val="en-US" w:eastAsia="en-US"/>
        </w:rPr>
        <w:t>,</w:t>
      </w:r>
      <w:r w:rsidRPr="00947AFC">
        <w:rPr>
          <w:color w:val="auto"/>
          <w:kern w:val="0"/>
          <w:lang w:val="en-US" w:eastAsia="en-US"/>
        </w:rPr>
        <w:t xml:space="preserve"> remains important.</w:t>
      </w:r>
      <w:r w:rsidR="00F6454B">
        <w:rPr>
          <w:color w:val="auto"/>
          <w:kern w:val="0"/>
          <w:lang w:val="en-US" w:eastAsia="en-US"/>
        </w:rPr>
        <w:t xml:space="preserve"> </w:t>
      </w:r>
      <w:r w:rsidR="00F6454B">
        <w:t xml:space="preserve">The taxonomic implications are not merely theoretical, because DNA attributable to both </w:t>
      </w:r>
      <w:r w:rsidR="00F6454B">
        <w:rPr>
          <w:rStyle w:val="Emphasis"/>
        </w:rPr>
        <w:t>A. cantonensis</w:t>
      </w:r>
      <w:r w:rsidR="00F6454B">
        <w:t xml:space="preserve"> and the closely related </w:t>
      </w:r>
      <w:r w:rsidR="00F6454B">
        <w:rPr>
          <w:rStyle w:val="Emphasis"/>
        </w:rPr>
        <w:t>A. malaysiensis</w:t>
      </w:r>
      <w:r w:rsidR="00F6454B">
        <w:t xml:space="preserve"> has been detected in human cerebrospinal fluid in Thailand, underscoring the need for rigorous species attribution in clinical and epidemiological studies (Watthanakulpanich et al., 2021).</w:t>
      </w:r>
    </w:p>
    <w:p w14:paraId="7DA69557"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lastRenderedPageBreak/>
        <w:t>3.2 Morphology of adults, larvae and eggs</w:t>
      </w:r>
    </w:p>
    <w:p w14:paraId="7ABC1FA4"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Morphologically, adult A. cantonensis are slender nematodes with the typical elongated cylindrical habitus of metastrongyloids. In definitive rat hosts, adults are found mainly in the pulmonary arteries and right ventricle, a localisation that gave rise to the vernacular term “rat lungworm” even though the mature niche is vascular rather than pulmonary parenchymal. Females are usually larger than males and characteristically show a barber-pole appearance caused by the intertwining of the intestine and reproductive tract, while males possess a copulatory bursa and paired spicules important for species-level diagnosis in classical parasitology (Wang et al., 2008; Cowie, 2013).</w:t>
      </w:r>
    </w:p>
    <w:p w14:paraId="1E16CC4B" w14:textId="2280AD9A"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The first-stage larva is the form released into the environment in rat faeces and is the stage usually recovered during malacological infection studies after digestion or tissue examination. It is filiform, motile and morphologically recognisable by the characteristic tail configuration used in differentiation from other metastrongyloid larvae, although accurate identification may still require specialist expertise or molecular confirmation when mixed infections occur. Development within the gastropod proceeds through second-stage and infective third-stage larvae. The third-stage larva is the critical zoonotic stage for humans and other accidental hosts. Fine morphological studies indicate progressive changes in body length, cuticular features and internal organisation across larval development, but in field practice</w:t>
      </w:r>
      <w:r w:rsidR="00A15778">
        <w:rPr>
          <w:color w:val="auto"/>
          <w:kern w:val="0"/>
          <w:lang w:val="en-US" w:eastAsia="en-US"/>
        </w:rPr>
        <w:t>,</w:t>
      </w:r>
      <w:r w:rsidRPr="00947AFC">
        <w:rPr>
          <w:color w:val="auto"/>
          <w:kern w:val="0"/>
          <w:lang w:val="en-US" w:eastAsia="en-US"/>
        </w:rPr>
        <w:t xml:space="preserve"> the distinction between larval stages is often supplemented by experimental timing, host dissection context or nucleic acid methods (Lv et al., 2009; Cowie, 2013).</w:t>
      </w:r>
    </w:p>
    <w:p w14:paraId="6BA81A82"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Eggs of A. cantonensis are produced by adult females in the rat pulmonary vasculature, embryonate and hatch rapidly, so intact eggs are not commonly emphasised in routine diagnostic parasitology compared with larvae. Instead, newly hatched first-stage larvae penetrate into the airspaces, ascend the tracheobronchial tree, are swallowed and pass in faeces. This biological sequence explains why faecal larval output, rather than ova, is the practical parasitological correlate in definitive hosts (Wang et al., 2008; Cowie, 2013).</w:t>
      </w:r>
    </w:p>
    <w:p w14:paraId="2B0DCF16"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Morphology remains important despite the rise of molecular tools. Classical morphometrics still anchors the description of new records and laboratory-maintained isolates, helps distinguish related angiostrongylids in animal studies, and provides the phenotypic frame within which genotype–phenotype relationships can be interpreted. Nevertheless, morphological identification alone is often insufficient when specimens are damaged, immature or recovered from unusual hosts, which is one reason why integrative approaches are increasingly favoured.</w:t>
      </w:r>
    </w:p>
    <w:p w14:paraId="4BCE3B29"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4. Life cycle and transmission biology</w:t>
      </w:r>
    </w:p>
    <w:p w14:paraId="41C06844"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4.1 Canonical life cycle in rats and gastropods</w:t>
      </w:r>
    </w:p>
    <w:p w14:paraId="0D6CC06A"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The canonical life cycle of A. cantonensis begins when rats ingest infective third-stage larvae harboured in intermediate gastropod hosts or in contaminated material. After ingestion, larvae penetrate the intestinal wall and undergo a migratory route that includes the central nervous system before final maturation in the pulmonary arteries. There, adult worms reproduce, first-stage larvae are ultimately shed in rat faeces, and susceptible gastropods become infected by ingesting or contacting larval-contaminated material (Wang et al., 2008; Lv et al., 2009; Cowie, 2013).</w:t>
      </w:r>
    </w:p>
    <w:p w14:paraId="201E4F78"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lastRenderedPageBreak/>
        <w:t>This cycle is biologically notable because neural migration is not an aberrant feature restricted to humans; it is part of normal development in the definitive rat host. The difference is that in rats larval development progresses successfully, whereas in accidental human hosts the parasite usually fails to complete maturation and instead provokes inflammatory disease. The dependence on gastropods as intermediate hosts is flexible rather than narrow. Numerous snail and slug species can support larval development, which greatly enhances the parasite’s ecological opportunism and invasion potential (Lv et al., 2009; Cowie, 2013).</w:t>
      </w:r>
      <w:r w:rsidR="00F6454B">
        <w:rPr>
          <w:color w:val="auto"/>
          <w:kern w:val="0"/>
          <w:lang w:val="en-US" w:eastAsia="en-US"/>
        </w:rPr>
        <w:t xml:space="preserve"> </w:t>
      </w:r>
      <w:r w:rsidR="00F6454B">
        <w:t xml:space="preserve">A recent biological primer has further emphasised that the developmental programme of </w:t>
      </w:r>
      <w:r w:rsidR="00F6454B">
        <w:rPr>
          <w:rStyle w:val="Emphasis"/>
        </w:rPr>
        <w:t>A. cantonensis</w:t>
      </w:r>
      <w:r w:rsidR="00F6454B">
        <w:t xml:space="preserve"> across definitive, intermediate, paratenic and accidental hosts should be interpreted as an integrated continuum rather than as a simple rat–snail dyad, a perspective that is especially useful when discussing host compatibility and transmission plasticity (Griffin et al., 2025).</w:t>
      </w:r>
    </w:p>
    <w:p w14:paraId="45DB6178"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4.2 Intermediate hosts, paratenic hosts and environmental exposure</w:t>
      </w:r>
    </w:p>
    <w:p w14:paraId="0C371F40"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A striking feature of A. cantonensis epidemiology is the breadth of host associations. Several terrestrial snails and slugs of public health relevance, including invasive species, can serve as intermediate hosts, and the infection prevalence and larval burden within these hosts may vary by geography, season, microclimate and host species (Lv et al., 2009; Cowie, 2013). The giant African snail, among others, has repeatedly drawn attention because of its invasive success and ability to carry infective larvae.</w:t>
      </w:r>
    </w:p>
    <w:p w14:paraId="39B687E2"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Paratenic hosts also complicate transmission. Freshwater prawns, crabs, frogs and monitor lizards have been implicated as transport or paratenic hosts in some settings, allowing infective larvae to move into human food chains without further parasite development (Wang et al., 2008; Cowie, 2013). Human infection therefore follows several routes: deliberate consumption of raw or undercooked snails or slugs, ingestion of paratenic hosts, and incidental ingestion of small infected gastropods or larval contamination on raw produce. The latter route is particularly important for public health messaging because severe disease may occur even when the exposure is unintentional.</w:t>
      </w:r>
      <w:r w:rsidR="00F6454B">
        <w:rPr>
          <w:color w:val="auto"/>
          <w:kern w:val="0"/>
          <w:lang w:val="en-US" w:eastAsia="en-US"/>
        </w:rPr>
        <w:t xml:space="preserve"> </w:t>
      </w:r>
      <w:r w:rsidR="00F6454B">
        <w:t>A global synthesis of paratenic hosts has shown that crustaceans, amphibians, reptiles and several other taxa contribute more substantially to exposure ecology than was once appreciated, especially in settings where cultural food practices promote raw or lightly cooked consumption (Turck et al., 2022).</w:t>
      </w:r>
    </w:p>
    <w:p w14:paraId="2A87B455"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Environmental survival and transmission efficiency are influenced by factors such as humidity, temperature, habitat suitability for gastropods, rat ecology, and the persistence of larvae in mucus or water under certain conditions. Experimental and field observations suggest that larval contamination may occur through slime trails or wash water, although the quantitative risk under natural exposure conditions is more difficult to estimate than the simple presence of larvae (Cowie, 2013). Consequently, preventive advice must be biologically plausible yet proportionate, avoiding overstatement where direct dose–response evidence remains limited.</w:t>
      </w:r>
      <w:r w:rsidR="00F6454B">
        <w:rPr>
          <w:color w:val="auto"/>
          <w:kern w:val="0"/>
          <w:lang w:val="en-US" w:eastAsia="en-US"/>
        </w:rPr>
        <w:t xml:space="preserve"> </w:t>
      </w:r>
      <w:r w:rsidR="00F6454B">
        <w:t>Experimental work has additionally shown that infective larvae can remain viable in water after emerging from drowned gastropods, supporting the biological plausibility of water-associated exposure under certain environmental circumstances (Howe et al., 2019).</w:t>
      </w:r>
    </w:p>
    <w:p w14:paraId="331DE271" w14:textId="703A2F61"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global spread of A. cantonensis is best understood as the outcome of synanthropic rat dispersal, movement of infected snails and slugs, and ecological change that favours </w:t>
      </w:r>
      <w:r w:rsidR="00A15778">
        <w:rPr>
          <w:color w:val="auto"/>
          <w:kern w:val="0"/>
          <w:lang w:val="en-US" w:eastAsia="en-US"/>
        </w:rPr>
        <w:t xml:space="preserve">the </w:t>
      </w:r>
      <w:r w:rsidRPr="00947AFC">
        <w:rPr>
          <w:color w:val="auto"/>
          <w:kern w:val="0"/>
          <w:lang w:val="en-US" w:eastAsia="en-US"/>
        </w:rPr>
        <w:t>establishment of both definitive and intermediate hosts. In this respect, the parasite exemplifies a modern zoonosis strengthened by invasion biology and global connectivity.</w:t>
      </w:r>
    </w:p>
    <w:p w14:paraId="1C84E06B"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lastRenderedPageBreak/>
        <w:t>5. Human infection and pathogenesis</w:t>
      </w:r>
    </w:p>
    <w:p w14:paraId="30A23AC5"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5.1 Epidemiology and routes of human disease</w:t>
      </w:r>
    </w:p>
    <w:p w14:paraId="5AB55F7F" w14:textId="09F6BEEB"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Human angiostrongyliasis occurs when infective third-stage larvae are ingested and subsequently migrate through the body, with a marked tropism for the central nervous system. Most recognised cases present as eosinophilic meningitis or meningoencephalitis, although radiculitis, cranial nerve involvement, encephalitis and ocular angiostrongyliasis are also described (Wang et al., 2008; Ansdell &amp; Wattanagoon, 2018; Graeff-Teixeira et al., 2023). Clinical epidemiology varies by region, food custom and exposure setting. In some endemic areas, disease is associated with traditional ingestion of raw molluscs or paratenic hosts, whereas in other areas</w:t>
      </w:r>
      <w:r w:rsidR="00A15778">
        <w:rPr>
          <w:color w:val="auto"/>
          <w:kern w:val="0"/>
          <w:lang w:val="en-US" w:eastAsia="en-US"/>
        </w:rPr>
        <w:t>,</w:t>
      </w:r>
      <w:r w:rsidRPr="00947AFC">
        <w:rPr>
          <w:color w:val="auto"/>
          <w:kern w:val="0"/>
          <w:lang w:val="en-US" w:eastAsia="en-US"/>
        </w:rPr>
        <w:t xml:space="preserve"> sporadic disease may follow accidental ingestion of small slugs or snail fragments on inadequately washed vegetables.</w:t>
      </w:r>
    </w:p>
    <w:p w14:paraId="7B1D735C"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The incubation period is variable, often spanning days to weeks, and disease severity is shaped by inoculum size, host immune response, timing of clinical presentation and perhaps parasite strain. Imported cases increasingly occur in travellers returning from endemic or newly colonised areas, which means clinicians outside historically endemic zones must now recognise the syndrome and exposure history more readily than in the past (Ansdell &amp; Wattanagoon, 2018). At the same time, locally acquired cases in newly affected settings underscore that the disease is no longer solely a diagnostic consideration for tropical travel medicine.</w:t>
      </w:r>
      <w:r w:rsidR="00F6454B">
        <w:rPr>
          <w:color w:val="auto"/>
          <w:kern w:val="0"/>
          <w:lang w:val="en-US" w:eastAsia="en-US"/>
        </w:rPr>
        <w:t xml:space="preserve"> </w:t>
      </w:r>
      <w:r w:rsidR="00F6454B">
        <w:t>Evidence from the Indian subcontinent further indicates that monitor lizards may function as epidemiologically important paratenic hosts in some local contexts, with multiple human cases linked to the consumption of raw or insufficiently cooked reptilian tissues (Pandian et al., 2023). From a travel-medicine perspective, the European literature confirms that neuroangiostrongyliasis in non-endemic regions is usually imported but clinically consistent with classical disease, reinforcing the importance of a careful exposure history in returned travellers (Federspiel et al., 2020).</w:t>
      </w:r>
    </w:p>
    <w:p w14:paraId="33DF83AA"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5.2 Neuropathogenesis and clinical manifestations</w:t>
      </w:r>
    </w:p>
    <w:p w14:paraId="20CAD253"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The pathogenesis of neuroangiostrongyliasis is driven by larval migration, tissue injury and an intense host inflammatory response, particularly involving eosinophils within cerebrospinal fluid and neural tissues. Larvae entering the central nervous system trigger meningeal and parenchymal inflammation, oedema and pain-sensitive meningeal irritation. As larvae die, antigen release may amplify inflammation further, which has direct therapeutic implications because symptom burden can be driven as much by host response as by the physical presence of living parasites (Wang et al., 2008; Graeff-Teixeira et al., 2023).</w:t>
      </w:r>
    </w:p>
    <w:p w14:paraId="1FF36B28"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Common symptoms include severe headache, neck stiffness, paraesthesia, nausea, vomiting and photophobia, with fever being less consistent than in bacterial meningitis. Cerebrospinal fluid eosinophilia is a defining clue, but peripheral eosinophilia may or may not be prominent early in illness. Neurological deficits, altered mental status and severe encephalitic presentations are less common but clinically important. Ocular angiostrongyliasis is a distinct manifestation in which a larva may be visualised in the eye, producing visual loss, pain or inflammatory ocular disease (Wang et al., 2008; Ansdell &amp; Wattanagoon, 2018).</w:t>
      </w:r>
      <w:r w:rsidR="00C8662E">
        <w:rPr>
          <w:color w:val="auto"/>
          <w:kern w:val="0"/>
          <w:lang w:val="en-US" w:eastAsia="en-US"/>
        </w:rPr>
        <w:t xml:space="preserve"> </w:t>
      </w:r>
      <w:r w:rsidR="00C8662E">
        <w:t xml:space="preserve">The diagnostic importance of ocular disease has been strengthened by recent molecular work confirming </w:t>
      </w:r>
      <w:r w:rsidR="00C8662E">
        <w:rPr>
          <w:rStyle w:val="Emphasis"/>
        </w:rPr>
        <w:t>A. cantonensis</w:t>
      </w:r>
      <w:r w:rsidR="00C8662E">
        <w:t xml:space="preserve"> in surgically recovered intraocular worms, thereby linking unusual clinical presentations directly to sequence-verified parasite material (Dumidae et al., 2023). </w:t>
      </w:r>
    </w:p>
    <w:p w14:paraId="5862AF6D"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lastRenderedPageBreak/>
        <w:t>Disease severity exists on a spectrum. Many patients recover with supportive care, but some develop prolonged headaches, neurological sequelae or severe central nervous system complications. This variability complicates the interpretation of therapeutic studies because the natural history is not uniformly fulminant, yet serious cases are sufficiently consequential that delayed recognition can be harmful.</w:t>
      </w:r>
    </w:p>
    <w:p w14:paraId="5CF0D6E4"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6. Diagnosis</w:t>
      </w:r>
    </w:p>
    <w:p w14:paraId="1E70D10E" w14:textId="77777777" w:rsidR="000E59CC" w:rsidRPr="000E59CC" w:rsidRDefault="000E59CC" w:rsidP="000E59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0E59CC">
        <w:rPr>
          <w:b/>
          <w:bCs/>
          <w:color w:val="auto"/>
          <w:kern w:val="0"/>
          <w:sz w:val="27"/>
          <w:szCs w:val="27"/>
          <w:lang w:val="en-US" w:eastAsia="en-US"/>
        </w:rPr>
        <w:t>6.1 Clinical and laboratory diagnosis</w:t>
      </w:r>
    </w:p>
    <w:p w14:paraId="6910D2F6" w14:textId="64B8D3A3"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Clinical and laboratory diagnosis of </w:t>
      </w:r>
      <w:r w:rsidR="002D03EF" w:rsidRPr="002D03EF">
        <w:rPr>
          <w:i/>
          <w:iCs/>
          <w:color w:val="auto"/>
          <w:kern w:val="0"/>
          <w:lang w:val="en-US" w:eastAsia="en-US"/>
        </w:rPr>
        <w:t>Angiostrongylus cantonensis</w:t>
      </w:r>
      <w:r w:rsidRPr="000E59CC">
        <w:rPr>
          <w:color w:val="auto"/>
          <w:kern w:val="0"/>
          <w:lang w:val="en-US" w:eastAsia="en-US"/>
        </w:rPr>
        <w:t xml:space="preserve"> infection depends on the careful integration of exposure history, symptom profile, cerebrospinal fluid findings, and the exclusion of competing causes of eosinophilic meningitis. In practice, diagnosis is seldom established by direct visualisation of the parasite, and most patients are recognised through a composite clinicopathological approach rather than through a single definitive test. This makes early clinical suspicion especially important. In any patient presenting with acute or subacute severe headache, neck stiffness, paraesthesia, vomiting, photophobia, or other signs suggestive of meningeal irritation, neuroangiostrongyliasis should be considered when there is a history of residence in, or travel to, endemic or newly affected regions, or when there has been possible ingestion of raw or undercooked snails, slugs, paratenic hosts, or contaminated fresh produce (Ansdell &amp; Wattanagoon, 2018; Johnston et al., 2019; Graeff-Teixeira et al., 2023).</w:t>
      </w:r>
    </w:p>
    <w:p w14:paraId="457A0F25"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The clinical picture is often suggestive but not pathognomonic. Headache is one of the most prominent and persistent symptoms, and it may be disproportionately severe relative to other meningeal signs. Fever may be absent or mild, which can help distinguish the condition from some bacterial causes of meningitis, although this distinction is never sufficient on its own. Sensory disturbances, hyperaesthesia, radicular pain, cranial nerve involvement, and, in more severe cases, altered mental status or focal neurological deficits may also occur. Because the spectrum is broad, the disease may initially be mistaken for viral meningitis, tuberculous meningitis, other helminthic infections, drug-associated eosinophilic meningitis, or non-infectious inflammatory disorders. For this reason, clinical diagnosis should always be framed as a process of weighted probability based on compatible findings rather than as a reflex response to eosinophilia alone (Ansdell &amp; Wattanagoon, 2018; Graeff-Teixeira et al., 2023).</w:t>
      </w:r>
    </w:p>
    <w:p w14:paraId="76A3C7DE"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Lumbar puncture remains central to both diagnosis and management. Cerebrospinal fluid examination typically reveals eosinophilic pleocytosis, which is the most important laboratory clue in a compatible clinical context. Elevated opening pressure may be present, particularly in patients with severe headache, and cerebrospinal fluid protein is commonly raised, whereas glucose is often normal or only mildly reduced. The degree of eosinophilia may vary with the stage of illness, and eosinophils may be less conspicuous early in the course, so a single lumbar puncture does not always capture the full inflammatory pattern. Peripheral blood eosinophilia can support suspicion, but it is not sufficiently sensitive or specific to establish the diagnosis and may be absent in some patients at presentation. Accordingly, cerebrospinal fluid findings should be interpreted alongside timing, exposure history, and clinical evolution rather than in isolation (Johnston et al., 2019; Graeff-Teixeira et al., 2023).</w:t>
      </w:r>
    </w:p>
    <w:p w14:paraId="04379028"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lastRenderedPageBreak/>
        <w:t>Direct parasitological confirmation in humans is rare. Recovery of larvae from cerebrospinal fluid, ocular structures, or tissue is definitive, but such findings are exceptional and cannot be relied upon in routine practice. Consequently, laboratory diagnosis has traditionally been presumptive in many cases. Neuroimaging may provide supportive information, especially in patients with encephalitic features or focal neurological signs, but imaging abnormalities are neither sufficiently sensitive nor specific to confirm the infection. Normal imaging does not exclude neuroangiostrongyliasis, and abnormal imaging must still be interpreted in conjunction with clinical and cerebrospinal fluid findings (Ansdell &amp; Wattanagoon, 2018; Graeff-Teixeira et al., 2023).</w:t>
      </w:r>
    </w:p>
    <w:p w14:paraId="62A1EF6C"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A major practical issue in clinical diagnosis is the need to distinguish suspected, probable, and confirmed cases with greater consistency. Recent guidance has emphasised the importance of structured case definitions that combine epidemiological plausibility, characteristic neurological symptoms, eosinophilic cerebrospinal fluid, and available laboratory support. This approach improves comparability between studies and strengthens clinical decision-making, especially in regions where molecular confirmation is not rapidly accessible. It also helps prevent overdiagnosis in patients with eosinophilic meningitis due to other causes. Therefore, the most defensible diagnostic framework is one that combines compatible exposure, appropriate clinical syndrome, and characteristic cerebrospinal fluid abnormalities, while maintaining a careful differential diagnosis and recognising that confirmatory testing may not always be available at the point of care (Johnston et al., 2019; Ansdell &amp; Wattanagoon, 2018; Graeff-Teixeira et al., 2023).</w:t>
      </w:r>
    </w:p>
    <w:p w14:paraId="796AF878" w14:textId="77777777" w:rsidR="00947AFC" w:rsidRPr="00947AFC" w:rsidRDefault="00947AFC" w:rsidP="00947AFC">
      <w:pPr>
        <w:spacing w:before="100" w:beforeAutospacing="1" w:after="100" w:afterAutospacing="1" w:line="240" w:lineRule="auto"/>
        <w:ind w:left="0" w:right="0" w:firstLine="0"/>
        <w:jc w:val="left"/>
        <w:outlineLvl w:val="2"/>
        <w:rPr>
          <w:b/>
          <w:bCs/>
          <w:color w:val="auto"/>
          <w:kern w:val="0"/>
          <w:sz w:val="27"/>
          <w:szCs w:val="27"/>
          <w:lang w:val="en-US" w:eastAsia="en-US"/>
        </w:rPr>
      </w:pPr>
      <w:r w:rsidRPr="00947AFC">
        <w:rPr>
          <w:b/>
          <w:bCs/>
          <w:color w:val="auto"/>
          <w:kern w:val="0"/>
          <w:sz w:val="27"/>
          <w:szCs w:val="27"/>
          <w:lang w:val="en-US" w:eastAsia="en-US"/>
        </w:rPr>
        <w:t>6.2 Molecular diagnosis and diagnostic advances</w:t>
      </w:r>
    </w:p>
    <w:p w14:paraId="17CB0590"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A major recent advance has been the development and application of molecular assays, particularly real-time polymerase chain reaction methods targeting A. cantonensis DNA in cerebrospinal fluid. </w:t>
      </w:r>
      <w:r w:rsidR="00C8662E">
        <w:t xml:space="preserve">Methodologically, the development of species-specific ITS1-based TaqMan detection in molluscan and environmental samples helped establish the feasibility of high-specificity molecular detection for </w:t>
      </w:r>
      <w:r w:rsidR="00C8662E">
        <w:rPr>
          <w:rStyle w:val="Emphasis"/>
        </w:rPr>
        <w:t>A. cantonensis</w:t>
      </w:r>
      <w:r w:rsidR="00C8662E">
        <w:t xml:space="preserve">, paving part of the way for later clinical PCR applications (Qvarnstrom et al., 2010). </w:t>
      </w:r>
      <w:r w:rsidRPr="00947AFC">
        <w:rPr>
          <w:color w:val="auto"/>
          <w:kern w:val="0"/>
          <w:lang w:val="en-US" w:eastAsia="en-US"/>
        </w:rPr>
        <w:t>The work of Qvarnstrom et al. (2016) has been particularly influential in supporting a species-specific assay for clinical detection, improving diagnostic confidence in suspected cases where direct demonstration of the parasite is otherwise unlikely. Molecular diagnosis is especially valuable in low-incidence settings, severe cases, and outbreaks where rapid confirmation affects management and public health response.</w:t>
      </w:r>
    </w:p>
    <w:p w14:paraId="62A1236D"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Even so, important constraints remain. Negative molecular results do not exclude disease when sampling is late, specimen quality is suboptimal, larval burden is low, or testing is unavailable. Conversely, broad implementation is limited by laboratory infrastructure, assay validation and access outside reference centres. For this reason, expert recommendations continue to emphasise that diagnosis is fundamentally clinicopathological and epidemiological, with molecular testing serving as a powerful adjunct rather than an exclusive gatekeeper (Johnston et al., 2019; Graeff-Teixeira et al., 2023).</w:t>
      </w:r>
    </w:p>
    <w:p w14:paraId="5AD8FCB0" w14:textId="77777777"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The introduction of more explicit case definitions has also improved comparability between studies. Updated recommendations for diagnosis and treatment have encouraged clinicians and researchers to differentiate confirmed, probable and suspected cases using consistent combinations of exposure history, eosinophilic cerebrospinal fluid, compatible symptoms and </w:t>
      </w:r>
      <w:r w:rsidRPr="00947AFC">
        <w:rPr>
          <w:color w:val="auto"/>
          <w:kern w:val="0"/>
          <w:lang w:val="en-US" w:eastAsia="en-US"/>
        </w:rPr>
        <w:lastRenderedPageBreak/>
        <w:t>laboratory evidence. This is particularly important in retrospective series, where earlier publications may have applied broader or less standardised criteria.</w:t>
      </w:r>
    </w:p>
    <w:p w14:paraId="5162E1F3" w14:textId="77777777" w:rsidR="000E59CC" w:rsidRPr="000E59CC" w:rsidRDefault="000E59CC" w:rsidP="000E59CC">
      <w:pPr>
        <w:spacing w:before="100" w:beforeAutospacing="1" w:after="100" w:afterAutospacing="1" w:line="240" w:lineRule="auto"/>
        <w:ind w:left="0" w:right="0" w:firstLine="0"/>
        <w:jc w:val="left"/>
        <w:outlineLvl w:val="1"/>
        <w:rPr>
          <w:b/>
          <w:bCs/>
          <w:color w:val="auto"/>
          <w:kern w:val="0"/>
          <w:sz w:val="36"/>
          <w:szCs w:val="36"/>
          <w:lang w:val="en-US" w:eastAsia="en-US"/>
        </w:rPr>
      </w:pPr>
      <w:r w:rsidRPr="000E59CC">
        <w:rPr>
          <w:b/>
          <w:bCs/>
          <w:color w:val="auto"/>
          <w:kern w:val="0"/>
          <w:sz w:val="36"/>
          <w:szCs w:val="36"/>
          <w:lang w:val="en-US" w:eastAsia="en-US"/>
        </w:rPr>
        <w:t>7. Therapy and clinical management</w:t>
      </w:r>
    </w:p>
    <w:p w14:paraId="59830456" w14:textId="219BF373"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Therapy and clinical management of human neuroangiostrongyliasis require a pragmatic balance between symptomatic relief, control of host inflammatory responses, and selective use of anthelmintic treatment. In contrast to many other helminthic infections, management of </w:t>
      </w:r>
      <w:r w:rsidR="002D03EF" w:rsidRPr="002D03EF">
        <w:rPr>
          <w:i/>
          <w:iCs/>
          <w:color w:val="auto"/>
          <w:kern w:val="0"/>
          <w:lang w:val="en-US" w:eastAsia="en-US"/>
        </w:rPr>
        <w:t>Angiostrongylus cantonensis</w:t>
      </w:r>
      <w:r w:rsidRPr="000E59CC">
        <w:rPr>
          <w:color w:val="auto"/>
          <w:kern w:val="0"/>
          <w:lang w:val="en-US" w:eastAsia="en-US"/>
        </w:rPr>
        <w:t xml:space="preserve"> is complicated by the fact that the major determinants of morbidity are not only the presence of the parasite itself, but also larval migration within the central nervous system and the inflammatory reaction that accompanies tissue injury and larval death. As a result, treatment decisions must be individualised according to symptom severity, timing of presentation, neurological involvement, and the degree of diagnostic certainty, rather than being reduced to a single uniform regimen for all patients (Wang et al., 2008; Ansdell &amp; Wattanagoon, 2018; Graeff-Teixeira et al., 2023).</w:t>
      </w:r>
    </w:p>
    <w:p w14:paraId="124A4803"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Supportive care remains the foundation of management. Many patients present with intense headache, meningism, nausea, vomiting, paraesthesia, and sleep disturbance, and the immediate clinical priority is often to relieve suffering while monitoring for neurological deterioration. Analgesics, antiemetics, hydration, and careful observation are therefore essential, especially during the acute phase. In a proportion of patients, raised cerebrospinal fluid pressure contributes materially to headache severity, and lumbar puncture serves not only as a diagnostic procedure but also as a therapeutic intervention. Repeated lumbar puncture may produce substantial symptomatic benefit, particularly in patients whose headache is persistent or severe, and this remains one of the most practical and clinically effective measures in routine care (Wang et al., 2008; Ansdell &amp; Wattanagoon, 2018; Graeff-Teixeira et al., 2023).</w:t>
      </w:r>
    </w:p>
    <w:p w14:paraId="46B95CBA"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Corticosteroids occupy a central place in current management because much of the clinical disease reflects inflammation within the meninges and neural tissues. By reducing inflammatory oedema and modulating eosinophil-rich immune responses, corticosteroids may lessen headache, meningeal irritation, and other neurological symptoms. Their role is supported both by clinical reasoning and by trial evidence. A controlled study showed that prednisolone treatment in eosinophilic meningitis shortened the duration of headache, providing a direct clinical basis for steroid use in this setting (Chotmongkol et al., 2000). Subsequent clinical reviews and guidance documents have reinforced the importance of corticosteroids, particularly for patients with moderate to severe symptoms or clear evidence of central nervous system inflammation (Johnston et al., 2019; Graeff-Teixeira et al., 2023). In practice, corticosteroids are often regarded not as ancillary therapy but as one of the principal therapeutic tools in neuroangiostrongyliasis.</w:t>
      </w:r>
    </w:p>
    <w:p w14:paraId="502729E8"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Even so, steroid treatment should be applied thoughtfully. Dose, duration, and route depend on the severity of illness and the treating setting, and severe encephalitic disease may warrant more intensive supportive and neurological management than uncomplicated eosinophilic meningitis. Moreover, corticosteroids address inflammatory consequences rather than the persistence of viable larvae. This limitation is one reason why anthelmintic therapy has remained an enduring subject of debate. Albendazole is the agent most often considered because it has activity against nematode larvae and is comparatively accessible in many settings. The rationale for its use is strongest early in infection, when viable larvae may still be migrating and when parasite killing might reduce ongoing tissue invasion. However, </w:t>
      </w:r>
      <w:r w:rsidRPr="000E59CC">
        <w:rPr>
          <w:color w:val="auto"/>
          <w:kern w:val="0"/>
          <w:lang w:val="en-US" w:eastAsia="en-US"/>
        </w:rPr>
        <w:lastRenderedPageBreak/>
        <w:t>concern has long existed that larval death could intensify inflammation and transiently worsen neurological manifestations unless adequate anti-inflammatory cover is provided (Ansdell &amp; Wattanagoon, 2018; Graeff-Teixeira et al., 2023).</w:t>
      </w:r>
    </w:p>
    <w:p w14:paraId="097F770F"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 xml:space="preserve">The evidence for albendazole is suggestive rather than absolute. A placebo-controlled trial demonstrated benefit from a two-week course of albendazole in eosinophilic meningitis attributed to </w:t>
      </w:r>
      <w:r w:rsidRPr="000E59CC">
        <w:rPr>
          <w:i/>
          <w:iCs/>
          <w:color w:val="auto"/>
          <w:kern w:val="0"/>
          <w:lang w:val="en-US" w:eastAsia="en-US"/>
        </w:rPr>
        <w:t>A. cantonensis</w:t>
      </w:r>
      <w:r w:rsidRPr="000E59CC">
        <w:rPr>
          <w:color w:val="auto"/>
          <w:kern w:val="0"/>
          <w:lang w:val="en-US" w:eastAsia="en-US"/>
        </w:rPr>
        <w:t>, supporting the view that anthelmintic therapy can be clinically useful in selected circumstances (Chotmongkol et al., 2009). At the same time, the interpretation of this literature requires caution, because disease severity is heterogeneous, time to presentation varies widely, and some patients improve with supportive care and corticosteroids alone. Contemporary reviews therefore tend to support albendazole most strongly when it is given in carefully chosen patients, usually together with corticosteroids, rather than as isolated therapy or as an automatic treatment for every suspected case (Ansdell &amp; Wattanagoon, 2018; Johnston et al., 2019; Graeff-Teixeira et al., 2023).</w:t>
      </w:r>
    </w:p>
    <w:p w14:paraId="7A0742C0"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Current clinical management is thus best understood as stratified rather than formulaic. In patients with relatively typical eosinophilic meningitis and stable neurological status, management often centres on symptomatic care, lumbar puncture as needed, and corticosteroids, with albendazole considered according to timing and clinical judgement. In more severe disease, especially when encephalitic features, altered consciousness, cranial neuropathies, or significant focal deficits are present, treatment becomes more complex and may require hospital-based multidisciplinary care. In such cases, the threshold for intensive monitoring is lower, and therapeutic choices must take into account the risks of rapid neurological decline, uncertainty in diagnosis, and the limited trial base available for severe presentations (Wang et al., 2008; Graeff-Teixeira et al., 2023).</w:t>
      </w:r>
    </w:p>
    <w:p w14:paraId="0398CAD2"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Diagnostic uncertainty also influences treatment decisions. Because laboratory confirmation is often delayed or unavailable, clinicians may need to begin treatment on the basis of a strongly suggestive clinical picture rather than absolute proof. This reality strengthens the value of guideline-based management frameworks. Updated recommendations from Hawaii and broader international guidance have both emphasised practical clinical management anchored in exposure history, cerebrospinal fluid eosinophilia, symptom severity, and close follow-up, rather than reliance on a single confirmatory test before action is taken (Johnston et al., 2019; Graeff-Teixeira et al., 2023). Such guidance is particularly important in non-endemic or newly affected settings, where clinicians may be unfamiliar with the disease and therefore hesitant about early treatment.</w:t>
      </w:r>
    </w:p>
    <w:p w14:paraId="17A99290" w14:textId="77777777" w:rsidR="000E59CC" w:rsidRPr="000E59CC" w:rsidRDefault="000E59CC" w:rsidP="000E59CC">
      <w:pPr>
        <w:spacing w:before="100" w:beforeAutospacing="1" w:after="100" w:afterAutospacing="1" w:line="240" w:lineRule="auto"/>
        <w:ind w:left="0" w:right="0" w:firstLine="0"/>
        <w:jc w:val="left"/>
        <w:rPr>
          <w:color w:val="auto"/>
          <w:kern w:val="0"/>
          <w:lang w:val="en-US" w:eastAsia="en-US"/>
        </w:rPr>
      </w:pPr>
      <w:r w:rsidRPr="000E59CC">
        <w:rPr>
          <w:color w:val="auto"/>
          <w:kern w:val="0"/>
          <w:lang w:val="en-US" w:eastAsia="en-US"/>
        </w:rPr>
        <w:t>Overall, the modern therapeutic approach to neuroangiostrongyliasis reflects a convergence of experience rather than complete therapeutic certainty. Supportive care and cerebrospinal fluid pressure relief remain indispensable. Corticosteroids have the clearest clinical rationale and evidence for symptom reduction, especially in eosinophilic meningitis. Albendazole remains a reasonable and often useful option when employed judiciously, most commonly alongside corticosteroids and with attention to timing and disease severity. The best outcomes are likely to follow from early recognition, structured clinical assessment, and individualised treatment rather than rigid adherence to a simplistic anti-parasitic model (Chotmongkol et al., 2000; Chotmongkol et al., 2009; Ansdell &amp; Wattanagoon, 2018; Johnston et al., 2019; Graeff-Teixeira et al., 2023).</w:t>
      </w:r>
    </w:p>
    <w:p w14:paraId="5F686199"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8. Conclusions</w:t>
      </w:r>
    </w:p>
    <w:p w14:paraId="427508C4" w14:textId="76D75771" w:rsidR="00947AFC" w:rsidRPr="00947AFC" w:rsidRDefault="002D03EF" w:rsidP="00947AFC">
      <w:pPr>
        <w:spacing w:before="100" w:beforeAutospacing="1" w:after="100" w:afterAutospacing="1" w:line="240" w:lineRule="auto"/>
        <w:ind w:left="0" w:right="0" w:firstLine="0"/>
        <w:jc w:val="left"/>
        <w:rPr>
          <w:color w:val="auto"/>
          <w:kern w:val="0"/>
          <w:lang w:val="en-US" w:eastAsia="en-US"/>
        </w:rPr>
      </w:pPr>
      <w:r w:rsidRPr="002D03EF">
        <w:rPr>
          <w:i/>
          <w:iCs/>
          <w:color w:val="auto"/>
          <w:kern w:val="0"/>
          <w:lang w:val="en-US" w:eastAsia="en-US"/>
        </w:rPr>
        <w:lastRenderedPageBreak/>
        <w:t>Angiostrongylus cantonensis</w:t>
      </w:r>
      <w:r w:rsidR="00947AFC" w:rsidRPr="00947AFC">
        <w:rPr>
          <w:color w:val="auto"/>
          <w:kern w:val="0"/>
          <w:lang w:val="en-US" w:eastAsia="en-US"/>
        </w:rPr>
        <w:t xml:space="preserve"> has emerged from relative regional neglect to become a globally relevant zoonotic helminth whose importance rests on biological adaptability, expanding distribution and a distinctive capacity to cause eosinophilic meningitis in humans. Current understanding shows that meaningful interpretation of this parasite requires an integrated view. Systematics cannot be separated from surveillance and diagnostics, morphology remains indispensable even in the molecular era, the life cycle is ecologically flexible, and clinical disease reflects both parasite migration and host inflammatory response. Diagnostic methods have improved, particularly through molecular testing and more standardised case definitions, while therapeutic practice has moved towards rational combinations of supportive care, corticosteroids and selective anthelmintic use.</w:t>
      </w:r>
    </w:p>
    <w:p w14:paraId="1EDE2D68" w14:textId="3E4293FF" w:rsidR="00947AFC" w:rsidRP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 xml:space="preserve">At the same time, several research needs remain conspicuous. Better genotype–phenotype correlation is required to resolve taxonomic and epidemiological uncertainty. Improved quantitative understanding of exposure pathways is needed to refine risk communication. Wider access to validated molecular diagnostics would strengthen both patient care and surveillance. More rigorous prospective therapeutic studies are also needed so that treatment recommendations depend less on indirect inference and more on comparative evidence. Addressing these questions will improve not only control of neuroangiostrongyliasis but also </w:t>
      </w:r>
      <w:r w:rsidR="00A15778">
        <w:rPr>
          <w:color w:val="auto"/>
          <w:kern w:val="0"/>
          <w:lang w:val="en-US" w:eastAsia="en-US"/>
        </w:rPr>
        <w:t xml:space="preserve">a </w:t>
      </w:r>
      <w:r w:rsidRPr="00947AFC">
        <w:rPr>
          <w:color w:val="auto"/>
          <w:kern w:val="0"/>
          <w:lang w:val="en-US" w:eastAsia="en-US"/>
        </w:rPr>
        <w:t>broader understanding of how environmentally transmitted helminths adapt to changing ecological and food systems.</w:t>
      </w:r>
    </w:p>
    <w:p w14:paraId="4C80BF54"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9. Limitation</w:t>
      </w:r>
    </w:p>
    <w:p w14:paraId="0238DD79" w14:textId="77777777" w:rsidR="00947AFC" w:rsidRDefault="00947AFC" w:rsidP="00947AFC">
      <w:pPr>
        <w:spacing w:before="100" w:beforeAutospacing="1" w:after="100" w:afterAutospacing="1" w:line="240" w:lineRule="auto"/>
        <w:ind w:left="0" w:right="0" w:firstLine="0"/>
        <w:jc w:val="left"/>
        <w:rPr>
          <w:color w:val="auto"/>
          <w:kern w:val="0"/>
          <w:lang w:val="en-US" w:eastAsia="en-US"/>
        </w:rPr>
      </w:pPr>
      <w:r w:rsidRPr="00947AFC">
        <w:rPr>
          <w:color w:val="auto"/>
          <w:kern w:val="0"/>
          <w:lang w:val="en-US" w:eastAsia="en-US"/>
        </w:rPr>
        <w:t>This review is a structured narrative synthesis rather than a formal systematic review or meta-analysis, and the literature was therefore selected to achieve breadth and interpretive integration rather than exhaustive quantitative pooling. Although multiple major databases were searched and priority was given to peer-reviewed and authoritative publications, some regional reports, non-English sources or very recent papers may not have been captured. In addition, parts of the clinical literature on neuroangiostrongyliasis remain heterogeneous in case definition, diagnostic certainty and therapeutic context, which constrains the strength of comparisons across studies.</w:t>
      </w:r>
    </w:p>
    <w:p w14:paraId="5A952A45" w14:textId="77777777" w:rsidR="00CD7530" w:rsidRDefault="00CD7530" w:rsidP="00947AFC">
      <w:pPr>
        <w:spacing w:before="100" w:beforeAutospacing="1" w:after="100" w:afterAutospacing="1" w:line="240" w:lineRule="auto"/>
        <w:ind w:left="0" w:right="0" w:firstLine="0"/>
        <w:jc w:val="left"/>
        <w:rPr>
          <w:color w:val="auto"/>
          <w:kern w:val="0"/>
          <w:lang w:val="en-US" w:eastAsia="en-US"/>
        </w:rPr>
      </w:pPr>
    </w:p>
    <w:p w14:paraId="27838591" w14:textId="77777777" w:rsidR="00CD7530" w:rsidRDefault="00CD7530" w:rsidP="00CD7530">
      <w:pPr>
        <w:rPr>
          <w:rFonts w:ascii="Calibri" w:eastAsia="Calibri" w:hAnsi="Calibri"/>
          <w:highlight w:val="yellow"/>
          <w:lang w:val="en-US"/>
        </w:rPr>
      </w:pPr>
    </w:p>
    <w:p w14:paraId="7BA7D6C0" w14:textId="77777777" w:rsidR="00CD7530" w:rsidRDefault="00CD7530" w:rsidP="00CD7530">
      <w:pPr>
        <w:rPr>
          <w:rFonts w:ascii="Calibri" w:eastAsia="Calibri" w:hAnsi="Calibri"/>
          <w:highlight w:val="yellow"/>
          <w:lang w:val="en-US"/>
        </w:rPr>
      </w:pPr>
      <w:bookmarkStart w:id="0" w:name="_Hlk218868534"/>
    </w:p>
    <w:p w14:paraId="70E68419" w14:textId="77777777" w:rsidR="00CD7530" w:rsidRPr="00005ED1" w:rsidRDefault="00CD7530" w:rsidP="00CD7530">
      <w:pPr>
        <w:pStyle w:val="NoSpacing"/>
        <w:rPr>
          <w:rFonts w:ascii="Arial" w:hAnsi="Arial" w:cs="Arial"/>
          <w:highlight w:val="yellow"/>
        </w:rPr>
      </w:pPr>
      <w:bookmarkStart w:id="1" w:name="_Hlk221624953"/>
      <w:r w:rsidRPr="00005ED1">
        <w:rPr>
          <w:rFonts w:ascii="Arial" w:hAnsi="Arial" w:cs="Arial"/>
          <w:highlight w:val="yellow"/>
        </w:rPr>
        <w:t>Disclaimer (Artificial intelligence)</w:t>
      </w:r>
    </w:p>
    <w:p w14:paraId="5666B921" w14:textId="77777777" w:rsidR="00CD7530" w:rsidRPr="00005ED1" w:rsidRDefault="00CD7530" w:rsidP="00CD7530">
      <w:pPr>
        <w:pStyle w:val="NoSpacing"/>
        <w:rPr>
          <w:rFonts w:ascii="Arial" w:hAnsi="Arial" w:cs="Arial"/>
          <w:highlight w:val="yellow"/>
        </w:rPr>
      </w:pPr>
    </w:p>
    <w:p w14:paraId="3DD8FF2E" w14:textId="77777777" w:rsidR="00CD7530" w:rsidRDefault="00CD7530" w:rsidP="00CD753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8C25988" w14:textId="77777777" w:rsidR="00CD7530" w:rsidRDefault="00CD7530" w:rsidP="00CD7530">
      <w:pPr>
        <w:pStyle w:val="NoSpacing"/>
        <w:rPr>
          <w:rFonts w:ascii="Arial" w:hAnsi="Arial" w:cs="Arial"/>
          <w:highlight w:val="yellow"/>
        </w:rPr>
      </w:pPr>
    </w:p>
    <w:bookmarkEnd w:id="1"/>
    <w:p w14:paraId="62F19DBB" w14:textId="77777777" w:rsidR="00CD7530" w:rsidRPr="00947AFC" w:rsidRDefault="00CD7530" w:rsidP="00947AFC">
      <w:pPr>
        <w:spacing w:before="100" w:beforeAutospacing="1" w:after="100" w:afterAutospacing="1" w:line="240" w:lineRule="auto"/>
        <w:ind w:left="0" w:right="0" w:firstLine="0"/>
        <w:jc w:val="left"/>
        <w:rPr>
          <w:color w:val="auto"/>
          <w:kern w:val="0"/>
          <w:lang w:val="en-US" w:eastAsia="en-US"/>
        </w:rPr>
      </w:pPr>
    </w:p>
    <w:p w14:paraId="6A3CFB47" w14:textId="77777777" w:rsidR="00947AFC" w:rsidRPr="00947AFC" w:rsidRDefault="00947AFC" w:rsidP="00947AFC">
      <w:pPr>
        <w:spacing w:before="100" w:beforeAutospacing="1" w:after="100" w:afterAutospacing="1" w:line="240" w:lineRule="auto"/>
        <w:ind w:left="0" w:right="0" w:firstLine="0"/>
        <w:jc w:val="left"/>
        <w:outlineLvl w:val="1"/>
        <w:rPr>
          <w:b/>
          <w:bCs/>
          <w:color w:val="auto"/>
          <w:kern w:val="0"/>
          <w:sz w:val="36"/>
          <w:szCs w:val="36"/>
          <w:lang w:val="en-US" w:eastAsia="en-US"/>
        </w:rPr>
      </w:pPr>
      <w:r w:rsidRPr="00947AFC">
        <w:rPr>
          <w:b/>
          <w:bCs/>
          <w:color w:val="auto"/>
          <w:kern w:val="0"/>
          <w:sz w:val="36"/>
          <w:szCs w:val="36"/>
          <w:lang w:val="en-US" w:eastAsia="en-US"/>
        </w:rPr>
        <w:t>References</w:t>
      </w:r>
    </w:p>
    <w:p w14:paraId="4080C5A9" w14:textId="1B34608D"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lastRenderedPageBreak/>
        <w:t xml:space="preserve">Ansdell, V., &amp; Wattanagoon, Y. (2018). </w:t>
      </w:r>
      <w:r w:rsidR="002D03EF" w:rsidRPr="002D03EF">
        <w:rPr>
          <w:i/>
          <w:iCs/>
          <w:kern w:val="0"/>
          <w:lang w:val="en-US"/>
        </w:rPr>
        <w:t>Angiostrongylus cantonensis</w:t>
      </w:r>
      <w:r w:rsidRPr="000E59CC">
        <w:rPr>
          <w:kern w:val="0"/>
          <w:lang w:val="en-US"/>
        </w:rPr>
        <w:t xml:space="preserve"> in travelers: Clinical manifestations, diagnosis, and treatment. Current Opinion in Infectious Diseases, 31(5), 399–408. </w:t>
      </w:r>
      <w:hyperlink r:id="rId8" w:history="1">
        <w:r w:rsidRPr="00707B9B">
          <w:rPr>
            <w:rStyle w:val="Hyperlink"/>
          </w:rPr>
          <w:t>https://doi.org/10.1097/QCO.0000000000000481</w:t>
        </w:r>
      </w:hyperlink>
      <w:r>
        <w:t xml:space="preserve"> </w:t>
      </w:r>
    </w:p>
    <w:p w14:paraId="272BA955" w14:textId="4368BC91"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Barratt, J., Chan, D., Sandaradura, I., Malik, R., Spielman, D., Lee, R., Marriott, D., Harkness, J., Ellis, J., &amp; Stark, D. (2016). </w:t>
      </w:r>
      <w:r w:rsidR="002D03EF" w:rsidRPr="002D03EF">
        <w:rPr>
          <w:i/>
          <w:iCs/>
          <w:kern w:val="0"/>
          <w:lang w:val="en-US"/>
        </w:rPr>
        <w:t>Angiostrongylus cantonensis</w:t>
      </w:r>
      <w:r w:rsidRPr="000E59CC">
        <w:rPr>
          <w:kern w:val="0"/>
          <w:lang w:val="en-US"/>
        </w:rPr>
        <w:t xml:space="preserve">: A review of its distribution, molecular biology and clinical significance as a human pathogen. Parasitology, 143(9), 1087–1118. </w:t>
      </w:r>
      <w:hyperlink r:id="rId9" w:history="1">
        <w:r w:rsidRPr="000E59CC">
          <w:rPr>
            <w:rStyle w:val="Hyperlink"/>
            <w:kern w:val="0"/>
            <w:lang w:val="en-US" w:eastAsia="en-US"/>
          </w:rPr>
          <w:t>https://doi.org/10.1017/S0031182016000652</w:t>
        </w:r>
      </w:hyperlink>
      <w:r w:rsidRPr="000E59CC">
        <w:rPr>
          <w:kern w:val="0"/>
          <w:lang w:val="en-US"/>
        </w:rPr>
        <w:t xml:space="preserve"> </w:t>
      </w:r>
    </w:p>
    <w:p w14:paraId="510BD98D" w14:textId="77777777"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Chotmongkol, V., Kittimongkolma, S., Niwattayakul, K., Intapan, P. M., &amp; Thavornpitak, Y. (2009). Treatment of eosinophilic meningitis with a two-week course of albendazole. Journal of Tropical Medicine, 2009, 567234. </w:t>
      </w:r>
      <w:hyperlink r:id="rId10" w:history="1">
        <w:r w:rsidRPr="000E59CC">
          <w:rPr>
            <w:rStyle w:val="Hyperlink"/>
            <w:kern w:val="0"/>
            <w:lang w:val="en-US" w:eastAsia="en-US"/>
          </w:rPr>
          <w:t>https://doi.org/10.1155/2009/567234</w:t>
        </w:r>
      </w:hyperlink>
      <w:r w:rsidRPr="000E59CC">
        <w:rPr>
          <w:kern w:val="0"/>
          <w:lang w:val="en-US"/>
        </w:rPr>
        <w:t xml:space="preserve"> </w:t>
      </w:r>
    </w:p>
    <w:p w14:paraId="4EA5CE7D" w14:textId="77777777"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Chotmongkol, V., Sawadpanitch, K., &amp; Sawanyawisuth, K. (2000). Corticosteroid treatment of eosinophilic meningitis. Clinical Infectious Diseases, 31(3), 660–662. </w:t>
      </w:r>
      <w:hyperlink r:id="rId11" w:history="1">
        <w:r w:rsidRPr="000E59CC">
          <w:rPr>
            <w:rStyle w:val="Hyperlink"/>
            <w:kern w:val="0"/>
            <w:lang w:val="en-US" w:eastAsia="en-US"/>
          </w:rPr>
          <w:t>https://doi.org/10.1086/313971</w:t>
        </w:r>
      </w:hyperlink>
      <w:r w:rsidRPr="000E59CC">
        <w:rPr>
          <w:kern w:val="0"/>
          <w:lang w:val="en-US"/>
        </w:rPr>
        <w:t xml:space="preserve"> </w:t>
      </w:r>
    </w:p>
    <w:p w14:paraId="49EF6A33" w14:textId="2416DB1F"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Cowie, R. H. (2013). Biology, systematics, life cycle, and distribution of </w:t>
      </w:r>
      <w:r w:rsidR="002D03EF" w:rsidRPr="002D03EF">
        <w:rPr>
          <w:i/>
          <w:iCs/>
          <w:kern w:val="0"/>
          <w:lang w:val="en-US"/>
        </w:rPr>
        <w:t>Angiostrongylus cantonensis</w:t>
      </w:r>
      <w:r w:rsidRPr="000E59CC">
        <w:rPr>
          <w:kern w:val="0"/>
          <w:lang w:val="en-US"/>
        </w:rPr>
        <w:t xml:space="preserve">, the cause of rat lungworm disease. Hawaii Journal of Medicine &amp; Public Health, 72(6 Suppl 2), 6–9. </w:t>
      </w:r>
      <w:hyperlink r:id="rId12" w:history="1">
        <w:r w:rsidRPr="000E59CC">
          <w:rPr>
            <w:rStyle w:val="Hyperlink"/>
            <w:kern w:val="0"/>
            <w:lang w:val="en-US" w:eastAsia="en-US"/>
          </w:rPr>
          <w:t>https://pubmed.ncbi.nlm.nih.gov/23901384/</w:t>
        </w:r>
      </w:hyperlink>
      <w:r w:rsidRPr="000E59CC">
        <w:rPr>
          <w:kern w:val="0"/>
          <w:lang w:val="en-US"/>
        </w:rPr>
        <w:t xml:space="preserve"> </w:t>
      </w:r>
    </w:p>
    <w:p w14:paraId="00CA09BD" w14:textId="77777777"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Cowie, R. H., Bowen, K. H., &amp; Shiels, A. B. (2022). The genus Angiostrongylus Kamensky, 1905: Taxonomy, systematics, and distribution. Journal of Helminthology, 96, e56. </w:t>
      </w:r>
      <w:hyperlink r:id="rId13" w:history="1">
        <w:r w:rsidRPr="000E59CC">
          <w:rPr>
            <w:rStyle w:val="Hyperlink"/>
            <w:kern w:val="0"/>
            <w:lang w:val="en-US" w:eastAsia="en-US"/>
          </w:rPr>
          <w:t>https://doi.org/10.1017/S0022149X22000411</w:t>
        </w:r>
      </w:hyperlink>
      <w:r w:rsidRPr="000E59CC">
        <w:rPr>
          <w:kern w:val="0"/>
          <w:lang w:val="en-US"/>
        </w:rPr>
        <w:t xml:space="preserve"> </w:t>
      </w:r>
    </w:p>
    <w:p w14:paraId="61E437A7" w14:textId="1BE102F0" w:rsidR="000E59CC" w:rsidRDefault="000E59CC" w:rsidP="000E59CC">
      <w:pPr>
        <w:pStyle w:val="NormalWeb"/>
      </w:pPr>
      <w:r>
        <w:t xml:space="preserve">Dumidae, A., Luangsawang, K., Thanwisai, A., &amp; Vitta, A. (2023). Identification and genetic characterization of </w:t>
      </w:r>
      <w:r w:rsidR="002D03EF" w:rsidRPr="002D03EF">
        <w:rPr>
          <w:rStyle w:val="Emphasis"/>
        </w:rPr>
        <w:t>Angiostrongylus cantonensis</w:t>
      </w:r>
      <w:r>
        <w:t xml:space="preserve"> isolated from the human eye. </w:t>
      </w:r>
      <w:r>
        <w:rPr>
          <w:rStyle w:val="Emphasis"/>
        </w:rPr>
        <w:t>Parasitology Research, 122</w:t>
      </w:r>
      <w:r>
        <w:t xml:space="preserve">, 2217–2225. </w:t>
      </w:r>
      <w:hyperlink r:id="rId14" w:history="1">
        <w:r w:rsidRPr="00707B9B">
          <w:rPr>
            <w:rStyle w:val="Hyperlink"/>
          </w:rPr>
          <w:t>https://doi.org/10.1007/s00436-023-07922-3</w:t>
        </w:r>
      </w:hyperlink>
      <w:r>
        <w:t xml:space="preserve">   </w:t>
      </w:r>
    </w:p>
    <w:p w14:paraId="0B37F104" w14:textId="223A8064" w:rsidR="000E59CC" w:rsidRDefault="000E59CC" w:rsidP="000E59CC">
      <w:pPr>
        <w:pStyle w:val="NormalWeb"/>
      </w:pPr>
      <w:r>
        <w:t xml:space="preserve">Federspiel, F., Skovmand, S., &amp; Skarphedinsson, S. (2020). Eosinophilic meningitis due to </w:t>
      </w:r>
      <w:r w:rsidR="002D03EF" w:rsidRPr="002D03EF">
        <w:rPr>
          <w:rStyle w:val="Emphasis"/>
        </w:rPr>
        <w:t>Angiostrongylus cantonensis</w:t>
      </w:r>
      <w:r>
        <w:t xml:space="preserve"> in Europe. </w:t>
      </w:r>
      <w:r>
        <w:rPr>
          <w:rStyle w:val="Emphasis"/>
        </w:rPr>
        <w:t>International Journal of Infectious Diseases, 93</w:t>
      </w:r>
      <w:r>
        <w:t xml:space="preserve">, 28–39. </w:t>
      </w:r>
      <w:hyperlink r:id="rId15" w:history="1">
        <w:r w:rsidRPr="00707B9B">
          <w:rPr>
            <w:rStyle w:val="Hyperlink"/>
          </w:rPr>
          <w:t>https://doi.org/10.1016/j.ijid.2020.01.012</w:t>
        </w:r>
      </w:hyperlink>
      <w:r>
        <w:t xml:space="preserve">   </w:t>
      </w:r>
    </w:p>
    <w:p w14:paraId="7C25E23E" w14:textId="395C2F94"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Graeff-Teixeira, C., Murphy, G. S., &amp; Montresor, A. (2023). </w:t>
      </w:r>
      <w:r w:rsidR="002D03EF" w:rsidRPr="002D03EF">
        <w:rPr>
          <w:i/>
          <w:iCs/>
          <w:kern w:val="0"/>
          <w:lang w:val="en-US"/>
        </w:rPr>
        <w:t>Angiostrongylus cantonensis</w:t>
      </w:r>
      <w:r w:rsidRPr="000E59CC">
        <w:rPr>
          <w:kern w:val="0"/>
          <w:lang w:val="en-US"/>
        </w:rPr>
        <w:t xml:space="preserve"> and neuroangiostrongyliasis (rat lungworm disease): 2022 guidelines for diagnosis and treatment. Parasitology, 150(2), 104–119. </w:t>
      </w:r>
      <w:hyperlink r:id="rId16" w:history="1">
        <w:r w:rsidRPr="000E59CC">
          <w:rPr>
            <w:rStyle w:val="Hyperlink"/>
            <w:kern w:val="0"/>
            <w:lang w:val="en-US" w:eastAsia="en-US"/>
          </w:rPr>
          <w:t>https://doi.org/10.1017/S0031182022001408</w:t>
        </w:r>
      </w:hyperlink>
      <w:r w:rsidRPr="000E59CC">
        <w:rPr>
          <w:kern w:val="0"/>
          <w:lang w:val="en-US"/>
        </w:rPr>
        <w:t xml:space="preserve"> </w:t>
      </w:r>
    </w:p>
    <w:p w14:paraId="546562C7" w14:textId="209A23E6" w:rsidR="000E59CC" w:rsidRDefault="000E59CC" w:rsidP="000E59CC">
      <w:pPr>
        <w:pStyle w:val="NormalWeb"/>
      </w:pPr>
      <w:r>
        <w:t xml:space="preserve">Griffin, C. D., Ezenwa, V. O., &amp; Cowie, R. H. (2025). Insights into the biology of the rat lungworm, </w:t>
      </w:r>
      <w:r w:rsidR="002D03EF" w:rsidRPr="002D03EF">
        <w:rPr>
          <w:rStyle w:val="Emphasis"/>
        </w:rPr>
        <w:t>Angiostrongylus cantonensis</w:t>
      </w:r>
      <w:r>
        <w:t xml:space="preserve">. </w:t>
      </w:r>
      <w:r>
        <w:rPr>
          <w:rStyle w:val="Emphasis"/>
        </w:rPr>
        <w:t>Parasites &amp; Vectors, 18</w:t>
      </w:r>
      <w:r>
        <w:t xml:space="preserve">, 163. </w:t>
      </w:r>
      <w:hyperlink r:id="rId17" w:history="1">
        <w:r w:rsidRPr="00707B9B">
          <w:rPr>
            <w:rStyle w:val="Hyperlink"/>
          </w:rPr>
          <w:t>https://doi.org/10.1186/s13071-025-06790-3</w:t>
        </w:r>
      </w:hyperlink>
      <w:r>
        <w:t xml:space="preserve">  </w:t>
      </w:r>
    </w:p>
    <w:p w14:paraId="508B48AE" w14:textId="545FEDF1" w:rsidR="000E59CC" w:rsidRDefault="000E59CC" w:rsidP="000E59CC">
      <w:pPr>
        <w:pStyle w:val="NormalWeb"/>
      </w:pPr>
      <w:r>
        <w:t xml:space="preserve">Howe, K., Kaluna, L., Lozano, A., Torres Fischer, B., Tagami, Y., McHugh, R., &amp; Jarvi, S. (2019). Water transmission potential of </w:t>
      </w:r>
      <w:r w:rsidR="002D03EF" w:rsidRPr="002D03EF">
        <w:rPr>
          <w:rStyle w:val="Emphasis"/>
        </w:rPr>
        <w:t>Angiostrongylus cantonensis</w:t>
      </w:r>
      <w:r>
        <w:t xml:space="preserve">: Larval viability and effectiveness of rainwater catchment sediment filters. </w:t>
      </w:r>
      <w:r>
        <w:rPr>
          <w:rStyle w:val="Emphasis"/>
        </w:rPr>
        <w:t>PLoS ONE, 14</w:t>
      </w:r>
      <w:r>
        <w:t xml:space="preserve">(4), e0209813. </w:t>
      </w:r>
      <w:hyperlink r:id="rId18" w:history="1">
        <w:r w:rsidRPr="00707B9B">
          <w:rPr>
            <w:rStyle w:val="Hyperlink"/>
          </w:rPr>
          <w:t>https://doi.org/10.1371/journal.pone.0209813</w:t>
        </w:r>
      </w:hyperlink>
      <w:r>
        <w:t xml:space="preserve">  </w:t>
      </w:r>
    </w:p>
    <w:p w14:paraId="0A7013A1" w14:textId="77777777"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Johnston, D. I., Dixon, M. C., Elm, J. L., Calimlim, P. S., Sciulli, R. H., &amp; Park, S. Y. (2019). Review of cases of angiostrongyliasis in Hawaii, 2007–2017, and updated guidelines for prevention and clinical management. Hawaii Journal of Health &amp; Social Welfare, 78(11 Suppl 2), 3–11. </w:t>
      </w:r>
      <w:hyperlink r:id="rId19" w:history="1">
        <w:r w:rsidRPr="000E59CC">
          <w:rPr>
            <w:rStyle w:val="Hyperlink"/>
            <w:kern w:val="0"/>
            <w:lang w:val="en-US" w:eastAsia="en-US"/>
          </w:rPr>
          <w:t>https://pubmed.ncbi.nlm.nih.gov/31723934/</w:t>
        </w:r>
      </w:hyperlink>
      <w:r w:rsidRPr="000E59CC">
        <w:rPr>
          <w:kern w:val="0"/>
          <w:lang w:val="en-US"/>
        </w:rPr>
        <w:t xml:space="preserve"> </w:t>
      </w:r>
    </w:p>
    <w:p w14:paraId="08ADC7DB" w14:textId="7F382A03" w:rsidR="000E59CC" w:rsidRPr="000E59CC" w:rsidRDefault="000E59CC" w:rsidP="000E59CC">
      <w:pPr>
        <w:spacing w:before="100" w:beforeAutospacing="1" w:after="100" w:afterAutospacing="1" w:line="240" w:lineRule="auto"/>
        <w:ind w:left="0" w:firstLine="0"/>
        <w:rPr>
          <w:kern w:val="0"/>
          <w:lang w:val="en-US"/>
        </w:rPr>
      </w:pPr>
      <w:r w:rsidRPr="00407A96">
        <w:rPr>
          <w:kern w:val="0"/>
          <w:lang w:val="es-US"/>
        </w:rPr>
        <w:lastRenderedPageBreak/>
        <w:t xml:space="preserve">Kliks, M. M., &amp; Palumbo, N. E. (1992). </w:t>
      </w:r>
      <w:r w:rsidRPr="000E59CC">
        <w:rPr>
          <w:kern w:val="0"/>
          <w:lang w:val="en-US"/>
        </w:rPr>
        <w:t xml:space="preserve">Eosinophilic meningitis beyond the Pacific Basin: The global dispersal of a peridomestic zoonosis caused by </w:t>
      </w:r>
      <w:r w:rsidR="002D03EF" w:rsidRPr="002D03EF">
        <w:rPr>
          <w:i/>
          <w:iCs/>
          <w:kern w:val="0"/>
          <w:lang w:val="en-US"/>
        </w:rPr>
        <w:t>Angiostrongylus cantonensis</w:t>
      </w:r>
      <w:r w:rsidRPr="000E59CC">
        <w:rPr>
          <w:kern w:val="0"/>
          <w:lang w:val="en-US"/>
        </w:rPr>
        <w:t xml:space="preserve">, the nematode lungworm of rats. Social Science &amp; Medicine, 34(2), 199–212. </w:t>
      </w:r>
      <w:hyperlink r:id="rId20" w:history="1">
        <w:r w:rsidRPr="000E59CC">
          <w:rPr>
            <w:rStyle w:val="Hyperlink"/>
            <w:kern w:val="0"/>
            <w:lang w:val="en-US" w:eastAsia="en-US"/>
          </w:rPr>
          <w:t>https://doi.org/10.1016/0277-9536(92)90006-D</w:t>
        </w:r>
      </w:hyperlink>
      <w:r w:rsidRPr="000E59CC">
        <w:rPr>
          <w:kern w:val="0"/>
          <w:lang w:val="en-US"/>
        </w:rPr>
        <w:t xml:space="preserve"> </w:t>
      </w:r>
    </w:p>
    <w:p w14:paraId="0DD8D129" w14:textId="77777777" w:rsidR="000E59CC" w:rsidRPr="00407A96" w:rsidRDefault="000E59CC" w:rsidP="000E59CC">
      <w:pPr>
        <w:spacing w:before="100" w:beforeAutospacing="1" w:after="100" w:afterAutospacing="1" w:line="240" w:lineRule="auto"/>
        <w:ind w:left="0" w:firstLine="0"/>
        <w:rPr>
          <w:kern w:val="0"/>
          <w:lang w:val="es-US"/>
        </w:rPr>
      </w:pPr>
      <w:r w:rsidRPr="000E59CC">
        <w:rPr>
          <w:kern w:val="0"/>
          <w:lang w:val="en-US"/>
        </w:rPr>
        <w:t xml:space="preserve">Lv, S., Zhang, Y., Steinmann, P., Zhou, X.-N., Utzinger, J., &amp; Zhou, X.-N. (2009). Helminthology in China: Angiostrongyliasis in the People's Republic of China. </w:t>
      </w:r>
      <w:r w:rsidRPr="00407A96">
        <w:rPr>
          <w:kern w:val="0"/>
          <w:lang w:val="es-US"/>
        </w:rPr>
        <w:t xml:space="preserve">Advances in Parasitology, 72, 31–76. </w:t>
      </w:r>
      <w:hyperlink r:id="rId21" w:history="1">
        <w:r w:rsidRPr="00407A96">
          <w:rPr>
            <w:rStyle w:val="Hyperlink"/>
            <w:kern w:val="0"/>
            <w:lang w:val="es-US" w:eastAsia="en-US"/>
          </w:rPr>
          <w:t>https://doi.org/10.1016/S0065-308X(10)72002-8</w:t>
        </w:r>
      </w:hyperlink>
      <w:r w:rsidRPr="00407A96">
        <w:rPr>
          <w:kern w:val="0"/>
          <w:lang w:val="es-US"/>
        </w:rPr>
        <w:t xml:space="preserve"> </w:t>
      </w:r>
    </w:p>
    <w:p w14:paraId="51DCD900" w14:textId="28B0B1C6" w:rsidR="000E59CC" w:rsidRPr="00407A96" w:rsidRDefault="000E59CC" w:rsidP="000E59CC">
      <w:pPr>
        <w:spacing w:before="100" w:beforeAutospacing="1" w:after="100" w:afterAutospacing="1" w:line="240" w:lineRule="auto"/>
        <w:ind w:left="0" w:firstLine="0"/>
        <w:rPr>
          <w:kern w:val="0"/>
          <w:lang w:val="es-US"/>
        </w:rPr>
      </w:pPr>
      <w:r w:rsidRPr="00407A96">
        <w:rPr>
          <w:kern w:val="0"/>
          <w:lang w:val="es-US"/>
        </w:rPr>
        <w:t xml:space="preserve">Monte, T. C. C., Gentile, R., Garcia, J., Mota, E., Santos, J. N., &amp; Maldonado, A., Jr. </w:t>
      </w:r>
      <w:r w:rsidRPr="000E59CC">
        <w:rPr>
          <w:kern w:val="0"/>
          <w:lang w:val="en-US"/>
        </w:rPr>
        <w:t xml:space="preserve">(2012). Brazilian </w:t>
      </w:r>
      <w:r w:rsidR="002D03EF" w:rsidRPr="002D03EF">
        <w:rPr>
          <w:i/>
          <w:iCs/>
          <w:kern w:val="0"/>
          <w:lang w:val="en-US"/>
        </w:rPr>
        <w:t>Angiostrongylus cantonensis</w:t>
      </w:r>
      <w:r w:rsidRPr="000E59CC">
        <w:rPr>
          <w:kern w:val="0"/>
          <w:lang w:val="en-US"/>
        </w:rPr>
        <w:t xml:space="preserve"> haplotypes, ac8 and ac9, have two different biological and morphological profiles. </w:t>
      </w:r>
      <w:r w:rsidRPr="00407A96">
        <w:rPr>
          <w:kern w:val="0"/>
          <w:lang w:val="es-US"/>
        </w:rPr>
        <w:t xml:space="preserve">Memórias do Instituto Oswaldo Cruz, 107(8), 1057–1063. </w:t>
      </w:r>
      <w:hyperlink r:id="rId22" w:history="1">
        <w:r w:rsidRPr="00407A96">
          <w:rPr>
            <w:rStyle w:val="Hyperlink"/>
            <w:kern w:val="0"/>
            <w:lang w:val="es-US" w:eastAsia="en-US"/>
          </w:rPr>
          <w:t>https://doi.org/10.1590/S0074-02762012000800016</w:t>
        </w:r>
      </w:hyperlink>
      <w:r w:rsidRPr="00407A96">
        <w:rPr>
          <w:kern w:val="0"/>
          <w:lang w:val="es-US"/>
        </w:rPr>
        <w:t xml:space="preserve"> </w:t>
      </w:r>
    </w:p>
    <w:p w14:paraId="207DBD4D" w14:textId="1DA0B600" w:rsidR="000E59CC" w:rsidRDefault="000E59CC" w:rsidP="000E59CC">
      <w:pPr>
        <w:pStyle w:val="NormalWeb"/>
      </w:pPr>
      <w:r w:rsidRPr="00407A96">
        <w:rPr>
          <w:lang w:val="es-US"/>
        </w:rPr>
        <w:t xml:space="preserve">Pandian, D., Najer, T., &amp; Modrý, D. (2023). </w:t>
      </w:r>
      <w:r>
        <w:t xml:space="preserve">An overview of </w:t>
      </w:r>
      <w:r w:rsidR="002D03EF" w:rsidRPr="002D03EF">
        <w:rPr>
          <w:rStyle w:val="Emphasis"/>
        </w:rPr>
        <w:t>Angiostrongylus cantonensis</w:t>
      </w:r>
      <w:r>
        <w:t xml:space="preserve"> (Nematoda: Angiostrongylidae), an emerging cause of human angiostrongylosis on the Indian subcontinent. </w:t>
      </w:r>
      <w:r>
        <w:rPr>
          <w:rStyle w:val="Emphasis"/>
        </w:rPr>
        <w:t>Pathogens, 12</w:t>
      </w:r>
      <w:r>
        <w:t xml:space="preserve">(6), 851. </w:t>
      </w:r>
      <w:hyperlink r:id="rId23" w:history="1">
        <w:r w:rsidRPr="00707B9B">
          <w:rPr>
            <w:rStyle w:val="Hyperlink"/>
          </w:rPr>
          <w:t>https://doi.org/10.3390/pathogens12060851</w:t>
        </w:r>
      </w:hyperlink>
      <w:r>
        <w:t xml:space="preserve">  </w:t>
      </w:r>
    </w:p>
    <w:p w14:paraId="12D406D2" w14:textId="77777777"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Prociv, P., &amp; Turner, M. (2018). Neuroangiostrongyliasis: The 'subarachnoid phase' and its implications for anthelminthic therapy. The American Journal of Tropical Medicine and Hygiene, 98(2), 353–359. </w:t>
      </w:r>
      <w:hyperlink r:id="rId24" w:history="1">
        <w:r w:rsidRPr="000E59CC">
          <w:rPr>
            <w:rStyle w:val="Hyperlink"/>
            <w:kern w:val="0"/>
            <w:lang w:val="en-US" w:eastAsia="en-US"/>
          </w:rPr>
          <w:t>https://doi.org/10.4269/ajtmh.17-0617</w:t>
        </w:r>
      </w:hyperlink>
      <w:r w:rsidRPr="000E59CC">
        <w:rPr>
          <w:kern w:val="0"/>
          <w:lang w:val="en-US"/>
        </w:rPr>
        <w:t xml:space="preserve"> </w:t>
      </w:r>
    </w:p>
    <w:p w14:paraId="6B166394" w14:textId="3972D2E6" w:rsidR="000E59CC" w:rsidRDefault="000E59CC" w:rsidP="000E59CC">
      <w:pPr>
        <w:pStyle w:val="NormalWeb"/>
      </w:pPr>
      <w:r>
        <w:t xml:space="preserve">Qvarnstrom, Y., Aramburu da Silva, A. C., Teem, J. L., Hollingsworth, R., Bishop, H., Graeff-Teixeira, C., &amp; da Silva, A. J. (2010). Improved molecular detection of </w:t>
      </w:r>
      <w:r w:rsidR="002D03EF" w:rsidRPr="002D03EF">
        <w:rPr>
          <w:rStyle w:val="Emphasis"/>
        </w:rPr>
        <w:t>Angiostrongylus cantonensis</w:t>
      </w:r>
      <w:r>
        <w:t xml:space="preserve"> in mollusks and other environmental samples with a species-specific internal transcribed spacer 1-based TaqMan assay. </w:t>
      </w:r>
      <w:r>
        <w:rPr>
          <w:rStyle w:val="Emphasis"/>
        </w:rPr>
        <w:t>Applied and Environmental Microbiology, 76</w:t>
      </w:r>
      <w:r>
        <w:t xml:space="preserve">(15), 5287–5289. </w:t>
      </w:r>
      <w:hyperlink r:id="rId25" w:history="1">
        <w:r w:rsidRPr="00707B9B">
          <w:rPr>
            <w:rStyle w:val="Hyperlink"/>
          </w:rPr>
          <w:t>https://doi.org/10.1128/AEM.00546-10</w:t>
        </w:r>
      </w:hyperlink>
      <w:r>
        <w:t xml:space="preserve">  </w:t>
      </w:r>
    </w:p>
    <w:p w14:paraId="54F714EF" w14:textId="0511A48A"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Qvarnstrom, Y., Sullivan, J. J., Bishop, H. S., da Silva, A. J., &amp; Nutman, T. B. (2016). PCR-based detection of </w:t>
      </w:r>
      <w:r w:rsidR="002D03EF" w:rsidRPr="002D03EF">
        <w:rPr>
          <w:i/>
          <w:iCs/>
          <w:kern w:val="0"/>
          <w:lang w:val="en-US"/>
        </w:rPr>
        <w:t>Angiostrongylus cantonensis</w:t>
      </w:r>
      <w:r w:rsidRPr="000E59CC">
        <w:rPr>
          <w:kern w:val="0"/>
          <w:lang w:val="en-US"/>
        </w:rPr>
        <w:t xml:space="preserve"> in cerebrospinal fluid. Journal of Clinical Microbiology, 54(3), 528–533. </w:t>
      </w:r>
      <w:hyperlink r:id="rId26" w:history="1">
        <w:r w:rsidRPr="000E59CC">
          <w:rPr>
            <w:rStyle w:val="Hyperlink"/>
            <w:kern w:val="0"/>
            <w:lang w:val="en-US" w:eastAsia="en-US"/>
          </w:rPr>
          <w:t>https://doi.org/10.1128/JCM.03222-15</w:t>
        </w:r>
      </w:hyperlink>
      <w:r w:rsidRPr="000E59CC">
        <w:rPr>
          <w:kern w:val="0"/>
          <w:lang w:val="en-US"/>
        </w:rPr>
        <w:t xml:space="preserve"> </w:t>
      </w:r>
    </w:p>
    <w:p w14:paraId="25EAEB85" w14:textId="10E1F397"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Sawanyawisuth, K., Chindaprasirt, J., Senthong, V., Limpawattana, P., &amp; Intapan, P. M. (2013). Clinical manifestations of eosinophilic meningitis due to </w:t>
      </w:r>
      <w:r w:rsidR="002D03EF" w:rsidRPr="002D03EF">
        <w:rPr>
          <w:i/>
          <w:iCs/>
          <w:kern w:val="0"/>
          <w:lang w:val="en-US"/>
        </w:rPr>
        <w:t>Angiostrongylus cantonensis</w:t>
      </w:r>
      <w:r w:rsidRPr="000E59CC">
        <w:rPr>
          <w:kern w:val="0"/>
          <w:lang w:val="en-US"/>
        </w:rPr>
        <w:t xml:space="preserve">. Current Tropical Medicine Reports, 1, 49–54. </w:t>
      </w:r>
      <w:hyperlink r:id="rId27" w:history="1">
        <w:r w:rsidRPr="000E59CC">
          <w:rPr>
            <w:rStyle w:val="Hyperlink"/>
            <w:kern w:val="0"/>
            <w:lang w:val="en-US" w:eastAsia="en-US"/>
          </w:rPr>
          <w:t>https://doi.org/10.1007/s40475-013-0007-3</w:t>
        </w:r>
      </w:hyperlink>
      <w:r w:rsidRPr="000E59CC">
        <w:rPr>
          <w:kern w:val="0"/>
          <w:lang w:val="en-US"/>
        </w:rPr>
        <w:t xml:space="preserve"> </w:t>
      </w:r>
    </w:p>
    <w:p w14:paraId="405A06DD" w14:textId="474A96D6" w:rsidR="000E59CC" w:rsidRDefault="000E59CC" w:rsidP="000E59CC">
      <w:pPr>
        <w:pStyle w:val="NormalWeb"/>
      </w:pPr>
      <w:r>
        <w:t xml:space="preserve">Turck, H. C., Fox, M. T., &amp; Cowie, R. H. (2022). Paratenic hosts of </w:t>
      </w:r>
      <w:r w:rsidR="002D03EF" w:rsidRPr="002D03EF">
        <w:rPr>
          <w:rStyle w:val="Emphasis"/>
        </w:rPr>
        <w:t>Angiostrongylus cantonensis</w:t>
      </w:r>
      <w:r>
        <w:t xml:space="preserve"> and their relation to human neuroangiostrongyliasis globally. </w:t>
      </w:r>
      <w:r>
        <w:rPr>
          <w:rStyle w:val="Emphasis"/>
        </w:rPr>
        <w:t>One Health, 15</w:t>
      </w:r>
      <w:r>
        <w:t xml:space="preserve">, 100426. </w:t>
      </w:r>
      <w:hyperlink r:id="rId28" w:history="1">
        <w:r w:rsidRPr="00707B9B">
          <w:rPr>
            <w:rStyle w:val="Hyperlink"/>
          </w:rPr>
          <w:t>https://doi.org/10.1016/j.onehlt.2022.100426</w:t>
        </w:r>
      </w:hyperlink>
      <w:r>
        <w:t xml:space="preserve">  </w:t>
      </w:r>
    </w:p>
    <w:p w14:paraId="58C612F1" w14:textId="77777777" w:rsidR="000E59CC" w:rsidRPr="000E59CC" w:rsidRDefault="000E59CC" w:rsidP="000E59CC">
      <w:pPr>
        <w:spacing w:before="100" w:beforeAutospacing="1" w:after="100" w:afterAutospacing="1" w:line="240" w:lineRule="auto"/>
        <w:ind w:left="0" w:firstLine="0"/>
        <w:rPr>
          <w:kern w:val="0"/>
          <w:lang w:val="en-US"/>
        </w:rPr>
      </w:pPr>
      <w:r w:rsidRPr="000E59CC">
        <w:rPr>
          <w:kern w:val="0"/>
          <w:lang w:val="en-US"/>
        </w:rPr>
        <w:t xml:space="preserve">Wang, Q.-P., Lai, D.-H., Zhu, X.-Q., Chen, X.-G., &amp; Lun, Z.-R. (2008). Human angiostrongyliasis. The Lancet Infectious Diseases, 8(10), 621–630. </w:t>
      </w:r>
      <w:hyperlink r:id="rId29" w:history="1">
        <w:r w:rsidRPr="000E59CC">
          <w:rPr>
            <w:rStyle w:val="Hyperlink"/>
            <w:kern w:val="0"/>
            <w:lang w:val="en-US" w:eastAsia="en-US"/>
          </w:rPr>
          <w:t>https://doi.org/10.1016/S1473-3099(08)70229-9</w:t>
        </w:r>
      </w:hyperlink>
    </w:p>
    <w:p w14:paraId="116EF94E" w14:textId="13896550" w:rsidR="002D03EF" w:rsidRDefault="000E59CC" w:rsidP="000E59CC">
      <w:pPr>
        <w:pStyle w:val="NormalWeb"/>
      </w:pPr>
      <w:r>
        <w:t xml:space="preserve">Watthanakulpanich, D., Jakkul, W., Chanapromma, C., Ketboonlue, T., Dekumyoy, P., Lv, Z., Chan, A. H. E., Thaenkham, U., &amp; Chaisiri, K. (2021). Co-occurrence of </w:t>
      </w:r>
      <w:r>
        <w:rPr>
          <w:rStyle w:val="Emphasis"/>
        </w:rPr>
        <w:t>Angiostrongylus malaysiensis</w:t>
      </w:r>
      <w:r>
        <w:t xml:space="preserve"> and </w:t>
      </w:r>
      <w:r w:rsidR="002D03EF" w:rsidRPr="002D03EF">
        <w:rPr>
          <w:rStyle w:val="Emphasis"/>
        </w:rPr>
        <w:t>Angiostrongylus cantonensis</w:t>
      </w:r>
      <w:r>
        <w:t xml:space="preserve"> DNA in cerebrospinal fluid: Evidence from human eosinophilic meningitis after ingestion of raw snail dish in Thailand. </w:t>
      </w:r>
      <w:r>
        <w:rPr>
          <w:rStyle w:val="Emphasis"/>
        </w:rPr>
        <w:t>Food and Waterborne Parasitology, 24</w:t>
      </w:r>
      <w:r>
        <w:t xml:space="preserve">, e00128. </w:t>
      </w:r>
      <w:hyperlink r:id="rId30" w:history="1">
        <w:r w:rsidRPr="00707B9B">
          <w:rPr>
            <w:rStyle w:val="Hyperlink"/>
          </w:rPr>
          <w:t>https://doi.org/10.1016/j.fawpar.2021.e00128</w:t>
        </w:r>
      </w:hyperlink>
      <w:r>
        <w:t xml:space="preserve">  </w:t>
      </w:r>
      <w:r w:rsidR="002D03EF">
        <w:t xml:space="preserve">  </w:t>
      </w:r>
    </w:p>
    <w:p w14:paraId="1FE57945" w14:textId="77777777" w:rsidR="001D38F8" w:rsidRPr="00407A96" w:rsidRDefault="002D03EF" w:rsidP="000E59CC">
      <w:pPr>
        <w:pStyle w:val="NormalWeb"/>
        <w:rPr>
          <w:highlight w:val="yellow"/>
          <w:lang w:val="es-US"/>
        </w:rPr>
      </w:pPr>
      <w:r w:rsidRPr="00407A96">
        <w:rPr>
          <w:highlight w:val="yellow"/>
          <w:lang w:val="en-IN"/>
        </w:rPr>
        <w:lastRenderedPageBreak/>
        <w:t>Estaño L. A. (2023). Prevalence of </w:t>
      </w:r>
      <w:r w:rsidRPr="00407A96">
        <w:rPr>
          <w:i/>
          <w:iCs/>
          <w:highlight w:val="yellow"/>
          <w:lang w:val="en-IN"/>
        </w:rPr>
        <w:t>Angiostrongylus cantonensis</w:t>
      </w:r>
      <w:r w:rsidRPr="00407A96">
        <w:rPr>
          <w:highlight w:val="yellow"/>
          <w:lang w:val="en-IN"/>
        </w:rPr>
        <w:t> in definitive and intermediate hosts collected from agricultural areas in Ampayon, Butuan City, Southern Philippines. </w:t>
      </w:r>
      <w:r w:rsidRPr="00407A96">
        <w:rPr>
          <w:i/>
          <w:iCs/>
          <w:highlight w:val="yellow"/>
          <w:lang w:val="en-IN"/>
        </w:rPr>
        <w:t>Journal of parasitic diseases : official organ of the Indian Society for Parasitology</w:t>
      </w:r>
      <w:r w:rsidRPr="00407A96">
        <w:rPr>
          <w:highlight w:val="yellow"/>
          <w:lang w:val="en-IN"/>
        </w:rPr>
        <w:t>, </w:t>
      </w:r>
      <w:r w:rsidRPr="00407A96">
        <w:rPr>
          <w:i/>
          <w:iCs/>
          <w:highlight w:val="yellow"/>
          <w:lang w:val="en-IN"/>
        </w:rPr>
        <w:t>47</w:t>
      </w:r>
      <w:r w:rsidRPr="00407A96">
        <w:rPr>
          <w:highlight w:val="yellow"/>
          <w:lang w:val="en-IN"/>
        </w:rPr>
        <w:t xml:space="preserve">(4), 807–814. </w:t>
      </w:r>
      <w:hyperlink r:id="rId31" w:history="1">
        <w:r w:rsidR="001D38F8" w:rsidRPr="00407A96">
          <w:rPr>
            <w:rStyle w:val="Hyperlink"/>
            <w:highlight w:val="yellow"/>
            <w:lang w:val="es-US"/>
          </w:rPr>
          <w:t>https://doi.org/10.1007/s12639-023-01626-2</w:t>
        </w:r>
      </w:hyperlink>
      <w:r w:rsidR="001D38F8" w:rsidRPr="00407A96">
        <w:rPr>
          <w:highlight w:val="yellow"/>
          <w:lang w:val="es-US"/>
        </w:rPr>
        <w:t xml:space="preserve"> </w:t>
      </w:r>
    </w:p>
    <w:p w14:paraId="376DDB9A" w14:textId="77777777" w:rsidR="004B2A59" w:rsidRPr="00407A96" w:rsidRDefault="001D38F8" w:rsidP="000E59CC">
      <w:pPr>
        <w:pStyle w:val="NormalWeb"/>
        <w:rPr>
          <w:highlight w:val="yellow"/>
          <w:lang w:val="en-IN"/>
        </w:rPr>
      </w:pPr>
      <w:r w:rsidRPr="00407A96">
        <w:rPr>
          <w:highlight w:val="yellow"/>
          <w:lang w:val="es-US"/>
        </w:rPr>
        <w:t xml:space="preserve">Delgado-Serra, S., Sola, J., Negre, N., &amp; Paredes-Esquivel, C. (2022). </w:t>
      </w:r>
      <w:r w:rsidRPr="00407A96">
        <w:rPr>
          <w:highlight w:val="yellow"/>
          <w:lang w:val="en-IN"/>
        </w:rPr>
        <w:t>Angiostrongylus cantonensis nematode invasion pathway, Mallorca, Spain. </w:t>
      </w:r>
      <w:r w:rsidRPr="00407A96">
        <w:rPr>
          <w:i/>
          <w:iCs/>
          <w:highlight w:val="yellow"/>
          <w:lang w:val="en-IN"/>
        </w:rPr>
        <w:t>Emerging Infectious Diseases</w:t>
      </w:r>
      <w:r w:rsidRPr="00407A96">
        <w:rPr>
          <w:highlight w:val="yellow"/>
          <w:lang w:val="en-IN"/>
        </w:rPr>
        <w:t>, </w:t>
      </w:r>
      <w:r w:rsidRPr="00407A96">
        <w:rPr>
          <w:i/>
          <w:iCs/>
          <w:highlight w:val="yellow"/>
          <w:lang w:val="en-IN"/>
        </w:rPr>
        <w:t>28</w:t>
      </w:r>
      <w:r w:rsidRPr="00407A96">
        <w:rPr>
          <w:highlight w:val="yellow"/>
          <w:lang w:val="en-IN"/>
        </w:rPr>
        <w:t>(6), 1163.</w:t>
      </w:r>
      <w:r w:rsidR="004B2A59" w:rsidRPr="00407A96">
        <w:rPr>
          <w:highlight w:val="yellow"/>
          <w:lang w:val="en-IN"/>
        </w:rPr>
        <w:t xml:space="preserve"> </w:t>
      </w:r>
    </w:p>
    <w:p w14:paraId="0C60FDA9" w14:textId="77777777" w:rsidR="004B2A59" w:rsidRPr="00407A96" w:rsidRDefault="004B2A59" w:rsidP="000E59CC">
      <w:pPr>
        <w:pStyle w:val="NormalWeb"/>
        <w:rPr>
          <w:highlight w:val="yellow"/>
          <w:lang w:val="en-IN"/>
        </w:rPr>
      </w:pPr>
      <w:r w:rsidRPr="00407A96">
        <w:rPr>
          <w:highlight w:val="yellow"/>
          <w:lang w:val="es-US"/>
        </w:rPr>
        <w:t xml:space="preserve">Carvalho, M. S. N., Carvalho, M. R., Santos, J. A. O., Barbosa, N. D., Melo, L. C., Costa, F. H. M., ... </w:t>
      </w:r>
      <w:r w:rsidRPr="00407A96">
        <w:rPr>
          <w:highlight w:val="yellow"/>
          <w:lang w:val="en-IN"/>
        </w:rPr>
        <w:t>&amp; Matos-Rocha, T. J. (2022). Epidemiological, clinical and laboratory aspects of Angiostrongylus cantonensis infection: an integrative review. </w:t>
      </w:r>
      <w:r w:rsidRPr="00407A96">
        <w:rPr>
          <w:i/>
          <w:iCs/>
          <w:highlight w:val="yellow"/>
          <w:lang w:val="en-IN"/>
        </w:rPr>
        <w:t>Brazilian Journal of Biology</w:t>
      </w:r>
      <w:r w:rsidRPr="00407A96">
        <w:rPr>
          <w:highlight w:val="yellow"/>
          <w:lang w:val="en-IN"/>
        </w:rPr>
        <w:t>, </w:t>
      </w:r>
      <w:r w:rsidRPr="00407A96">
        <w:rPr>
          <w:i/>
          <w:iCs/>
          <w:highlight w:val="yellow"/>
          <w:lang w:val="en-IN"/>
        </w:rPr>
        <w:t>82</w:t>
      </w:r>
      <w:r w:rsidRPr="00407A96">
        <w:rPr>
          <w:highlight w:val="yellow"/>
          <w:lang w:val="en-IN"/>
        </w:rPr>
        <w:t>, e262109.</w:t>
      </w:r>
      <w:r w:rsidRPr="00407A96">
        <w:rPr>
          <w:highlight w:val="yellow"/>
          <w:lang w:val="en-IN"/>
        </w:rPr>
        <w:t xml:space="preserve"> </w:t>
      </w:r>
    </w:p>
    <w:p w14:paraId="075C25A7" w14:textId="77777777" w:rsidR="00A15778" w:rsidRPr="00407A96" w:rsidRDefault="004B2A59" w:rsidP="000E59CC">
      <w:pPr>
        <w:pStyle w:val="NormalWeb"/>
        <w:rPr>
          <w:highlight w:val="yellow"/>
          <w:lang w:val="en-IN"/>
        </w:rPr>
      </w:pPr>
      <w:r w:rsidRPr="00407A96">
        <w:rPr>
          <w:highlight w:val="yellow"/>
          <w:lang w:val="en-IN"/>
        </w:rPr>
        <w:t>Lv, S., &amp; Zhou, X. N. (2025). The 90th anniversary of Angiostrongylus cantonensis: from local discovery to global endemic. </w:t>
      </w:r>
      <w:r w:rsidRPr="00407A96">
        <w:rPr>
          <w:i/>
          <w:iCs/>
          <w:highlight w:val="yellow"/>
          <w:lang w:val="en-IN"/>
        </w:rPr>
        <w:t>Infectious Diseases of Poverty</w:t>
      </w:r>
      <w:r w:rsidRPr="00407A96">
        <w:rPr>
          <w:highlight w:val="yellow"/>
          <w:lang w:val="en-IN"/>
        </w:rPr>
        <w:t>, </w:t>
      </w:r>
      <w:r w:rsidRPr="00407A96">
        <w:rPr>
          <w:i/>
          <w:iCs/>
          <w:highlight w:val="yellow"/>
          <w:lang w:val="en-IN"/>
        </w:rPr>
        <w:t>14</w:t>
      </w:r>
      <w:r w:rsidRPr="00407A96">
        <w:rPr>
          <w:highlight w:val="yellow"/>
          <w:lang w:val="en-IN"/>
        </w:rPr>
        <w:t>(1), 115.</w:t>
      </w:r>
    </w:p>
    <w:p w14:paraId="2065C75E" w14:textId="77777777" w:rsidR="00A15778" w:rsidRDefault="00A15778" w:rsidP="000E59CC">
      <w:pPr>
        <w:pStyle w:val="NormalWeb"/>
        <w:rPr>
          <w:lang w:val="es-US"/>
        </w:rPr>
      </w:pPr>
      <w:r w:rsidRPr="00407A96">
        <w:rPr>
          <w:highlight w:val="yellow"/>
          <w:lang w:val="en-IN"/>
        </w:rPr>
        <w:t xml:space="preserve"> </w:t>
      </w:r>
      <w:r w:rsidRPr="00407A96">
        <w:rPr>
          <w:highlight w:val="yellow"/>
          <w:lang w:val="en-IN"/>
        </w:rPr>
        <w:t>Li, T. M., Liu, Y. H., Fang, W., Zhao, S. H., Li, T., Jiang, L., ... &amp; Chen, S. R. (2025). Monitoring the trends of Angiostrongylus cantonensis infection in humans and Pomacea spp. Snails in Dali, Yunnan, China, 2007–2021. </w:t>
      </w:r>
      <w:r w:rsidRPr="00407A96">
        <w:rPr>
          <w:i/>
          <w:iCs/>
          <w:highlight w:val="yellow"/>
          <w:lang w:val="es-US"/>
        </w:rPr>
        <w:t>PLoS Neglected Tropical Diseases</w:t>
      </w:r>
      <w:r w:rsidRPr="00407A96">
        <w:rPr>
          <w:highlight w:val="yellow"/>
          <w:lang w:val="es-US"/>
        </w:rPr>
        <w:t>, </w:t>
      </w:r>
      <w:r w:rsidRPr="00407A96">
        <w:rPr>
          <w:i/>
          <w:iCs/>
          <w:highlight w:val="yellow"/>
          <w:lang w:val="es-US"/>
        </w:rPr>
        <w:t>19</w:t>
      </w:r>
      <w:r w:rsidRPr="00407A96">
        <w:rPr>
          <w:highlight w:val="yellow"/>
          <w:lang w:val="es-US"/>
        </w:rPr>
        <w:t>(5), e0013065.</w:t>
      </w:r>
      <w:r w:rsidRPr="00407A96">
        <w:rPr>
          <w:lang w:val="es-US"/>
        </w:rPr>
        <w:t xml:space="preserve"> </w:t>
      </w:r>
    </w:p>
    <w:p w14:paraId="1F0437FE" w14:textId="77777777" w:rsidR="000E59CC" w:rsidRPr="00947AFC" w:rsidRDefault="000E59CC" w:rsidP="00947AFC">
      <w:pPr>
        <w:spacing w:before="100" w:beforeAutospacing="1" w:after="100" w:afterAutospacing="1" w:line="240" w:lineRule="auto"/>
        <w:ind w:left="0" w:right="0" w:firstLine="0"/>
        <w:jc w:val="left"/>
        <w:rPr>
          <w:color w:val="auto"/>
          <w:kern w:val="0"/>
          <w:lang w:val="en-US" w:eastAsia="en-US"/>
        </w:rPr>
      </w:pPr>
    </w:p>
    <w:p w14:paraId="7FE4C650" w14:textId="77777777" w:rsidR="00417DFC" w:rsidRPr="00947AFC" w:rsidRDefault="00417DFC" w:rsidP="00947AFC"/>
    <w:sectPr w:rsidR="00417DFC" w:rsidRPr="00947AFC"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5093" w14:textId="77777777" w:rsidR="003F660F" w:rsidRDefault="003F660F" w:rsidP="00005667">
      <w:pPr>
        <w:spacing w:after="0" w:line="240" w:lineRule="auto"/>
      </w:pPr>
      <w:r>
        <w:separator/>
      </w:r>
    </w:p>
  </w:endnote>
  <w:endnote w:type="continuationSeparator" w:id="0">
    <w:p w14:paraId="5DBEF4D5" w14:textId="77777777" w:rsidR="003F660F" w:rsidRDefault="003F660F" w:rsidP="00005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EA0F" w14:textId="77777777" w:rsidR="00005667" w:rsidRDefault="00005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FE14" w14:textId="77777777" w:rsidR="00005667" w:rsidRDefault="00005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0D15" w14:textId="77777777" w:rsidR="00005667" w:rsidRDefault="0000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5971" w14:textId="77777777" w:rsidR="003F660F" w:rsidRDefault="003F660F" w:rsidP="00005667">
      <w:pPr>
        <w:spacing w:after="0" w:line="240" w:lineRule="auto"/>
      </w:pPr>
      <w:r>
        <w:separator/>
      </w:r>
    </w:p>
  </w:footnote>
  <w:footnote w:type="continuationSeparator" w:id="0">
    <w:p w14:paraId="65E86EA0" w14:textId="77777777" w:rsidR="003F660F" w:rsidRDefault="003F660F" w:rsidP="00005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AAE1" w14:textId="77777777" w:rsidR="00005667" w:rsidRDefault="00000000">
    <w:pPr>
      <w:pStyle w:val="Header"/>
    </w:pPr>
    <w:r>
      <w:rPr>
        <w:noProof/>
      </w:rPr>
      <w:pict w14:anchorId="33899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9033"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8E2F6" w14:textId="77777777" w:rsidR="00005667" w:rsidRDefault="00000000">
    <w:pPr>
      <w:pStyle w:val="Header"/>
    </w:pPr>
    <w:r>
      <w:rPr>
        <w:noProof/>
      </w:rPr>
      <w:pict w14:anchorId="41804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9034"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BFD" w14:textId="77777777" w:rsidR="00005667" w:rsidRDefault="00000000">
    <w:pPr>
      <w:pStyle w:val="Header"/>
    </w:pPr>
    <w:r>
      <w:rPr>
        <w:noProof/>
      </w:rPr>
      <w:pict w14:anchorId="7066E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319032"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2876"/>
    <w:multiLevelType w:val="hybridMultilevel"/>
    <w:tmpl w:val="D6F6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F5D9F"/>
    <w:multiLevelType w:val="hybridMultilevel"/>
    <w:tmpl w:val="F028B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152520">
    <w:abstractNumId w:val="17"/>
  </w:num>
  <w:num w:numId="2" w16cid:durableId="1881016508">
    <w:abstractNumId w:val="26"/>
  </w:num>
  <w:num w:numId="3" w16cid:durableId="286857295">
    <w:abstractNumId w:val="13"/>
  </w:num>
  <w:num w:numId="4" w16cid:durableId="898710740">
    <w:abstractNumId w:val="5"/>
  </w:num>
  <w:num w:numId="5" w16cid:durableId="1030759332">
    <w:abstractNumId w:val="1"/>
  </w:num>
  <w:num w:numId="6" w16cid:durableId="1704789041">
    <w:abstractNumId w:val="20"/>
  </w:num>
  <w:num w:numId="7" w16cid:durableId="1436822020">
    <w:abstractNumId w:val="7"/>
  </w:num>
  <w:num w:numId="8" w16cid:durableId="910238243">
    <w:abstractNumId w:val="6"/>
  </w:num>
  <w:num w:numId="9" w16cid:durableId="36635530">
    <w:abstractNumId w:val="28"/>
  </w:num>
  <w:num w:numId="10" w16cid:durableId="536888909">
    <w:abstractNumId w:val="9"/>
  </w:num>
  <w:num w:numId="11" w16cid:durableId="866024333">
    <w:abstractNumId w:val="10"/>
  </w:num>
  <w:num w:numId="12" w16cid:durableId="526136056">
    <w:abstractNumId w:val="24"/>
  </w:num>
  <w:num w:numId="13" w16cid:durableId="901138234">
    <w:abstractNumId w:val="15"/>
  </w:num>
  <w:num w:numId="14" w16cid:durableId="1371227988">
    <w:abstractNumId w:val="4"/>
  </w:num>
  <w:num w:numId="15" w16cid:durableId="1027222486">
    <w:abstractNumId w:val="30"/>
  </w:num>
  <w:num w:numId="16" w16cid:durableId="1823617372">
    <w:abstractNumId w:val="18"/>
  </w:num>
  <w:num w:numId="17" w16cid:durableId="30418723">
    <w:abstractNumId w:val="8"/>
  </w:num>
  <w:num w:numId="18" w16cid:durableId="1064179792">
    <w:abstractNumId w:val="21"/>
  </w:num>
  <w:num w:numId="19" w16cid:durableId="403843886">
    <w:abstractNumId w:val="11"/>
  </w:num>
  <w:num w:numId="20" w16cid:durableId="1297183539">
    <w:abstractNumId w:val="12"/>
  </w:num>
  <w:num w:numId="21" w16cid:durableId="554590076">
    <w:abstractNumId w:val="29"/>
  </w:num>
  <w:num w:numId="22" w16cid:durableId="528954282">
    <w:abstractNumId w:val="19"/>
  </w:num>
  <w:num w:numId="23" w16cid:durableId="1414470260">
    <w:abstractNumId w:val="2"/>
  </w:num>
  <w:num w:numId="24" w16cid:durableId="1390959764">
    <w:abstractNumId w:val="25"/>
  </w:num>
  <w:num w:numId="25" w16cid:durableId="1857570165">
    <w:abstractNumId w:val="23"/>
  </w:num>
  <w:num w:numId="26" w16cid:durableId="878974399">
    <w:abstractNumId w:val="16"/>
  </w:num>
  <w:num w:numId="27" w16cid:durableId="1184978910">
    <w:abstractNumId w:val="22"/>
  </w:num>
  <w:num w:numId="28" w16cid:durableId="1491290453">
    <w:abstractNumId w:val="3"/>
  </w:num>
  <w:num w:numId="29" w16cid:durableId="1603800288">
    <w:abstractNumId w:val="27"/>
  </w:num>
  <w:num w:numId="30" w16cid:durableId="236597192">
    <w:abstractNumId w:val="14"/>
  </w:num>
  <w:num w:numId="31" w16cid:durableId="111910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C0tDAzNzW1MLQwMDZT0lEKTi0uzszPAykwqgUAaRldRiwAAAA="/>
  </w:docVars>
  <w:rsids>
    <w:rsidRoot w:val="00761CB6"/>
    <w:rsid w:val="00004A77"/>
    <w:rsid w:val="00005667"/>
    <w:rsid w:val="000078F4"/>
    <w:rsid w:val="00007AAB"/>
    <w:rsid w:val="00010860"/>
    <w:rsid w:val="000336E1"/>
    <w:rsid w:val="000425DD"/>
    <w:rsid w:val="00053D7A"/>
    <w:rsid w:val="0005616C"/>
    <w:rsid w:val="0006037D"/>
    <w:rsid w:val="000607E4"/>
    <w:rsid w:val="000628E8"/>
    <w:rsid w:val="0006413B"/>
    <w:rsid w:val="000643E7"/>
    <w:rsid w:val="0006527C"/>
    <w:rsid w:val="000652AA"/>
    <w:rsid w:val="000656B9"/>
    <w:rsid w:val="00065D51"/>
    <w:rsid w:val="000814C4"/>
    <w:rsid w:val="00083646"/>
    <w:rsid w:val="00086EDD"/>
    <w:rsid w:val="000A0EB4"/>
    <w:rsid w:val="000A2A54"/>
    <w:rsid w:val="000A633F"/>
    <w:rsid w:val="000A686E"/>
    <w:rsid w:val="000A79B2"/>
    <w:rsid w:val="000B7204"/>
    <w:rsid w:val="000B75EF"/>
    <w:rsid w:val="000C0D71"/>
    <w:rsid w:val="000C411D"/>
    <w:rsid w:val="000C4F0E"/>
    <w:rsid w:val="000D461E"/>
    <w:rsid w:val="000D6AAA"/>
    <w:rsid w:val="000D7028"/>
    <w:rsid w:val="000D7DCE"/>
    <w:rsid w:val="000E33DE"/>
    <w:rsid w:val="000E59CC"/>
    <w:rsid w:val="000E67D1"/>
    <w:rsid w:val="000E709D"/>
    <w:rsid w:val="000F14D5"/>
    <w:rsid w:val="000F27AA"/>
    <w:rsid w:val="000F28EC"/>
    <w:rsid w:val="00103C35"/>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38F8"/>
    <w:rsid w:val="001D7EA7"/>
    <w:rsid w:val="001E6EC5"/>
    <w:rsid w:val="001F4E51"/>
    <w:rsid w:val="00202F35"/>
    <w:rsid w:val="00203EFF"/>
    <w:rsid w:val="0022042D"/>
    <w:rsid w:val="00220ADF"/>
    <w:rsid w:val="002216D7"/>
    <w:rsid w:val="00226D27"/>
    <w:rsid w:val="00227919"/>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0C8"/>
    <w:rsid w:val="002A4C47"/>
    <w:rsid w:val="002B1310"/>
    <w:rsid w:val="002B76E6"/>
    <w:rsid w:val="002C0DF9"/>
    <w:rsid w:val="002C48BB"/>
    <w:rsid w:val="002C6872"/>
    <w:rsid w:val="002C70E6"/>
    <w:rsid w:val="002D03EF"/>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00A9"/>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4D1B"/>
    <w:rsid w:val="003E61B2"/>
    <w:rsid w:val="003F02C5"/>
    <w:rsid w:val="003F660F"/>
    <w:rsid w:val="003F6E91"/>
    <w:rsid w:val="00400005"/>
    <w:rsid w:val="00405181"/>
    <w:rsid w:val="00407A96"/>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2A59"/>
    <w:rsid w:val="004B351D"/>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487D"/>
    <w:rsid w:val="00554C7D"/>
    <w:rsid w:val="005577C6"/>
    <w:rsid w:val="0056389E"/>
    <w:rsid w:val="00564FB4"/>
    <w:rsid w:val="00565C3C"/>
    <w:rsid w:val="00571246"/>
    <w:rsid w:val="00586265"/>
    <w:rsid w:val="0059595D"/>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677F"/>
    <w:rsid w:val="006500A6"/>
    <w:rsid w:val="00650475"/>
    <w:rsid w:val="00655F10"/>
    <w:rsid w:val="00657005"/>
    <w:rsid w:val="00661483"/>
    <w:rsid w:val="006618F5"/>
    <w:rsid w:val="00665992"/>
    <w:rsid w:val="0067007E"/>
    <w:rsid w:val="00671CE7"/>
    <w:rsid w:val="00676549"/>
    <w:rsid w:val="0067685B"/>
    <w:rsid w:val="00682053"/>
    <w:rsid w:val="00683EC3"/>
    <w:rsid w:val="006864CA"/>
    <w:rsid w:val="006907D2"/>
    <w:rsid w:val="00692471"/>
    <w:rsid w:val="00693DFE"/>
    <w:rsid w:val="00695D59"/>
    <w:rsid w:val="006972CC"/>
    <w:rsid w:val="00697683"/>
    <w:rsid w:val="00697CF9"/>
    <w:rsid w:val="006A2C8B"/>
    <w:rsid w:val="006A39B3"/>
    <w:rsid w:val="006A7ABC"/>
    <w:rsid w:val="006B0247"/>
    <w:rsid w:val="006B57D5"/>
    <w:rsid w:val="006B66BC"/>
    <w:rsid w:val="006C161B"/>
    <w:rsid w:val="006C7C9D"/>
    <w:rsid w:val="006D2558"/>
    <w:rsid w:val="006D3E12"/>
    <w:rsid w:val="006D455D"/>
    <w:rsid w:val="006E13D4"/>
    <w:rsid w:val="006E4B0A"/>
    <w:rsid w:val="006F1ABF"/>
    <w:rsid w:val="006F1FC2"/>
    <w:rsid w:val="006F418F"/>
    <w:rsid w:val="006F708E"/>
    <w:rsid w:val="00705A87"/>
    <w:rsid w:val="00711B14"/>
    <w:rsid w:val="00713825"/>
    <w:rsid w:val="00720F41"/>
    <w:rsid w:val="00721966"/>
    <w:rsid w:val="0073506F"/>
    <w:rsid w:val="00737A32"/>
    <w:rsid w:val="007434EA"/>
    <w:rsid w:val="00755BDC"/>
    <w:rsid w:val="00760B77"/>
    <w:rsid w:val="00761CB6"/>
    <w:rsid w:val="00772744"/>
    <w:rsid w:val="00773599"/>
    <w:rsid w:val="00774395"/>
    <w:rsid w:val="0077761A"/>
    <w:rsid w:val="0078275D"/>
    <w:rsid w:val="00783862"/>
    <w:rsid w:val="00783E9E"/>
    <w:rsid w:val="00786C67"/>
    <w:rsid w:val="00796571"/>
    <w:rsid w:val="007A25E7"/>
    <w:rsid w:val="007A48C1"/>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4DBE"/>
    <w:rsid w:val="00876190"/>
    <w:rsid w:val="008811F8"/>
    <w:rsid w:val="00881487"/>
    <w:rsid w:val="00883166"/>
    <w:rsid w:val="00884294"/>
    <w:rsid w:val="00891C2F"/>
    <w:rsid w:val="008932C4"/>
    <w:rsid w:val="00893BAA"/>
    <w:rsid w:val="00897FA1"/>
    <w:rsid w:val="008A2470"/>
    <w:rsid w:val="008A4BFC"/>
    <w:rsid w:val="008A7416"/>
    <w:rsid w:val="008B2040"/>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47AFC"/>
    <w:rsid w:val="00951A3D"/>
    <w:rsid w:val="009536DC"/>
    <w:rsid w:val="009551E6"/>
    <w:rsid w:val="00960579"/>
    <w:rsid w:val="00965F11"/>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778"/>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57EEA"/>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375F7"/>
    <w:rsid w:val="00B451DB"/>
    <w:rsid w:val="00B567DD"/>
    <w:rsid w:val="00B56E93"/>
    <w:rsid w:val="00B6043D"/>
    <w:rsid w:val="00B62252"/>
    <w:rsid w:val="00B74506"/>
    <w:rsid w:val="00B8003F"/>
    <w:rsid w:val="00B81562"/>
    <w:rsid w:val="00B84C19"/>
    <w:rsid w:val="00B91792"/>
    <w:rsid w:val="00B928B4"/>
    <w:rsid w:val="00B93BD4"/>
    <w:rsid w:val="00BA248E"/>
    <w:rsid w:val="00BA3C57"/>
    <w:rsid w:val="00BB0BE1"/>
    <w:rsid w:val="00BB4C3B"/>
    <w:rsid w:val="00BB6828"/>
    <w:rsid w:val="00BB7829"/>
    <w:rsid w:val="00BC43AE"/>
    <w:rsid w:val="00BD22E5"/>
    <w:rsid w:val="00BD346C"/>
    <w:rsid w:val="00BE2004"/>
    <w:rsid w:val="00BF0896"/>
    <w:rsid w:val="00BF26BF"/>
    <w:rsid w:val="00BF31D8"/>
    <w:rsid w:val="00BF5B05"/>
    <w:rsid w:val="00C00621"/>
    <w:rsid w:val="00C033E1"/>
    <w:rsid w:val="00C04B81"/>
    <w:rsid w:val="00C07482"/>
    <w:rsid w:val="00C077F0"/>
    <w:rsid w:val="00C100D0"/>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515E"/>
    <w:rsid w:val="00C5683C"/>
    <w:rsid w:val="00C57B8F"/>
    <w:rsid w:val="00C650CE"/>
    <w:rsid w:val="00C6694F"/>
    <w:rsid w:val="00C7136B"/>
    <w:rsid w:val="00C8662E"/>
    <w:rsid w:val="00C93A8A"/>
    <w:rsid w:val="00C955E0"/>
    <w:rsid w:val="00CA346F"/>
    <w:rsid w:val="00CB0EDD"/>
    <w:rsid w:val="00CB6EB6"/>
    <w:rsid w:val="00CB75A8"/>
    <w:rsid w:val="00CC2B1A"/>
    <w:rsid w:val="00CC40DF"/>
    <w:rsid w:val="00CD57AF"/>
    <w:rsid w:val="00CD7530"/>
    <w:rsid w:val="00CE051F"/>
    <w:rsid w:val="00CE0C42"/>
    <w:rsid w:val="00CE5BFA"/>
    <w:rsid w:val="00CE6483"/>
    <w:rsid w:val="00CF3244"/>
    <w:rsid w:val="00D033FD"/>
    <w:rsid w:val="00D0374A"/>
    <w:rsid w:val="00D055EE"/>
    <w:rsid w:val="00D07932"/>
    <w:rsid w:val="00D1176E"/>
    <w:rsid w:val="00D2322A"/>
    <w:rsid w:val="00D261C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54256"/>
    <w:rsid w:val="00F6047F"/>
    <w:rsid w:val="00F62CC5"/>
    <w:rsid w:val="00F62D4E"/>
    <w:rsid w:val="00F6454B"/>
    <w:rsid w:val="00F73CB7"/>
    <w:rsid w:val="00F754E8"/>
    <w:rsid w:val="00F76FC1"/>
    <w:rsid w:val="00F800B7"/>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E123A"/>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CCCCD"/>
  <w15:docId w15:val="{C4D1CA83-898D-4928-B840-4AB0452E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0056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667"/>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0056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667"/>
    <w:rPr>
      <w:rFonts w:ascii="Times New Roman" w:eastAsia="Times New Roman" w:hAnsi="Times New Roman" w:cs="Times New Roman"/>
      <w:color w:val="000000"/>
      <w:kern w:val="2"/>
      <w:sz w:val="24"/>
      <w:szCs w:val="24"/>
      <w:lang w:val="en-IN" w:eastAsia="en-IN"/>
    </w:rPr>
  </w:style>
  <w:style w:type="paragraph" w:styleId="Revision">
    <w:name w:val="Revision"/>
    <w:hidden/>
    <w:uiPriority w:val="99"/>
    <w:semiHidden/>
    <w:rsid w:val="003E4D1B"/>
    <w:pPr>
      <w:spacing w:after="0" w:line="240" w:lineRule="auto"/>
    </w:pPr>
    <w:rPr>
      <w:rFonts w:ascii="Times New Roman" w:eastAsia="Times New Roman" w:hAnsi="Times New Roman" w:cs="Times New Roman"/>
      <w:color w:val="000000"/>
      <w:kern w:val="2"/>
      <w:sz w:val="24"/>
      <w:szCs w:val="24"/>
      <w:lang w:val="en-IN" w:eastAsia="en-IN"/>
    </w:rPr>
  </w:style>
  <w:style w:type="character" w:styleId="UnresolvedMention">
    <w:name w:val="Unresolved Mention"/>
    <w:basedOn w:val="DefaultParagraphFont"/>
    <w:uiPriority w:val="99"/>
    <w:semiHidden/>
    <w:unhideWhenUsed/>
    <w:rsid w:val="001D3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8724130">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35607">
      <w:bodyDiv w:val="1"/>
      <w:marLeft w:val="0"/>
      <w:marRight w:val="0"/>
      <w:marTop w:val="0"/>
      <w:marBottom w:val="0"/>
      <w:divBdr>
        <w:top w:val="none" w:sz="0" w:space="0" w:color="auto"/>
        <w:left w:val="none" w:sz="0" w:space="0" w:color="auto"/>
        <w:bottom w:val="none" w:sz="0" w:space="0" w:color="auto"/>
        <w:right w:val="none" w:sz="0" w:space="0" w:color="auto"/>
      </w:divBdr>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0906886">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3331944">
      <w:bodyDiv w:val="1"/>
      <w:marLeft w:val="0"/>
      <w:marRight w:val="0"/>
      <w:marTop w:val="0"/>
      <w:marBottom w:val="0"/>
      <w:divBdr>
        <w:top w:val="none" w:sz="0" w:space="0" w:color="auto"/>
        <w:left w:val="none" w:sz="0" w:space="0" w:color="auto"/>
        <w:bottom w:val="none" w:sz="0" w:space="0" w:color="auto"/>
        <w:right w:val="none" w:sz="0" w:space="0" w:color="auto"/>
      </w:divBdr>
      <w:divsChild>
        <w:div w:id="1192766237">
          <w:marLeft w:val="0"/>
          <w:marRight w:val="0"/>
          <w:marTop w:val="0"/>
          <w:marBottom w:val="0"/>
          <w:divBdr>
            <w:top w:val="none" w:sz="0" w:space="0" w:color="auto"/>
            <w:left w:val="none" w:sz="0" w:space="0" w:color="auto"/>
            <w:bottom w:val="none" w:sz="0" w:space="0" w:color="auto"/>
            <w:right w:val="none" w:sz="0" w:space="0" w:color="auto"/>
          </w:divBdr>
          <w:divsChild>
            <w:div w:id="131291070">
              <w:marLeft w:val="0"/>
              <w:marRight w:val="0"/>
              <w:marTop w:val="0"/>
              <w:marBottom w:val="0"/>
              <w:divBdr>
                <w:top w:val="none" w:sz="0" w:space="0" w:color="auto"/>
                <w:left w:val="none" w:sz="0" w:space="0" w:color="auto"/>
                <w:bottom w:val="none" w:sz="0" w:space="0" w:color="auto"/>
                <w:right w:val="none" w:sz="0" w:space="0" w:color="auto"/>
              </w:divBdr>
              <w:divsChild>
                <w:div w:id="2007125384">
                  <w:marLeft w:val="0"/>
                  <w:marRight w:val="0"/>
                  <w:marTop w:val="0"/>
                  <w:marBottom w:val="0"/>
                  <w:divBdr>
                    <w:top w:val="none" w:sz="0" w:space="0" w:color="auto"/>
                    <w:left w:val="none" w:sz="0" w:space="0" w:color="auto"/>
                    <w:bottom w:val="none" w:sz="0" w:space="0" w:color="auto"/>
                    <w:right w:val="none" w:sz="0" w:space="0" w:color="auto"/>
                  </w:divBdr>
                  <w:divsChild>
                    <w:div w:id="19384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39661776">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1238613">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199518696">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1954058">
      <w:bodyDiv w:val="1"/>
      <w:marLeft w:val="0"/>
      <w:marRight w:val="0"/>
      <w:marTop w:val="0"/>
      <w:marBottom w:val="0"/>
      <w:divBdr>
        <w:top w:val="none" w:sz="0" w:space="0" w:color="auto"/>
        <w:left w:val="none" w:sz="0" w:space="0" w:color="auto"/>
        <w:bottom w:val="none" w:sz="0" w:space="0" w:color="auto"/>
        <w:right w:val="none" w:sz="0" w:space="0" w:color="auto"/>
      </w:divBdr>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309735">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48876916">
      <w:bodyDiv w:val="1"/>
      <w:marLeft w:val="0"/>
      <w:marRight w:val="0"/>
      <w:marTop w:val="0"/>
      <w:marBottom w:val="0"/>
      <w:divBdr>
        <w:top w:val="none" w:sz="0" w:space="0" w:color="auto"/>
        <w:left w:val="none" w:sz="0" w:space="0" w:color="auto"/>
        <w:bottom w:val="none" w:sz="0" w:space="0" w:color="auto"/>
        <w:right w:val="none" w:sz="0" w:space="0" w:color="auto"/>
      </w:divBdr>
    </w:div>
    <w:div w:id="35635148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07610">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5792430">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151948">
      <w:bodyDiv w:val="1"/>
      <w:marLeft w:val="0"/>
      <w:marRight w:val="0"/>
      <w:marTop w:val="0"/>
      <w:marBottom w:val="0"/>
      <w:divBdr>
        <w:top w:val="none" w:sz="0" w:space="0" w:color="auto"/>
        <w:left w:val="none" w:sz="0" w:space="0" w:color="auto"/>
        <w:bottom w:val="none" w:sz="0" w:space="0" w:color="auto"/>
        <w:right w:val="none" w:sz="0" w:space="0" w:color="auto"/>
      </w:divBdr>
    </w:div>
    <w:div w:id="676469021">
      <w:bodyDiv w:val="1"/>
      <w:marLeft w:val="0"/>
      <w:marRight w:val="0"/>
      <w:marTop w:val="0"/>
      <w:marBottom w:val="0"/>
      <w:divBdr>
        <w:top w:val="none" w:sz="0" w:space="0" w:color="auto"/>
        <w:left w:val="none" w:sz="0" w:space="0" w:color="auto"/>
        <w:bottom w:val="none" w:sz="0" w:space="0" w:color="auto"/>
        <w:right w:val="none" w:sz="0" w:space="0" w:color="auto"/>
      </w:divBdr>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250974">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3888766">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2241443">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1678825">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12668359">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2069810">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0875861">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05476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3541354">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1974838">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005422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4300154">
      <w:bodyDiv w:val="1"/>
      <w:marLeft w:val="0"/>
      <w:marRight w:val="0"/>
      <w:marTop w:val="0"/>
      <w:marBottom w:val="0"/>
      <w:divBdr>
        <w:top w:val="none" w:sz="0" w:space="0" w:color="auto"/>
        <w:left w:val="none" w:sz="0" w:space="0" w:color="auto"/>
        <w:bottom w:val="none" w:sz="0" w:space="0" w:color="auto"/>
        <w:right w:val="none" w:sz="0" w:space="0" w:color="auto"/>
      </w:divBdr>
      <w:divsChild>
        <w:div w:id="1642422085">
          <w:marLeft w:val="0"/>
          <w:marRight w:val="0"/>
          <w:marTop w:val="0"/>
          <w:marBottom w:val="0"/>
          <w:divBdr>
            <w:top w:val="none" w:sz="0" w:space="0" w:color="auto"/>
            <w:left w:val="none" w:sz="0" w:space="0" w:color="auto"/>
            <w:bottom w:val="none" w:sz="0" w:space="0" w:color="auto"/>
            <w:right w:val="none" w:sz="0" w:space="0" w:color="auto"/>
          </w:divBdr>
          <w:divsChild>
            <w:div w:id="940526396">
              <w:marLeft w:val="0"/>
              <w:marRight w:val="0"/>
              <w:marTop w:val="0"/>
              <w:marBottom w:val="0"/>
              <w:divBdr>
                <w:top w:val="none" w:sz="0" w:space="0" w:color="auto"/>
                <w:left w:val="none" w:sz="0" w:space="0" w:color="auto"/>
                <w:bottom w:val="none" w:sz="0" w:space="0" w:color="auto"/>
                <w:right w:val="none" w:sz="0" w:space="0" w:color="auto"/>
              </w:divBdr>
              <w:divsChild>
                <w:div w:id="1628047455">
                  <w:marLeft w:val="0"/>
                  <w:marRight w:val="0"/>
                  <w:marTop w:val="0"/>
                  <w:marBottom w:val="0"/>
                  <w:divBdr>
                    <w:top w:val="none" w:sz="0" w:space="0" w:color="auto"/>
                    <w:left w:val="none" w:sz="0" w:space="0" w:color="auto"/>
                    <w:bottom w:val="none" w:sz="0" w:space="0" w:color="auto"/>
                    <w:right w:val="none" w:sz="0" w:space="0" w:color="auto"/>
                  </w:divBdr>
                  <w:divsChild>
                    <w:div w:id="1570727862">
                      <w:marLeft w:val="0"/>
                      <w:marRight w:val="0"/>
                      <w:marTop w:val="0"/>
                      <w:marBottom w:val="0"/>
                      <w:divBdr>
                        <w:top w:val="none" w:sz="0" w:space="0" w:color="auto"/>
                        <w:left w:val="none" w:sz="0" w:space="0" w:color="auto"/>
                        <w:bottom w:val="none" w:sz="0" w:space="0" w:color="auto"/>
                        <w:right w:val="none" w:sz="0" w:space="0" w:color="auto"/>
                      </w:divBdr>
                      <w:divsChild>
                        <w:div w:id="569005505">
                          <w:marLeft w:val="0"/>
                          <w:marRight w:val="0"/>
                          <w:marTop w:val="0"/>
                          <w:marBottom w:val="0"/>
                          <w:divBdr>
                            <w:top w:val="none" w:sz="0" w:space="0" w:color="auto"/>
                            <w:left w:val="none" w:sz="0" w:space="0" w:color="auto"/>
                            <w:bottom w:val="none" w:sz="0" w:space="0" w:color="auto"/>
                            <w:right w:val="none" w:sz="0" w:space="0" w:color="auto"/>
                          </w:divBdr>
                          <w:divsChild>
                            <w:div w:id="1631354473">
                              <w:marLeft w:val="0"/>
                              <w:marRight w:val="0"/>
                              <w:marTop w:val="0"/>
                              <w:marBottom w:val="0"/>
                              <w:divBdr>
                                <w:top w:val="none" w:sz="0" w:space="0" w:color="auto"/>
                                <w:left w:val="none" w:sz="0" w:space="0" w:color="auto"/>
                                <w:bottom w:val="none" w:sz="0" w:space="0" w:color="auto"/>
                                <w:right w:val="none" w:sz="0" w:space="0" w:color="auto"/>
                              </w:divBdr>
                              <w:divsChild>
                                <w:div w:id="843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425007">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138708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4919223">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08168479">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4766889">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QCO.0000000000000481" TargetMode="External"/><Relationship Id="rId13" Type="http://schemas.openxmlformats.org/officeDocument/2006/relationships/hyperlink" Target="https://doi.org/10.1017/S0022149X22000411" TargetMode="External"/><Relationship Id="rId18" Type="http://schemas.openxmlformats.org/officeDocument/2006/relationships/hyperlink" Target="https://doi.org/10.1371/journal.pone.0209813" TargetMode="External"/><Relationship Id="rId26" Type="http://schemas.openxmlformats.org/officeDocument/2006/relationships/hyperlink" Target="https://doi.org/10.1128/JCM.03222-1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16/S0065-308X(10)72002-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med.ncbi.nlm.nih.gov/23901384/" TargetMode="External"/><Relationship Id="rId17" Type="http://schemas.openxmlformats.org/officeDocument/2006/relationships/hyperlink" Target="https://doi.org/10.1186/s13071-025-06790-3" TargetMode="External"/><Relationship Id="rId25" Type="http://schemas.openxmlformats.org/officeDocument/2006/relationships/hyperlink" Target="https://doi.org/10.1128/AEM.00546-10"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7/S0031182022001408" TargetMode="External"/><Relationship Id="rId20" Type="http://schemas.openxmlformats.org/officeDocument/2006/relationships/hyperlink" Target="https://doi.org/10.1016/0277-9536(92)90006-D" TargetMode="External"/><Relationship Id="rId29" Type="http://schemas.openxmlformats.org/officeDocument/2006/relationships/hyperlink" Target="https://doi.org/10.1016/S1473-3099(08)702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6/313971" TargetMode="External"/><Relationship Id="rId24" Type="http://schemas.openxmlformats.org/officeDocument/2006/relationships/hyperlink" Target="https://doi.org/10.4269/ajtmh.17-0617"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ijid.2020.01.012" TargetMode="External"/><Relationship Id="rId23" Type="http://schemas.openxmlformats.org/officeDocument/2006/relationships/hyperlink" Target="https://doi.org/10.3390/pathogens12060851" TargetMode="External"/><Relationship Id="rId28" Type="http://schemas.openxmlformats.org/officeDocument/2006/relationships/hyperlink" Target="https://doi.org/10.1016/j.onehlt.2022.100426" TargetMode="External"/><Relationship Id="rId36" Type="http://schemas.openxmlformats.org/officeDocument/2006/relationships/header" Target="header3.xml"/><Relationship Id="rId10" Type="http://schemas.openxmlformats.org/officeDocument/2006/relationships/hyperlink" Target="https://doi.org/10.1155/2009/567234" TargetMode="External"/><Relationship Id="rId19" Type="http://schemas.openxmlformats.org/officeDocument/2006/relationships/hyperlink" Target="https://pubmed.ncbi.nlm.nih.gov/31723934/" TargetMode="External"/><Relationship Id="rId31" Type="http://schemas.openxmlformats.org/officeDocument/2006/relationships/hyperlink" Target="https://doi.org/10.1007/s12639-023-01626-2" TargetMode="External"/><Relationship Id="rId4" Type="http://schemas.openxmlformats.org/officeDocument/2006/relationships/settings" Target="settings.xml"/><Relationship Id="rId9" Type="http://schemas.openxmlformats.org/officeDocument/2006/relationships/hyperlink" Target="https://doi.org/10.1017/S0031182016000652" TargetMode="External"/><Relationship Id="rId14" Type="http://schemas.openxmlformats.org/officeDocument/2006/relationships/hyperlink" Target="https://doi.org/10.1007/s00436-023-07922-3" TargetMode="External"/><Relationship Id="rId22" Type="http://schemas.openxmlformats.org/officeDocument/2006/relationships/hyperlink" Target="https://doi.org/10.1590/S0074-02762012000800016" TargetMode="External"/><Relationship Id="rId27" Type="http://schemas.openxmlformats.org/officeDocument/2006/relationships/hyperlink" Target="https://doi.org/10.1007/s40475-013-0007-3" TargetMode="External"/><Relationship Id="rId30" Type="http://schemas.openxmlformats.org/officeDocument/2006/relationships/hyperlink" Target="https://doi.org/10.1016/j.fawpar.2021.e00128"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7348D-803D-489E-8EA0-25204C12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13677</TotalTime>
  <Pages>14</Pages>
  <Words>7033</Words>
  <Characters>40093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Editor-17</cp:lastModifiedBy>
  <cp:revision>170</cp:revision>
  <cp:lastPrinted>2025-12-13T07:14:00Z</cp:lastPrinted>
  <dcterms:created xsi:type="dcterms:W3CDTF">2025-09-24T12:44:00Z</dcterms:created>
  <dcterms:modified xsi:type="dcterms:W3CDTF">2026-03-17T06:34:00Z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53cac267-c6ba-4104-8c29-007a3af7bc96</vt:lpwstr>
  </property>
</Properties>
</file>