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511B6" w14:textId="77777777" w:rsidR="00754C9A" w:rsidRDefault="00754C9A" w:rsidP="00441B6F">
      <w:pPr>
        <w:pStyle w:val="Title"/>
        <w:spacing w:after="0"/>
        <w:jc w:val="both"/>
        <w:rPr>
          <w:rFonts w:ascii="Arial" w:hAnsi="Arial" w:cs="Arial"/>
        </w:rPr>
      </w:pPr>
    </w:p>
    <w:p w14:paraId="53ABA771" w14:textId="14B09E3B" w:rsidR="006B2596" w:rsidRPr="00865B89" w:rsidRDefault="006466C8" w:rsidP="004E298C">
      <w:pPr>
        <w:pStyle w:val="Author"/>
        <w:spacing w:line="240" w:lineRule="auto"/>
        <w:rPr>
          <w:rFonts w:ascii="Arial" w:hAnsi="Arial" w:cs="Arial"/>
          <w:bCs/>
          <w:iCs/>
          <w:kern w:val="28"/>
          <w:sz w:val="36"/>
        </w:rPr>
      </w:pPr>
      <w:bookmarkStart w:id="0" w:name="_GoBack"/>
      <w:bookmarkEnd w:id="0"/>
      <w:r w:rsidRPr="00865B89">
        <w:rPr>
          <w:rFonts w:ascii="Arial" w:hAnsi="Arial" w:cs="Arial"/>
          <w:bCs/>
          <w:iCs/>
          <w:kern w:val="28"/>
          <w:sz w:val="36"/>
        </w:rPr>
        <w:t>Next-Generation Genomic Research with the UCSC Genome Brow</w:t>
      </w:r>
      <w:r w:rsidR="00600860">
        <w:rPr>
          <w:rFonts w:ascii="Arial" w:hAnsi="Arial" w:cs="Arial"/>
          <w:bCs/>
          <w:iCs/>
          <w:kern w:val="28"/>
          <w:sz w:val="36"/>
        </w:rPr>
        <w:t>ser: Tools, Tracks, and Updates</w:t>
      </w:r>
    </w:p>
    <w:p w14:paraId="5EC9A824" w14:textId="77777777" w:rsidR="00AC14BC" w:rsidRPr="00865B89" w:rsidRDefault="00AC14BC" w:rsidP="004E298C">
      <w:pPr>
        <w:pStyle w:val="Author"/>
        <w:spacing w:line="240" w:lineRule="auto"/>
        <w:rPr>
          <w:rFonts w:ascii="Arial" w:hAnsi="Arial" w:cs="Arial"/>
        </w:rPr>
      </w:pPr>
    </w:p>
    <w:p w14:paraId="34929A13" w14:textId="77777777" w:rsidR="0055784F" w:rsidRDefault="0055784F" w:rsidP="00441B6F">
      <w:pPr>
        <w:pStyle w:val="Copyright"/>
        <w:spacing w:after="0" w:line="240" w:lineRule="auto"/>
        <w:jc w:val="both"/>
        <w:rPr>
          <w:rFonts w:ascii="Arial" w:hAnsi="Arial" w:cs="Arial"/>
        </w:rPr>
      </w:pPr>
    </w:p>
    <w:p w14:paraId="1F628ADD" w14:textId="00F0E51F" w:rsidR="00B01FCD" w:rsidRPr="00865B89" w:rsidRDefault="00510167" w:rsidP="00441B6F">
      <w:pPr>
        <w:pStyle w:val="Copyright"/>
        <w:spacing w:after="0" w:line="240" w:lineRule="auto"/>
        <w:jc w:val="both"/>
        <w:rPr>
          <w:rFonts w:ascii="Arial" w:hAnsi="Arial" w:cs="Arial"/>
        </w:rPr>
        <w:sectPr w:rsidR="00B01FCD" w:rsidRPr="00865B89" w:rsidSect="006F3A7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2B80E0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sidRPr="00865B89">
        <w:rPr>
          <w:rFonts w:ascii="Arial" w:hAnsi="Arial" w:cs="Arial"/>
        </w:rPr>
        <w:t>.</w:t>
      </w:r>
    </w:p>
    <w:p w14:paraId="2275F6FC" w14:textId="444BA33A" w:rsidR="00B01FCD" w:rsidRPr="00865B89" w:rsidRDefault="00B01FCD" w:rsidP="00441B6F">
      <w:pPr>
        <w:pStyle w:val="AbstHead"/>
        <w:spacing w:after="0"/>
        <w:jc w:val="both"/>
        <w:rPr>
          <w:rFonts w:ascii="Arial" w:hAnsi="Arial" w:cs="Arial"/>
        </w:rPr>
      </w:pPr>
      <w:r w:rsidRPr="00865B89">
        <w:rPr>
          <w:rFonts w:ascii="Arial" w:hAnsi="Arial" w:cs="Arial"/>
        </w:rPr>
        <w:t>ABSTRACT</w:t>
      </w:r>
    </w:p>
    <w:p w14:paraId="2290EBF4" w14:textId="77777777" w:rsidR="00790ADA" w:rsidRPr="00865B89"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865B89" w14:paraId="0B6BE6A0" w14:textId="77777777" w:rsidTr="001E44FE">
        <w:tc>
          <w:tcPr>
            <w:tcW w:w="9576" w:type="dxa"/>
            <w:shd w:val="clear" w:color="auto" w:fill="F2F2F2"/>
          </w:tcPr>
          <w:p w14:paraId="41A8FFD8" w14:textId="42E5D9F6" w:rsidR="00505F06" w:rsidRPr="00865B89" w:rsidRDefault="00D72A54" w:rsidP="00441B6F">
            <w:pPr>
              <w:pStyle w:val="Body"/>
              <w:spacing w:after="0"/>
              <w:rPr>
                <w:rFonts w:ascii="Arial" w:eastAsia="Calibri" w:hAnsi="Arial" w:cs="Arial"/>
                <w:szCs w:val="22"/>
              </w:rPr>
            </w:pPr>
            <w:r w:rsidRPr="00865B89">
              <w:rPr>
                <w:rFonts w:ascii="Arial" w:eastAsia="Calibri" w:hAnsi="Arial" w:cs="Arial"/>
                <w:szCs w:val="22"/>
                <w:lang w:val="en-IN"/>
              </w:rPr>
              <w:t>The UCSC Genome Browser has become a cornerstone resource in genomic research, offering a robust, interactive platform for visualizing, analyzing, and comparing complex genomic data. This review details the key features of the browser, including its dynamic visualization capabilities, customizable tracks, and broad data integration spanning gene predictions, expression profiles, regulatory elements, and variant annotations. The browser supports over 2,500 genome assemblies through its core system and Assembly Hubs, including data from high-impact projects like the Human Pangenome Reference Consortium and the Vertebrate Genomes Project. Essential tools such as BLAT, LiftOver, the Table Browser, and Python-compatible REST APIs enable efficient querying, annotation, and coordinate conversion. Notably, the 2025 update introduced a range of enhancements including expanded clinical annotation tracks (gnomAD 4.1, AbSplice, SpliceAI), dosage sensitivity predictions, and the integration of high-resolution 3D protein models from AlphaFoldDB. The GenArk portal has been substantially broadened and interface improvements such as upgraded exon navigation and track management features enhance usability. Collectively, these advancements underscore the browser’s growing role in precision medicine, functional genomics, and large-scale bioinformatics workflows. This review highlights the UCSC Genome Browser's evolution as a scalable, open-source platform that continues to adapt to the demands of cutting-edge genomic research in 2025</w:t>
            </w:r>
          </w:p>
        </w:tc>
      </w:tr>
    </w:tbl>
    <w:p w14:paraId="457B43D8" w14:textId="77777777" w:rsidR="00636EB2" w:rsidRPr="00865B89" w:rsidRDefault="00636EB2" w:rsidP="00441B6F">
      <w:pPr>
        <w:pStyle w:val="Body"/>
        <w:spacing w:after="0"/>
        <w:rPr>
          <w:rFonts w:ascii="Arial" w:hAnsi="Arial" w:cs="Arial"/>
          <w:i/>
        </w:rPr>
      </w:pPr>
    </w:p>
    <w:p w14:paraId="27358B47" w14:textId="3EA33732" w:rsidR="0024282C" w:rsidRPr="00865B89" w:rsidRDefault="00A24E7E" w:rsidP="00441B6F">
      <w:pPr>
        <w:pStyle w:val="Body"/>
        <w:spacing w:after="0"/>
        <w:rPr>
          <w:rFonts w:ascii="Arial" w:hAnsi="Arial" w:cs="Arial"/>
          <w:i/>
          <w:sz w:val="18"/>
        </w:rPr>
      </w:pPr>
      <w:r w:rsidRPr="00865B89">
        <w:rPr>
          <w:rFonts w:ascii="Arial" w:hAnsi="Arial" w:cs="Arial"/>
          <w:b/>
          <w:bCs/>
          <w:i/>
        </w:rPr>
        <w:t>Keywords:</w:t>
      </w:r>
      <w:r w:rsidRPr="00865B89">
        <w:rPr>
          <w:rFonts w:ascii="Arial" w:hAnsi="Arial" w:cs="Arial"/>
          <w:i/>
        </w:rPr>
        <w:t xml:space="preserve"> </w:t>
      </w:r>
      <w:r w:rsidR="00D72A54" w:rsidRPr="00865B89">
        <w:rPr>
          <w:rFonts w:ascii="Arial" w:hAnsi="Arial" w:cs="Arial"/>
          <w:i/>
        </w:rPr>
        <w:t>Genomics, UCSC Genome Browser, Bioinformatics Tools, Genome Visualization, Clinical Genomics.</w:t>
      </w:r>
    </w:p>
    <w:p w14:paraId="4C2CE494" w14:textId="77777777" w:rsidR="00505F06" w:rsidRPr="00865B89" w:rsidRDefault="00505F06" w:rsidP="00441B6F">
      <w:pPr>
        <w:pStyle w:val="Body"/>
        <w:spacing w:after="0"/>
        <w:rPr>
          <w:rFonts w:ascii="Arial" w:hAnsi="Arial" w:cs="Arial"/>
          <w:i/>
        </w:rPr>
      </w:pPr>
    </w:p>
    <w:p w14:paraId="7149EE09" w14:textId="45D36B5B" w:rsidR="007F7B32" w:rsidRPr="00865B89" w:rsidRDefault="00B01FCD" w:rsidP="00D51723">
      <w:pPr>
        <w:pStyle w:val="AbstHead"/>
        <w:numPr>
          <w:ilvl w:val="0"/>
          <w:numId w:val="37"/>
        </w:numPr>
        <w:spacing w:after="0"/>
        <w:jc w:val="both"/>
        <w:rPr>
          <w:rFonts w:ascii="Arial" w:hAnsi="Arial" w:cs="Arial"/>
        </w:rPr>
      </w:pPr>
      <w:r w:rsidRPr="00865B89">
        <w:rPr>
          <w:rFonts w:ascii="Arial" w:hAnsi="Arial" w:cs="Arial"/>
        </w:rPr>
        <w:t>INTRODUCTION</w:t>
      </w:r>
    </w:p>
    <w:p w14:paraId="3C3DBB2B" w14:textId="77777777" w:rsidR="00790ADA" w:rsidRPr="00865B89" w:rsidRDefault="00790ADA" w:rsidP="00441B6F">
      <w:pPr>
        <w:pStyle w:val="AbstHead"/>
        <w:spacing w:after="0"/>
        <w:jc w:val="both"/>
        <w:rPr>
          <w:rFonts w:ascii="Arial" w:hAnsi="Arial" w:cs="Arial"/>
        </w:rPr>
      </w:pPr>
    </w:p>
    <w:p w14:paraId="52D31B7B" w14:textId="77777777" w:rsidR="00D72A54" w:rsidRPr="00865B89" w:rsidRDefault="00D72A54" w:rsidP="00D72A54">
      <w:pPr>
        <w:pStyle w:val="Body"/>
        <w:rPr>
          <w:rFonts w:ascii="Arial" w:hAnsi="Arial" w:cs="Arial"/>
        </w:rPr>
      </w:pPr>
      <w:r w:rsidRPr="00865B89">
        <w:rPr>
          <w:rFonts w:ascii="Arial" w:hAnsi="Arial" w:cs="Arial"/>
        </w:rPr>
        <w:t>The UCSC Genome Browser, developed and maintained by the University of California, Santa Cruz, is a powerful and widely used platform that facilitates the exploration and analysis of genome sequences from a broad spectrum of organisms. It serves as both an interactive online portal and a downloadable tool suite, enabling researchers to visualize and interpret genomic information with ease. [1] The browser is particularly valued for its fast, responsive interface and user-friendly design, allowing seamless navigation through complex genomic landscapes. This tool integrates a wealth of genomic annotations including gene predictions, conservation data, epigenetic markers, and variation datasets alongside reference sequences. [2] It is built upon a robust MySQL relational database system, ensuring efficient querying and retrieval of genomic data across multiple resolution levels, from entire chromosomes to individual base pairs. Moreover, its open-source framework allows for continuous development and community-driven enhancement. [3]</w:t>
      </w:r>
    </w:p>
    <w:p w14:paraId="07D22DB5" w14:textId="77777777" w:rsidR="00D72A54" w:rsidRPr="00865B89" w:rsidRDefault="00D72A54" w:rsidP="00D72A54">
      <w:pPr>
        <w:pStyle w:val="Body"/>
        <w:rPr>
          <w:rFonts w:ascii="Arial" w:hAnsi="Arial" w:cs="Arial"/>
        </w:rPr>
      </w:pPr>
      <w:r w:rsidRPr="00865B89">
        <w:rPr>
          <w:rFonts w:ascii="Arial" w:hAnsi="Arial" w:cs="Arial"/>
        </w:rPr>
        <w:t xml:space="preserve">Since its launch, the UCSC Genome Browser has significantly expanded its database to support the genomic data of over 100 vertebrate species, along with selected invertebrates. Currently, it natively hosts the genome assemblies of 108 species, focusing on those with high-coverage sequencing data. High coverage is crucial in genome assembly, as it ensures </w:t>
      </w:r>
      <w:r w:rsidRPr="00865B89">
        <w:rPr>
          <w:rFonts w:ascii="Arial" w:hAnsi="Arial" w:cs="Arial"/>
        </w:rPr>
        <w:lastRenderedPageBreak/>
        <w:t>overlapping sequence reads, facilitating the accurate construction of longer, contiguous DNA regions (contigs and scaffolds). [4] These well-assembled genomes are ideal for building comprehensive browser tracks that include gene structure, regulatory regions, and comparative genomics information. On the other hand, genomes with lower sequencing coverage—which often result in fragmented and incomplete assemblies—are generally not suitable for full-featured browser integration. However, these assemblies are not excluded from analysis. Instead, they may appear in multi-species alignment tracks or be accessed through alternative tools within the browser. To further extend its reach and flexibility, UCSC has developed the Assembly Hubs feature. [5] These are user-generated, web-accessible repositories of genomic data that can be loaded into the UCSC Genome Browser interface. Assembly Hubs are particularly useful for custom or newly sequenced genomes that are not maintained in UCSC’s core database. Through these hubs, users can upload, view, and annotate their own genome assemblies without waiting for official hosting. [6]</w:t>
      </w:r>
    </w:p>
    <w:p w14:paraId="4B85180E" w14:textId="25301B13" w:rsidR="00D51723" w:rsidRPr="00865B89" w:rsidRDefault="00D72A54" w:rsidP="00D72A54">
      <w:pPr>
        <w:pStyle w:val="Body"/>
        <w:spacing w:after="0"/>
        <w:rPr>
          <w:rFonts w:ascii="Arial" w:hAnsi="Arial" w:cs="Arial"/>
        </w:rPr>
      </w:pPr>
      <w:r w:rsidRPr="00865B89">
        <w:rPr>
          <w:rFonts w:ascii="Arial" w:hAnsi="Arial" w:cs="Arial"/>
        </w:rPr>
        <w:t>For comprehensive access to the ever-expanding universe of hosted assemblies, UCSC provides the GenArk Portal, a centralized location that lists all supported genomes, both natively hosted and accessible via Assembly Hubs. [7] As of now, the GenArk database includes more than 2,500 genome assemblies, encompassing a broad variety of organisms ranging from mammals and birds to fish and insects. A prominent example is the Vertebrate Genomes Project (VGP) Assembly Hub, which offers high-quality genome assemblies from diverse vertebrate lineages, enriching comparative genomic research. [8] Together, the UCSC Genome Browser and its associated tools represent a cornerstone in modern genomics, enabling researchers across disciplines to explore, annotate, and compare genomes with precision and flexibility. [9]</w:t>
      </w:r>
    </w:p>
    <w:p w14:paraId="1E6BB024" w14:textId="77777777" w:rsidR="00D51723" w:rsidRPr="00865B89" w:rsidRDefault="00D51723" w:rsidP="00441B6F">
      <w:pPr>
        <w:pStyle w:val="Body"/>
        <w:spacing w:after="0"/>
        <w:rPr>
          <w:rFonts w:ascii="Arial" w:hAnsi="Arial" w:cs="Arial"/>
        </w:rPr>
      </w:pPr>
    </w:p>
    <w:p w14:paraId="50880280" w14:textId="71C7F669" w:rsidR="00D72A54" w:rsidRPr="00865B89" w:rsidRDefault="00D72A54" w:rsidP="00441B6F">
      <w:pPr>
        <w:pStyle w:val="Body"/>
        <w:spacing w:after="0"/>
        <w:rPr>
          <w:rFonts w:ascii="Arial" w:hAnsi="Arial" w:cs="Arial"/>
        </w:rPr>
      </w:pPr>
      <w:r w:rsidRPr="00865B89">
        <w:rPr>
          <w:rFonts w:ascii="Arial" w:hAnsi="Arial" w:cs="Arial"/>
        </w:rPr>
        <w:t>Table-1: Current Genome Assemblies in UCSC GenArk as of 2025</w:t>
      </w:r>
    </w:p>
    <w:p w14:paraId="577F3631" w14:textId="77777777" w:rsidR="00D51723" w:rsidRPr="00865B89" w:rsidRDefault="00D51723" w:rsidP="00441B6F">
      <w:pPr>
        <w:pStyle w:val="Body"/>
        <w:spacing w:after="0"/>
        <w:rPr>
          <w:rFonts w:ascii="Arial" w:hAnsi="Arial" w:cs="Arial"/>
        </w:rPr>
      </w:pPr>
    </w:p>
    <w:tbl>
      <w:tblPr>
        <w:tblStyle w:val="TableGrid"/>
        <w:tblW w:w="0" w:type="auto"/>
        <w:jc w:val="center"/>
        <w:tblLook w:val="04A0" w:firstRow="1" w:lastRow="0" w:firstColumn="1" w:lastColumn="0" w:noHBand="0" w:noVBand="1"/>
      </w:tblPr>
      <w:tblGrid>
        <w:gridCol w:w="2405"/>
        <w:gridCol w:w="5103"/>
      </w:tblGrid>
      <w:tr w:rsidR="00D72A54" w:rsidRPr="00865B89" w14:paraId="6B357AA7" w14:textId="77777777" w:rsidTr="00D72A54">
        <w:trPr>
          <w:trHeight w:val="566"/>
          <w:jc w:val="center"/>
        </w:trPr>
        <w:tc>
          <w:tcPr>
            <w:tcW w:w="2405" w:type="dxa"/>
            <w:tcBorders>
              <w:left w:val="nil"/>
              <w:right w:val="nil"/>
            </w:tcBorders>
            <w:vAlign w:val="center"/>
          </w:tcPr>
          <w:p w14:paraId="339B932E" w14:textId="77777777" w:rsidR="00D72A54" w:rsidRPr="00865B89" w:rsidRDefault="00D72A54" w:rsidP="00433B9E">
            <w:pPr>
              <w:spacing w:line="276" w:lineRule="auto"/>
              <w:jc w:val="center"/>
              <w:rPr>
                <w:rFonts w:ascii="Arial" w:eastAsia="Times New Roman" w:hAnsi="Arial" w:cs="Arial"/>
                <w:b/>
                <w:bCs/>
                <w:sz w:val="20"/>
                <w:szCs w:val="20"/>
              </w:rPr>
            </w:pPr>
            <w:r w:rsidRPr="00865B89">
              <w:rPr>
                <w:rFonts w:ascii="Arial" w:eastAsia="Times New Roman" w:hAnsi="Arial" w:cs="Arial"/>
                <w:b/>
                <w:bCs/>
                <w:sz w:val="20"/>
                <w:szCs w:val="20"/>
              </w:rPr>
              <w:t>Category</w:t>
            </w:r>
          </w:p>
        </w:tc>
        <w:tc>
          <w:tcPr>
            <w:tcW w:w="5103" w:type="dxa"/>
            <w:tcBorders>
              <w:left w:val="nil"/>
              <w:right w:val="nil"/>
            </w:tcBorders>
            <w:vAlign w:val="center"/>
          </w:tcPr>
          <w:p w14:paraId="726A185C" w14:textId="77777777" w:rsidR="00D72A54" w:rsidRPr="00865B89" w:rsidRDefault="00D72A54" w:rsidP="00433B9E">
            <w:pPr>
              <w:spacing w:line="276" w:lineRule="auto"/>
              <w:jc w:val="center"/>
              <w:rPr>
                <w:rFonts w:ascii="Arial" w:eastAsia="Times New Roman" w:hAnsi="Arial" w:cs="Arial"/>
                <w:b/>
                <w:bCs/>
                <w:sz w:val="20"/>
                <w:szCs w:val="20"/>
              </w:rPr>
            </w:pPr>
            <w:r w:rsidRPr="00865B89">
              <w:rPr>
                <w:rFonts w:ascii="Arial" w:eastAsia="Times New Roman" w:hAnsi="Arial" w:cs="Arial"/>
                <w:b/>
                <w:bCs/>
                <w:sz w:val="20"/>
                <w:szCs w:val="20"/>
              </w:rPr>
              <w:t>Description</w:t>
            </w:r>
          </w:p>
        </w:tc>
      </w:tr>
      <w:tr w:rsidR="00D72A54" w:rsidRPr="00865B89" w14:paraId="3C345498" w14:textId="77777777" w:rsidTr="00D72A54">
        <w:trPr>
          <w:trHeight w:val="418"/>
          <w:jc w:val="center"/>
        </w:trPr>
        <w:tc>
          <w:tcPr>
            <w:tcW w:w="2405" w:type="dxa"/>
            <w:tcBorders>
              <w:left w:val="nil"/>
              <w:right w:val="nil"/>
            </w:tcBorders>
            <w:vAlign w:val="center"/>
          </w:tcPr>
          <w:p w14:paraId="7DAF54F8" w14:textId="77777777" w:rsidR="00D72A54" w:rsidRPr="00865B89" w:rsidRDefault="00D72A54" w:rsidP="00433B9E">
            <w:pPr>
              <w:spacing w:line="276" w:lineRule="auto"/>
              <w:jc w:val="center"/>
              <w:rPr>
                <w:rFonts w:ascii="Arial" w:eastAsia="Times New Roman" w:hAnsi="Arial" w:cs="Arial"/>
                <w:sz w:val="20"/>
                <w:szCs w:val="20"/>
              </w:rPr>
            </w:pPr>
            <w:r w:rsidRPr="00865B89">
              <w:rPr>
                <w:rFonts w:ascii="Arial" w:eastAsia="Times New Roman" w:hAnsi="Arial" w:cs="Arial"/>
                <w:sz w:val="20"/>
                <w:szCs w:val="20"/>
              </w:rPr>
              <w:t>Primates</w:t>
            </w:r>
          </w:p>
        </w:tc>
        <w:tc>
          <w:tcPr>
            <w:tcW w:w="5103" w:type="dxa"/>
            <w:tcBorders>
              <w:left w:val="nil"/>
              <w:right w:val="nil"/>
            </w:tcBorders>
            <w:vAlign w:val="center"/>
          </w:tcPr>
          <w:p w14:paraId="4A5BBB7C"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NCBI primate genomes (222 assemblies)</w:t>
            </w:r>
          </w:p>
        </w:tc>
      </w:tr>
      <w:tr w:rsidR="00D72A54" w:rsidRPr="00865B89" w14:paraId="59AE8FE4" w14:textId="77777777" w:rsidTr="00D72A54">
        <w:trPr>
          <w:trHeight w:val="420"/>
          <w:jc w:val="center"/>
        </w:trPr>
        <w:tc>
          <w:tcPr>
            <w:tcW w:w="2405" w:type="dxa"/>
            <w:tcBorders>
              <w:left w:val="nil"/>
              <w:right w:val="nil"/>
            </w:tcBorders>
            <w:vAlign w:val="center"/>
          </w:tcPr>
          <w:p w14:paraId="3E9E2F2C" w14:textId="77777777" w:rsidR="00D72A54" w:rsidRPr="00865B89" w:rsidRDefault="00D72A54" w:rsidP="00433B9E">
            <w:pPr>
              <w:spacing w:line="276" w:lineRule="auto"/>
              <w:jc w:val="center"/>
              <w:rPr>
                <w:rFonts w:ascii="Arial" w:eastAsia="Times New Roman" w:hAnsi="Arial" w:cs="Arial"/>
                <w:sz w:val="20"/>
                <w:szCs w:val="20"/>
              </w:rPr>
            </w:pPr>
            <w:r w:rsidRPr="00865B89">
              <w:rPr>
                <w:rFonts w:ascii="Arial" w:eastAsia="Times New Roman" w:hAnsi="Arial" w:cs="Arial"/>
                <w:sz w:val="20"/>
                <w:szCs w:val="20"/>
              </w:rPr>
              <w:t>Mammals</w:t>
            </w:r>
          </w:p>
        </w:tc>
        <w:tc>
          <w:tcPr>
            <w:tcW w:w="5103" w:type="dxa"/>
            <w:tcBorders>
              <w:left w:val="nil"/>
              <w:right w:val="nil"/>
            </w:tcBorders>
            <w:vAlign w:val="center"/>
          </w:tcPr>
          <w:p w14:paraId="558490A9"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NCBI mammal genomes (659 assemblies)</w:t>
            </w:r>
          </w:p>
        </w:tc>
      </w:tr>
      <w:tr w:rsidR="00D72A54" w:rsidRPr="00865B89" w14:paraId="261A9043" w14:textId="77777777" w:rsidTr="00D72A54">
        <w:trPr>
          <w:trHeight w:val="420"/>
          <w:jc w:val="center"/>
        </w:trPr>
        <w:tc>
          <w:tcPr>
            <w:tcW w:w="2405" w:type="dxa"/>
            <w:tcBorders>
              <w:left w:val="nil"/>
              <w:right w:val="nil"/>
            </w:tcBorders>
            <w:vAlign w:val="center"/>
          </w:tcPr>
          <w:p w14:paraId="18D2F845" w14:textId="77777777" w:rsidR="00D72A54" w:rsidRPr="00865B89" w:rsidRDefault="00D72A54" w:rsidP="00433B9E">
            <w:pPr>
              <w:spacing w:line="276" w:lineRule="auto"/>
              <w:jc w:val="center"/>
              <w:rPr>
                <w:rFonts w:ascii="Arial" w:eastAsia="Times New Roman" w:hAnsi="Arial" w:cs="Arial"/>
                <w:sz w:val="20"/>
                <w:szCs w:val="20"/>
              </w:rPr>
            </w:pPr>
            <w:r w:rsidRPr="00865B89">
              <w:rPr>
                <w:rFonts w:ascii="Arial" w:eastAsia="Times New Roman" w:hAnsi="Arial" w:cs="Arial"/>
                <w:sz w:val="20"/>
                <w:szCs w:val="20"/>
              </w:rPr>
              <w:t>Birds</w:t>
            </w:r>
          </w:p>
        </w:tc>
        <w:tc>
          <w:tcPr>
            <w:tcW w:w="5103" w:type="dxa"/>
            <w:tcBorders>
              <w:left w:val="nil"/>
              <w:right w:val="nil"/>
            </w:tcBorders>
            <w:vAlign w:val="center"/>
          </w:tcPr>
          <w:p w14:paraId="708B2BC1"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NCBI bird genomes (424 assemblies)</w:t>
            </w:r>
          </w:p>
        </w:tc>
      </w:tr>
      <w:tr w:rsidR="00D72A54" w:rsidRPr="00865B89" w14:paraId="393F5375" w14:textId="77777777" w:rsidTr="00D72A54">
        <w:trPr>
          <w:trHeight w:val="420"/>
          <w:jc w:val="center"/>
        </w:trPr>
        <w:tc>
          <w:tcPr>
            <w:tcW w:w="2405" w:type="dxa"/>
            <w:tcBorders>
              <w:left w:val="nil"/>
              <w:right w:val="nil"/>
            </w:tcBorders>
            <w:vAlign w:val="center"/>
          </w:tcPr>
          <w:p w14:paraId="641D2BA3" w14:textId="77777777" w:rsidR="00D72A54" w:rsidRPr="00865B89" w:rsidRDefault="00D72A54" w:rsidP="00433B9E">
            <w:pPr>
              <w:spacing w:line="276" w:lineRule="auto"/>
              <w:jc w:val="center"/>
              <w:rPr>
                <w:rFonts w:ascii="Arial" w:eastAsia="Times New Roman" w:hAnsi="Arial" w:cs="Arial"/>
                <w:sz w:val="20"/>
                <w:szCs w:val="20"/>
              </w:rPr>
            </w:pPr>
            <w:r w:rsidRPr="00865B89">
              <w:rPr>
                <w:rFonts w:ascii="Arial" w:eastAsia="Times New Roman" w:hAnsi="Arial" w:cs="Arial"/>
                <w:sz w:val="20"/>
                <w:szCs w:val="20"/>
              </w:rPr>
              <w:t>Fishes</w:t>
            </w:r>
          </w:p>
        </w:tc>
        <w:tc>
          <w:tcPr>
            <w:tcW w:w="5103" w:type="dxa"/>
            <w:tcBorders>
              <w:left w:val="nil"/>
              <w:right w:val="nil"/>
            </w:tcBorders>
            <w:vAlign w:val="center"/>
          </w:tcPr>
          <w:p w14:paraId="4E1FE920"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NCBI fish genomes (463 assemblies)</w:t>
            </w:r>
          </w:p>
        </w:tc>
      </w:tr>
      <w:tr w:rsidR="00D72A54" w:rsidRPr="00865B89" w14:paraId="66714041" w14:textId="77777777" w:rsidTr="00D72A54">
        <w:trPr>
          <w:trHeight w:val="420"/>
          <w:jc w:val="center"/>
        </w:trPr>
        <w:tc>
          <w:tcPr>
            <w:tcW w:w="2405" w:type="dxa"/>
            <w:tcBorders>
              <w:left w:val="nil"/>
              <w:right w:val="nil"/>
            </w:tcBorders>
            <w:vAlign w:val="center"/>
          </w:tcPr>
          <w:p w14:paraId="4D717962" w14:textId="77777777" w:rsidR="00D72A54" w:rsidRPr="00865B89" w:rsidRDefault="00D72A54" w:rsidP="00433B9E">
            <w:pPr>
              <w:spacing w:line="276" w:lineRule="auto"/>
              <w:jc w:val="center"/>
              <w:rPr>
                <w:rFonts w:ascii="Arial" w:eastAsia="Times New Roman" w:hAnsi="Arial" w:cs="Arial"/>
                <w:sz w:val="20"/>
                <w:szCs w:val="20"/>
              </w:rPr>
            </w:pPr>
            <w:r w:rsidRPr="00865B89">
              <w:rPr>
                <w:rFonts w:ascii="Arial" w:eastAsia="Times New Roman" w:hAnsi="Arial" w:cs="Arial"/>
                <w:sz w:val="20"/>
                <w:szCs w:val="20"/>
              </w:rPr>
              <w:t>Vertebrates</w:t>
            </w:r>
          </w:p>
        </w:tc>
        <w:tc>
          <w:tcPr>
            <w:tcW w:w="5103" w:type="dxa"/>
            <w:tcBorders>
              <w:left w:val="nil"/>
              <w:right w:val="nil"/>
            </w:tcBorders>
            <w:vAlign w:val="center"/>
          </w:tcPr>
          <w:p w14:paraId="154A8231"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NCBI other vertebrate genomes (302 assemblies)</w:t>
            </w:r>
          </w:p>
        </w:tc>
      </w:tr>
      <w:tr w:rsidR="00D72A54" w:rsidRPr="00865B89" w14:paraId="650F1066" w14:textId="77777777" w:rsidTr="00D72A54">
        <w:trPr>
          <w:trHeight w:val="420"/>
          <w:jc w:val="center"/>
        </w:trPr>
        <w:tc>
          <w:tcPr>
            <w:tcW w:w="2405" w:type="dxa"/>
            <w:tcBorders>
              <w:left w:val="nil"/>
              <w:right w:val="nil"/>
            </w:tcBorders>
            <w:vAlign w:val="center"/>
          </w:tcPr>
          <w:p w14:paraId="21BAEF22" w14:textId="77777777" w:rsidR="00D72A54" w:rsidRPr="00865B89" w:rsidRDefault="00D72A54" w:rsidP="00433B9E">
            <w:pPr>
              <w:spacing w:line="276" w:lineRule="auto"/>
              <w:jc w:val="center"/>
              <w:rPr>
                <w:rFonts w:ascii="Arial" w:eastAsia="Times New Roman" w:hAnsi="Arial" w:cs="Arial"/>
                <w:sz w:val="20"/>
                <w:szCs w:val="20"/>
              </w:rPr>
            </w:pPr>
            <w:r w:rsidRPr="00865B89">
              <w:rPr>
                <w:rFonts w:ascii="Arial" w:eastAsia="Times New Roman" w:hAnsi="Arial" w:cs="Arial"/>
                <w:sz w:val="20"/>
                <w:szCs w:val="20"/>
              </w:rPr>
              <w:t>Invertebrates</w:t>
            </w:r>
          </w:p>
        </w:tc>
        <w:tc>
          <w:tcPr>
            <w:tcW w:w="5103" w:type="dxa"/>
            <w:tcBorders>
              <w:left w:val="nil"/>
              <w:right w:val="nil"/>
            </w:tcBorders>
            <w:vAlign w:val="center"/>
          </w:tcPr>
          <w:p w14:paraId="1B74A5F3"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NCBI invertebrate genomes (1,152 assemblies)</w:t>
            </w:r>
          </w:p>
        </w:tc>
      </w:tr>
      <w:tr w:rsidR="00D72A54" w:rsidRPr="00865B89" w14:paraId="10A131D5" w14:textId="77777777" w:rsidTr="00D72A54">
        <w:trPr>
          <w:trHeight w:val="420"/>
          <w:jc w:val="center"/>
        </w:trPr>
        <w:tc>
          <w:tcPr>
            <w:tcW w:w="2405" w:type="dxa"/>
            <w:tcBorders>
              <w:left w:val="nil"/>
              <w:right w:val="nil"/>
            </w:tcBorders>
            <w:vAlign w:val="center"/>
          </w:tcPr>
          <w:p w14:paraId="0DF510F1" w14:textId="77777777" w:rsidR="00D72A54" w:rsidRPr="00865B89" w:rsidRDefault="00D72A54" w:rsidP="00433B9E">
            <w:pPr>
              <w:spacing w:line="276" w:lineRule="auto"/>
              <w:jc w:val="center"/>
              <w:rPr>
                <w:rFonts w:ascii="Arial" w:eastAsia="Times New Roman" w:hAnsi="Arial" w:cs="Arial"/>
                <w:sz w:val="20"/>
                <w:szCs w:val="20"/>
              </w:rPr>
            </w:pPr>
            <w:r w:rsidRPr="00865B89">
              <w:rPr>
                <w:rFonts w:ascii="Arial" w:eastAsia="Times New Roman" w:hAnsi="Arial" w:cs="Arial"/>
                <w:sz w:val="20"/>
                <w:szCs w:val="20"/>
              </w:rPr>
              <w:t>Fungi</w:t>
            </w:r>
          </w:p>
        </w:tc>
        <w:tc>
          <w:tcPr>
            <w:tcW w:w="5103" w:type="dxa"/>
            <w:tcBorders>
              <w:left w:val="nil"/>
              <w:right w:val="nil"/>
            </w:tcBorders>
            <w:vAlign w:val="center"/>
          </w:tcPr>
          <w:p w14:paraId="0D97B902"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NCBI fungi genomes (920 assemblies)</w:t>
            </w:r>
          </w:p>
        </w:tc>
      </w:tr>
      <w:tr w:rsidR="00D72A54" w:rsidRPr="00865B89" w14:paraId="5055CC7E" w14:textId="77777777" w:rsidTr="00D72A54">
        <w:trPr>
          <w:trHeight w:val="420"/>
          <w:jc w:val="center"/>
        </w:trPr>
        <w:tc>
          <w:tcPr>
            <w:tcW w:w="2405" w:type="dxa"/>
            <w:tcBorders>
              <w:left w:val="nil"/>
              <w:right w:val="nil"/>
            </w:tcBorders>
            <w:vAlign w:val="center"/>
          </w:tcPr>
          <w:p w14:paraId="13018363" w14:textId="77777777" w:rsidR="00D72A54" w:rsidRPr="00865B89" w:rsidRDefault="00D72A54" w:rsidP="00433B9E">
            <w:pPr>
              <w:spacing w:line="276" w:lineRule="auto"/>
              <w:jc w:val="center"/>
              <w:rPr>
                <w:rFonts w:ascii="Arial" w:eastAsia="Times New Roman" w:hAnsi="Arial" w:cs="Arial"/>
                <w:sz w:val="20"/>
                <w:szCs w:val="20"/>
              </w:rPr>
            </w:pPr>
            <w:r w:rsidRPr="00865B89">
              <w:rPr>
                <w:rFonts w:ascii="Arial" w:eastAsia="Times New Roman" w:hAnsi="Arial" w:cs="Arial"/>
                <w:sz w:val="20"/>
                <w:szCs w:val="20"/>
              </w:rPr>
              <w:t>Plants</w:t>
            </w:r>
          </w:p>
        </w:tc>
        <w:tc>
          <w:tcPr>
            <w:tcW w:w="5103" w:type="dxa"/>
            <w:tcBorders>
              <w:left w:val="nil"/>
              <w:right w:val="nil"/>
            </w:tcBorders>
            <w:vAlign w:val="center"/>
          </w:tcPr>
          <w:p w14:paraId="3C1A199F"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NCBI plant genomes (311 assemblies)</w:t>
            </w:r>
          </w:p>
        </w:tc>
      </w:tr>
      <w:tr w:rsidR="00D72A54" w:rsidRPr="00865B89" w14:paraId="3829B360" w14:textId="77777777" w:rsidTr="00D72A54">
        <w:trPr>
          <w:trHeight w:val="420"/>
          <w:jc w:val="center"/>
        </w:trPr>
        <w:tc>
          <w:tcPr>
            <w:tcW w:w="2405" w:type="dxa"/>
            <w:tcBorders>
              <w:left w:val="nil"/>
              <w:bottom w:val="single" w:sz="4" w:space="0" w:color="000000"/>
              <w:right w:val="nil"/>
            </w:tcBorders>
            <w:vAlign w:val="center"/>
          </w:tcPr>
          <w:p w14:paraId="0692CE8D" w14:textId="77777777" w:rsidR="00D72A54" w:rsidRPr="00865B89" w:rsidRDefault="00D72A54" w:rsidP="00433B9E">
            <w:pPr>
              <w:spacing w:line="276" w:lineRule="auto"/>
              <w:jc w:val="center"/>
              <w:rPr>
                <w:rFonts w:ascii="Arial" w:eastAsia="Times New Roman" w:hAnsi="Arial" w:cs="Arial"/>
                <w:sz w:val="20"/>
                <w:szCs w:val="20"/>
              </w:rPr>
            </w:pPr>
            <w:r w:rsidRPr="00865B89">
              <w:rPr>
                <w:rFonts w:ascii="Arial" w:eastAsia="Times New Roman" w:hAnsi="Arial" w:cs="Arial"/>
                <w:sz w:val="20"/>
                <w:szCs w:val="20"/>
              </w:rPr>
              <w:t>Viruses</w:t>
            </w:r>
          </w:p>
        </w:tc>
        <w:tc>
          <w:tcPr>
            <w:tcW w:w="5103" w:type="dxa"/>
            <w:tcBorders>
              <w:left w:val="nil"/>
              <w:bottom w:val="single" w:sz="4" w:space="0" w:color="000000"/>
              <w:right w:val="nil"/>
            </w:tcBorders>
            <w:vAlign w:val="center"/>
          </w:tcPr>
          <w:p w14:paraId="490AA35B"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NCBI virus genomes (291 assemblies)</w:t>
            </w:r>
          </w:p>
        </w:tc>
      </w:tr>
      <w:tr w:rsidR="00D72A54" w:rsidRPr="00865B89" w14:paraId="7B053DAB" w14:textId="77777777" w:rsidTr="00D72A54">
        <w:trPr>
          <w:trHeight w:val="420"/>
          <w:jc w:val="center"/>
        </w:trPr>
        <w:tc>
          <w:tcPr>
            <w:tcW w:w="2405" w:type="dxa"/>
            <w:tcBorders>
              <w:left w:val="nil"/>
              <w:right w:val="nil"/>
            </w:tcBorders>
            <w:vAlign w:val="center"/>
          </w:tcPr>
          <w:p w14:paraId="32D33122" w14:textId="77777777" w:rsidR="00D72A54" w:rsidRPr="00865B89" w:rsidRDefault="00D72A54" w:rsidP="00433B9E">
            <w:pPr>
              <w:spacing w:line="276" w:lineRule="auto"/>
              <w:jc w:val="center"/>
              <w:rPr>
                <w:rFonts w:ascii="Arial" w:eastAsia="Times New Roman" w:hAnsi="Arial" w:cs="Arial"/>
                <w:sz w:val="20"/>
                <w:szCs w:val="20"/>
              </w:rPr>
            </w:pPr>
            <w:r w:rsidRPr="00865B89">
              <w:rPr>
                <w:rFonts w:ascii="Arial" w:eastAsia="Times New Roman" w:hAnsi="Arial" w:cs="Arial"/>
                <w:sz w:val="20"/>
                <w:szCs w:val="20"/>
              </w:rPr>
              <w:t>Bacteria</w:t>
            </w:r>
          </w:p>
        </w:tc>
        <w:tc>
          <w:tcPr>
            <w:tcW w:w="5103" w:type="dxa"/>
            <w:tcBorders>
              <w:left w:val="nil"/>
              <w:right w:val="nil"/>
            </w:tcBorders>
            <w:vAlign w:val="center"/>
          </w:tcPr>
          <w:p w14:paraId="6B10B539"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NCBI bacteria genomes (118 assemblies)</w:t>
            </w:r>
          </w:p>
        </w:tc>
      </w:tr>
    </w:tbl>
    <w:p w14:paraId="59BFA9E5" w14:textId="77777777" w:rsidR="00D51723" w:rsidRPr="00865B89" w:rsidRDefault="00D51723" w:rsidP="00441B6F">
      <w:pPr>
        <w:pStyle w:val="Body"/>
        <w:spacing w:after="0"/>
        <w:rPr>
          <w:rFonts w:ascii="Arial" w:hAnsi="Arial" w:cs="Arial"/>
        </w:rPr>
      </w:pPr>
    </w:p>
    <w:p w14:paraId="0A323050" w14:textId="77777777" w:rsidR="00D51723" w:rsidRPr="00865B89" w:rsidRDefault="00D51723" w:rsidP="00441B6F">
      <w:pPr>
        <w:pStyle w:val="Body"/>
        <w:spacing w:after="0"/>
        <w:rPr>
          <w:rFonts w:ascii="Arial" w:hAnsi="Arial" w:cs="Arial"/>
        </w:rPr>
      </w:pPr>
    </w:p>
    <w:p w14:paraId="197D9433" w14:textId="77777777" w:rsidR="00D72A54" w:rsidRPr="00865B89" w:rsidRDefault="00D72A54" w:rsidP="00441B6F">
      <w:pPr>
        <w:pStyle w:val="Body"/>
        <w:spacing w:after="0"/>
        <w:rPr>
          <w:rFonts w:ascii="Arial" w:hAnsi="Arial" w:cs="Arial"/>
        </w:rPr>
      </w:pPr>
    </w:p>
    <w:p w14:paraId="0962EF10" w14:textId="6F385E5B" w:rsidR="00D72A54" w:rsidRPr="00865B89" w:rsidRDefault="00D72A54" w:rsidP="00441B6F">
      <w:pPr>
        <w:pStyle w:val="Body"/>
        <w:spacing w:after="0"/>
        <w:rPr>
          <w:rFonts w:ascii="Arial" w:hAnsi="Arial" w:cs="Arial"/>
        </w:rPr>
      </w:pPr>
      <w:r w:rsidRPr="00865B89">
        <w:rPr>
          <w:rFonts w:ascii="Arial" w:hAnsi="Arial" w:cs="Arial"/>
          <w:b/>
          <w:bCs/>
        </w:rPr>
        <w:t>Table-2:</w:t>
      </w:r>
      <w:r w:rsidRPr="00865B89">
        <w:rPr>
          <w:rFonts w:ascii="Arial" w:hAnsi="Arial" w:cs="Arial"/>
        </w:rPr>
        <w:t xml:space="preserve"> Updated UCSC Genome Browser Assembly Hubs</w:t>
      </w:r>
    </w:p>
    <w:p w14:paraId="7E9DA272" w14:textId="77777777" w:rsidR="00D51723" w:rsidRPr="00865B89" w:rsidRDefault="00D51723" w:rsidP="00441B6F">
      <w:pPr>
        <w:pStyle w:val="Body"/>
        <w:spacing w:after="0"/>
        <w:rPr>
          <w:rFonts w:ascii="Arial" w:hAnsi="Arial" w:cs="Arial"/>
        </w:rPr>
      </w:pPr>
    </w:p>
    <w:tbl>
      <w:tblPr>
        <w:tblStyle w:val="TableGrid"/>
        <w:tblW w:w="5000" w:type="pct"/>
        <w:jc w:val="center"/>
        <w:tblLook w:val="04A0" w:firstRow="1" w:lastRow="0" w:firstColumn="1" w:lastColumn="0" w:noHBand="0" w:noVBand="1"/>
      </w:tblPr>
      <w:tblGrid>
        <w:gridCol w:w="1931"/>
        <w:gridCol w:w="6493"/>
      </w:tblGrid>
      <w:tr w:rsidR="00D72A54" w:rsidRPr="00865B89" w14:paraId="6EA6BE50" w14:textId="77777777" w:rsidTr="00D72A54">
        <w:trPr>
          <w:trHeight w:val="566"/>
          <w:jc w:val="center"/>
        </w:trPr>
        <w:tc>
          <w:tcPr>
            <w:tcW w:w="1146" w:type="pct"/>
            <w:tcBorders>
              <w:left w:val="nil"/>
              <w:right w:val="nil"/>
            </w:tcBorders>
            <w:vAlign w:val="center"/>
          </w:tcPr>
          <w:p w14:paraId="12E80C6F" w14:textId="77777777" w:rsidR="00D72A54" w:rsidRPr="00865B89" w:rsidRDefault="00D72A54" w:rsidP="00433B9E">
            <w:pPr>
              <w:spacing w:line="276" w:lineRule="auto"/>
              <w:jc w:val="center"/>
              <w:rPr>
                <w:rFonts w:ascii="Arial" w:eastAsia="Times New Roman" w:hAnsi="Arial" w:cs="Arial"/>
                <w:b/>
                <w:bCs/>
                <w:sz w:val="20"/>
                <w:szCs w:val="20"/>
              </w:rPr>
            </w:pPr>
            <w:r w:rsidRPr="00865B89">
              <w:rPr>
                <w:rFonts w:ascii="Arial" w:eastAsia="Times New Roman" w:hAnsi="Arial" w:cs="Arial"/>
                <w:b/>
                <w:bCs/>
                <w:sz w:val="20"/>
                <w:szCs w:val="20"/>
              </w:rPr>
              <w:lastRenderedPageBreak/>
              <w:t>Hub Gateway</w:t>
            </w:r>
          </w:p>
        </w:tc>
        <w:tc>
          <w:tcPr>
            <w:tcW w:w="3854" w:type="pct"/>
            <w:tcBorders>
              <w:left w:val="nil"/>
              <w:right w:val="nil"/>
            </w:tcBorders>
            <w:vAlign w:val="center"/>
          </w:tcPr>
          <w:p w14:paraId="6B31C02F" w14:textId="77777777" w:rsidR="00D72A54" w:rsidRPr="00865B89" w:rsidRDefault="00D72A54" w:rsidP="00433B9E">
            <w:pPr>
              <w:spacing w:line="276" w:lineRule="auto"/>
              <w:jc w:val="center"/>
              <w:rPr>
                <w:rFonts w:ascii="Arial" w:eastAsia="Times New Roman" w:hAnsi="Arial" w:cs="Arial"/>
                <w:b/>
                <w:bCs/>
                <w:sz w:val="20"/>
                <w:szCs w:val="20"/>
              </w:rPr>
            </w:pPr>
            <w:r w:rsidRPr="00865B89">
              <w:rPr>
                <w:rFonts w:ascii="Arial" w:eastAsia="Times New Roman" w:hAnsi="Arial" w:cs="Arial"/>
                <w:b/>
                <w:bCs/>
                <w:sz w:val="20"/>
                <w:szCs w:val="20"/>
              </w:rPr>
              <w:t>Description</w:t>
            </w:r>
          </w:p>
        </w:tc>
      </w:tr>
      <w:tr w:rsidR="00D72A54" w:rsidRPr="00865B89" w14:paraId="4FC12C8F" w14:textId="77777777" w:rsidTr="00D72A54">
        <w:trPr>
          <w:trHeight w:val="551"/>
          <w:jc w:val="center"/>
        </w:trPr>
        <w:tc>
          <w:tcPr>
            <w:tcW w:w="1146" w:type="pct"/>
            <w:tcBorders>
              <w:left w:val="nil"/>
              <w:right w:val="nil"/>
            </w:tcBorders>
            <w:vAlign w:val="center"/>
          </w:tcPr>
          <w:p w14:paraId="0DDFEAFE" w14:textId="77777777" w:rsidR="00D72A54" w:rsidRPr="00865B89" w:rsidRDefault="00D72A54" w:rsidP="00433B9E">
            <w:pPr>
              <w:spacing w:line="276" w:lineRule="auto"/>
              <w:jc w:val="center"/>
              <w:rPr>
                <w:rFonts w:ascii="Arial" w:eastAsia="Times New Roman" w:hAnsi="Arial" w:cs="Arial"/>
                <w:b/>
                <w:bCs/>
                <w:sz w:val="20"/>
                <w:szCs w:val="20"/>
              </w:rPr>
            </w:pPr>
            <w:r w:rsidRPr="00865B89">
              <w:rPr>
                <w:rFonts w:ascii="Arial" w:eastAsia="Times New Roman" w:hAnsi="Arial" w:cs="Arial"/>
                <w:b/>
                <w:bCs/>
                <w:sz w:val="20"/>
                <w:szCs w:val="20"/>
              </w:rPr>
              <w:t>VGP</w:t>
            </w:r>
          </w:p>
        </w:tc>
        <w:tc>
          <w:tcPr>
            <w:tcW w:w="3854" w:type="pct"/>
            <w:tcBorders>
              <w:left w:val="nil"/>
              <w:right w:val="nil"/>
            </w:tcBorders>
            <w:vAlign w:val="center"/>
          </w:tcPr>
          <w:p w14:paraId="6246C35A"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Vertebrate Genomes Project collection (1,186 assemblies)</w:t>
            </w:r>
          </w:p>
        </w:tc>
      </w:tr>
      <w:tr w:rsidR="00D72A54" w:rsidRPr="00865B89" w14:paraId="199114A5" w14:textId="77777777" w:rsidTr="00D72A54">
        <w:trPr>
          <w:trHeight w:val="550"/>
          <w:jc w:val="center"/>
        </w:trPr>
        <w:tc>
          <w:tcPr>
            <w:tcW w:w="1146" w:type="pct"/>
            <w:tcBorders>
              <w:left w:val="nil"/>
              <w:right w:val="nil"/>
            </w:tcBorders>
            <w:vAlign w:val="center"/>
          </w:tcPr>
          <w:p w14:paraId="40D7541F" w14:textId="77777777" w:rsidR="00D72A54" w:rsidRPr="00865B89" w:rsidRDefault="00D72A54" w:rsidP="00433B9E">
            <w:pPr>
              <w:spacing w:line="276" w:lineRule="auto"/>
              <w:jc w:val="center"/>
              <w:rPr>
                <w:rFonts w:ascii="Arial" w:eastAsia="Times New Roman" w:hAnsi="Arial" w:cs="Arial"/>
                <w:b/>
                <w:bCs/>
                <w:sz w:val="20"/>
                <w:szCs w:val="20"/>
              </w:rPr>
            </w:pPr>
            <w:r w:rsidRPr="00865B89">
              <w:rPr>
                <w:rFonts w:ascii="Arial" w:eastAsia="Times New Roman" w:hAnsi="Arial" w:cs="Arial"/>
                <w:b/>
                <w:bCs/>
                <w:sz w:val="20"/>
                <w:szCs w:val="20"/>
              </w:rPr>
              <w:t>CCGP</w:t>
            </w:r>
          </w:p>
        </w:tc>
        <w:tc>
          <w:tcPr>
            <w:tcW w:w="3854" w:type="pct"/>
            <w:tcBorders>
              <w:left w:val="nil"/>
              <w:right w:val="nil"/>
            </w:tcBorders>
            <w:vAlign w:val="center"/>
          </w:tcPr>
          <w:p w14:paraId="1FC311DD"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California Conservation Genomics Project (126 assemblies)</w:t>
            </w:r>
          </w:p>
        </w:tc>
      </w:tr>
      <w:tr w:rsidR="00D72A54" w:rsidRPr="00865B89" w14:paraId="7ECF08B0" w14:textId="77777777" w:rsidTr="00D72A54">
        <w:trPr>
          <w:trHeight w:val="550"/>
          <w:jc w:val="center"/>
        </w:trPr>
        <w:tc>
          <w:tcPr>
            <w:tcW w:w="1146" w:type="pct"/>
            <w:tcBorders>
              <w:left w:val="nil"/>
              <w:right w:val="nil"/>
            </w:tcBorders>
            <w:vAlign w:val="center"/>
          </w:tcPr>
          <w:p w14:paraId="6DD1AABF" w14:textId="77777777" w:rsidR="00D72A54" w:rsidRPr="00865B89" w:rsidRDefault="00D72A54" w:rsidP="00433B9E">
            <w:pPr>
              <w:spacing w:line="276" w:lineRule="auto"/>
              <w:jc w:val="center"/>
              <w:rPr>
                <w:rFonts w:ascii="Arial" w:eastAsia="Times New Roman" w:hAnsi="Arial" w:cs="Arial"/>
                <w:b/>
                <w:bCs/>
                <w:sz w:val="20"/>
                <w:szCs w:val="20"/>
              </w:rPr>
            </w:pPr>
            <w:r w:rsidRPr="00865B89">
              <w:rPr>
                <w:rFonts w:ascii="Arial" w:eastAsia="Times New Roman" w:hAnsi="Arial" w:cs="Arial"/>
                <w:b/>
                <w:bCs/>
                <w:sz w:val="20"/>
                <w:szCs w:val="20"/>
              </w:rPr>
              <w:t>BRC</w:t>
            </w:r>
          </w:p>
        </w:tc>
        <w:tc>
          <w:tcPr>
            <w:tcW w:w="3854" w:type="pct"/>
            <w:tcBorders>
              <w:left w:val="nil"/>
              <w:right w:val="nil"/>
            </w:tcBorders>
            <w:vAlign w:val="center"/>
          </w:tcPr>
          <w:p w14:paraId="1F90530E"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Bioinformatics Research Center Analytics (778 assemblies)</w:t>
            </w:r>
          </w:p>
        </w:tc>
      </w:tr>
      <w:tr w:rsidR="00D72A54" w:rsidRPr="00865B89" w14:paraId="2040D698" w14:textId="77777777" w:rsidTr="00D72A54">
        <w:trPr>
          <w:trHeight w:val="550"/>
          <w:jc w:val="center"/>
        </w:trPr>
        <w:tc>
          <w:tcPr>
            <w:tcW w:w="1146" w:type="pct"/>
            <w:tcBorders>
              <w:left w:val="nil"/>
              <w:right w:val="nil"/>
            </w:tcBorders>
            <w:vAlign w:val="center"/>
          </w:tcPr>
          <w:p w14:paraId="678D4883" w14:textId="77777777" w:rsidR="00D72A54" w:rsidRPr="00865B89" w:rsidRDefault="00D72A54" w:rsidP="00433B9E">
            <w:pPr>
              <w:spacing w:line="276" w:lineRule="auto"/>
              <w:jc w:val="center"/>
              <w:rPr>
                <w:rFonts w:ascii="Arial" w:eastAsia="Times New Roman" w:hAnsi="Arial" w:cs="Arial"/>
                <w:b/>
                <w:bCs/>
                <w:sz w:val="20"/>
                <w:szCs w:val="20"/>
              </w:rPr>
            </w:pPr>
            <w:r w:rsidRPr="00865B89">
              <w:rPr>
                <w:rFonts w:ascii="Arial" w:eastAsia="Times New Roman" w:hAnsi="Arial" w:cs="Arial"/>
                <w:b/>
                <w:bCs/>
                <w:sz w:val="20"/>
                <w:szCs w:val="20"/>
              </w:rPr>
              <w:t>HPRC</w:t>
            </w:r>
          </w:p>
        </w:tc>
        <w:tc>
          <w:tcPr>
            <w:tcW w:w="3854" w:type="pct"/>
            <w:tcBorders>
              <w:left w:val="nil"/>
              <w:right w:val="nil"/>
            </w:tcBorders>
            <w:vAlign w:val="center"/>
          </w:tcPr>
          <w:p w14:paraId="3223BE1B"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Human Pangenome Reference Consortium (96 assemblies)</w:t>
            </w:r>
          </w:p>
        </w:tc>
      </w:tr>
      <w:tr w:rsidR="00D72A54" w:rsidRPr="00865B89" w14:paraId="12997CDE" w14:textId="77777777" w:rsidTr="00D72A54">
        <w:trPr>
          <w:trHeight w:val="550"/>
          <w:jc w:val="center"/>
        </w:trPr>
        <w:tc>
          <w:tcPr>
            <w:tcW w:w="1146" w:type="pct"/>
            <w:tcBorders>
              <w:left w:val="nil"/>
              <w:right w:val="nil"/>
            </w:tcBorders>
            <w:vAlign w:val="center"/>
          </w:tcPr>
          <w:p w14:paraId="72755550" w14:textId="77777777" w:rsidR="00D72A54" w:rsidRPr="00865B89" w:rsidRDefault="00D72A54" w:rsidP="00433B9E">
            <w:pPr>
              <w:spacing w:line="276" w:lineRule="auto"/>
              <w:jc w:val="center"/>
              <w:rPr>
                <w:rFonts w:ascii="Arial" w:eastAsia="Times New Roman" w:hAnsi="Arial" w:cs="Arial"/>
                <w:b/>
                <w:bCs/>
                <w:sz w:val="20"/>
                <w:szCs w:val="20"/>
              </w:rPr>
            </w:pPr>
            <w:r w:rsidRPr="00865B89">
              <w:rPr>
                <w:rFonts w:ascii="Arial" w:eastAsia="Times New Roman" w:hAnsi="Arial" w:cs="Arial"/>
                <w:b/>
                <w:bCs/>
                <w:sz w:val="20"/>
                <w:szCs w:val="20"/>
              </w:rPr>
              <w:t>globalReference</w:t>
            </w:r>
          </w:p>
        </w:tc>
        <w:tc>
          <w:tcPr>
            <w:tcW w:w="3854" w:type="pct"/>
            <w:tcBorders>
              <w:left w:val="nil"/>
              <w:right w:val="nil"/>
            </w:tcBorders>
            <w:vAlign w:val="center"/>
          </w:tcPr>
          <w:p w14:paraId="1A56E4F0"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Global Human Reference Genomes, January 2020 (10 assemblies)</w:t>
            </w:r>
          </w:p>
        </w:tc>
      </w:tr>
      <w:tr w:rsidR="00D72A54" w:rsidRPr="00865B89" w14:paraId="2D18000E" w14:textId="77777777" w:rsidTr="00D72A54">
        <w:trPr>
          <w:trHeight w:val="550"/>
          <w:jc w:val="center"/>
        </w:trPr>
        <w:tc>
          <w:tcPr>
            <w:tcW w:w="1146" w:type="pct"/>
            <w:tcBorders>
              <w:left w:val="nil"/>
              <w:right w:val="nil"/>
            </w:tcBorders>
            <w:vAlign w:val="center"/>
          </w:tcPr>
          <w:p w14:paraId="25581489" w14:textId="77777777" w:rsidR="00D72A54" w:rsidRPr="00865B89" w:rsidRDefault="00D72A54" w:rsidP="00433B9E">
            <w:pPr>
              <w:spacing w:line="276" w:lineRule="auto"/>
              <w:jc w:val="center"/>
              <w:rPr>
                <w:rFonts w:ascii="Arial" w:eastAsia="Times New Roman" w:hAnsi="Arial" w:cs="Arial"/>
                <w:b/>
                <w:bCs/>
                <w:sz w:val="20"/>
                <w:szCs w:val="20"/>
              </w:rPr>
            </w:pPr>
            <w:r w:rsidRPr="00865B89">
              <w:rPr>
                <w:rFonts w:ascii="Arial" w:eastAsia="Times New Roman" w:hAnsi="Arial" w:cs="Arial"/>
                <w:b/>
                <w:bCs/>
                <w:sz w:val="20"/>
                <w:szCs w:val="20"/>
              </w:rPr>
              <w:t>mouseStrains</w:t>
            </w:r>
          </w:p>
        </w:tc>
        <w:tc>
          <w:tcPr>
            <w:tcW w:w="3854" w:type="pct"/>
            <w:tcBorders>
              <w:left w:val="nil"/>
              <w:right w:val="nil"/>
            </w:tcBorders>
            <w:vAlign w:val="center"/>
          </w:tcPr>
          <w:p w14:paraId="3F1894FA"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16 Mouse Strain Assembly and Track Hub, May 2017</w:t>
            </w:r>
          </w:p>
        </w:tc>
      </w:tr>
      <w:tr w:rsidR="00D72A54" w:rsidRPr="00865B89" w14:paraId="701A8323" w14:textId="77777777" w:rsidTr="00D72A54">
        <w:trPr>
          <w:trHeight w:val="550"/>
          <w:jc w:val="center"/>
        </w:trPr>
        <w:tc>
          <w:tcPr>
            <w:tcW w:w="1146" w:type="pct"/>
            <w:tcBorders>
              <w:left w:val="nil"/>
              <w:right w:val="nil"/>
            </w:tcBorders>
            <w:vAlign w:val="center"/>
          </w:tcPr>
          <w:p w14:paraId="0CC6ECA2" w14:textId="77777777" w:rsidR="00D72A54" w:rsidRPr="00865B89" w:rsidRDefault="00D72A54" w:rsidP="00433B9E">
            <w:pPr>
              <w:spacing w:line="276" w:lineRule="auto"/>
              <w:jc w:val="center"/>
              <w:rPr>
                <w:rFonts w:ascii="Arial" w:eastAsia="Times New Roman" w:hAnsi="Arial" w:cs="Arial"/>
                <w:b/>
                <w:bCs/>
                <w:sz w:val="20"/>
                <w:szCs w:val="20"/>
              </w:rPr>
            </w:pPr>
            <w:r w:rsidRPr="00865B89">
              <w:rPr>
                <w:rFonts w:ascii="Arial" w:eastAsia="Times New Roman" w:hAnsi="Arial" w:cs="Arial"/>
                <w:b/>
                <w:bCs/>
                <w:sz w:val="20"/>
                <w:szCs w:val="20"/>
              </w:rPr>
              <w:t>legacy</w:t>
            </w:r>
          </w:p>
        </w:tc>
        <w:tc>
          <w:tcPr>
            <w:tcW w:w="3854" w:type="pct"/>
            <w:tcBorders>
              <w:left w:val="nil"/>
              <w:right w:val="nil"/>
            </w:tcBorders>
            <w:vAlign w:val="center"/>
          </w:tcPr>
          <w:p w14:paraId="4670CAA2"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NCBI Genomes Legacy/Superseded by Newer Versions (553 assemblies)</w:t>
            </w:r>
          </w:p>
        </w:tc>
      </w:tr>
    </w:tbl>
    <w:p w14:paraId="1246CC54" w14:textId="77777777" w:rsidR="00D51723" w:rsidRPr="00865B89" w:rsidRDefault="00D51723" w:rsidP="00441B6F">
      <w:pPr>
        <w:pStyle w:val="Body"/>
        <w:spacing w:after="0"/>
        <w:rPr>
          <w:rFonts w:ascii="Arial" w:hAnsi="Arial" w:cs="Arial"/>
        </w:rPr>
      </w:pPr>
    </w:p>
    <w:p w14:paraId="053CCC08" w14:textId="77777777" w:rsidR="00D51723" w:rsidRPr="00865B89" w:rsidRDefault="00D51723" w:rsidP="00441B6F">
      <w:pPr>
        <w:pStyle w:val="Body"/>
        <w:spacing w:after="0"/>
        <w:rPr>
          <w:rFonts w:ascii="Arial" w:hAnsi="Arial" w:cs="Arial"/>
        </w:rPr>
      </w:pPr>
    </w:p>
    <w:p w14:paraId="30A1B26D" w14:textId="77777777" w:rsidR="00D51723" w:rsidRPr="00865B89" w:rsidRDefault="00D51723" w:rsidP="00441B6F">
      <w:pPr>
        <w:pStyle w:val="Body"/>
        <w:spacing w:after="0"/>
        <w:rPr>
          <w:rFonts w:ascii="Arial" w:hAnsi="Arial" w:cs="Arial"/>
        </w:rPr>
      </w:pPr>
    </w:p>
    <w:p w14:paraId="0AEC0ADF" w14:textId="77777777" w:rsidR="00D72A54" w:rsidRPr="00865B89" w:rsidRDefault="00D72A54" w:rsidP="00D72A54">
      <w:pPr>
        <w:pStyle w:val="Body"/>
        <w:rPr>
          <w:rFonts w:ascii="Arial" w:hAnsi="Arial" w:cs="Arial"/>
          <w:b/>
          <w:bCs/>
        </w:rPr>
      </w:pPr>
      <w:r w:rsidRPr="00865B89">
        <w:rPr>
          <w:rFonts w:ascii="Arial" w:hAnsi="Arial" w:cs="Arial"/>
          <w:b/>
          <w:bCs/>
        </w:rPr>
        <w:t>UCSC: A Genomic Research Platform</w:t>
      </w:r>
    </w:p>
    <w:p w14:paraId="1C69BE64" w14:textId="77777777" w:rsidR="00D72A54" w:rsidRPr="00865B89" w:rsidRDefault="00D72A54" w:rsidP="00D72A54">
      <w:pPr>
        <w:pStyle w:val="Body"/>
        <w:rPr>
          <w:rFonts w:ascii="Arial" w:hAnsi="Arial" w:cs="Arial"/>
        </w:rPr>
      </w:pPr>
      <w:r w:rsidRPr="00865B89">
        <w:rPr>
          <w:rFonts w:ascii="Arial" w:hAnsi="Arial" w:cs="Arial"/>
        </w:rPr>
        <w:t>The ever-growing volume of biological data necessitates advanced tools for effective data curation, integration, and visualization. [10-13] The UCSC Genome Browser has emerged as a powerful, user-friendly resource that caters to this need by enabling researchers to explore complex genomic landscapes through a wide array of annotated datasets, or "tracks." [14] These tracks present curated genomic information such as mRNA alignments, repeat element mappings, gene predictions, expression profiles, disease associations, and commercial microarray probe mappings (from platforms like Illumina and Agilent), all graphically displayed on a shared genomic coordinate system. [15]</w:t>
      </w:r>
    </w:p>
    <w:p w14:paraId="1FB9D0B5" w14:textId="77777777" w:rsidR="00D72A54" w:rsidRPr="00865B89" w:rsidRDefault="00D72A54" w:rsidP="00D72A54">
      <w:pPr>
        <w:pStyle w:val="Body"/>
        <w:rPr>
          <w:rFonts w:ascii="Arial" w:hAnsi="Arial" w:cs="Arial"/>
        </w:rPr>
      </w:pPr>
      <w:r w:rsidRPr="00865B89">
        <w:rPr>
          <w:rFonts w:ascii="Arial" w:hAnsi="Arial" w:cs="Arial"/>
        </w:rPr>
        <w:t>The UCSC Genome Browser presents genomic information using a horizontally-aligned coordinate axis, which represents the linear structure of chromosomes. [16] Along this axis, a wide array of biological annotations are displayed as color-coded blocks, with each block representing the location, span, and type of a genomic feature such as exons, introns, regulatory elements, non-coding RNAs, or variants. [17] This visualization format enables users to easily interpret the spatial relationships and functional organization of genomic data. This multi-layered graphical representation, often termed vertical data integration, is one of the core strengths of the UCSC Genome Browser. [18] It allows for simultaneous comparison of diverse datasets aligned on a common genomic scale. [19] For instance, a researcher can view a gene's exon-intron architecture, nearby enhancer regions identified through ENCODE 3 or Screen Registry data, associated disease variants from ClinVar, and RNA expression levels from the GTEx V9 project, all within a single view. [20]</w:t>
      </w:r>
    </w:p>
    <w:p w14:paraId="36886315" w14:textId="77777777" w:rsidR="00D72A54" w:rsidRPr="00865B89" w:rsidRDefault="00D72A54" w:rsidP="00D72A54">
      <w:pPr>
        <w:pStyle w:val="Body"/>
        <w:rPr>
          <w:rFonts w:ascii="Arial" w:hAnsi="Arial" w:cs="Arial"/>
        </w:rPr>
      </w:pPr>
      <w:r w:rsidRPr="00865B89">
        <w:rPr>
          <w:rFonts w:ascii="Arial" w:hAnsi="Arial" w:cs="Arial"/>
        </w:rPr>
        <w:t xml:space="preserve">The UCSC Genome Browser offers a flexible and powerful search functionality that allows users to locate specific genomic regions using a wide range of input formats, including gene symbols (e.g., TP53, APOE, GBA1), RefSeq, Ensembl, or GenBank accession numbers (e.g., NM_007294 for BRCA1), precise chromosomal coordinates (e.g., chr17:38,450,000-38,531,000 for the BRCA1 locus), cytogenetic band identifiers (e.g., 20p13 for the short arm of chromosome 20), and single nucleotide variant (SNV) IDs (e.g., rs113488022, linked to COVID-19 severity). [21-24] The system is designed with intelligent parsing capabilities that </w:t>
      </w:r>
      <w:r w:rsidRPr="00865B89">
        <w:rPr>
          <w:rFonts w:ascii="Arial" w:hAnsi="Arial" w:cs="Arial"/>
        </w:rPr>
        <w:lastRenderedPageBreak/>
        <w:t>can handle ambiguous or partially entered queries, offering real-time suggestions and alternative matches to streamline data retrieval and exploration. [25]</w:t>
      </w:r>
    </w:p>
    <w:p w14:paraId="294DE05E" w14:textId="77777777" w:rsidR="00D72A54" w:rsidRPr="00865B89" w:rsidRDefault="00D72A54" w:rsidP="00D72A54">
      <w:pPr>
        <w:pStyle w:val="Body"/>
        <w:rPr>
          <w:rFonts w:ascii="Arial" w:hAnsi="Arial" w:cs="Arial"/>
        </w:rPr>
      </w:pPr>
      <w:r w:rsidRPr="00865B89">
        <w:rPr>
          <w:rFonts w:ascii="Arial" w:hAnsi="Arial" w:cs="Arial"/>
        </w:rPr>
        <w:t xml:space="preserve">Each annotation block within a track on the UCSC Genome Browser is interactive, allowing users to click directly on elements to access comprehensive, gene- or feature-specific summary pages enriched with multi-dimensional data. [26] For example, selecting a gene label within tracks such as UCSC Genes, GENCODE, or Ensembl opens detailed annotation pages that include transcript structures covering known and predicted isoforms, splice variants, and coding sequences. [27] These pages are densely interlinked with leading biomedical databases, enabling users to explore a wide spectrum of functional and clinical insights. [30] Cross-links to resources such as OMIM (Online Mendelian Inheritance in Man) provide information on genetic disorder associations, while SwissProt/UniProtKB offers curated protein data including structure, post-translational modifications (PTMs), and biological function. [28] Additional connections to GeneCards, HGNC, and PharmGKB deliver annotations related to gene nomenclature, metabolic pathways, pharmacogenomics, and phenotype-drug interactions. [29] The Human Protein Atlas adds another layer by presenting tissue-specific expression patterns, highlighting gene activity across various organ systems. [31] Notably, as of 2025, the browser integrates with AlphaFoldDB, granting access to high-resolution, AI-predicted 3D protein structures for thousands of human and model organism genes enabling researchers to visualize molecular conformations and infer potential structure-function relationships. [32-34] A concrete example is the LRRK2 gene, which plays a pivotal role in Parkinson’s disease pathogenesis. [35] By querying LRRK2, users can visualize its multiple transcript variants and isoforms from GENCODE Release 45, examine variant pathogenicity classifications from ClinGen (such as the well-known G2019S mutation), and access epigenomic features like DNA methylation and histone marks from the Roadmap Epigenomics project that influence gene regulation. [36] Furthermore, the UCSC CRISPR Targets track enables the identification of potential guide RNA binding sites for gene editing strategies, and expression datasets from GTEx V9 reveal LRRK2 transcription patterns across various brain regions implicated in neurodegeneration. [37] This rich network of integrated annotations facilitates in-depth exploration of both the genomic and clinical landscapes, positioning the UCSC Genome Browser as a critical informatics platform for advancing precision medicine and translational genomics in 2025. [38] UCSC Genome Browser Designed with performance and scalability in mind, the UCSC Genome Browser pre-aligns millions of RNA sequences from GenBank to more than 240 genome assemblies across over 100 species (with multiple assemblies available for many species). [39] This infrastructure supports near-instantaneous querying and visualization of transcriptomic alignments, allowing for efficient cross-species comparative genomics. [40] By enabling simultaneous viewing of gene structures, regulatory motifs, SNPs, expression levels, and more, the browser empowers researchers to configure custom data overlays tailored to specific scientific questions. [41] </w:t>
      </w:r>
    </w:p>
    <w:p w14:paraId="2BA5316B" w14:textId="77777777" w:rsidR="00D72A54" w:rsidRPr="00865B89" w:rsidRDefault="00D72A54" w:rsidP="00D72A54">
      <w:pPr>
        <w:pStyle w:val="Body"/>
        <w:rPr>
          <w:rFonts w:ascii="Arial" w:hAnsi="Arial" w:cs="Arial"/>
        </w:rPr>
      </w:pPr>
      <w:r w:rsidRPr="00865B89">
        <w:rPr>
          <w:rFonts w:ascii="Arial" w:hAnsi="Arial" w:cs="Arial"/>
        </w:rPr>
        <w:t xml:space="preserve">A distinctive strength of the UCSC Genome Browser lies in its highly dynamic and interactive display resolution, which allows researchers to explore genomic data across multiple scales from single nucleotide resolution to entire chromosome landscapes, such as the full span of human chromosome 1, which covers over 245 million base pairs. [42-44] The intuitive drag-and-zoom interface facilitates seamless navigation and magnification of any desired genomic region, enabling both high-level overviews and detailed inspections. [45] To enhance data customization, integration, and sharing, the platform provides a suite of advanced tools. [46] The Custom Tracks utility enables users to upload and overlay their own datasets including SNPs, RNA-seq peaks, and other experimental annotations onto the reference genome, supporting multiple formats such as BED, WIG, GFF, GTF, PSL, and binary formats like bigBed and bigWig. [47] The Table Browser tool allows for the extraction and display of precise data subsets, such as non-synonymous SNPs, transcription factor </w:t>
      </w:r>
      <w:r w:rsidRPr="00865B89">
        <w:rPr>
          <w:rFonts w:ascii="Arial" w:hAnsi="Arial" w:cs="Arial"/>
        </w:rPr>
        <w:lastRenderedPageBreak/>
        <w:t xml:space="preserve">binding sites, or promoter regions, which can be visualized as new Custom Tracks. [48] Through the Saved Sessions feature, users can preserve and share browser configurations, including uploaded tracks, by generating session-specific links, making collaborative genomic research more streamlined. The Manage Custom Tracks interface offers convenient options to update, delete, or review temporary uploads, which are retained for 48 hours unless associated with a saved session. For more robust and persistent data integration, the Track Hubs feature provides a scalable alternative, supporting remotely hosted collections of datasets and configuration files. Track Hubs are ideal for large consortia or institutional use, enabling sophisticated annotation structures, hierarchical data organization, and fine-tuned visual display through customizable configuration directives such as track lines and browser lines that govern track names, display settings, color schemes, descriptive metadata, and hyperlinks. This level of granularity supports not only interactive analysis but also the generation of publication-ready figures, with the UCSC Browser offering export options in PDF and PostScript formats to produce high-quality, camera-ready visuals suitable for academic and scientific dissemination. [49] </w:t>
      </w:r>
    </w:p>
    <w:p w14:paraId="7B65A358" w14:textId="77777777" w:rsidR="00D72A54" w:rsidRPr="00865B89" w:rsidRDefault="00D72A54" w:rsidP="00D72A54">
      <w:pPr>
        <w:pStyle w:val="Body"/>
        <w:rPr>
          <w:rFonts w:ascii="Arial" w:hAnsi="Arial" w:cs="Arial"/>
        </w:rPr>
      </w:pPr>
      <w:r w:rsidRPr="00865B89">
        <w:rPr>
          <w:rFonts w:ascii="Arial" w:hAnsi="Arial" w:cs="Arial"/>
        </w:rPr>
        <w:t xml:space="preserve">Tracks: In genomic research, data analysis often requires displaying various types of information alongside the core data to provide more context or reveal specific insights. To accommodate this, data visualization platforms typically offer additional categories of tracks that can be selected and displayed alongside the original datasets. These tracks represent different layers of data that offer valuable insights depending on the research focus. These eleven categories of tracks can cover a wide range of research needs, and researchers have the flexibility to choose which ones to include based on the specifics of their query. [50] The selection of tracks helps enhance the analysis by enabling more comprehensive data display, which can facilitate the discovery of correlations, trends, and other relevant findings. Each track category corresponds to different types of biological data that might be of interest to the researcher. For example, one track might display gene expression levels across different conditions, while another might show the positions of specific regulatory elements or SNPs (single nucleotide polymorphisms). These tracks can range from basic annotations, such as gene location and exon-intron structure, to more complex data, such as protein interactions, epigenetic modifications, or sequence variations. [51] </w:t>
      </w:r>
    </w:p>
    <w:p w14:paraId="228FC339" w14:textId="05386022" w:rsidR="00D51723" w:rsidRPr="00865B89" w:rsidRDefault="00D72A54" w:rsidP="00D72A54">
      <w:pPr>
        <w:pStyle w:val="Body"/>
        <w:spacing w:after="0"/>
        <w:rPr>
          <w:rFonts w:ascii="Arial" w:hAnsi="Arial" w:cs="Arial"/>
        </w:rPr>
      </w:pPr>
      <w:r w:rsidRPr="00865B89">
        <w:rPr>
          <w:rFonts w:ascii="Arial" w:hAnsi="Arial" w:cs="Arial"/>
        </w:rPr>
        <w:t>The ability to select and combine multiple tracks allows researchers to tailor the visualization to their needs, giving them the opportunity to explore various biological phenomena in greater detail. This flexibility can lead to a deeper understanding of the molecular mechanisms at play, guide hypothesis generation, and improve the overall quality of the research by making data interpretation more relevant to the specific questions being addressed. Moreover, displaying these additional tracks alongside the primary data ensures that researchers can cross-reference and validate their findings in the context of a broader biological landscape, providing a more nuanced view of the underlying data. In this way, the use of supplementary tracks is an essential tool in modern bioinformatics, helping to reveal complex relationships within genomic data and ensuring that research is both thorough and accurate. [52]</w:t>
      </w:r>
    </w:p>
    <w:p w14:paraId="5C35597A" w14:textId="77777777" w:rsidR="00D51723" w:rsidRPr="00865B89" w:rsidRDefault="00D51723" w:rsidP="00441B6F">
      <w:pPr>
        <w:pStyle w:val="Body"/>
        <w:spacing w:after="0"/>
        <w:rPr>
          <w:rFonts w:ascii="Arial" w:hAnsi="Arial" w:cs="Arial"/>
        </w:rPr>
      </w:pPr>
    </w:p>
    <w:p w14:paraId="4692C298" w14:textId="77777777" w:rsidR="00D51723" w:rsidRPr="00865B89" w:rsidRDefault="00D51723" w:rsidP="00441B6F">
      <w:pPr>
        <w:pStyle w:val="Body"/>
        <w:spacing w:after="0"/>
        <w:rPr>
          <w:rFonts w:ascii="Arial" w:hAnsi="Arial" w:cs="Arial"/>
        </w:rPr>
      </w:pPr>
    </w:p>
    <w:p w14:paraId="441B2070" w14:textId="77777777" w:rsidR="00D51723" w:rsidRPr="00865B89" w:rsidRDefault="00D51723" w:rsidP="00441B6F">
      <w:pPr>
        <w:pStyle w:val="Body"/>
        <w:spacing w:after="0"/>
        <w:rPr>
          <w:rFonts w:ascii="Arial" w:hAnsi="Arial" w:cs="Arial"/>
        </w:rPr>
      </w:pPr>
    </w:p>
    <w:p w14:paraId="509773D1" w14:textId="4DAC42F5" w:rsidR="00D72A54" w:rsidRPr="00865B89" w:rsidRDefault="00D72A54" w:rsidP="00441B6F">
      <w:pPr>
        <w:pStyle w:val="Body"/>
        <w:spacing w:after="0"/>
        <w:rPr>
          <w:rFonts w:ascii="Arial" w:hAnsi="Arial" w:cs="Arial"/>
        </w:rPr>
      </w:pPr>
      <w:r w:rsidRPr="00865B89">
        <w:rPr>
          <w:rFonts w:ascii="Arial" w:hAnsi="Arial" w:cs="Arial"/>
          <w:b/>
          <w:bCs/>
        </w:rPr>
        <w:t>Table-3:</w:t>
      </w:r>
      <w:r w:rsidRPr="00865B89">
        <w:rPr>
          <w:rFonts w:ascii="Arial" w:hAnsi="Arial" w:cs="Arial"/>
        </w:rPr>
        <w:t xml:space="preserve"> Different Categories of Tasks.</w:t>
      </w:r>
    </w:p>
    <w:p w14:paraId="6ABEAE03" w14:textId="77777777" w:rsidR="00D72A54" w:rsidRPr="00865B89" w:rsidRDefault="00D72A54" w:rsidP="00441B6F">
      <w:pPr>
        <w:pStyle w:val="Body"/>
        <w:spacing w:after="0"/>
        <w:rPr>
          <w:rFonts w:ascii="Arial" w:hAnsi="Arial" w:cs="Arial"/>
        </w:rPr>
      </w:pPr>
    </w:p>
    <w:tbl>
      <w:tblPr>
        <w:tblStyle w:val="TableGrid"/>
        <w:tblW w:w="0" w:type="auto"/>
        <w:tblLook w:val="04A0" w:firstRow="1" w:lastRow="0" w:firstColumn="1" w:lastColumn="0" w:noHBand="0" w:noVBand="1"/>
      </w:tblPr>
      <w:tblGrid>
        <w:gridCol w:w="1528"/>
        <w:gridCol w:w="4080"/>
        <w:gridCol w:w="2816"/>
      </w:tblGrid>
      <w:tr w:rsidR="00D72A54" w:rsidRPr="00865B89" w14:paraId="7872DD2F" w14:textId="77777777" w:rsidTr="00D72A54">
        <w:trPr>
          <w:trHeight w:val="724"/>
        </w:trPr>
        <w:tc>
          <w:tcPr>
            <w:tcW w:w="1456" w:type="dxa"/>
            <w:tcBorders>
              <w:left w:val="nil"/>
              <w:right w:val="nil"/>
            </w:tcBorders>
            <w:vAlign w:val="center"/>
          </w:tcPr>
          <w:p w14:paraId="5D705752" w14:textId="77777777" w:rsidR="00D72A54" w:rsidRPr="00865B89" w:rsidRDefault="00D72A54" w:rsidP="00433B9E">
            <w:pPr>
              <w:spacing w:line="276" w:lineRule="auto"/>
              <w:jc w:val="center"/>
              <w:rPr>
                <w:rFonts w:ascii="Arial" w:eastAsia="Times New Roman" w:hAnsi="Arial" w:cs="Arial"/>
                <w:b/>
                <w:bCs/>
                <w:sz w:val="20"/>
                <w:szCs w:val="20"/>
              </w:rPr>
            </w:pPr>
            <w:r w:rsidRPr="00865B89">
              <w:rPr>
                <w:rFonts w:ascii="Arial" w:eastAsia="Times New Roman" w:hAnsi="Arial" w:cs="Arial"/>
                <w:b/>
                <w:bCs/>
                <w:sz w:val="20"/>
                <w:szCs w:val="20"/>
              </w:rPr>
              <w:t>Category</w:t>
            </w:r>
          </w:p>
        </w:tc>
        <w:tc>
          <w:tcPr>
            <w:tcW w:w="4554" w:type="dxa"/>
            <w:tcBorders>
              <w:left w:val="nil"/>
              <w:right w:val="nil"/>
            </w:tcBorders>
            <w:vAlign w:val="center"/>
          </w:tcPr>
          <w:p w14:paraId="39D2D6AE" w14:textId="77777777" w:rsidR="00D72A54" w:rsidRPr="00865B89" w:rsidRDefault="00D72A54" w:rsidP="00433B9E">
            <w:pPr>
              <w:spacing w:line="276" w:lineRule="auto"/>
              <w:jc w:val="center"/>
              <w:rPr>
                <w:rFonts w:ascii="Arial" w:eastAsia="Times New Roman" w:hAnsi="Arial" w:cs="Arial"/>
                <w:b/>
                <w:bCs/>
                <w:sz w:val="20"/>
                <w:szCs w:val="20"/>
              </w:rPr>
            </w:pPr>
            <w:r w:rsidRPr="00865B89">
              <w:rPr>
                <w:rFonts w:ascii="Arial" w:eastAsia="Times New Roman" w:hAnsi="Arial" w:cs="Arial"/>
                <w:b/>
                <w:bCs/>
                <w:sz w:val="20"/>
                <w:szCs w:val="20"/>
              </w:rPr>
              <w:t>Description</w:t>
            </w:r>
          </w:p>
        </w:tc>
        <w:tc>
          <w:tcPr>
            <w:tcW w:w="3006" w:type="dxa"/>
            <w:tcBorders>
              <w:left w:val="nil"/>
              <w:right w:val="nil"/>
            </w:tcBorders>
            <w:vAlign w:val="center"/>
          </w:tcPr>
          <w:p w14:paraId="6882AEA5" w14:textId="77777777" w:rsidR="00D72A54" w:rsidRPr="00865B89" w:rsidRDefault="00D72A54" w:rsidP="00433B9E">
            <w:pPr>
              <w:spacing w:line="276" w:lineRule="auto"/>
              <w:jc w:val="center"/>
              <w:rPr>
                <w:rFonts w:ascii="Arial" w:eastAsia="Times New Roman" w:hAnsi="Arial" w:cs="Arial"/>
                <w:b/>
                <w:bCs/>
                <w:sz w:val="20"/>
                <w:szCs w:val="20"/>
              </w:rPr>
            </w:pPr>
            <w:r w:rsidRPr="00865B89">
              <w:rPr>
                <w:rFonts w:ascii="Arial" w:eastAsia="Times New Roman" w:hAnsi="Arial" w:cs="Arial"/>
                <w:b/>
                <w:bCs/>
                <w:sz w:val="20"/>
                <w:szCs w:val="20"/>
              </w:rPr>
              <w:t>Examples of Tracks</w:t>
            </w:r>
          </w:p>
        </w:tc>
      </w:tr>
      <w:tr w:rsidR="00D72A54" w:rsidRPr="00865B89" w14:paraId="253AD171" w14:textId="77777777" w:rsidTr="00D72A54">
        <w:tc>
          <w:tcPr>
            <w:tcW w:w="1456" w:type="dxa"/>
            <w:tcBorders>
              <w:left w:val="nil"/>
              <w:right w:val="nil"/>
            </w:tcBorders>
            <w:vAlign w:val="center"/>
          </w:tcPr>
          <w:p w14:paraId="699C4DD5"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 xml:space="preserve">Genomic Mapping &amp; </w:t>
            </w:r>
            <w:r w:rsidRPr="00865B89">
              <w:rPr>
                <w:rFonts w:ascii="Arial" w:eastAsia="Times New Roman" w:hAnsi="Arial" w:cs="Arial"/>
                <w:sz w:val="20"/>
                <w:szCs w:val="20"/>
              </w:rPr>
              <w:lastRenderedPageBreak/>
              <w:t>Sequencing</w:t>
            </w:r>
          </w:p>
        </w:tc>
        <w:tc>
          <w:tcPr>
            <w:tcW w:w="4554" w:type="dxa"/>
            <w:tcBorders>
              <w:left w:val="nil"/>
              <w:right w:val="nil"/>
            </w:tcBorders>
            <w:vAlign w:val="center"/>
          </w:tcPr>
          <w:p w14:paraId="2C62C4AA"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lastRenderedPageBreak/>
              <w:t xml:space="preserve">Provides tools to control sequencing styles (e.g., genomic coordinates, gaps, </w:t>
            </w:r>
            <w:r w:rsidRPr="00865B89">
              <w:rPr>
                <w:rFonts w:ascii="Arial" w:eastAsia="Times New Roman" w:hAnsi="Arial" w:cs="Arial"/>
                <w:sz w:val="20"/>
                <w:szCs w:val="20"/>
              </w:rPr>
              <w:lastRenderedPageBreak/>
              <w:t>sequence). These tracks can display percentage-based data, revealing the prevalence of genetic elements in a given region.</w:t>
            </w:r>
          </w:p>
        </w:tc>
        <w:tc>
          <w:tcPr>
            <w:tcW w:w="3006" w:type="dxa"/>
            <w:tcBorders>
              <w:left w:val="nil"/>
              <w:right w:val="nil"/>
            </w:tcBorders>
            <w:vAlign w:val="center"/>
          </w:tcPr>
          <w:p w14:paraId="641F70E4"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lastRenderedPageBreak/>
              <w:t>Base Position, Mappability, Gaps</w:t>
            </w:r>
          </w:p>
        </w:tc>
      </w:tr>
      <w:tr w:rsidR="00D72A54" w:rsidRPr="00865B89" w14:paraId="0815A900" w14:textId="77777777" w:rsidTr="00D72A54">
        <w:tc>
          <w:tcPr>
            <w:tcW w:w="1456" w:type="dxa"/>
            <w:tcBorders>
              <w:left w:val="nil"/>
              <w:right w:val="nil"/>
            </w:tcBorders>
            <w:vAlign w:val="center"/>
          </w:tcPr>
          <w:p w14:paraId="5C81A421"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Gene Prediction &amp; Annotation</w:t>
            </w:r>
          </w:p>
        </w:tc>
        <w:tc>
          <w:tcPr>
            <w:tcW w:w="4554" w:type="dxa"/>
            <w:tcBorders>
              <w:left w:val="nil"/>
              <w:right w:val="nil"/>
            </w:tcBorders>
            <w:vAlign w:val="center"/>
          </w:tcPr>
          <w:p w14:paraId="74827C26"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Uses algorithms to predict genes and display known gene data. This allows users to visualize gene models, coding regions, and non-coding RNA. It also helps to compare query sequences against reference genes.</w:t>
            </w:r>
          </w:p>
        </w:tc>
        <w:tc>
          <w:tcPr>
            <w:tcW w:w="3006" w:type="dxa"/>
            <w:tcBorders>
              <w:left w:val="nil"/>
              <w:right w:val="nil"/>
            </w:tcBorders>
            <w:vAlign w:val="center"/>
          </w:tcPr>
          <w:p w14:paraId="4CE1A8CD"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GENCODE v24, Geneid, Pfam in UCSC Gene</w:t>
            </w:r>
          </w:p>
        </w:tc>
      </w:tr>
      <w:tr w:rsidR="00D72A54" w:rsidRPr="00865B89" w14:paraId="70325E55" w14:textId="77777777" w:rsidTr="00D72A54">
        <w:tc>
          <w:tcPr>
            <w:tcW w:w="1456" w:type="dxa"/>
            <w:tcBorders>
              <w:left w:val="nil"/>
              <w:right w:val="nil"/>
            </w:tcBorders>
            <w:vAlign w:val="center"/>
          </w:tcPr>
          <w:p w14:paraId="42012763"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Phenotype &amp; Clinical Literature</w:t>
            </w:r>
          </w:p>
        </w:tc>
        <w:tc>
          <w:tcPr>
            <w:tcW w:w="4554" w:type="dxa"/>
            <w:tcBorders>
              <w:left w:val="nil"/>
              <w:right w:val="nil"/>
            </w:tcBorders>
            <w:vAlign w:val="center"/>
          </w:tcPr>
          <w:p w14:paraId="4150D842"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Offers phenotype data for professionals in genetics and medicine, helping to display genomic positions of both natural and induced amino acid changes. Some tracks apply AI to assess variant pathogenicity.</w:t>
            </w:r>
          </w:p>
        </w:tc>
        <w:tc>
          <w:tcPr>
            <w:tcW w:w="3006" w:type="dxa"/>
            <w:tcBorders>
              <w:left w:val="nil"/>
              <w:right w:val="nil"/>
            </w:tcBorders>
            <w:vAlign w:val="center"/>
          </w:tcPr>
          <w:p w14:paraId="558526E7"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OMIM Alleles, Cancer Gene Expression Super-track, AlphaMissense, Varchat, enGenome</w:t>
            </w:r>
          </w:p>
        </w:tc>
      </w:tr>
      <w:tr w:rsidR="00D72A54" w:rsidRPr="00865B89" w14:paraId="175114E5" w14:textId="77777777" w:rsidTr="00D72A54">
        <w:tc>
          <w:tcPr>
            <w:tcW w:w="1456" w:type="dxa"/>
            <w:tcBorders>
              <w:left w:val="nil"/>
              <w:right w:val="nil"/>
            </w:tcBorders>
            <w:vAlign w:val="center"/>
          </w:tcPr>
          <w:p w14:paraId="5759CABA"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COVID-19 Research</w:t>
            </w:r>
          </w:p>
        </w:tc>
        <w:tc>
          <w:tcPr>
            <w:tcW w:w="4554" w:type="dxa"/>
            <w:tcBorders>
              <w:left w:val="nil"/>
              <w:right w:val="nil"/>
            </w:tcBorders>
            <w:vAlign w:val="center"/>
          </w:tcPr>
          <w:p w14:paraId="2AC3387C"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Visualizes data from GWAS and variant calling experiments, aiming to identify genetic variants that influence susceptibility or severity of COVID-19.</w:t>
            </w:r>
          </w:p>
        </w:tc>
        <w:tc>
          <w:tcPr>
            <w:tcW w:w="3006" w:type="dxa"/>
            <w:tcBorders>
              <w:left w:val="nil"/>
              <w:right w:val="nil"/>
            </w:tcBorders>
            <w:vAlign w:val="center"/>
          </w:tcPr>
          <w:p w14:paraId="1E5AAAA4"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COVID GWAS v3, COVID GWAS v4, Rare Harmful Variants</w:t>
            </w:r>
          </w:p>
        </w:tc>
      </w:tr>
      <w:tr w:rsidR="00D72A54" w:rsidRPr="00865B89" w14:paraId="5426416E" w14:textId="77777777" w:rsidTr="00D72A54">
        <w:tc>
          <w:tcPr>
            <w:tcW w:w="1456" w:type="dxa"/>
            <w:tcBorders>
              <w:left w:val="nil"/>
              <w:right w:val="nil"/>
            </w:tcBorders>
            <w:vAlign w:val="center"/>
          </w:tcPr>
          <w:p w14:paraId="1C9B5B54"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Single-Cell RNA Sequencing</w:t>
            </w:r>
          </w:p>
        </w:tc>
        <w:tc>
          <w:tcPr>
            <w:tcW w:w="4554" w:type="dxa"/>
            <w:tcBorders>
              <w:left w:val="nil"/>
              <w:right w:val="nil"/>
            </w:tcBorders>
            <w:vAlign w:val="center"/>
          </w:tcPr>
          <w:p w14:paraId="0F0B5998"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Focuses on single-cell RNA expression data from a variety of human tissues, facilitating studies on cellular diversity and gene expression in specific tissues.</w:t>
            </w:r>
          </w:p>
        </w:tc>
        <w:tc>
          <w:tcPr>
            <w:tcW w:w="3006" w:type="dxa"/>
            <w:tcBorders>
              <w:left w:val="nil"/>
              <w:right w:val="nil"/>
            </w:tcBorders>
            <w:vAlign w:val="center"/>
          </w:tcPr>
          <w:p w14:paraId="4178D8E9"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Blood (PBMC), Heart Cell Atlas, Colon Wang</w:t>
            </w:r>
          </w:p>
        </w:tc>
      </w:tr>
      <w:tr w:rsidR="00D72A54" w:rsidRPr="00865B89" w14:paraId="58D91A49" w14:textId="77777777" w:rsidTr="00D72A54">
        <w:tc>
          <w:tcPr>
            <w:tcW w:w="1456" w:type="dxa"/>
            <w:tcBorders>
              <w:left w:val="nil"/>
              <w:right w:val="nil"/>
            </w:tcBorders>
            <w:vAlign w:val="center"/>
          </w:tcPr>
          <w:p w14:paraId="5AA8EA2F"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mRNA &amp; EST Data</w:t>
            </w:r>
          </w:p>
        </w:tc>
        <w:tc>
          <w:tcPr>
            <w:tcW w:w="4554" w:type="dxa"/>
            <w:tcBorders>
              <w:left w:val="nil"/>
              <w:right w:val="nil"/>
            </w:tcBorders>
            <w:vAlign w:val="center"/>
          </w:tcPr>
          <w:p w14:paraId="1D2CE305"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Displays expressed sequence tags (ESTs) and mRNA, offering insight into gene transcription and splicing events. Tracks allow mRNA alignment data across species for comparative studies.</w:t>
            </w:r>
          </w:p>
        </w:tc>
        <w:tc>
          <w:tcPr>
            <w:tcW w:w="3006" w:type="dxa"/>
            <w:tcBorders>
              <w:left w:val="nil"/>
              <w:right w:val="nil"/>
            </w:tcBorders>
            <w:vAlign w:val="center"/>
          </w:tcPr>
          <w:p w14:paraId="5E0DF767"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Human ESTs, Other ESTs, Other mRNAs</w:t>
            </w:r>
          </w:p>
        </w:tc>
      </w:tr>
      <w:tr w:rsidR="00D72A54" w:rsidRPr="00865B89" w14:paraId="702EAD36" w14:textId="77777777" w:rsidTr="00D72A54">
        <w:tc>
          <w:tcPr>
            <w:tcW w:w="1456" w:type="dxa"/>
            <w:tcBorders>
              <w:left w:val="nil"/>
              <w:right w:val="nil"/>
            </w:tcBorders>
            <w:vAlign w:val="center"/>
          </w:tcPr>
          <w:p w14:paraId="1BD243A1"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Gene Expression Data</w:t>
            </w:r>
          </w:p>
        </w:tc>
        <w:tc>
          <w:tcPr>
            <w:tcW w:w="4554" w:type="dxa"/>
            <w:tcBorders>
              <w:left w:val="nil"/>
              <w:right w:val="nil"/>
            </w:tcBorders>
            <w:vAlign w:val="center"/>
          </w:tcPr>
          <w:p w14:paraId="6C793A8C"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Provides data on gene expression across various tissues, allowing users to investigate tissue-specific gene activity and consensus data across multiple datasets.</w:t>
            </w:r>
          </w:p>
        </w:tc>
        <w:tc>
          <w:tcPr>
            <w:tcW w:w="3006" w:type="dxa"/>
            <w:tcBorders>
              <w:left w:val="nil"/>
              <w:right w:val="nil"/>
            </w:tcBorders>
            <w:vAlign w:val="center"/>
          </w:tcPr>
          <w:p w14:paraId="01C7FC82"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GTEx Gene, Affy U133</w:t>
            </w:r>
          </w:p>
        </w:tc>
      </w:tr>
      <w:tr w:rsidR="00D72A54" w:rsidRPr="00865B89" w14:paraId="17B91F8F" w14:textId="77777777" w:rsidTr="00D72A54">
        <w:tc>
          <w:tcPr>
            <w:tcW w:w="1456" w:type="dxa"/>
            <w:tcBorders>
              <w:left w:val="nil"/>
              <w:right w:val="nil"/>
            </w:tcBorders>
            <w:vAlign w:val="center"/>
          </w:tcPr>
          <w:p w14:paraId="49B7F458"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Transcriptional Regulation</w:t>
            </w:r>
          </w:p>
        </w:tc>
        <w:tc>
          <w:tcPr>
            <w:tcW w:w="4554" w:type="dxa"/>
            <w:tcBorders>
              <w:left w:val="nil"/>
              <w:right w:val="nil"/>
            </w:tcBorders>
            <w:vAlign w:val="center"/>
          </w:tcPr>
          <w:p w14:paraId="3125AAF6"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Displays data from studies on gene regulation, including transcription factor binding, regulatory variants, and other transcription-related elements. Tracks may show graphs for easier interpretation.</w:t>
            </w:r>
          </w:p>
        </w:tc>
        <w:tc>
          <w:tcPr>
            <w:tcW w:w="3006" w:type="dxa"/>
            <w:tcBorders>
              <w:left w:val="nil"/>
              <w:right w:val="nil"/>
            </w:tcBorders>
            <w:vAlign w:val="center"/>
          </w:tcPr>
          <w:p w14:paraId="0D1C74CA"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ENCODE Regulation Super-track, ORegAnno</w:t>
            </w:r>
          </w:p>
        </w:tc>
      </w:tr>
      <w:tr w:rsidR="00D72A54" w:rsidRPr="00865B89" w14:paraId="112FAB98" w14:textId="77777777" w:rsidTr="00D72A54">
        <w:tc>
          <w:tcPr>
            <w:tcW w:w="1456" w:type="dxa"/>
            <w:tcBorders>
              <w:left w:val="nil"/>
              <w:right w:val="nil"/>
            </w:tcBorders>
            <w:vAlign w:val="center"/>
          </w:tcPr>
          <w:p w14:paraId="33FC70F0"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Comparative Genomics</w:t>
            </w:r>
          </w:p>
        </w:tc>
        <w:tc>
          <w:tcPr>
            <w:tcW w:w="4554" w:type="dxa"/>
            <w:tcBorders>
              <w:left w:val="nil"/>
              <w:right w:val="nil"/>
            </w:tcBorders>
            <w:vAlign w:val="center"/>
          </w:tcPr>
          <w:p w14:paraId="768585AB"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Compares genomic sequences across species, highlighting conserved regions, which can reveal important functional elements. This category is particularly useful for studying evolutionary relationships.</w:t>
            </w:r>
          </w:p>
        </w:tc>
        <w:tc>
          <w:tcPr>
            <w:tcW w:w="3006" w:type="dxa"/>
            <w:tcBorders>
              <w:left w:val="nil"/>
              <w:right w:val="nil"/>
            </w:tcBorders>
            <w:vAlign w:val="center"/>
          </w:tcPr>
          <w:p w14:paraId="7B65F331"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Conservation, Cactus 241-way, Cons 30 Primates</w:t>
            </w:r>
          </w:p>
        </w:tc>
      </w:tr>
      <w:tr w:rsidR="00D72A54" w:rsidRPr="00865B89" w14:paraId="26ADEB74" w14:textId="77777777" w:rsidTr="00D72A54">
        <w:tc>
          <w:tcPr>
            <w:tcW w:w="1456" w:type="dxa"/>
            <w:tcBorders>
              <w:left w:val="nil"/>
              <w:right w:val="nil"/>
            </w:tcBorders>
            <w:vAlign w:val="center"/>
          </w:tcPr>
          <w:p w14:paraId="6CD6A562"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Genetic Variation</w:t>
            </w:r>
          </w:p>
        </w:tc>
        <w:tc>
          <w:tcPr>
            <w:tcW w:w="4554" w:type="dxa"/>
            <w:tcBorders>
              <w:left w:val="nil"/>
              <w:right w:val="nil"/>
            </w:tcBorders>
            <w:vAlign w:val="center"/>
          </w:tcPr>
          <w:p w14:paraId="01937F2A"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 xml:space="preserve">Compares sequences with known variants, including SNPs, copy-number variations, and allele frequencies. Tracks offer insights </w:t>
            </w:r>
            <w:r w:rsidRPr="00865B89">
              <w:rPr>
                <w:rFonts w:ascii="Arial" w:eastAsia="Times New Roman" w:hAnsi="Arial" w:cs="Arial"/>
                <w:sz w:val="20"/>
                <w:szCs w:val="20"/>
              </w:rPr>
              <w:lastRenderedPageBreak/>
              <w:t>into how these variations affect genomes and populations.</w:t>
            </w:r>
          </w:p>
        </w:tc>
        <w:tc>
          <w:tcPr>
            <w:tcW w:w="3006" w:type="dxa"/>
            <w:tcBorders>
              <w:left w:val="nil"/>
              <w:right w:val="nil"/>
            </w:tcBorders>
            <w:vAlign w:val="center"/>
          </w:tcPr>
          <w:p w14:paraId="12822ABA"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lastRenderedPageBreak/>
              <w:t>Common SNPs (150), All SNPs (146), Flagged SNPs (144)</w:t>
            </w:r>
          </w:p>
        </w:tc>
      </w:tr>
      <w:tr w:rsidR="00D72A54" w:rsidRPr="00865B89" w14:paraId="649623E2" w14:textId="77777777" w:rsidTr="00D72A54">
        <w:tc>
          <w:tcPr>
            <w:tcW w:w="1456" w:type="dxa"/>
            <w:tcBorders>
              <w:left w:val="nil"/>
              <w:right w:val="nil"/>
            </w:tcBorders>
            <w:vAlign w:val="center"/>
          </w:tcPr>
          <w:p w14:paraId="792E83DC"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lastRenderedPageBreak/>
              <w:t>Human Pangenome Data</w:t>
            </w:r>
          </w:p>
        </w:tc>
        <w:tc>
          <w:tcPr>
            <w:tcW w:w="4554" w:type="dxa"/>
            <w:tcBorders>
              <w:left w:val="nil"/>
              <w:right w:val="nil"/>
            </w:tcBorders>
            <w:vAlign w:val="center"/>
          </w:tcPr>
          <w:p w14:paraId="088598C2"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Offers tracks from the Human Pangenome Reference Consortium, allowing users to explore genetic diversity by examining variant calls, multiple alignments, and structural variations.</w:t>
            </w:r>
          </w:p>
        </w:tc>
        <w:tc>
          <w:tcPr>
            <w:tcW w:w="3006" w:type="dxa"/>
            <w:tcBorders>
              <w:left w:val="nil"/>
              <w:right w:val="nil"/>
            </w:tcBorders>
            <w:vAlign w:val="center"/>
          </w:tcPr>
          <w:p w14:paraId="0841EFB8"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Multiple Alignment, Pairwise Alignments, Rearrangements, Short Variants</w:t>
            </w:r>
          </w:p>
        </w:tc>
      </w:tr>
      <w:tr w:rsidR="00D72A54" w:rsidRPr="00865B89" w14:paraId="4CEB576A" w14:textId="77777777" w:rsidTr="00D72A54">
        <w:tc>
          <w:tcPr>
            <w:tcW w:w="1456" w:type="dxa"/>
            <w:tcBorders>
              <w:left w:val="nil"/>
              <w:right w:val="nil"/>
            </w:tcBorders>
            <w:vAlign w:val="center"/>
          </w:tcPr>
          <w:p w14:paraId="6EEB7E39"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Repeats &amp; Repetitive Elements</w:t>
            </w:r>
          </w:p>
        </w:tc>
        <w:tc>
          <w:tcPr>
            <w:tcW w:w="4554" w:type="dxa"/>
            <w:tcBorders>
              <w:left w:val="nil"/>
              <w:right w:val="nil"/>
            </w:tcBorders>
            <w:vAlign w:val="center"/>
          </w:tcPr>
          <w:p w14:paraId="5B564AD7"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Tracks various types of repetitive sequences, aiding in the identification of repeated elements in genomic regions. This helps users refine searches and adjust track views based on repetitive content.</w:t>
            </w:r>
          </w:p>
        </w:tc>
        <w:tc>
          <w:tcPr>
            <w:tcW w:w="3006" w:type="dxa"/>
            <w:tcBorders>
              <w:left w:val="nil"/>
              <w:right w:val="nil"/>
            </w:tcBorders>
            <w:vAlign w:val="center"/>
          </w:tcPr>
          <w:p w14:paraId="1881F6F2"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RepeatMasker, Microsatellite, WM + SDust</w:t>
            </w:r>
          </w:p>
        </w:tc>
      </w:tr>
    </w:tbl>
    <w:p w14:paraId="2717F720" w14:textId="77777777" w:rsidR="00D72A54" w:rsidRPr="00865B89" w:rsidRDefault="00D72A54" w:rsidP="00441B6F">
      <w:pPr>
        <w:pStyle w:val="Body"/>
        <w:spacing w:after="0"/>
        <w:rPr>
          <w:rFonts w:ascii="Arial" w:hAnsi="Arial" w:cs="Arial"/>
        </w:rPr>
      </w:pPr>
    </w:p>
    <w:p w14:paraId="24A40DF9" w14:textId="77777777" w:rsidR="00D51723" w:rsidRPr="00865B89" w:rsidRDefault="00D51723" w:rsidP="00441B6F">
      <w:pPr>
        <w:pStyle w:val="Body"/>
        <w:spacing w:after="0"/>
        <w:rPr>
          <w:rFonts w:ascii="Arial" w:hAnsi="Arial" w:cs="Arial"/>
        </w:rPr>
      </w:pPr>
    </w:p>
    <w:p w14:paraId="35AE8389" w14:textId="77777777" w:rsidR="00D51723" w:rsidRPr="00865B89" w:rsidRDefault="00D51723" w:rsidP="00441B6F">
      <w:pPr>
        <w:pStyle w:val="Body"/>
        <w:spacing w:after="0"/>
        <w:rPr>
          <w:rFonts w:ascii="Arial" w:hAnsi="Arial" w:cs="Arial"/>
        </w:rPr>
      </w:pPr>
    </w:p>
    <w:p w14:paraId="6CD20ED1" w14:textId="77777777" w:rsidR="00D72A54" w:rsidRPr="00865B89" w:rsidRDefault="00D72A54" w:rsidP="00D72A54">
      <w:pPr>
        <w:pStyle w:val="Body"/>
        <w:rPr>
          <w:rFonts w:ascii="Arial" w:hAnsi="Arial" w:cs="Arial"/>
          <w:b/>
          <w:bCs/>
        </w:rPr>
      </w:pPr>
      <w:r w:rsidRPr="00865B89">
        <w:rPr>
          <w:rFonts w:ascii="Arial" w:hAnsi="Arial" w:cs="Arial"/>
          <w:b/>
          <w:bCs/>
        </w:rPr>
        <w:t>Comprehensive Genome Analysis Tools</w:t>
      </w:r>
    </w:p>
    <w:p w14:paraId="518F4C7B" w14:textId="77777777" w:rsidR="00D72A54" w:rsidRPr="00865B89" w:rsidRDefault="00D72A54" w:rsidP="00D72A54">
      <w:pPr>
        <w:pStyle w:val="Body"/>
        <w:rPr>
          <w:rFonts w:ascii="Arial" w:hAnsi="Arial" w:cs="Arial"/>
        </w:rPr>
      </w:pPr>
      <w:r w:rsidRPr="00865B89">
        <w:rPr>
          <w:rFonts w:ascii="Arial" w:hAnsi="Arial" w:cs="Arial"/>
        </w:rPr>
        <w:t xml:space="preserve">The University of California, Santa Cruz (UCSC) offers a comprehensive suite of genome analysis tools designed to facilitate various aspects of genomic research. Key tools include the Genome Browser, an interactive interface for visualizing genomic data such as genes, regulatory elements, and variations; BLAT, a fast sequence alignment tool for comparing sequences to reference genomes; In-Silico PCR, for simulating PCR amplification based on primers and target sequences; the Table Browser, which allows users to query and retrieve customized data from UCSC's databases; LiftOver, for converting genome coordinates between different assemblies; and the REST API, enabling programmatic access to UCSC data for integration into custom workflows. Additional tools like Variant Annotation Integrator help annotate genomic variants, while Gene Sorter and Genome Graph assist in organizing genes and visualizing complex data. The Data Integrator consolidates various genomic datasets for unified analysis, and UShER aids in tracking genomic variations, particularly in viral or microbial genomes. Tools like Gene Interactions, VisiGene, and Phylogenetic Tree PNG Maker offer insights into gene interactions, gene expression patterns, and phylogenetic relationships, respectively. UCSC also provides utilities such as BEDOPS, bedtools, bwtool, CrossMap, and libBigWig for manipulating genomic files and data formats, along with CruzDb, G-OnRamp, and MakeHub for database management and data sharing. Other useful resources include RTrackLayer for integrating data with R, trackhub for organizing genomic data tracks, twobitreader for processing 2bit encoded sequences, and Wiggle Tools for analyzing continuous-valued genomic data. Collectively, these tools enable researchers to perform comprehensive genomic analyses with flexibility and ease. [53] </w:t>
      </w:r>
    </w:p>
    <w:p w14:paraId="0175DB89" w14:textId="77777777" w:rsidR="00D72A54" w:rsidRPr="00865B89" w:rsidRDefault="00D72A54" w:rsidP="00D72A54">
      <w:pPr>
        <w:pStyle w:val="Body"/>
        <w:rPr>
          <w:rFonts w:ascii="Arial" w:hAnsi="Arial" w:cs="Arial"/>
        </w:rPr>
      </w:pPr>
      <w:r w:rsidRPr="00865B89">
        <w:rPr>
          <w:rFonts w:ascii="Arial" w:hAnsi="Arial" w:cs="Arial"/>
        </w:rPr>
        <w:t>BLAT: BLAT (BLAST-Like Alignment Tool) is a high-performance sequence alignment tool primarily designed for finding sequence matches within large genomic databases. It works by efficiently locating regions of interest in genomic sequences, particularly useful when working with vast datasets, such as the human genome, which contains approximately 3.23 billion base pairs. BLAT operates by indexing genome sequences in memory, allowing for rapid search and retrieval of matching sequences. The tool can be used by either pasting a sequence directly into the input box or uploading a file in FASTA format. Users have the ability to tailor their searches based on specific needs, including options to select the genome and assembly version, specify the query type, and define sorting and output preferences. This flexibility makes BLAT a versatile tool for various genomic research tasks. [54]</w:t>
      </w:r>
    </w:p>
    <w:p w14:paraId="2173C9DF" w14:textId="77777777" w:rsidR="00D72A54" w:rsidRPr="00865B89" w:rsidRDefault="00D72A54" w:rsidP="00D72A54">
      <w:pPr>
        <w:pStyle w:val="Body"/>
        <w:rPr>
          <w:rFonts w:ascii="Arial" w:hAnsi="Arial" w:cs="Arial"/>
        </w:rPr>
      </w:pPr>
      <w:r w:rsidRPr="00865B89">
        <w:rPr>
          <w:rFonts w:ascii="Arial" w:hAnsi="Arial" w:cs="Arial"/>
        </w:rPr>
        <w:lastRenderedPageBreak/>
        <w:t>When BLAT is applied to DNA sequences, it identifies matching sequences that exhibit at least 95% similarity over a minimum length of 25 base pairs. To perform this, BLAT indexes the genome in memory using a strategy based on overlapping 11-mer sequences (subsequences of 11 nucleotides). These 11-mers are used as anchors to search for similar regions in the genome, while avoiding areas with repetitive sequences. The indexed data structure is small, typically requiring less than one gigabyte of RAM, which allows BLAT to run efficiently even on standard computing hardware. This indexing method makes BLAT especially fast and scalable, as the entire genome is stored in memory, allowing rapid searches across large datasets. Because the index is based on non-repetitive 11-mers, BLAT can efficiently perform searches even within the vast genomes of humans and other species, such as primates. The tool excels at finding sequence similarities and can help users identify the exact genomic locations of specific sequences.</w:t>
      </w:r>
    </w:p>
    <w:p w14:paraId="01D61675" w14:textId="77777777" w:rsidR="00D72A54" w:rsidRPr="00865B89" w:rsidRDefault="00D72A54" w:rsidP="00D72A54">
      <w:pPr>
        <w:pStyle w:val="Body"/>
        <w:rPr>
          <w:rFonts w:ascii="Arial" w:hAnsi="Arial" w:cs="Arial"/>
        </w:rPr>
      </w:pPr>
      <w:r w:rsidRPr="00865B89">
        <w:rPr>
          <w:rFonts w:ascii="Arial" w:hAnsi="Arial" w:cs="Arial"/>
        </w:rPr>
        <w:t xml:space="preserve">For protein sequences, BLAT functions similarly to its DNA counterpart but with a few key differences. Instead of working with 11-mers, BLAT uses 4-mers, which are overlapping sequences of 4 amino acids. As proteins are generally more conserved than DNA sequences, BLAT can find sequences with a minimum similarity of 80% over a length of at least 20 amino acids. The protein indexing process requires slightly more memory approximately 2 gigabytes of RAM due to the need to store and index the protein sequence database. However, it still remains efficient for large-scale sequence comparison tasks. BLAT’s protein alignment capabilities are particularly valuable for studies involving conserved protein regions across species, as it can identify similarities in protein sequences from a variety of organisms, including terrestrial vertebrates and earlier evolutionary forms. One of the primary uses of BLAT is for locating specific sequences within a genome. This can involve searching for a particular DNA sequence to determine its position in the genome, or to analyze the exon structure of a gene by comparing the mRNA sequence to the genomic DNA. BLAT is also useful for researchers looking to identify conserved regions between different species, especially for evolutionary studies or functional annotation of genes. [55] </w:t>
      </w:r>
    </w:p>
    <w:p w14:paraId="01B6796C" w14:textId="77777777" w:rsidR="00D901AF" w:rsidRPr="00865B89" w:rsidRDefault="00D72A54" w:rsidP="00D72A54">
      <w:pPr>
        <w:pStyle w:val="Body"/>
        <w:rPr>
          <w:rFonts w:ascii="Arial" w:hAnsi="Arial" w:cs="Arial"/>
        </w:rPr>
      </w:pPr>
      <w:r w:rsidRPr="00865B89">
        <w:rPr>
          <w:rFonts w:ascii="Arial" w:hAnsi="Arial" w:cs="Arial"/>
        </w:rPr>
        <w:t>For users working with large datasets or requiring batch processing, BLAT offers command-line capabilities that can be installed on a Linux server. This allows for the execution of large-scale sequence alignments and the ability to adjust internal parameters to optimize performance for specific research needs.</w:t>
      </w:r>
    </w:p>
    <w:p w14:paraId="157B8AE8" w14:textId="77777777" w:rsidR="00D72A54" w:rsidRPr="00865B89" w:rsidRDefault="00D72A54" w:rsidP="00D72A54">
      <w:pPr>
        <w:pStyle w:val="Body"/>
        <w:rPr>
          <w:rFonts w:ascii="Arial" w:hAnsi="Arial" w:cs="Arial"/>
        </w:rPr>
      </w:pPr>
    </w:p>
    <w:p w14:paraId="6F63984A" w14:textId="582607CF" w:rsidR="00D72A54" w:rsidRPr="00865B89" w:rsidRDefault="00D72A54" w:rsidP="00D72A54">
      <w:pPr>
        <w:pStyle w:val="Body"/>
        <w:rPr>
          <w:rFonts w:ascii="Arial" w:hAnsi="Arial" w:cs="Arial"/>
        </w:rPr>
        <w:sectPr w:rsidR="00D72A54" w:rsidRPr="00865B89" w:rsidSect="006F3A7D">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53619AC3" w14:textId="77777777" w:rsidR="004C24A6" w:rsidRPr="00865B89" w:rsidRDefault="004C24A6" w:rsidP="004C24A6">
      <w:pPr>
        <w:spacing w:line="276" w:lineRule="auto"/>
        <w:jc w:val="both"/>
        <w:rPr>
          <w:rFonts w:ascii="Arial" w:hAnsi="Arial" w:cs="Arial"/>
          <w:lang w:val="en-GB"/>
        </w:rPr>
      </w:pPr>
    </w:p>
    <w:p w14:paraId="73DA54B4" w14:textId="77777777" w:rsidR="00D72A54" w:rsidRPr="00865B89" w:rsidRDefault="00D72A54" w:rsidP="004C24A6">
      <w:pPr>
        <w:spacing w:line="276" w:lineRule="auto"/>
        <w:jc w:val="both"/>
        <w:rPr>
          <w:rFonts w:ascii="Arial" w:hAnsi="Arial" w:cs="Arial"/>
          <w:lang w:val="en-GB"/>
        </w:rPr>
      </w:pPr>
    </w:p>
    <w:p w14:paraId="37A21DE7" w14:textId="77777777" w:rsidR="00D72A54" w:rsidRPr="00865B89" w:rsidRDefault="00D72A54" w:rsidP="004C24A6">
      <w:pPr>
        <w:spacing w:line="276" w:lineRule="auto"/>
        <w:jc w:val="both"/>
        <w:rPr>
          <w:rFonts w:ascii="Arial" w:hAnsi="Arial" w:cs="Arial"/>
          <w:lang w:val="en-GB"/>
        </w:rPr>
      </w:pPr>
    </w:p>
    <w:p w14:paraId="04292DAA" w14:textId="77777777" w:rsidR="00D72A54" w:rsidRPr="00865B89" w:rsidRDefault="00D72A54" w:rsidP="004C24A6">
      <w:pPr>
        <w:spacing w:line="276" w:lineRule="auto"/>
        <w:jc w:val="both"/>
        <w:rPr>
          <w:rFonts w:ascii="Arial" w:hAnsi="Arial" w:cs="Arial"/>
          <w:lang w:val="en-GB"/>
        </w:rPr>
      </w:pPr>
    </w:p>
    <w:p w14:paraId="62E43E4D" w14:textId="77777777" w:rsidR="00D72A54" w:rsidRPr="00865B89" w:rsidRDefault="00D72A54" w:rsidP="004C24A6">
      <w:pPr>
        <w:spacing w:line="276" w:lineRule="auto"/>
        <w:jc w:val="both"/>
        <w:rPr>
          <w:rFonts w:ascii="Arial" w:hAnsi="Arial" w:cs="Arial"/>
          <w:lang w:val="en-GB"/>
        </w:rPr>
      </w:pPr>
    </w:p>
    <w:p w14:paraId="7B473BA3" w14:textId="77777777" w:rsidR="00D72A54" w:rsidRPr="00865B89" w:rsidRDefault="00D72A54" w:rsidP="004C24A6">
      <w:pPr>
        <w:spacing w:line="276" w:lineRule="auto"/>
        <w:jc w:val="both"/>
        <w:rPr>
          <w:rFonts w:ascii="Arial" w:hAnsi="Arial" w:cs="Arial"/>
          <w:lang w:val="en-GB"/>
        </w:rPr>
      </w:pPr>
    </w:p>
    <w:p w14:paraId="698E4700" w14:textId="77777777" w:rsidR="00D72A54" w:rsidRPr="00865B89" w:rsidRDefault="00D72A54" w:rsidP="004C24A6">
      <w:pPr>
        <w:spacing w:line="276" w:lineRule="auto"/>
        <w:jc w:val="both"/>
        <w:rPr>
          <w:rFonts w:ascii="Arial" w:hAnsi="Arial" w:cs="Arial"/>
          <w:lang w:val="en-GB"/>
        </w:rPr>
      </w:pPr>
    </w:p>
    <w:p w14:paraId="40A95EAB" w14:textId="3CA18F54" w:rsidR="00D72A54" w:rsidRPr="00865B89" w:rsidRDefault="00D72A54" w:rsidP="00D72A54">
      <w:pPr>
        <w:spacing w:line="276" w:lineRule="auto"/>
        <w:jc w:val="center"/>
        <w:rPr>
          <w:rFonts w:ascii="Arial" w:hAnsi="Arial" w:cs="Arial"/>
          <w:lang w:val="en-GB"/>
        </w:rPr>
      </w:pPr>
      <w:r w:rsidRPr="00865B89">
        <w:rPr>
          <w:rFonts w:ascii="Times New Roman" w:hAnsi="Times New Roman"/>
          <w:b/>
          <w:noProof/>
          <w:sz w:val="24"/>
        </w:rPr>
        <w:lastRenderedPageBreak/>
        <w:drawing>
          <wp:inline distT="0" distB="0" distL="0" distR="0" wp14:anchorId="1D044EC0" wp14:editId="29E8EEDF">
            <wp:extent cx="5208270" cy="2413715"/>
            <wp:effectExtent l="19050" t="1905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08270" cy="2413715"/>
                    </a:xfrm>
                    <a:prstGeom prst="rect">
                      <a:avLst/>
                    </a:prstGeom>
                    <a:ln>
                      <a:solidFill>
                        <a:schemeClr val="tx1"/>
                      </a:solidFill>
                    </a:ln>
                  </pic:spPr>
                </pic:pic>
              </a:graphicData>
            </a:graphic>
          </wp:inline>
        </w:drawing>
      </w:r>
    </w:p>
    <w:p w14:paraId="672768DE" w14:textId="77777777" w:rsidR="00D72A54" w:rsidRPr="00865B89" w:rsidRDefault="00D72A54" w:rsidP="004C24A6">
      <w:pPr>
        <w:spacing w:line="276" w:lineRule="auto"/>
        <w:jc w:val="both"/>
        <w:rPr>
          <w:rFonts w:ascii="Arial" w:hAnsi="Arial" w:cs="Arial"/>
          <w:lang w:val="en-GB"/>
        </w:rPr>
      </w:pPr>
    </w:p>
    <w:p w14:paraId="035A6093" w14:textId="18BFC45F" w:rsidR="00D72A54" w:rsidRPr="00865B89" w:rsidRDefault="00D72A54" w:rsidP="00D72A54">
      <w:pPr>
        <w:spacing w:line="276" w:lineRule="auto"/>
        <w:jc w:val="center"/>
        <w:rPr>
          <w:rFonts w:ascii="Arial" w:hAnsi="Arial" w:cs="Arial"/>
          <w:lang w:val="en-GB"/>
        </w:rPr>
      </w:pPr>
      <w:r w:rsidRPr="00865B89">
        <w:rPr>
          <w:rFonts w:ascii="Arial" w:hAnsi="Arial" w:cs="Arial"/>
          <w:b/>
          <w:bCs/>
          <w:lang w:val="en-GB"/>
        </w:rPr>
        <w:t>Figure-1:</w:t>
      </w:r>
      <w:r w:rsidRPr="00865B89">
        <w:rPr>
          <w:rFonts w:ascii="Arial" w:hAnsi="Arial" w:cs="Arial"/>
          <w:lang w:val="en-GB"/>
        </w:rPr>
        <w:t xml:space="preserve"> BLAT tool interface on the UCSC Genome Browser</w:t>
      </w:r>
    </w:p>
    <w:p w14:paraId="190F7D7B" w14:textId="77777777" w:rsidR="00D72A54" w:rsidRPr="00865B89" w:rsidRDefault="00D72A54" w:rsidP="004C24A6">
      <w:pPr>
        <w:spacing w:line="276" w:lineRule="auto"/>
        <w:jc w:val="both"/>
        <w:rPr>
          <w:rFonts w:ascii="Arial" w:hAnsi="Arial" w:cs="Arial"/>
          <w:lang w:val="en-GB"/>
        </w:rPr>
      </w:pPr>
    </w:p>
    <w:p w14:paraId="77F106BF" w14:textId="77777777" w:rsidR="00D72A54" w:rsidRPr="00865B89" w:rsidRDefault="00D72A54" w:rsidP="004C24A6">
      <w:pPr>
        <w:spacing w:line="276" w:lineRule="auto"/>
        <w:jc w:val="both"/>
        <w:rPr>
          <w:rFonts w:ascii="Arial" w:hAnsi="Arial" w:cs="Arial"/>
          <w:lang w:val="en-GB"/>
        </w:rPr>
      </w:pPr>
    </w:p>
    <w:p w14:paraId="69F8D1BD" w14:textId="77777777" w:rsidR="00D72A54" w:rsidRPr="00865B89" w:rsidRDefault="00D72A54" w:rsidP="00D72A54">
      <w:pPr>
        <w:spacing w:line="276" w:lineRule="auto"/>
        <w:jc w:val="both"/>
        <w:rPr>
          <w:rFonts w:ascii="Arial" w:hAnsi="Arial" w:cs="Arial"/>
        </w:rPr>
      </w:pPr>
      <w:r w:rsidRPr="00865B89">
        <w:rPr>
          <w:rFonts w:ascii="Arial" w:hAnsi="Arial" w:cs="Arial"/>
          <w:b/>
          <w:bCs/>
        </w:rPr>
        <w:t>Genome Graphs:</w:t>
      </w:r>
      <w:r w:rsidRPr="00865B89">
        <w:rPr>
          <w:rFonts w:ascii="Arial" w:hAnsi="Arial" w:cs="Arial"/>
        </w:rPr>
        <w:t xml:space="preserve"> The Genome Graphs tool provides an interactive platform for visualizing chromosomal data, enabling users to display the entire genome at once, along with the results of genome-wide association studies (GWAS). This tool offers a wide range of customization options, allowing users to tailor the display according to their needs. Specifically, users can modify the taxonomic classification or "clade" of the organism they are analyzing, select the appropriate genome and assembly type, and adjust graph colors to suit their preferences. [56]</w:t>
      </w:r>
    </w:p>
    <w:p w14:paraId="691F1151" w14:textId="77777777" w:rsidR="00D72A54" w:rsidRPr="00865B89" w:rsidRDefault="00D72A54" w:rsidP="00D72A54">
      <w:pPr>
        <w:spacing w:line="276" w:lineRule="auto"/>
        <w:jc w:val="both"/>
        <w:rPr>
          <w:rFonts w:ascii="Arial" w:hAnsi="Arial" w:cs="Arial"/>
        </w:rPr>
      </w:pPr>
    </w:p>
    <w:p w14:paraId="09933321" w14:textId="77777777" w:rsidR="00D72A54" w:rsidRPr="00865B89" w:rsidRDefault="00D72A54" w:rsidP="00D72A54">
      <w:pPr>
        <w:spacing w:line="276" w:lineRule="auto"/>
        <w:jc w:val="both"/>
        <w:rPr>
          <w:rFonts w:ascii="Arial" w:hAnsi="Arial" w:cs="Arial"/>
        </w:rPr>
      </w:pPr>
      <w:r w:rsidRPr="00865B89">
        <w:rPr>
          <w:rFonts w:ascii="Arial" w:hAnsi="Arial" w:cs="Arial"/>
        </w:rPr>
        <w:t>In addition to these settings, the tool allows for the customization of key parameters such as the significance threshold for GWAS results, enabling users to focus on specific associations or refine their data analysis. Users can either upload their own dataset for visualization or choose from a variety of database-provided assemblies.</w:t>
      </w:r>
    </w:p>
    <w:p w14:paraId="569ADFF6" w14:textId="77777777" w:rsidR="00D72A54" w:rsidRPr="00865B89" w:rsidRDefault="00D72A54" w:rsidP="00D72A54">
      <w:pPr>
        <w:spacing w:line="276" w:lineRule="auto"/>
        <w:jc w:val="both"/>
        <w:rPr>
          <w:rFonts w:ascii="Arial" w:hAnsi="Arial" w:cs="Arial"/>
        </w:rPr>
      </w:pPr>
    </w:p>
    <w:p w14:paraId="6F1D28F1" w14:textId="77777777" w:rsidR="00D72A54" w:rsidRPr="00865B89" w:rsidRDefault="00D72A54" w:rsidP="00D72A54">
      <w:pPr>
        <w:spacing w:line="276" w:lineRule="auto"/>
        <w:jc w:val="both"/>
        <w:rPr>
          <w:rFonts w:ascii="Arial" w:hAnsi="Arial" w:cs="Arial"/>
        </w:rPr>
      </w:pPr>
      <w:r w:rsidRPr="00865B89">
        <w:rPr>
          <w:rFonts w:ascii="Arial" w:hAnsi="Arial" w:cs="Arial"/>
        </w:rPr>
        <w:t>The layout and visual representation of the graph are highly configurable. Users can adjust the graph style, including the appearance of chromosomes and the overall design of the graph, ensuring that it fits their specific requirements. Detailed instructions are available in the Genome Graphs User’s Guide, providing step-by-step guidance on how to utilize the tool’s full range of features for more advanced data analysis and customization. [57]</w:t>
      </w:r>
    </w:p>
    <w:p w14:paraId="4CB888FB" w14:textId="77777777" w:rsidR="00D72A54" w:rsidRPr="00865B89" w:rsidRDefault="00D72A54" w:rsidP="00D72A54">
      <w:pPr>
        <w:spacing w:line="276" w:lineRule="auto"/>
        <w:jc w:val="both"/>
        <w:rPr>
          <w:rFonts w:ascii="Times New Roman" w:hAnsi="Times New Roman"/>
          <w:b/>
          <w:sz w:val="24"/>
        </w:rPr>
      </w:pPr>
      <w:r w:rsidRPr="00865B89">
        <w:rPr>
          <w:rFonts w:ascii="Times New Roman" w:hAnsi="Times New Roman"/>
          <w:b/>
          <w:noProof/>
          <w:sz w:val="24"/>
        </w:rPr>
        <w:lastRenderedPageBreak/>
        <w:drawing>
          <wp:inline distT="0" distB="0" distL="0" distR="0" wp14:anchorId="3E51048E" wp14:editId="45288E3B">
            <wp:extent cx="5731510" cy="2660015"/>
            <wp:effectExtent l="19050" t="19050" r="21590" b="260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2660015"/>
                    </a:xfrm>
                    <a:prstGeom prst="rect">
                      <a:avLst/>
                    </a:prstGeom>
                    <a:ln>
                      <a:solidFill>
                        <a:schemeClr val="tx1"/>
                      </a:solidFill>
                    </a:ln>
                  </pic:spPr>
                </pic:pic>
              </a:graphicData>
            </a:graphic>
          </wp:inline>
        </w:drawing>
      </w:r>
    </w:p>
    <w:p w14:paraId="5E6BE085" w14:textId="5ABD3669" w:rsidR="00D72A54" w:rsidRPr="00865B89" w:rsidRDefault="00D72A54" w:rsidP="00D72A54">
      <w:pPr>
        <w:spacing w:before="240" w:line="276" w:lineRule="auto"/>
        <w:jc w:val="center"/>
        <w:rPr>
          <w:rFonts w:ascii="Arial" w:hAnsi="Arial" w:cs="Arial"/>
        </w:rPr>
      </w:pPr>
      <w:r w:rsidRPr="00865B89">
        <w:rPr>
          <w:rFonts w:ascii="Arial" w:hAnsi="Arial" w:cs="Arial"/>
          <w:b/>
          <w:bCs/>
        </w:rPr>
        <w:t>Figure-2:</w:t>
      </w:r>
      <w:r w:rsidRPr="00865B89">
        <w:rPr>
          <w:rFonts w:ascii="Arial" w:hAnsi="Arial" w:cs="Arial"/>
        </w:rPr>
        <w:t xml:space="preserve"> Genome Graphs tool interface on the UCSC Genome Browser</w:t>
      </w:r>
    </w:p>
    <w:p w14:paraId="00CF004B" w14:textId="77777777" w:rsidR="00D72A54" w:rsidRPr="00865B89" w:rsidRDefault="00D72A54" w:rsidP="00D72A54">
      <w:pPr>
        <w:spacing w:line="276" w:lineRule="auto"/>
        <w:jc w:val="both"/>
        <w:rPr>
          <w:rFonts w:ascii="Times New Roman" w:hAnsi="Times New Roman"/>
          <w:b/>
          <w:sz w:val="24"/>
        </w:rPr>
      </w:pPr>
    </w:p>
    <w:p w14:paraId="6B913843" w14:textId="2170D603" w:rsidR="00D72A54" w:rsidRPr="00865B89" w:rsidRDefault="00D72A54" w:rsidP="00D72A54">
      <w:pPr>
        <w:spacing w:line="276" w:lineRule="auto"/>
        <w:jc w:val="both"/>
        <w:rPr>
          <w:rFonts w:ascii="Arial" w:hAnsi="Arial" w:cs="Arial"/>
        </w:rPr>
      </w:pPr>
      <w:r w:rsidRPr="00865B89">
        <w:rPr>
          <w:rFonts w:ascii="Arial" w:hAnsi="Arial" w:cs="Arial"/>
          <w:b/>
          <w:bCs/>
        </w:rPr>
        <w:t>Lift over:</w:t>
      </w:r>
      <w:r w:rsidRPr="00865B89">
        <w:rPr>
          <w:rFonts w:ascii="Arial" w:hAnsi="Arial" w:cs="Arial"/>
        </w:rPr>
        <w:t xml:space="preserve"> The LiftOver tool is a powerful utility designed to facilitate the conversion of genome coordinates and annotations between different assemblies or across species. It leverages whole-genome alignments to align sequences from one reference genome to another. Users can either input the genome coordinates and annotations manually into a textbox or upload the relevant file for processing. To use the tool, users first select the source genome assembly, followed by the target genome and assembly that they wish to convert the coordinates into. This allows for the efficient transfer of data between different versions of the same genome or even between genomes of different species. [58]</w:t>
      </w:r>
    </w:p>
    <w:p w14:paraId="46434F83" w14:textId="77777777" w:rsidR="00D72A54" w:rsidRPr="00865B89" w:rsidRDefault="00D72A54" w:rsidP="00D72A54">
      <w:pPr>
        <w:spacing w:line="276" w:lineRule="auto"/>
        <w:jc w:val="both"/>
        <w:rPr>
          <w:rFonts w:ascii="Arial" w:hAnsi="Arial" w:cs="Arial"/>
        </w:rPr>
      </w:pPr>
    </w:p>
    <w:p w14:paraId="3D285C66" w14:textId="77777777" w:rsidR="00D72A54" w:rsidRPr="00865B89" w:rsidRDefault="00D72A54" w:rsidP="00D72A54">
      <w:pPr>
        <w:spacing w:line="276" w:lineRule="auto"/>
        <w:jc w:val="both"/>
        <w:rPr>
          <w:rFonts w:ascii="Arial" w:hAnsi="Arial" w:cs="Arial"/>
        </w:rPr>
      </w:pPr>
      <w:r w:rsidRPr="00865B89">
        <w:rPr>
          <w:rFonts w:ascii="Arial" w:hAnsi="Arial" w:cs="Arial"/>
        </w:rPr>
        <w:t>Regions defined by chrom:start-end (typically in BED 4 to BED 6 format): This category allows users to define specific genomic regions by their chromosomal location and start-end coordinates. Customization options for this input include the ability to specify multiple output regions, set the minimum hit size for the query sequence, and define the minimum chain size for the target genome. These settings ensure that only sufficiently mapped regions are considered during the conversion process. [59]</w:t>
      </w:r>
    </w:p>
    <w:p w14:paraId="131BFD5F" w14:textId="77777777" w:rsidR="00D72A54" w:rsidRPr="00865B89" w:rsidRDefault="00D72A54" w:rsidP="00D72A54">
      <w:pPr>
        <w:spacing w:line="276" w:lineRule="auto"/>
        <w:jc w:val="both"/>
        <w:rPr>
          <w:rFonts w:ascii="Arial" w:hAnsi="Arial" w:cs="Arial"/>
        </w:rPr>
      </w:pPr>
    </w:p>
    <w:p w14:paraId="506D8AD9" w14:textId="77777777" w:rsidR="00D72A54" w:rsidRPr="00865B89" w:rsidRDefault="00D72A54" w:rsidP="00D72A54">
      <w:pPr>
        <w:spacing w:line="276" w:lineRule="auto"/>
        <w:jc w:val="both"/>
        <w:rPr>
          <w:rFonts w:ascii="Arial" w:hAnsi="Arial" w:cs="Arial"/>
        </w:rPr>
      </w:pPr>
      <w:r w:rsidRPr="00865B89">
        <w:rPr>
          <w:rFonts w:ascii="Arial" w:hAnsi="Arial" w:cs="Arial"/>
        </w:rPr>
        <w:t>Regions with an exon-intron structure (usually representing transcripts, in BED 12 format): This type is used for more complex genomic data, such as the structure of genes, which includes exons and introns. When using this input type, users can customize parameters such as the minimum ratio of alignment blocks or exons that must be successfully mapped for the conversion to be considered valid. Additionally, if an exon cannot be mapped directly, the tool can be set to use the closest mapped base instead, ensuring that the data remains as accurate as possible despite incomplete mapping. These customization options provide flexibility, allowing users to tailor the conversion process according to the specific requirements of their analysis. Whether dealing with simple coordinate regions or more complex exon-intron data, LiftOver offers a robust solution for transferring genomic information across different assemblies.</w:t>
      </w:r>
    </w:p>
    <w:p w14:paraId="15747FDA" w14:textId="77777777" w:rsidR="00D72A54" w:rsidRPr="00865B89" w:rsidRDefault="00D72A54" w:rsidP="00D72A54">
      <w:pPr>
        <w:spacing w:line="276" w:lineRule="auto"/>
        <w:jc w:val="both"/>
        <w:rPr>
          <w:rFonts w:ascii="Times New Roman" w:hAnsi="Times New Roman"/>
          <w:b/>
          <w:sz w:val="24"/>
        </w:rPr>
      </w:pPr>
      <w:r w:rsidRPr="00865B89">
        <w:rPr>
          <w:rFonts w:ascii="Times New Roman" w:hAnsi="Times New Roman"/>
          <w:b/>
          <w:noProof/>
          <w:sz w:val="24"/>
        </w:rPr>
        <w:lastRenderedPageBreak/>
        <w:drawing>
          <wp:inline distT="0" distB="0" distL="0" distR="0" wp14:anchorId="3FE554AF" wp14:editId="5BEEA2F3">
            <wp:extent cx="5731510" cy="2660015"/>
            <wp:effectExtent l="19050" t="19050" r="2159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31510" cy="2660015"/>
                    </a:xfrm>
                    <a:prstGeom prst="rect">
                      <a:avLst/>
                    </a:prstGeom>
                    <a:ln>
                      <a:solidFill>
                        <a:schemeClr val="tx1"/>
                      </a:solidFill>
                    </a:ln>
                  </pic:spPr>
                </pic:pic>
              </a:graphicData>
            </a:graphic>
          </wp:inline>
        </w:drawing>
      </w:r>
    </w:p>
    <w:p w14:paraId="31597994" w14:textId="77777777" w:rsidR="00D72A54" w:rsidRPr="00865B89" w:rsidRDefault="00D72A54" w:rsidP="00D72A54">
      <w:pPr>
        <w:spacing w:before="240" w:line="276" w:lineRule="auto"/>
        <w:jc w:val="center"/>
        <w:rPr>
          <w:rFonts w:ascii="Arial" w:hAnsi="Arial" w:cs="Arial"/>
        </w:rPr>
      </w:pPr>
      <w:r w:rsidRPr="00865B89">
        <w:rPr>
          <w:rFonts w:ascii="Arial" w:hAnsi="Arial" w:cs="Arial"/>
        </w:rPr>
        <w:t>Figure-3: LiftOver tool interface on the UCSC Genome Browser</w:t>
      </w:r>
    </w:p>
    <w:p w14:paraId="662BB397" w14:textId="77777777" w:rsidR="00D72A54" w:rsidRPr="00865B89" w:rsidRDefault="00D72A54" w:rsidP="00D72A54">
      <w:pPr>
        <w:spacing w:line="276" w:lineRule="auto"/>
        <w:jc w:val="both"/>
        <w:rPr>
          <w:rFonts w:ascii="Arial" w:hAnsi="Arial" w:cs="Arial"/>
        </w:rPr>
      </w:pPr>
    </w:p>
    <w:p w14:paraId="23A55F09" w14:textId="77777777" w:rsidR="00D72A54" w:rsidRPr="00865B89" w:rsidRDefault="00D72A54" w:rsidP="00D72A54">
      <w:pPr>
        <w:spacing w:after="240" w:line="276" w:lineRule="auto"/>
        <w:jc w:val="both"/>
        <w:rPr>
          <w:rFonts w:ascii="Arial" w:hAnsi="Arial" w:cs="Arial"/>
          <w:b/>
          <w:bCs/>
        </w:rPr>
      </w:pPr>
      <w:r w:rsidRPr="00865B89">
        <w:rPr>
          <w:rFonts w:ascii="Arial" w:hAnsi="Arial" w:cs="Arial"/>
          <w:b/>
          <w:bCs/>
        </w:rPr>
        <w:t>The Python APIs</w:t>
      </w:r>
    </w:p>
    <w:p w14:paraId="3F76ACBB" w14:textId="1A3B9871" w:rsidR="00D72A54" w:rsidRPr="00865B89" w:rsidRDefault="00D72A54" w:rsidP="00D72A54">
      <w:pPr>
        <w:spacing w:line="276" w:lineRule="auto"/>
        <w:jc w:val="both"/>
        <w:rPr>
          <w:rFonts w:ascii="Arial" w:hAnsi="Arial" w:cs="Arial"/>
        </w:rPr>
      </w:pPr>
      <w:r w:rsidRPr="00865B89">
        <w:rPr>
          <w:rFonts w:ascii="Arial" w:hAnsi="Arial" w:cs="Arial"/>
        </w:rPr>
        <w:t>UCSC Genome Browser provides a suite of Python-compatible interfaces, enabling researchers to programmatically interact with genomic data and annotations. These interfaces facilitate a wide range of tasks, from automation to integration into computational pipelines, offering more flexibility and scalability than the graphical user interface. By utilizing these Python interfaces, researchers can efficiently access genomic resources, enhance their analysis capabilities, and streamline large-scale bioinformatics workflows. At the heart of this programmatic access is the UCSC REST API, a primary tool for querying genomic data over HTTP. This API enables users to retrieve key genomic information, such as nucleotide sequences, gene annotations, and variant data, by sending HTTP requests to specified endpoints. Although the UCSC REST API is language-agnostic, Python developers can integrate it into their workflows with ease, particularly by leveraging the popular Python library “Requests.” Additionally, community-contributed Python wrappers and tools further simplify the interaction with the API, making it accessible and practical for use in bioinformatics applications. [60]</w:t>
      </w:r>
    </w:p>
    <w:p w14:paraId="44136460" w14:textId="77777777" w:rsidR="00D72A54" w:rsidRPr="00865B89" w:rsidRDefault="00D72A54" w:rsidP="00D72A54">
      <w:pPr>
        <w:spacing w:line="276" w:lineRule="auto"/>
        <w:jc w:val="both"/>
        <w:rPr>
          <w:rFonts w:ascii="Arial" w:hAnsi="Arial" w:cs="Arial"/>
        </w:rPr>
      </w:pPr>
    </w:p>
    <w:p w14:paraId="46CD4E10" w14:textId="77777777" w:rsidR="00D72A54" w:rsidRPr="00865B89" w:rsidRDefault="00D72A54" w:rsidP="00D72A54">
      <w:pPr>
        <w:spacing w:line="276" w:lineRule="auto"/>
        <w:jc w:val="both"/>
        <w:rPr>
          <w:rFonts w:ascii="Arial" w:hAnsi="Arial" w:cs="Arial"/>
        </w:rPr>
      </w:pPr>
      <w:r w:rsidRPr="00865B89">
        <w:rPr>
          <w:rFonts w:ascii="Arial" w:hAnsi="Arial" w:cs="Arial"/>
        </w:rPr>
        <w:t>Key use cases for the UCSC REST API in Python-based bioinformatics include:</w:t>
      </w:r>
    </w:p>
    <w:p w14:paraId="5C05F08D" w14:textId="77777777" w:rsidR="00D72A54" w:rsidRPr="00865B89" w:rsidRDefault="00D72A54" w:rsidP="00D72A54">
      <w:pPr>
        <w:spacing w:line="276" w:lineRule="auto"/>
        <w:jc w:val="both"/>
        <w:rPr>
          <w:rFonts w:ascii="Arial" w:hAnsi="Arial" w:cs="Arial"/>
        </w:rPr>
      </w:pPr>
    </w:p>
    <w:p w14:paraId="4D388445" w14:textId="77777777" w:rsidR="00D72A54" w:rsidRPr="00865B89" w:rsidRDefault="00D72A54" w:rsidP="00D72A54">
      <w:pPr>
        <w:pStyle w:val="ListParagraph"/>
        <w:numPr>
          <w:ilvl w:val="0"/>
          <w:numId w:val="44"/>
        </w:numPr>
        <w:spacing w:after="160" w:line="276" w:lineRule="auto"/>
        <w:jc w:val="both"/>
        <w:rPr>
          <w:rFonts w:ascii="Arial" w:hAnsi="Arial" w:cs="Arial"/>
        </w:rPr>
      </w:pPr>
      <w:r w:rsidRPr="00865B89">
        <w:rPr>
          <w:rFonts w:ascii="Arial" w:hAnsi="Arial" w:cs="Arial"/>
          <w:b/>
          <w:bCs/>
        </w:rPr>
        <w:t>Sequence Retrieval:</w:t>
      </w:r>
      <w:r w:rsidRPr="00865B89">
        <w:rPr>
          <w:rFonts w:ascii="Arial" w:hAnsi="Arial" w:cs="Arial"/>
        </w:rPr>
        <w:t xml:space="preserve"> The API allows users to download nucleotide sequences from specific genomic coordinates. This functionality is crucial for tasks such as sequence analysis, primer design, and comparing different regions of the genome. [61]</w:t>
      </w:r>
    </w:p>
    <w:p w14:paraId="0C371759" w14:textId="77777777" w:rsidR="00D72A54" w:rsidRPr="00865B89" w:rsidRDefault="00D72A54" w:rsidP="00D72A54">
      <w:pPr>
        <w:pStyle w:val="ListParagraph"/>
        <w:numPr>
          <w:ilvl w:val="0"/>
          <w:numId w:val="44"/>
        </w:numPr>
        <w:spacing w:after="160" w:line="276" w:lineRule="auto"/>
        <w:jc w:val="both"/>
        <w:rPr>
          <w:rFonts w:ascii="Arial" w:hAnsi="Arial" w:cs="Arial"/>
        </w:rPr>
      </w:pPr>
      <w:r w:rsidRPr="00865B89">
        <w:rPr>
          <w:rFonts w:ascii="Arial" w:hAnsi="Arial" w:cs="Arial"/>
          <w:b/>
          <w:bCs/>
        </w:rPr>
        <w:t>Gene Annotation Access:</w:t>
      </w:r>
      <w:r w:rsidRPr="00865B89">
        <w:rPr>
          <w:rFonts w:ascii="Arial" w:hAnsi="Arial" w:cs="Arial"/>
        </w:rPr>
        <w:t xml:space="preserve"> Researchers can use the API to access comprehensive gene annotation data, including curated datasets from RefSeq, GENCODE, and other gene tables. This makes it possible to retrieve gene structures, exon/intron boundaries, and regulatory features in a standardized format. [62] </w:t>
      </w:r>
    </w:p>
    <w:p w14:paraId="3887615D" w14:textId="77777777" w:rsidR="00D72A54" w:rsidRPr="00865B89" w:rsidRDefault="00D72A54" w:rsidP="00D72A54">
      <w:pPr>
        <w:pStyle w:val="ListParagraph"/>
        <w:numPr>
          <w:ilvl w:val="0"/>
          <w:numId w:val="44"/>
        </w:numPr>
        <w:spacing w:after="160" w:line="276" w:lineRule="auto"/>
        <w:jc w:val="both"/>
        <w:rPr>
          <w:rFonts w:ascii="Arial" w:hAnsi="Arial" w:cs="Arial"/>
        </w:rPr>
      </w:pPr>
      <w:r w:rsidRPr="00865B89">
        <w:rPr>
          <w:rFonts w:ascii="Arial" w:hAnsi="Arial" w:cs="Arial"/>
          <w:b/>
          <w:bCs/>
        </w:rPr>
        <w:lastRenderedPageBreak/>
        <w:t>Variation Data Queries:</w:t>
      </w:r>
      <w:r w:rsidRPr="00865B89">
        <w:rPr>
          <w:rFonts w:ascii="Arial" w:hAnsi="Arial" w:cs="Arial"/>
        </w:rPr>
        <w:t xml:space="preserve"> The API can also be used to query variation data, such as SNPs (single nucleotide polymorphisms), insertions, or structural variants. Researchers can extract this information for specific genomic regions, helping to identify genetic variants linked to diseases or traits. [63] </w:t>
      </w:r>
    </w:p>
    <w:p w14:paraId="3CAEF0D2" w14:textId="77777777" w:rsidR="00D72A54" w:rsidRPr="00865B89" w:rsidRDefault="00D72A54" w:rsidP="00D72A54">
      <w:pPr>
        <w:pStyle w:val="ListParagraph"/>
        <w:numPr>
          <w:ilvl w:val="0"/>
          <w:numId w:val="44"/>
        </w:numPr>
        <w:spacing w:after="160" w:line="276" w:lineRule="auto"/>
        <w:jc w:val="both"/>
        <w:rPr>
          <w:rFonts w:ascii="Arial" w:hAnsi="Arial" w:cs="Arial"/>
        </w:rPr>
      </w:pPr>
      <w:r w:rsidRPr="00865B89">
        <w:rPr>
          <w:rFonts w:ascii="Arial" w:hAnsi="Arial" w:cs="Arial"/>
          <w:b/>
          <w:bCs/>
        </w:rPr>
        <w:t>Track Information Extraction:</w:t>
      </w:r>
      <w:r w:rsidRPr="00865B89">
        <w:rPr>
          <w:rFonts w:ascii="Arial" w:hAnsi="Arial" w:cs="Arial"/>
        </w:rPr>
        <w:t xml:space="preserve"> Users can obtain detailed metadata about available genomic tracks, including the type of data, annotations, and formats for a given genome build. This capability is particularly useful for visualizing and analyzing large genomic datasets with multiple tracks, such as gene expression levels or epigenetic modifications.</w:t>
      </w:r>
    </w:p>
    <w:p w14:paraId="1E597F6F" w14:textId="77777777" w:rsidR="00D72A54" w:rsidRPr="00865B89" w:rsidRDefault="00D72A54" w:rsidP="00D72A54">
      <w:pPr>
        <w:pStyle w:val="ListParagraph"/>
        <w:numPr>
          <w:ilvl w:val="0"/>
          <w:numId w:val="44"/>
        </w:numPr>
        <w:spacing w:after="160" w:line="276" w:lineRule="auto"/>
        <w:jc w:val="both"/>
        <w:rPr>
          <w:rFonts w:ascii="Arial" w:hAnsi="Arial" w:cs="Arial"/>
        </w:rPr>
      </w:pPr>
      <w:r w:rsidRPr="00865B89">
        <w:rPr>
          <w:rFonts w:ascii="Arial" w:hAnsi="Arial" w:cs="Arial"/>
          <w:b/>
          <w:bCs/>
        </w:rPr>
        <w:t>Pipeline Integration:</w:t>
      </w:r>
      <w:r w:rsidRPr="00865B89">
        <w:rPr>
          <w:rFonts w:ascii="Arial" w:hAnsi="Arial" w:cs="Arial"/>
        </w:rPr>
        <w:t xml:space="preserve"> The UCSC REST API is an excellent tool for automating queries within larger bioinformatics workflows. Researchers can integrate it with pipeline management systems like Snakemake or use it within Jupyter Notebooks for interactive, reproducible genomic analysis. By automating queries and data retrieval, the API supports high-throughput genomics tasks and comparative analysis across multiple genomes or datasets.</w:t>
      </w:r>
    </w:p>
    <w:p w14:paraId="6A7A8250" w14:textId="77777777" w:rsidR="00D72A54" w:rsidRPr="00865B89" w:rsidRDefault="00D72A54" w:rsidP="00D72A54">
      <w:pPr>
        <w:spacing w:line="276" w:lineRule="auto"/>
        <w:jc w:val="both"/>
        <w:rPr>
          <w:rFonts w:ascii="Arial" w:hAnsi="Arial" w:cs="Arial"/>
        </w:rPr>
      </w:pPr>
      <w:r w:rsidRPr="00865B89">
        <w:rPr>
          <w:rFonts w:ascii="Arial" w:hAnsi="Arial" w:cs="Arial"/>
        </w:rPr>
        <w:t xml:space="preserve">These features make the UCSC REST API highly versatile for applications like building custom genomic dashboards, creating automated annotation pipelines, and conducting large-scale genomic analysis. By leveraging the UCSC Genome Browser's programmatic capabilities, Python developers can significantly enhance the efficiency and accessibility of their bioinformatics research. [64] </w:t>
      </w:r>
    </w:p>
    <w:p w14:paraId="3B72C0A1" w14:textId="77777777" w:rsidR="00D72A54" w:rsidRPr="00865B89" w:rsidRDefault="00D72A54" w:rsidP="00D72A54">
      <w:pPr>
        <w:spacing w:line="276" w:lineRule="auto"/>
        <w:jc w:val="both"/>
        <w:rPr>
          <w:rFonts w:ascii="Arial" w:hAnsi="Arial" w:cs="Arial"/>
        </w:rPr>
      </w:pPr>
    </w:p>
    <w:p w14:paraId="78E631B8" w14:textId="77777777" w:rsidR="00D72A54" w:rsidRPr="00865B89" w:rsidRDefault="00D72A54" w:rsidP="00D72A54">
      <w:pPr>
        <w:pBdr>
          <w:top w:val="single" w:sz="4" w:space="1" w:color="auto"/>
          <w:left w:val="single" w:sz="4" w:space="4" w:color="auto"/>
          <w:bottom w:val="single" w:sz="4" w:space="1" w:color="auto"/>
          <w:right w:val="single" w:sz="4" w:space="0" w:color="auto"/>
        </w:pBdr>
        <w:shd w:val="clear" w:color="auto" w:fill="FFFFFF"/>
        <w:spacing w:line="276" w:lineRule="auto"/>
        <w:rPr>
          <w:rFonts w:ascii="Courier New" w:hAnsi="Courier New" w:cs="Courier New"/>
          <w:color w:val="000000"/>
          <w:lang w:eastAsia="en-IN"/>
        </w:rPr>
      </w:pPr>
      <w:r w:rsidRPr="00865B89">
        <w:rPr>
          <w:rFonts w:ascii="Courier New" w:hAnsi="Courier New" w:cs="Courier New"/>
          <w:b/>
          <w:bCs/>
          <w:color w:val="0000FF"/>
          <w:lang w:eastAsia="en-IN"/>
        </w:rPr>
        <w:t>import</w:t>
      </w:r>
      <w:r w:rsidRPr="00865B89">
        <w:rPr>
          <w:rFonts w:ascii="Courier New" w:hAnsi="Courier New" w:cs="Courier New"/>
          <w:color w:val="000000"/>
          <w:lang w:eastAsia="en-IN"/>
        </w:rPr>
        <w:t xml:space="preserve"> requests</w:t>
      </w:r>
    </w:p>
    <w:p w14:paraId="320E46F2" w14:textId="77777777" w:rsidR="00D72A54" w:rsidRPr="00865B89" w:rsidRDefault="00D72A54" w:rsidP="00D72A54">
      <w:pPr>
        <w:pBdr>
          <w:top w:val="single" w:sz="4" w:space="1" w:color="auto"/>
          <w:left w:val="single" w:sz="4" w:space="4" w:color="auto"/>
          <w:bottom w:val="single" w:sz="4" w:space="1" w:color="auto"/>
          <w:right w:val="single" w:sz="4" w:space="0" w:color="auto"/>
        </w:pBdr>
        <w:shd w:val="clear" w:color="auto" w:fill="FFFFFF"/>
        <w:spacing w:line="276" w:lineRule="auto"/>
        <w:rPr>
          <w:rFonts w:ascii="Courier New" w:hAnsi="Courier New" w:cs="Courier New"/>
          <w:color w:val="000000"/>
          <w:lang w:eastAsia="en-IN"/>
        </w:rPr>
      </w:pPr>
      <w:r w:rsidRPr="00865B89">
        <w:rPr>
          <w:rFonts w:ascii="Courier New" w:hAnsi="Courier New" w:cs="Courier New"/>
          <w:color w:val="008000"/>
          <w:lang w:eastAsia="en-IN"/>
        </w:rPr>
        <w:t># Define endpoint and parameters</w:t>
      </w:r>
    </w:p>
    <w:p w14:paraId="68C4895A" w14:textId="77777777" w:rsidR="00D72A54" w:rsidRPr="00865B89" w:rsidRDefault="00D72A54" w:rsidP="00D72A54">
      <w:pPr>
        <w:pBdr>
          <w:top w:val="single" w:sz="4" w:space="1" w:color="auto"/>
          <w:left w:val="single" w:sz="4" w:space="4" w:color="auto"/>
          <w:bottom w:val="single" w:sz="4" w:space="1" w:color="auto"/>
          <w:right w:val="single" w:sz="4" w:space="0" w:color="auto"/>
        </w:pBdr>
        <w:shd w:val="clear" w:color="auto" w:fill="FFFFFF"/>
        <w:spacing w:line="276" w:lineRule="auto"/>
        <w:rPr>
          <w:rFonts w:ascii="Courier New" w:hAnsi="Courier New" w:cs="Courier New"/>
          <w:color w:val="000000"/>
          <w:lang w:eastAsia="en-IN"/>
        </w:rPr>
      </w:pPr>
      <w:r w:rsidRPr="00865B89">
        <w:rPr>
          <w:rFonts w:ascii="Courier New" w:hAnsi="Courier New" w:cs="Courier New"/>
          <w:color w:val="000000"/>
          <w:lang w:eastAsia="en-IN"/>
        </w:rPr>
        <w:t xml:space="preserve">url </w:t>
      </w:r>
      <w:r w:rsidRPr="00865B89">
        <w:rPr>
          <w:rFonts w:ascii="Courier New" w:hAnsi="Courier New" w:cs="Courier New"/>
          <w:b/>
          <w:bCs/>
          <w:color w:val="000080"/>
          <w:lang w:eastAsia="en-IN"/>
        </w:rPr>
        <w:t>=</w:t>
      </w:r>
      <w:r w:rsidRPr="00865B89">
        <w:rPr>
          <w:rFonts w:ascii="Courier New" w:hAnsi="Courier New" w:cs="Courier New"/>
          <w:color w:val="000000"/>
          <w:lang w:eastAsia="en-IN"/>
        </w:rPr>
        <w:t xml:space="preserve"> </w:t>
      </w:r>
      <w:r w:rsidRPr="00865B89">
        <w:rPr>
          <w:rFonts w:ascii="Courier New" w:hAnsi="Courier New" w:cs="Courier New"/>
          <w:color w:val="808080"/>
          <w:lang w:eastAsia="en-IN"/>
        </w:rPr>
        <w:t>"https://api.genome.ucsc.edu/getData/sequence"</w:t>
      </w:r>
    </w:p>
    <w:p w14:paraId="56D640EC" w14:textId="77777777" w:rsidR="00D72A54" w:rsidRPr="00865B89" w:rsidRDefault="00D72A54" w:rsidP="00D72A54">
      <w:pPr>
        <w:pBdr>
          <w:top w:val="single" w:sz="4" w:space="1" w:color="auto"/>
          <w:left w:val="single" w:sz="4" w:space="4" w:color="auto"/>
          <w:bottom w:val="single" w:sz="4" w:space="1" w:color="auto"/>
          <w:right w:val="single" w:sz="4" w:space="0" w:color="auto"/>
        </w:pBdr>
        <w:shd w:val="clear" w:color="auto" w:fill="FFFFFF"/>
        <w:spacing w:line="276" w:lineRule="auto"/>
        <w:rPr>
          <w:rFonts w:ascii="Courier New" w:hAnsi="Courier New" w:cs="Courier New"/>
          <w:color w:val="000000"/>
          <w:lang w:eastAsia="en-IN"/>
        </w:rPr>
      </w:pPr>
      <w:r w:rsidRPr="00865B89">
        <w:rPr>
          <w:rFonts w:ascii="Courier New" w:hAnsi="Courier New" w:cs="Courier New"/>
          <w:color w:val="000000"/>
          <w:lang w:eastAsia="en-IN"/>
        </w:rPr>
        <w:t xml:space="preserve">params </w:t>
      </w:r>
      <w:r w:rsidRPr="00865B89">
        <w:rPr>
          <w:rFonts w:ascii="Courier New" w:hAnsi="Courier New" w:cs="Courier New"/>
          <w:b/>
          <w:bCs/>
          <w:color w:val="000080"/>
          <w:lang w:eastAsia="en-IN"/>
        </w:rPr>
        <w:t>=</w:t>
      </w:r>
      <w:r w:rsidRPr="00865B89">
        <w:rPr>
          <w:rFonts w:ascii="Courier New" w:hAnsi="Courier New" w:cs="Courier New"/>
          <w:color w:val="000000"/>
          <w:lang w:eastAsia="en-IN"/>
        </w:rPr>
        <w:t xml:space="preserve"> </w:t>
      </w:r>
      <w:r w:rsidRPr="00865B89">
        <w:rPr>
          <w:rFonts w:ascii="Courier New" w:hAnsi="Courier New" w:cs="Courier New"/>
          <w:b/>
          <w:bCs/>
          <w:color w:val="000080"/>
          <w:lang w:eastAsia="en-IN"/>
        </w:rPr>
        <w:t>{</w:t>
      </w:r>
    </w:p>
    <w:p w14:paraId="748587E8" w14:textId="77777777" w:rsidR="00D72A54" w:rsidRPr="00865B89" w:rsidRDefault="00D72A54" w:rsidP="00D72A54">
      <w:pPr>
        <w:pBdr>
          <w:top w:val="single" w:sz="4" w:space="1" w:color="auto"/>
          <w:left w:val="single" w:sz="4" w:space="4" w:color="auto"/>
          <w:bottom w:val="single" w:sz="4" w:space="1" w:color="auto"/>
          <w:right w:val="single" w:sz="4" w:space="0" w:color="auto"/>
        </w:pBdr>
        <w:shd w:val="clear" w:color="auto" w:fill="FFFFFF"/>
        <w:spacing w:line="276" w:lineRule="auto"/>
        <w:rPr>
          <w:rFonts w:ascii="Courier New" w:hAnsi="Courier New" w:cs="Courier New"/>
          <w:color w:val="000000"/>
          <w:lang w:eastAsia="en-IN"/>
        </w:rPr>
      </w:pPr>
      <w:r w:rsidRPr="00865B89">
        <w:rPr>
          <w:rFonts w:ascii="Courier New" w:hAnsi="Courier New" w:cs="Courier New"/>
          <w:color w:val="000000"/>
          <w:lang w:eastAsia="en-IN"/>
        </w:rPr>
        <w:t xml:space="preserve">    </w:t>
      </w:r>
      <w:r w:rsidRPr="00865B89">
        <w:rPr>
          <w:rFonts w:ascii="Courier New" w:hAnsi="Courier New" w:cs="Courier New"/>
          <w:color w:val="808080"/>
          <w:lang w:eastAsia="en-IN"/>
        </w:rPr>
        <w:t>"genome"</w:t>
      </w:r>
      <w:r w:rsidRPr="00865B89">
        <w:rPr>
          <w:rFonts w:ascii="Courier New" w:hAnsi="Courier New" w:cs="Courier New"/>
          <w:b/>
          <w:bCs/>
          <w:color w:val="000080"/>
          <w:lang w:eastAsia="en-IN"/>
        </w:rPr>
        <w:t>:</w:t>
      </w:r>
      <w:r w:rsidRPr="00865B89">
        <w:rPr>
          <w:rFonts w:ascii="Courier New" w:hAnsi="Courier New" w:cs="Courier New"/>
          <w:color w:val="000000"/>
          <w:lang w:eastAsia="en-IN"/>
        </w:rPr>
        <w:t xml:space="preserve"> </w:t>
      </w:r>
      <w:r w:rsidRPr="00865B89">
        <w:rPr>
          <w:rFonts w:ascii="Courier New" w:hAnsi="Courier New" w:cs="Courier New"/>
          <w:color w:val="808080"/>
          <w:lang w:eastAsia="en-IN"/>
        </w:rPr>
        <w:t>"hg38"</w:t>
      </w:r>
      <w:r w:rsidRPr="00865B89">
        <w:rPr>
          <w:rFonts w:ascii="Courier New" w:hAnsi="Courier New" w:cs="Courier New"/>
          <w:b/>
          <w:bCs/>
          <w:color w:val="000080"/>
          <w:lang w:eastAsia="en-IN"/>
        </w:rPr>
        <w:t>,</w:t>
      </w:r>
    </w:p>
    <w:p w14:paraId="41BBB7E2" w14:textId="77777777" w:rsidR="00D72A54" w:rsidRPr="00865B89" w:rsidRDefault="00D72A54" w:rsidP="00D72A54">
      <w:pPr>
        <w:pBdr>
          <w:top w:val="single" w:sz="4" w:space="1" w:color="auto"/>
          <w:left w:val="single" w:sz="4" w:space="4" w:color="auto"/>
          <w:bottom w:val="single" w:sz="4" w:space="1" w:color="auto"/>
          <w:right w:val="single" w:sz="4" w:space="0" w:color="auto"/>
        </w:pBdr>
        <w:shd w:val="clear" w:color="auto" w:fill="FFFFFF"/>
        <w:spacing w:line="276" w:lineRule="auto"/>
        <w:rPr>
          <w:rFonts w:ascii="Courier New" w:hAnsi="Courier New" w:cs="Courier New"/>
          <w:color w:val="000000"/>
          <w:lang w:eastAsia="en-IN"/>
        </w:rPr>
      </w:pPr>
      <w:r w:rsidRPr="00865B89">
        <w:rPr>
          <w:rFonts w:ascii="Courier New" w:hAnsi="Courier New" w:cs="Courier New"/>
          <w:color w:val="000000"/>
          <w:lang w:eastAsia="en-IN"/>
        </w:rPr>
        <w:t xml:space="preserve">    </w:t>
      </w:r>
      <w:r w:rsidRPr="00865B89">
        <w:rPr>
          <w:rFonts w:ascii="Courier New" w:hAnsi="Courier New" w:cs="Courier New"/>
          <w:color w:val="808080"/>
          <w:lang w:eastAsia="en-IN"/>
        </w:rPr>
        <w:t>"chrom"</w:t>
      </w:r>
      <w:r w:rsidRPr="00865B89">
        <w:rPr>
          <w:rFonts w:ascii="Courier New" w:hAnsi="Courier New" w:cs="Courier New"/>
          <w:b/>
          <w:bCs/>
          <w:color w:val="000080"/>
          <w:lang w:eastAsia="en-IN"/>
        </w:rPr>
        <w:t>:</w:t>
      </w:r>
      <w:r w:rsidRPr="00865B89">
        <w:rPr>
          <w:rFonts w:ascii="Courier New" w:hAnsi="Courier New" w:cs="Courier New"/>
          <w:color w:val="000000"/>
          <w:lang w:eastAsia="en-IN"/>
        </w:rPr>
        <w:t xml:space="preserve"> </w:t>
      </w:r>
      <w:r w:rsidRPr="00865B89">
        <w:rPr>
          <w:rFonts w:ascii="Courier New" w:hAnsi="Courier New" w:cs="Courier New"/>
          <w:color w:val="808080"/>
          <w:lang w:eastAsia="en-IN"/>
        </w:rPr>
        <w:t>"chr2"</w:t>
      </w:r>
      <w:r w:rsidRPr="00865B89">
        <w:rPr>
          <w:rFonts w:ascii="Courier New" w:hAnsi="Courier New" w:cs="Courier New"/>
          <w:b/>
          <w:bCs/>
          <w:color w:val="000080"/>
          <w:lang w:eastAsia="en-IN"/>
        </w:rPr>
        <w:t>,</w:t>
      </w:r>
    </w:p>
    <w:p w14:paraId="598A2275" w14:textId="77777777" w:rsidR="00D72A54" w:rsidRPr="00865B89" w:rsidRDefault="00D72A54" w:rsidP="00D72A54">
      <w:pPr>
        <w:pBdr>
          <w:top w:val="single" w:sz="4" w:space="1" w:color="auto"/>
          <w:left w:val="single" w:sz="4" w:space="4" w:color="auto"/>
          <w:bottom w:val="single" w:sz="4" w:space="1" w:color="auto"/>
          <w:right w:val="single" w:sz="4" w:space="0" w:color="auto"/>
        </w:pBdr>
        <w:shd w:val="clear" w:color="auto" w:fill="FFFFFF"/>
        <w:spacing w:line="276" w:lineRule="auto"/>
        <w:rPr>
          <w:rFonts w:ascii="Courier New" w:hAnsi="Courier New" w:cs="Courier New"/>
          <w:color w:val="000000"/>
          <w:lang w:eastAsia="en-IN"/>
        </w:rPr>
      </w:pPr>
      <w:r w:rsidRPr="00865B89">
        <w:rPr>
          <w:rFonts w:ascii="Courier New" w:hAnsi="Courier New" w:cs="Courier New"/>
          <w:color w:val="000000"/>
          <w:lang w:eastAsia="en-IN"/>
        </w:rPr>
        <w:t xml:space="preserve">    </w:t>
      </w:r>
      <w:r w:rsidRPr="00865B89">
        <w:rPr>
          <w:rFonts w:ascii="Courier New" w:hAnsi="Courier New" w:cs="Courier New"/>
          <w:color w:val="808080"/>
          <w:lang w:eastAsia="en-IN"/>
        </w:rPr>
        <w:t>"start"</w:t>
      </w:r>
      <w:r w:rsidRPr="00865B89">
        <w:rPr>
          <w:rFonts w:ascii="Courier New" w:hAnsi="Courier New" w:cs="Courier New"/>
          <w:b/>
          <w:bCs/>
          <w:color w:val="000080"/>
          <w:lang w:eastAsia="en-IN"/>
        </w:rPr>
        <w:t>:</w:t>
      </w:r>
      <w:r w:rsidRPr="00865B89">
        <w:rPr>
          <w:rFonts w:ascii="Courier New" w:hAnsi="Courier New" w:cs="Courier New"/>
          <w:color w:val="000000"/>
          <w:lang w:eastAsia="en-IN"/>
        </w:rPr>
        <w:t xml:space="preserve"> </w:t>
      </w:r>
      <w:r w:rsidRPr="00865B89">
        <w:rPr>
          <w:rFonts w:ascii="Courier New" w:hAnsi="Courier New" w:cs="Courier New"/>
          <w:color w:val="FF0000"/>
          <w:lang w:eastAsia="en-IN"/>
        </w:rPr>
        <w:t>2000000</w:t>
      </w:r>
      <w:r w:rsidRPr="00865B89">
        <w:rPr>
          <w:rFonts w:ascii="Courier New" w:hAnsi="Courier New" w:cs="Courier New"/>
          <w:b/>
          <w:bCs/>
          <w:color w:val="000080"/>
          <w:lang w:eastAsia="en-IN"/>
        </w:rPr>
        <w:t>,</w:t>
      </w:r>
    </w:p>
    <w:p w14:paraId="2358B5AD" w14:textId="77777777" w:rsidR="00D72A54" w:rsidRPr="00865B89" w:rsidRDefault="00D72A54" w:rsidP="00D72A54">
      <w:pPr>
        <w:pBdr>
          <w:top w:val="single" w:sz="4" w:space="1" w:color="auto"/>
          <w:left w:val="single" w:sz="4" w:space="4" w:color="auto"/>
          <w:bottom w:val="single" w:sz="4" w:space="1" w:color="auto"/>
          <w:right w:val="single" w:sz="4" w:space="0" w:color="auto"/>
        </w:pBdr>
        <w:shd w:val="clear" w:color="auto" w:fill="FFFFFF"/>
        <w:spacing w:line="276" w:lineRule="auto"/>
        <w:rPr>
          <w:rFonts w:ascii="Courier New" w:hAnsi="Courier New" w:cs="Courier New"/>
          <w:color w:val="000000"/>
          <w:lang w:eastAsia="en-IN"/>
        </w:rPr>
      </w:pPr>
      <w:r w:rsidRPr="00865B89">
        <w:rPr>
          <w:rFonts w:ascii="Courier New" w:hAnsi="Courier New" w:cs="Courier New"/>
          <w:color w:val="000000"/>
          <w:lang w:eastAsia="en-IN"/>
        </w:rPr>
        <w:t xml:space="preserve">    </w:t>
      </w:r>
      <w:r w:rsidRPr="00865B89">
        <w:rPr>
          <w:rFonts w:ascii="Courier New" w:hAnsi="Courier New" w:cs="Courier New"/>
          <w:color w:val="808080"/>
          <w:lang w:eastAsia="en-IN"/>
        </w:rPr>
        <w:t>"end"</w:t>
      </w:r>
      <w:r w:rsidRPr="00865B89">
        <w:rPr>
          <w:rFonts w:ascii="Courier New" w:hAnsi="Courier New" w:cs="Courier New"/>
          <w:b/>
          <w:bCs/>
          <w:color w:val="000080"/>
          <w:lang w:eastAsia="en-IN"/>
        </w:rPr>
        <w:t>:</w:t>
      </w:r>
      <w:r w:rsidRPr="00865B89">
        <w:rPr>
          <w:rFonts w:ascii="Courier New" w:hAnsi="Courier New" w:cs="Courier New"/>
          <w:color w:val="000000"/>
          <w:lang w:eastAsia="en-IN"/>
        </w:rPr>
        <w:t xml:space="preserve"> </w:t>
      </w:r>
      <w:r w:rsidRPr="00865B89">
        <w:rPr>
          <w:rFonts w:ascii="Courier New" w:hAnsi="Courier New" w:cs="Courier New"/>
          <w:color w:val="FF0000"/>
          <w:lang w:eastAsia="en-IN"/>
        </w:rPr>
        <w:t>2000100</w:t>
      </w:r>
    </w:p>
    <w:p w14:paraId="1D3E7927" w14:textId="77777777" w:rsidR="00D72A54" w:rsidRPr="00865B89" w:rsidRDefault="00D72A54" w:rsidP="00D72A54">
      <w:pPr>
        <w:pBdr>
          <w:top w:val="single" w:sz="4" w:space="1" w:color="auto"/>
          <w:left w:val="single" w:sz="4" w:space="4" w:color="auto"/>
          <w:bottom w:val="single" w:sz="4" w:space="1" w:color="auto"/>
          <w:right w:val="single" w:sz="4" w:space="0" w:color="auto"/>
        </w:pBdr>
        <w:shd w:val="clear" w:color="auto" w:fill="FFFFFF"/>
        <w:spacing w:line="276" w:lineRule="auto"/>
        <w:rPr>
          <w:rFonts w:ascii="Courier New" w:hAnsi="Courier New" w:cs="Courier New"/>
          <w:color w:val="000000"/>
          <w:lang w:eastAsia="en-IN"/>
        </w:rPr>
      </w:pPr>
      <w:r w:rsidRPr="00865B89">
        <w:rPr>
          <w:rFonts w:ascii="Courier New" w:hAnsi="Courier New" w:cs="Courier New"/>
          <w:b/>
          <w:bCs/>
          <w:color w:val="000080"/>
          <w:lang w:eastAsia="en-IN"/>
        </w:rPr>
        <w:t>}</w:t>
      </w:r>
    </w:p>
    <w:p w14:paraId="00BA95B4" w14:textId="77777777" w:rsidR="00D72A54" w:rsidRPr="00865B89" w:rsidRDefault="00D72A54" w:rsidP="00D72A54">
      <w:pPr>
        <w:pBdr>
          <w:top w:val="single" w:sz="4" w:space="1" w:color="auto"/>
          <w:left w:val="single" w:sz="4" w:space="4" w:color="auto"/>
          <w:bottom w:val="single" w:sz="4" w:space="1" w:color="auto"/>
          <w:right w:val="single" w:sz="4" w:space="0" w:color="auto"/>
        </w:pBdr>
        <w:shd w:val="clear" w:color="auto" w:fill="FFFFFF"/>
        <w:spacing w:line="276" w:lineRule="auto"/>
        <w:rPr>
          <w:rFonts w:ascii="Courier New" w:hAnsi="Courier New" w:cs="Courier New"/>
          <w:color w:val="000000"/>
          <w:lang w:eastAsia="en-IN"/>
        </w:rPr>
      </w:pPr>
      <w:r w:rsidRPr="00865B89">
        <w:rPr>
          <w:rFonts w:ascii="Courier New" w:hAnsi="Courier New" w:cs="Courier New"/>
          <w:color w:val="008000"/>
          <w:lang w:eastAsia="en-IN"/>
        </w:rPr>
        <w:t># Make the request</w:t>
      </w:r>
    </w:p>
    <w:p w14:paraId="110DC747" w14:textId="77777777" w:rsidR="00D72A54" w:rsidRPr="00865B89" w:rsidRDefault="00D72A54" w:rsidP="00D72A54">
      <w:pPr>
        <w:pBdr>
          <w:top w:val="single" w:sz="4" w:space="1" w:color="auto"/>
          <w:left w:val="single" w:sz="4" w:space="4" w:color="auto"/>
          <w:bottom w:val="single" w:sz="4" w:space="1" w:color="auto"/>
          <w:right w:val="single" w:sz="4" w:space="0" w:color="auto"/>
        </w:pBdr>
        <w:shd w:val="clear" w:color="auto" w:fill="FFFFFF"/>
        <w:spacing w:line="276" w:lineRule="auto"/>
        <w:rPr>
          <w:rFonts w:ascii="Courier New" w:hAnsi="Courier New" w:cs="Courier New"/>
          <w:color w:val="000000"/>
          <w:lang w:eastAsia="en-IN"/>
        </w:rPr>
      </w:pPr>
      <w:proofErr w:type="gramStart"/>
      <w:r w:rsidRPr="00865B89">
        <w:rPr>
          <w:rFonts w:ascii="Courier New" w:hAnsi="Courier New" w:cs="Courier New"/>
          <w:color w:val="000000"/>
          <w:lang w:eastAsia="en-IN"/>
        </w:rPr>
        <w:t>response</w:t>
      </w:r>
      <w:proofErr w:type="gramEnd"/>
      <w:r w:rsidRPr="00865B89">
        <w:rPr>
          <w:rFonts w:ascii="Courier New" w:hAnsi="Courier New" w:cs="Courier New"/>
          <w:color w:val="000000"/>
          <w:lang w:eastAsia="en-IN"/>
        </w:rPr>
        <w:t xml:space="preserve"> </w:t>
      </w:r>
      <w:r w:rsidRPr="00865B89">
        <w:rPr>
          <w:rFonts w:ascii="Courier New" w:hAnsi="Courier New" w:cs="Courier New"/>
          <w:b/>
          <w:bCs/>
          <w:color w:val="000080"/>
          <w:lang w:eastAsia="en-IN"/>
        </w:rPr>
        <w:t>=</w:t>
      </w:r>
      <w:r w:rsidRPr="00865B89">
        <w:rPr>
          <w:rFonts w:ascii="Courier New" w:hAnsi="Courier New" w:cs="Courier New"/>
          <w:color w:val="000000"/>
          <w:lang w:eastAsia="en-IN"/>
        </w:rPr>
        <w:t xml:space="preserve"> requests</w:t>
      </w:r>
      <w:r w:rsidRPr="00865B89">
        <w:rPr>
          <w:rFonts w:ascii="Courier New" w:hAnsi="Courier New" w:cs="Courier New"/>
          <w:b/>
          <w:bCs/>
          <w:color w:val="000080"/>
          <w:lang w:eastAsia="en-IN"/>
        </w:rPr>
        <w:t>.</w:t>
      </w:r>
      <w:r w:rsidRPr="00865B89">
        <w:rPr>
          <w:rFonts w:ascii="Courier New" w:hAnsi="Courier New" w:cs="Courier New"/>
          <w:i/>
          <w:iCs/>
          <w:color w:val="FF8000"/>
          <w:lang w:eastAsia="en-IN"/>
        </w:rPr>
        <w:t>get</w:t>
      </w:r>
      <w:r w:rsidRPr="00865B89">
        <w:rPr>
          <w:rFonts w:ascii="Courier New" w:hAnsi="Courier New" w:cs="Courier New"/>
          <w:b/>
          <w:bCs/>
          <w:color w:val="000080"/>
          <w:lang w:eastAsia="en-IN"/>
        </w:rPr>
        <w:t>(</w:t>
      </w:r>
      <w:r w:rsidRPr="00865B89">
        <w:rPr>
          <w:rFonts w:ascii="Courier New" w:hAnsi="Courier New" w:cs="Courier New"/>
          <w:color w:val="000000"/>
          <w:lang w:eastAsia="en-IN"/>
        </w:rPr>
        <w:t>url</w:t>
      </w:r>
      <w:r w:rsidRPr="00865B89">
        <w:rPr>
          <w:rFonts w:ascii="Courier New" w:hAnsi="Courier New" w:cs="Courier New"/>
          <w:b/>
          <w:bCs/>
          <w:color w:val="000080"/>
          <w:lang w:eastAsia="en-IN"/>
        </w:rPr>
        <w:t>,</w:t>
      </w:r>
      <w:r w:rsidRPr="00865B89">
        <w:rPr>
          <w:rFonts w:ascii="Courier New" w:hAnsi="Courier New" w:cs="Courier New"/>
          <w:color w:val="000000"/>
          <w:lang w:eastAsia="en-IN"/>
        </w:rPr>
        <w:t xml:space="preserve"> params</w:t>
      </w:r>
      <w:r w:rsidRPr="00865B89">
        <w:rPr>
          <w:rFonts w:ascii="Courier New" w:hAnsi="Courier New" w:cs="Courier New"/>
          <w:b/>
          <w:bCs/>
          <w:color w:val="000080"/>
          <w:lang w:eastAsia="en-IN"/>
        </w:rPr>
        <w:t>=</w:t>
      </w:r>
      <w:r w:rsidRPr="00865B89">
        <w:rPr>
          <w:rFonts w:ascii="Courier New" w:hAnsi="Courier New" w:cs="Courier New"/>
          <w:color w:val="000000"/>
          <w:lang w:eastAsia="en-IN"/>
        </w:rPr>
        <w:t>params</w:t>
      </w:r>
      <w:r w:rsidRPr="00865B89">
        <w:rPr>
          <w:rFonts w:ascii="Courier New" w:hAnsi="Courier New" w:cs="Courier New"/>
          <w:b/>
          <w:bCs/>
          <w:color w:val="000080"/>
          <w:lang w:eastAsia="en-IN"/>
        </w:rPr>
        <w:t>)</w:t>
      </w:r>
    </w:p>
    <w:p w14:paraId="58A29AB3" w14:textId="77777777" w:rsidR="00D72A54" w:rsidRPr="00865B89" w:rsidRDefault="00D72A54" w:rsidP="00D72A54">
      <w:pPr>
        <w:pBdr>
          <w:top w:val="single" w:sz="4" w:space="1" w:color="auto"/>
          <w:left w:val="single" w:sz="4" w:space="4" w:color="auto"/>
          <w:bottom w:val="single" w:sz="4" w:space="1" w:color="auto"/>
          <w:right w:val="single" w:sz="4" w:space="0" w:color="auto"/>
        </w:pBdr>
        <w:shd w:val="clear" w:color="auto" w:fill="FFFFFF"/>
        <w:spacing w:line="276" w:lineRule="auto"/>
        <w:rPr>
          <w:rFonts w:ascii="Courier New" w:hAnsi="Courier New" w:cs="Courier New"/>
          <w:color w:val="000000"/>
          <w:lang w:eastAsia="en-IN"/>
        </w:rPr>
      </w:pPr>
      <w:proofErr w:type="gramStart"/>
      <w:r w:rsidRPr="00865B89">
        <w:rPr>
          <w:rFonts w:ascii="Courier New" w:hAnsi="Courier New" w:cs="Courier New"/>
          <w:color w:val="000000"/>
          <w:lang w:eastAsia="en-IN"/>
        </w:rPr>
        <w:t>data</w:t>
      </w:r>
      <w:proofErr w:type="gramEnd"/>
      <w:r w:rsidRPr="00865B89">
        <w:rPr>
          <w:rFonts w:ascii="Courier New" w:hAnsi="Courier New" w:cs="Courier New"/>
          <w:color w:val="000000"/>
          <w:lang w:eastAsia="en-IN"/>
        </w:rPr>
        <w:t xml:space="preserve"> </w:t>
      </w:r>
      <w:r w:rsidRPr="00865B89">
        <w:rPr>
          <w:rFonts w:ascii="Courier New" w:hAnsi="Courier New" w:cs="Courier New"/>
          <w:b/>
          <w:bCs/>
          <w:color w:val="000080"/>
          <w:lang w:eastAsia="en-IN"/>
        </w:rPr>
        <w:t>=</w:t>
      </w:r>
      <w:r w:rsidRPr="00865B89">
        <w:rPr>
          <w:rFonts w:ascii="Courier New" w:hAnsi="Courier New" w:cs="Courier New"/>
          <w:color w:val="000000"/>
          <w:lang w:eastAsia="en-IN"/>
        </w:rPr>
        <w:t xml:space="preserve"> response</w:t>
      </w:r>
      <w:r w:rsidRPr="00865B89">
        <w:rPr>
          <w:rFonts w:ascii="Courier New" w:hAnsi="Courier New" w:cs="Courier New"/>
          <w:b/>
          <w:bCs/>
          <w:color w:val="000080"/>
          <w:lang w:eastAsia="en-IN"/>
        </w:rPr>
        <w:t>.</w:t>
      </w:r>
      <w:r w:rsidRPr="00865B89">
        <w:rPr>
          <w:rFonts w:ascii="Courier New" w:hAnsi="Courier New" w:cs="Courier New"/>
          <w:i/>
          <w:iCs/>
          <w:color w:val="FF8000"/>
          <w:lang w:eastAsia="en-IN"/>
        </w:rPr>
        <w:t>json</w:t>
      </w:r>
      <w:r w:rsidRPr="00865B89">
        <w:rPr>
          <w:rFonts w:ascii="Courier New" w:hAnsi="Courier New" w:cs="Courier New"/>
          <w:b/>
          <w:bCs/>
          <w:color w:val="000080"/>
          <w:lang w:eastAsia="en-IN"/>
        </w:rPr>
        <w:t>()</w:t>
      </w:r>
    </w:p>
    <w:p w14:paraId="7115BB4D" w14:textId="77777777" w:rsidR="00D72A54" w:rsidRPr="00865B89" w:rsidRDefault="00D72A54" w:rsidP="00D72A54">
      <w:pPr>
        <w:pBdr>
          <w:top w:val="single" w:sz="4" w:space="1" w:color="auto"/>
          <w:left w:val="single" w:sz="4" w:space="4" w:color="auto"/>
          <w:bottom w:val="single" w:sz="4" w:space="1" w:color="auto"/>
          <w:right w:val="single" w:sz="4" w:space="0" w:color="auto"/>
        </w:pBdr>
        <w:shd w:val="clear" w:color="auto" w:fill="FFFFFF"/>
        <w:spacing w:line="276" w:lineRule="auto"/>
        <w:rPr>
          <w:rFonts w:ascii="Courier New" w:hAnsi="Courier New" w:cs="Courier New"/>
          <w:color w:val="000000"/>
          <w:lang w:eastAsia="en-IN"/>
        </w:rPr>
      </w:pPr>
      <w:r w:rsidRPr="00865B89">
        <w:rPr>
          <w:rFonts w:ascii="Courier New" w:hAnsi="Courier New" w:cs="Courier New"/>
          <w:color w:val="008000"/>
          <w:lang w:eastAsia="en-IN"/>
        </w:rPr>
        <w:t># Display the DNA sequence</w:t>
      </w:r>
    </w:p>
    <w:p w14:paraId="69BF5B47" w14:textId="77777777" w:rsidR="00D72A54" w:rsidRPr="00865B89" w:rsidRDefault="00D72A54" w:rsidP="00D72A54">
      <w:pPr>
        <w:pBdr>
          <w:top w:val="single" w:sz="4" w:space="1" w:color="auto"/>
          <w:left w:val="single" w:sz="4" w:space="4" w:color="auto"/>
          <w:bottom w:val="single" w:sz="4" w:space="1" w:color="auto"/>
          <w:right w:val="single" w:sz="4" w:space="0" w:color="auto"/>
        </w:pBdr>
        <w:shd w:val="clear" w:color="auto" w:fill="FFFFFF"/>
        <w:spacing w:line="276" w:lineRule="auto"/>
        <w:rPr>
          <w:rFonts w:ascii="Courier New" w:hAnsi="Courier New" w:cs="Courier New"/>
          <w:color w:val="000000"/>
          <w:lang w:eastAsia="en-IN"/>
        </w:rPr>
      </w:pPr>
      <w:proofErr w:type="gramStart"/>
      <w:r w:rsidRPr="00865B89">
        <w:rPr>
          <w:rFonts w:ascii="Courier New" w:hAnsi="Courier New" w:cs="Courier New"/>
          <w:b/>
          <w:bCs/>
          <w:color w:val="880088"/>
          <w:lang w:eastAsia="en-IN"/>
        </w:rPr>
        <w:t>print</w:t>
      </w:r>
      <w:r w:rsidRPr="00865B89">
        <w:rPr>
          <w:rFonts w:ascii="Courier New" w:hAnsi="Courier New" w:cs="Courier New"/>
          <w:b/>
          <w:bCs/>
          <w:color w:val="000080"/>
          <w:lang w:eastAsia="en-IN"/>
        </w:rPr>
        <w:t>(</w:t>
      </w:r>
      <w:proofErr w:type="gramEnd"/>
      <w:r w:rsidRPr="00865B89">
        <w:rPr>
          <w:rFonts w:ascii="Courier New" w:hAnsi="Courier New" w:cs="Courier New"/>
          <w:color w:val="808080"/>
          <w:lang w:eastAsia="en-IN"/>
        </w:rPr>
        <w:t>"Retrieved sequence:"</w:t>
      </w:r>
      <w:r w:rsidRPr="00865B89">
        <w:rPr>
          <w:rFonts w:ascii="Courier New" w:hAnsi="Courier New" w:cs="Courier New"/>
          <w:b/>
          <w:bCs/>
          <w:color w:val="000080"/>
          <w:lang w:eastAsia="en-IN"/>
        </w:rPr>
        <w:t>,</w:t>
      </w:r>
      <w:r w:rsidRPr="00865B89">
        <w:rPr>
          <w:rFonts w:ascii="Courier New" w:hAnsi="Courier New" w:cs="Courier New"/>
          <w:color w:val="000000"/>
          <w:lang w:eastAsia="en-IN"/>
        </w:rPr>
        <w:t xml:space="preserve"> data</w:t>
      </w:r>
      <w:r w:rsidRPr="00865B89">
        <w:rPr>
          <w:rFonts w:ascii="Courier New" w:hAnsi="Courier New" w:cs="Courier New"/>
          <w:b/>
          <w:bCs/>
          <w:color w:val="000080"/>
          <w:lang w:eastAsia="en-IN"/>
        </w:rPr>
        <w:t>[</w:t>
      </w:r>
      <w:r w:rsidRPr="00865B89">
        <w:rPr>
          <w:rFonts w:ascii="Courier New" w:hAnsi="Courier New" w:cs="Courier New"/>
          <w:color w:val="808080"/>
          <w:lang w:eastAsia="en-IN"/>
        </w:rPr>
        <w:t>"dna"</w:t>
      </w:r>
      <w:r w:rsidRPr="00865B89">
        <w:rPr>
          <w:rFonts w:ascii="Courier New" w:hAnsi="Courier New" w:cs="Courier New"/>
          <w:b/>
          <w:bCs/>
          <w:color w:val="000080"/>
          <w:lang w:eastAsia="en-IN"/>
        </w:rPr>
        <w:t>])</w:t>
      </w:r>
    </w:p>
    <w:p w14:paraId="6D1D989E" w14:textId="77777777" w:rsidR="00D72A54" w:rsidRPr="00865B89" w:rsidRDefault="00D72A54" w:rsidP="00D72A54">
      <w:pPr>
        <w:spacing w:line="276" w:lineRule="auto"/>
        <w:jc w:val="both"/>
        <w:rPr>
          <w:rFonts w:ascii="Times New Roman" w:hAnsi="Times New Roman"/>
          <w:sz w:val="24"/>
        </w:rPr>
      </w:pPr>
    </w:p>
    <w:p w14:paraId="2374DFD5" w14:textId="77777777" w:rsidR="00D72A54" w:rsidRPr="00865B89" w:rsidRDefault="00D72A54" w:rsidP="00D72A54">
      <w:pPr>
        <w:spacing w:line="276" w:lineRule="auto"/>
        <w:jc w:val="both"/>
        <w:rPr>
          <w:rFonts w:ascii="Arial" w:hAnsi="Arial" w:cs="Arial"/>
        </w:rPr>
      </w:pPr>
      <w:r w:rsidRPr="00865B89">
        <w:rPr>
          <w:rFonts w:ascii="Arial" w:hAnsi="Arial" w:cs="Arial"/>
          <w:b/>
          <w:bCs/>
        </w:rPr>
        <w:t>Figure-4:</w:t>
      </w:r>
      <w:r w:rsidRPr="00865B89">
        <w:rPr>
          <w:rFonts w:ascii="Arial" w:hAnsi="Arial" w:cs="Arial"/>
        </w:rPr>
        <w:t xml:space="preserve"> In this example, the script retrieves a DNA sequence from chromosome 2 (chr2) of the human genome (hg38) from positions 2,000,000 to 2,000,100. It works in the same way as the original example by sending a GET request to the UCSC REST API and parsing the response to display the sequence.</w:t>
      </w:r>
    </w:p>
    <w:p w14:paraId="176C28FD" w14:textId="77777777" w:rsidR="00D72A54" w:rsidRPr="00865B89" w:rsidRDefault="00D72A54" w:rsidP="00D72A54">
      <w:pPr>
        <w:spacing w:line="276" w:lineRule="auto"/>
        <w:jc w:val="both"/>
        <w:rPr>
          <w:rFonts w:ascii="Times New Roman" w:hAnsi="Times New Roman"/>
          <w:sz w:val="24"/>
        </w:rPr>
      </w:pPr>
    </w:p>
    <w:p w14:paraId="55BBC0B9" w14:textId="77777777" w:rsidR="00D72A54" w:rsidRPr="00865B89" w:rsidRDefault="00D72A54" w:rsidP="00D72A54">
      <w:pPr>
        <w:spacing w:line="276" w:lineRule="auto"/>
        <w:jc w:val="both"/>
        <w:rPr>
          <w:rFonts w:ascii="Arial" w:hAnsi="Arial" w:cs="Arial"/>
          <w:b/>
          <w:bCs/>
        </w:rPr>
      </w:pPr>
      <w:r w:rsidRPr="00865B89">
        <w:rPr>
          <w:rFonts w:ascii="Arial" w:hAnsi="Arial" w:cs="Arial"/>
          <w:b/>
          <w:bCs/>
        </w:rPr>
        <w:t>UCSC Genome Browser Updates-2025:</w:t>
      </w:r>
    </w:p>
    <w:p w14:paraId="50F6586A" w14:textId="77777777" w:rsidR="00D72A54" w:rsidRPr="00865B89" w:rsidRDefault="00D72A54" w:rsidP="00D72A54">
      <w:pPr>
        <w:spacing w:line="276" w:lineRule="auto"/>
        <w:jc w:val="both"/>
        <w:rPr>
          <w:rFonts w:ascii="Arial" w:hAnsi="Arial" w:cs="Arial"/>
        </w:rPr>
      </w:pPr>
    </w:p>
    <w:p w14:paraId="1EDD6AF3" w14:textId="77777777" w:rsidR="00D72A54" w:rsidRPr="00865B89" w:rsidRDefault="00D72A54" w:rsidP="00D72A54">
      <w:pPr>
        <w:spacing w:line="276" w:lineRule="auto"/>
        <w:jc w:val="both"/>
        <w:rPr>
          <w:rFonts w:ascii="Arial" w:hAnsi="Arial" w:cs="Arial"/>
        </w:rPr>
      </w:pPr>
      <w:r w:rsidRPr="00865B89">
        <w:rPr>
          <w:rFonts w:ascii="Arial" w:hAnsi="Arial" w:cs="Arial"/>
        </w:rPr>
        <w:t xml:space="preserve">The UCSC Genome Browser has seen considerable updates and expansions over the past year, significantly enhancing its functionality and expanding its genomic data offerings. A </w:t>
      </w:r>
      <w:r w:rsidRPr="00865B89">
        <w:rPr>
          <w:rFonts w:ascii="Arial" w:hAnsi="Arial" w:cs="Arial"/>
        </w:rPr>
        <w:lastRenderedPageBreak/>
        <w:t>total of over 25 new and updated tracks have been introduced, spanning across various genome assemblies. These updates aim to improve the precision and breadth of genomic data available to researchers and clinicians, particularly in the realms of medical research, translational genomics, and personalized medicine.</w:t>
      </w:r>
    </w:p>
    <w:p w14:paraId="0849D415" w14:textId="77777777" w:rsidR="00D72A54" w:rsidRPr="00865B89" w:rsidRDefault="00D72A54" w:rsidP="00D72A54">
      <w:pPr>
        <w:spacing w:line="276" w:lineRule="auto"/>
        <w:jc w:val="both"/>
        <w:rPr>
          <w:rFonts w:ascii="Arial" w:hAnsi="Arial" w:cs="Arial"/>
        </w:rPr>
      </w:pPr>
    </w:p>
    <w:p w14:paraId="2F5CBBC7" w14:textId="77777777" w:rsidR="00D72A54" w:rsidRPr="00865B89" w:rsidRDefault="00D72A54" w:rsidP="00D72A54">
      <w:pPr>
        <w:spacing w:line="276" w:lineRule="auto"/>
        <w:jc w:val="both"/>
        <w:rPr>
          <w:rFonts w:ascii="Arial" w:hAnsi="Arial" w:cs="Arial"/>
          <w:b/>
          <w:bCs/>
        </w:rPr>
      </w:pPr>
      <w:r w:rsidRPr="00865B89">
        <w:rPr>
          <w:rFonts w:ascii="Arial" w:hAnsi="Arial" w:cs="Arial"/>
          <w:b/>
          <w:bCs/>
        </w:rPr>
        <w:t>New Clinical Tracks</w:t>
      </w:r>
    </w:p>
    <w:p w14:paraId="79BDA3E4" w14:textId="77777777" w:rsidR="00D72A54" w:rsidRPr="00865B89" w:rsidRDefault="00D72A54" w:rsidP="00D72A54">
      <w:pPr>
        <w:spacing w:line="276" w:lineRule="auto"/>
        <w:jc w:val="both"/>
        <w:rPr>
          <w:rFonts w:ascii="Arial" w:hAnsi="Arial" w:cs="Arial"/>
        </w:rPr>
      </w:pPr>
    </w:p>
    <w:p w14:paraId="139C906C" w14:textId="77777777" w:rsidR="00D72A54" w:rsidRPr="00865B89" w:rsidRDefault="00D72A54" w:rsidP="00D72A54">
      <w:pPr>
        <w:spacing w:line="276" w:lineRule="auto"/>
        <w:jc w:val="both"/>
        <w:rPr>
          <w:rFonts w:ascii="Arial" w:hAnsi="Arial" w:cs="Arial"/>
        </w:rPr>
      </w:pPr>
      <w:r w:rsidRPr="00865B89">
        <w:rPr>
          <w:rFonts w:ascii="Arial" w:hAnsi="Arial" w:cs="Arial"/>
        </w:rPr>
        <w:t>In the past year, the UCSC Genome Browser incorporated ten new clinical tracks for human genome assemblies. Among these, the gnomAD 4.1 track is one of the most notable additions. This track contains genetic variant data from an extensive cohort of 807,162 individuals, including 730,947 exomes and 76,215 genomes. The gnomAD dataset plays a crucial role in understanding population genetics and the frequency of genetic variants across diverse populations, aiding in the identification of potentially pathogenic variants. Another key addition is the suite of new prediction score tracks, including AbSplice, BayesDel, and Illumina SpliceAI. AbSplice is a predictive model that identifies aberrant splicing events in human tissues, providing valuable insight into how genetic mutations may affect gene function. The track associated with AbSplice displays precomputed scores for all possible single-nucleotide variants across the genome, facilitating large-scale analysis of splicing defects. BayesDel is a machine learning-based tool that assigns deleteriousness scores to coding and non-coding variants, helping to assess the potential pathogenicity of genetic alterations. Meanwhile, SpliceAI, an open-source deep learning tool, predicts splicing alterations caused by genetic variations, offering an additional layer of functional interpretation for mutations.</w:t>
      </w:r>
    </w:p>
    <w:p w14:paraId="2EE2E942" w14:textId="77777777" w:rsidR="00D72A54" w:rsidRPr="00865B89" w:rsidRDefault="00D72A54" w:rsidP="00D72A54">
      <w:pPr>
        <w:spacing w:line="276" w:lineRule="auto"/>
        <w:jc w:val="both"/>
        <w:rPr>
          <w:rFonts w:ascii="Arial" w:hAnsi="Arial" w:cs="Arial"/>
        </w:rPr>
      </w:pPr>
    </w:p>
    <w:p w14:paraId="785D2B84" w14:textId="77777777" w:rsidR="00D72A54" w:rsidRPr="00865B89" w:rsidRDefault="00D72A54" w:rsidP="00D72A54">
      <w:pPr>
        <w:spacing w:line="276" w:lineRule="auto"/>
        <w:jc w:val="both"/>
        <w:rPr>
          <w:rFonts w:ascii="Arial" w:hAnsi="Arial" w:cs="Arial"/>
        </w:rPr>
      </w:pPr>
      <w:r w:rsidRPr="00865B89">
        <w:rPr>
          <w:rFonts w:ascii="Arial" w:hAnsi="Arial" w:cs="Arial"/>
        </w:rPr>
        <w:t xml:space="preserve">One of the most impactful additions for clinicians and geneticists is the DECIPHER Dosage Sensitivity track, which utilizes ensemble machine learning models to predict the dosage sensitivity of autosomal genes. This track provides probabilities for haploinsufficiency and triplosensitivity, helping identify genes that may be associated with clinical conditions related to deletions or duplications of genetic material. Notably, it has helped identify 2,987 haploinsufficient genes and 1,559 triplosensitive genes, including 648 triplosensitive genes that were identified as unique. [65] </w:t>
      </w:r>
    </w:p>
    <w:p w14:paraId="7F8DFEE3" w14:textId="77777777" w:rsidR="00D72A54" w:rsidRPr="00865B89" w:rsidRDefault="00D72A54" w:rsidP="00D72A54">
      <w:pPr>
        <w:spacing w:line="276" w:lineRule="auto"/>
        <w:jc w:val="both"/>
        <w:rPr>
          <w:rFonts w:ascii="Arial" w:hAnsi="Arial" w:cs="Arial"/>
        </w:rPr>
      </w:pPr>
    </w:p>
    <w:p w14:paraId="295B4E35" w14:textId="77777777" w:rsidR="00D72A54" w:rsidRPr="00865B89" w:rsidRDefault="00D72A54" w:rsidP="00D72A54">
      <w:pPr>
        <w:spacing w:line="276" w:lineRule="auto"/>
        <w:jc w:val="both"/>
        <w:rPr>
          <w:rFonts w:ascii="Arial" w:hAnsi="Arial" w:cs="Arial"/>
          <w:b/>
          <w:bCs/>
        </w:rPr>
      </w:pPr>
      <w:r w:rsidRPr="00865B89">
        <w:rPr>
          <w:rFonts w:ascii="Arial" w:hAnsi="Arial" w:cs="Arial"/>
          <w:b/>
          <w:bCs/>
        </w:rPr>
        <w:t>Gene Set Updates</w:t>
      </w:r>
    </w:p>
    <w:p w14:paraId="73314FBA" w14:textId="77777777" w:rsidR="00D72A54" w:rsidRPr="00865B89" w:rsidRDefault="00D72A54" w:rsidP="00D72A54">
      <w:pPr>
        <w:spacing w:line="276" w:lineRule="auto"/>
        <w:jc w:val="both"/>
        <w:rPr>
          <w:rFonts w:ascii="Arial" w:hAnsi="Arial" w:cs="Arial"/>
          <w:b/>
          <w:bCs/>
        </w:rPr>
      </w:pPr>
    </w:p>
    <w:p w14:paraId="2ED4066B" w14:textId="77777777" w:rsidR="00D72A54" w:rsidRPr="00865B89" w:rsidRDefault="00D72A54" w:rsidP="00D72A54">
      <w:pPr>
        <w:spacing w:line="276" w:lineRule="auto"/>
        <w:jc w:val="both"/>
        <w:rPr>
          <w:rFonts w:ascii="Arial" w:hAnsi="Arial" w:cs="Arial"/>
        </w:rPr>
      </w:pPr>
      <w:r w:rsidRPr="00865B89">
        <w:rPr>
          <w:rFonts w:ascii="Arial" w:hAnsi="Arial" w:cs="Arial"/>
        </w:rPr>
        <w:t xml:space="preserve">Alongside clinical tracks, the UCSC Genome Browser also updated and added several gene-related tracks for both human and mouse genomes. The GENCODE KnownGene tracks were updated to version 46 for human genomes and version VM35 for mouse genomes. These tracks provide comprehensive gene annotations and are widely used for downstream applications in gene expression studies, variant analysis, and functional genomics. For the hg19 assembly, the GENCODE KnownGene v45lift37 track was also integrated, ensuring reproducibility for studies using older genome builds. Additionally, a new RefSeq Historical track was added to the hg38 assembly, allowing users to access earlier versions of RefSeq transcripts, which is valuable for tracking the evolution of transcript annotations and for HGVS (Human Genome Variation Society) nomenclature searches. The HGMD (Human Gene Mutation Database) track was also included in human assemblies, displaying clinical variants that have been curated from a wide range of studies. </w:t>
      </w:r>
      <w:r w:rsidRPr="00865B89">
        <w:rPr>
          <w:rFonts w:ascii="Arial" w:hAnsi="Arial" w:cs="Arial"/>
        </w:rPr>
        <w:lastRenderedPageBreak/>
        <w:t xml:space="preserve">Another noteworthy addition is the MANE (Matched Annotation from NCBI and EMBL-EBI) track, which highlights transcripts that have been uniformly annotated between the RefSeq and Ensembl/GENCODE gene sets. This track helps prioritize high-confidence gene models that are supported by multiple databases. Several tracks also undergo regular updates, such as the HGMD and MANE tracks, which are updated annually to include the latest clinical and functional annotations. For enhanced user experience, the MANE transcripts are now displayed at the top of search results, with distinct color coding to differentiate them from other transcripts. [66] </w:t>
      </w:r>
    </w:p>
    <w:p w14:paraId="529DB978" w14:textId="77777777" w:rsidR="00D72A54" w:rsidRPr="00865B89" w:rsidRDefault="00D72A54" w:rsidP="00D72A54">
      <w:pPr>
        <w:spacing w:line="276" w:lineRule="auto"/>
        <w:jc w:val="both"/>
        <w:rPr>
          <w:rFonts w:ascii="Arial" w:hAnsi="Arial" w:cs="Arial"/>
        </w:rPr>
      </w:pPr>
    </w:p>
    <w:p w14:paraId="1707156F" w14:textId="77777777" w:rsidR="00D72A54" w:rsidRPr="00865B89" w:rsidRDefault="00D72A54" w:rsidP="00D72A54">
      <w:pPr>
        <w:spacing w:line="276" w:lineRule="auto"/>
        <w:jc w:val="both"/>
        <w:rPr>
          <w:rFonts w:ascii="Arial" w:hAnsi="Arial" w:cs="Arial"/>
        </w:rPr>
      </w:pPr>
      <w:r w:rsidRPr="00865B89">
        <w:rPr>
          <w:rFonts w:ascii="Arial" w:hAnsi="Arial" w:cs="Arial"/>
        </w:rPr>
        <w:t xml:space="preserve">In addition, ten new tracks were updated to the vertebrate assemblies, including the CRISPR Targets track for the Telomere-to-Telomere (T2T) human assembly, which identifies DNA sequences that are susceptible to CRISPR-Cas9 editing. This track is invaluable for researchers studying genome editing and its potential applications in therapy. Another valuable addition is the VISTA Enhancers track, which identifies potential enhancers whose activity has been experimentally validated in transgenic mice, aiding in the identification of regulatory elements in the genome. [67] </w:t>
      </w:r>
    </w:p>
    <w:p w14:paraId="5FBEB178" w14:textId="77777777" w:rsidR="00D72A54" w:rsidRPr="00865B89" w:rsidRDefault="00D72A54" w:rsidP="00D72A54">
      <w:pPr>
        <w:spacing w:line="276" w:lineRule="auto"/>
        <w:jc w:val="both"/>
        <w:rPr>
          <w:rFonts w:ascii="Arial" w:hAnsi="Arial" w:cs="Arial"/>
        </w:rPr>
      </w:pPr>
    </w:p>
    <w:p w14:paraId="05CDFFA5" w14:textId="77777777" w:rsidR="00D72A54" w:rsidRPr="00865B89" w:rsidRDefault="00D72A54" w:rsidP="00D72A54">
      <w:pPr>
        <w:spacing w:line="276" w:lineRule="auto"/>
        <w:jc w:val="both"/>
        <w:rPr>
          <w:rFonts w:ascii="Arial" w:hAnsi="Arial" w:cs="Arial"/>
          <w:b/>
          <w:bCs/>
        </w:rPr>
      </w:pPr>
      <w:r w:rsidRPr="00865B89">
        <w:rPr>
          <w:rFonts w:ascii="Arial" w:hAnsi="Arial" w:cs="Arial"/>
          <w:b/>
          <w:bCs/>
        </w:rPr>
        <w:t>Expanded Hubs and Data Access</w:t>
      </w:r>
    </w:p>
    <w:p w14:paraId="0EA51EDE" w14:textId="77777777" w:rsidR="00D72A54" w:rsidRPr="00865B89" w:rsidRDefault="00D72A54" w:rsidP="00D72A54">
      <w:pPr>
        <w:spacing w:line="276" w:lineRule="auto"/>
        <w:jc w:val="both"/>
        <w:rPr>
          <w:rFonts w:ascii="Arial" w:hAnsi="Arial" w:cs="Arial"/>
        </w:rPr>
      </w:pPr>
    </w:p>
    <w:p w14:paraId="4AD518E2" w14:textId="77777777" w:rsidR="00D72A54" w:rsidRPr="00865B89" w:rsidRDefault="00D72A54" w:rsidP="00D72A54">
      <w:pPr>
        <w:spacing w:line="276" w:lineRule="auto"/>
        <w:jc w:val="both"/>
        <w:rPr>
          <w:rFonts w:ascii="Arial" w:hAnsi="Arial" w:cs="Arial"/>
        </w:rPr>
      </w:pPr>
      <w:r w:rsidRPr="00865B89">
        <w:rPr>
          <w:rFonts w:ascii="Arial" w:hAnsi="Arial" w:cs="Arial"/>
        </w:rPr>
        <w:t>The UCSC Genome Browser also introduced new hubs to support advanced genomic research. The ImpactHub provides predictions based on a machine learning model for regulatory element activity across 707 pairs of transcription factors and cell types. This feature is particularly useful for studying gene regulation and understanding how genetic variants influence gene expression in different tissues and conditions. Another addition, the Predominant PAS Hub, highlights polyadenylation sites and their associated hexamers for nearly 16,000 protein-coding genes, which is crucial for studies on gene expression regulation and mRNA processing.</w:t>
      </w:r>
    </w:p>
    <w:p w14:paraId="18C9477F" w14:textId="77777777" w:rsidR="00D72A54" w:rsidRPr="00865B89" w:rsidRDefault="00D72A54" w:rsidP="00D72A54">
      <w:pPr>
        <w:spacing w:line="276" w:lineRule="auto"/>
        <w:jc w:val="both"/>
        <w:rPr>
          <w:rFonts w:ascii="Arial" w:hAnsi="Arial" w:cs="Arial"/>
        </w:rPr>
      </w:pPr>
    </w:p>
    <w:p w14:paraId="6C287BED" w14:textId="77777777" w:rsidR="00D72A54" w:rsidRPr="00865B89" w:rsidRDefault="00D72A54" w:rsidP="00D72A54">
      <w:pPr>
        <w:spacing w:line="276" w:lineRule="auto"/>
        <w:jc w:val="both"/>
        <w:rPr>
          <w:rFonts w:ascii="Arial" w:hAnsi="Arial" w:cs="Arial"/>
        </w:rPr>
      </w:pPr>
      <w:r w:rsidRPr="00865B89">
        <w:rPr>
          <w:rFonts w:ascii="Arial" w:hAnsi="Arial" w:cs="Arial"/>
        </w:rPr>
        <w:t>The GenArk hub was expanded significantly with the addition of over 1,000 new assemblies, many of which include annotations and support for BLAT (BLAST-Like Alignment Tool), improving the accessibility and usability of genomic data. The expansion includes the addition of Telomere-to-Telomere (T2T) assemblies for primates and mice, which represent highly contiguous reference genomes. This extension also integrates links to IGV (Integrative Genomics Viewer) from GenArk index pages, making it easier for researchers to visualize genomic data.</w:t>
      </w:r>
    </w:p>
    <w:p w14:paraId="3345CDB1" w14:textId="77777777" w:rsidR="00D72A54" w:rsidRPr="00865B89" w:rsidRDefault="00D72A54" w:rsidP="00D72A54">
      <w:pPr>
        <w:spacing w:line="276" w:lineRule="auto"/>
        <w:jc w:val="both"/>
        <w:rPr>
          <w:rFonts w:ascii="Arial" w:hAnsi="Arial" w:cs="Arial"/>
        </w:rPr>
      </w:pPr>
    </w:p>
    <w:p w14:paraId="68272D87" w14:textId="77777777" w:rsidR="00D72A54" w:rsidRPr="00865B89" w:rsidRDefault="00D72A54" w:rsidP="00D72A54">
      <w:pPr>
        <w:spacing w:line="276" w:lineRule="auto"/>
        <w:jc w:val="both"/>
        <w:rPr>
          <w:rFonts w:ascii="Arial" w:hAnsi="Arial" w:cs="Arial"/>
          <w:b/>
          <w:bCs/>
        </w:rPr>
      </w:pPr>
      <w:r w:rsidRPr="00865B89">
        <w:rPr>
          <w:rFonts w:ascii="Arial" w:hAnsi="Arial" w:cs="Arial"/>
          <w:b/>
          <w:bCs/>
        </w:rPr>
        <w:t>Updates to Browser Software</w:t>
      </w:r>
    </w:p>
    <w:p w14:paraId="0C9099B8" w14:textId="77777777" w:rsidR="00D72A54" w:rsidRPr="00865B89" w:rsidRDefault="00D72A54" w:rsidP="00D72A54">
      <w:pPr>
        <w:spacing w:line="276" w:lineRule="auto"/>
        <w:jc w:val="both"/>
        <w:rPr>
          <w:rFonts w:ascii="Arial" w:hAnsi="Arial" w:cs="Arial"/>
        </w:rPr>
      </w:pPr>
    </w:p>
    <w:p w14:paraId="420A8CC1" w14:textId="77777777" w:rsidR="00D72A54" w:rsidRPr="00865B89" w:rsidRDefault="00D72A54" w:rsidP="00D72A54">
      <w:pPr>
        <w:spacing w:line="276" w:lineRule="auto"/>
        <w:jc w:val="both"/>
        <w:rPr>
          <w:rFonts w:ascii="Arial" w:hAnsi="Arial" w:cs="Arial"/>
        </w:rPr>
      </w:pPr>
      <w:r w:rsidRPr="00865B89">
        <w:rPr>
          <w:rFonts w:ascii="Arial" w:hAnsi="Arial" w:cs="Arial"/>
        </w:rPr>
        <w:t xml:space="preserve">In terms of software and user interface, the UCSC Genome Browser has introduced several improvements aimed at enhancing the overall user experience. The browser’s graphical page, which visualizes genomic data, has undergone updates to increase usability. For example, trash icons have been added next to custom tracks, allowing for quick deletion, and display functionality has been optimized for larger screens. Font sizes have been increased in dialog boxes to improve readability, and the amount of text displayed on the page has been reduced for clarity. The genePred tracks for both GENCODE and NCBI RefSeq annotations have received significant improvements. Users can now right-click on </w:t>
      </w:r>
      <w:r w:rsidRPr="00865B89">
        <w:rPr>
          <w:rFonts w:ascii="Arial" w:hAnsi="Arial" w:cs="Arial"/>
        </w:rPr>
        <w:lastRenderedPageBreak/>
        <w:t>these tracks to quickly zoom in, enter exon positions, or navigate to specific codons. Additionally, the mouse-over function has been enhanced to display more information, such as the phase of the first and last codon, and whether exons are in-frame or out-of-frame. These updates help users navigate genomic data more effectively, especially when working with gene annotations at the transcript and coding levels. The search functionality has also been enhanced to provide users with quick access to relevant data. The updated search box now shows the five most recent search terms and allows users to quickly locate terms that match track data, track descriptions, or help documents. [68]</w:t>
      </w:r>
    </w:p>
    <w:p w14:paraId="3BFFC368" w14:textId="77777777" w:rsidR="00D72A54" w:rsidRPr="00865B89" w:rsidRDefault="00D72A54" w:rsidP="00D72A54">
      <w:pPr>
        <w:spacing w:line="276" w:lineRule="auto"/>
        <w:jc w:val="both"/>
        <w:rPr>
          <w:rFonts w:ascii="Arial" w:hAnsi="Arial" w:cs="Arial"/>
        </w:rPr>
      </w:pPr>
    </w:p>
    <w:p w14:paraId="29C6937E" w14:textId="74524CD3" w:rsidR="00D72A54" w:rsidRPr="00865B89" w:rsidRDefault="005131AE" w:rsidP="00D72A54">
      <w:pPr>
        <w:spacing w:line="276" w:lineRule="auto"/>
        <w:jc w:val="both"/>
        <w:rPr>
          <w:rFonts w:ascii="Arial" w:hAnsi="Arial" w:cs="Arial"/>
          <w:b/>
          <w:bCs/>
        </w:rPr>
      </w:pPr>
      <w:r w:rsidRPr="00865B89">
        <w:rPr>
          <w:rFonts w:ascii="Arial" w:hAnsi="Arial" w:cs="Arial"/>
          <w:b/>
          <w:bCs/>
        </w:rPr>
        <w:t xml:space="preserve">CONCLUSION: </w:t>
      </w:r>
    </w:p>
    <w:p w14:paraId="161F3171" w14:textId="77777777" w:rsidR="00D72A54" w:rsidRPr="00865B89" w:rsidRDefault="00D72A54" w:rsidP="00D72A54">
      <w:pPr>
        <w:spacing w:line="276" w:lineRule="auto"/>
        <w:jc w:val="both"/>
        <w:rPr>
          <w:rFonts w:ascii="Arial" w:hAnsi="Arial" w:cs="Arial"/>
        </w:rPr>
      </w:pPr>
    </w:p>
    <w:p w14:paraId="059DE995" w14:textId="45B86C14" w:rsidR="00D72A54" w:rsidRPr="00865B89" w:rsidRDefault="00D72A54" w:rsidP="004C24A6">
      <w:pPr>
        <w:spacing w:line="276" w:lineRule="auto"/>
        <w:jc w:val="both"/>
        <w:rPr>
          <w:rFonts w:ascii="Arial" w:hAnsi="Arial" w:cs="Arial"/>
        </w:rPr>
      </w:pPr>
      <w:r w:rsidRPr="00865B89">
        <w:rPr>
          <w:rFonts w:ascii="Arial" w:hAnsi="Arial" w:cs="Arial"/>
        </w:rPr>
        <w:t>The UCSC Genome Browser continues to serve as a pivotal resource for genomic data exploration, analysis, and visualization. Its integrative platform, combining advanced tools, multi-layered annotation tracks, and intuitive navigation, empowers researchers across domains to uncover intricate genetic patterns and functional elements. The 2025 updates further strengthen its relevance in clinical genomics and personalized medicine by introducing predictive modeling tools, dosage sensitivity data, and user-centric enhancements. As the landscape of genome science evolves, the UCSC Genome Browser exemplifies adaptability, scalability, and innovation solidifying its position as an essential platform for both foundational and translational genomic research.</w:t>
      </w:r>
    </w:p>
    <w:p w14:paraId="0035F8FC" w14:textId="77777777" w:rsidR="00D72A54" w:rsidRPr="00865B89" w:rsidRDefault="00D72A54" w:rsidP="004C24A6">
      <w:pPr>
        <w:spacing w:line="276" w:lineRule="auto"/>
        <w:jc w:val="both"/>
        <w:rPr>
          <w:rFonts w:ascii="Arial" w:hAnsi="Arial" w:cs="Arial"/>
          <w:lang w:val="en-GB"/>
        </w:rPr>
      </w:pPr>
    </w:p>
    <w:p w14:paraId="38A4900F" w14:textId="10A1197D" w:rsidR="005131AE" w:rsidRPr="00865B89" w:rsidRDefault="005131AE" w:rsidP="005131AE">
      <w:pPr>
        <w:pStyle w:val="Body"/>
        <w:rPr>
          <w:rFonts w:ascii="Arial" w:hAnsi="Arial" w:cs="Arial"/>
          <w:b/>
        </w:rPr>
      </w:pPr>
      <w:r w:rsidRPr="00865B89">
        <w:rPr>
          <w:rFonts w:ascii="Arial" w:hAnsi="Arial" w:cs="Arial"/>
          <w:b/>
        </w:rPr>
        <w:t>COMPETING INTERESTS</w:t>
      </w:r>
    </w:p>
    <w:p w14:paraId="0DCA0014" w14:textId="77777777" w:rsidR="005131AE" w:rsidRPr="00865B89" w:rsidRDefault="005131AE" w:rsidP="005131AE">
      <w:pPr>
        <w:pStyle w:val="Body"/>
        <w:rPr>
          <w:rFonts w:ascii="Arial" w:hAnsi="Arial" w:cs="Arial"/>
        </w:rPr>
      </w:pPr>
      <w:r w:rsidRPr="00865B89">
        <w:rPr>
          <w:rFonts w:ascii="Arial" w:hAnsi="Arial" w:cs="Arial"/>
        </w:rPr>
        <w:t>Authors have declared that they have no known competing financial interests OR non- financial interests OR personal relationships that could have appeared to influence the work reported in this paper.</w:t>
      </w:r>
    </w:p>
    <w:p w14:paraId="289D3428" w14:textId="77777777" w:rsidR="00935F94" w:rsidRDefault="00935F94" w:rsidP="005131AE">
      <w:pPr>
        <w:pStyle w:val="Body"/>
        <w:rPr>
          <w:rFonts w:ascii="Arial" w:hAnsi="Arial" w:cs="Arial"/>
          <w:b/>
          <w:bCs/>
        </w:rPr>
      </w:pPr>
      <w:r w:rsidRPr="00935F94">
        <w:rPr>
          <w:rFonts w:ascii="Arial" w:hAnsi="Arial" w:cs="Arial"/>
          <w:b/>
          <w:bCs/>
        </w:rPr>
        <w:t>Disclaimer (Artificial intelligence)</w:t>
      </w:r>
    </w:p>
    <w:p w14:paraId="04312442" w14:textId="4F7A79BD" w:rsidR="005131AE" w:rsidRPr="00865B89" w:rsidRDefault="005131AE" w:rsidP="005131AE">
      <w:pPr>
        <w:pStyle w:val="Body"/>
        <w:rPr>
          <w:rFonts w:ascii="Arial" w:hAnsi="Arial" w:cs="Arial"/>
        </w:rPr>
      </w:pPr>
      <w:r w:rsidRPr="00865B89">
        <w:rPr>
          <w:rFonts w:ascii="Arial" w:hAnsi="Arial" w:cs="Arial"/>
        </w:rPr>
        <w:t xml:space="preserve">Author(s) hereby declare that generative AI technologies such as Large Language Models </w:t>
      </w:r>
      <w:proofErr w:type="gramStart"/>
      <w:r w:rsidRPr="00865B89">
        <w:rPr>
          <w:rFonts w:ascii="Arial" w:hAnsi="Arial" w:cs="Arial"/>
        </w:rPr>
        <w:t>have been used</w:t>
      </w:r>
      <w:proofErr w:type="gramEnd"/>
      <w:r w:rsidRPr="00865B89">
        <w:rPr>
          <w:rFonts w:ascii="Arial" w:hAnsi="Arial" w:cs="Arial"/>
        </w:rPr>
        <w:t xml:space="preserve"> during the writing or editing of the manuscript. This explanation includes the name, version, model, and source of the generative AI technology, as well as the general nature of the input prompts provided.</w:t>
      </w:r>
    </w:p>
    <w:p w14:paraId="6967D372" w14:textId="77777777" w:rsidR="005131AE" w:rsidRPr="00865B89" w:rsidRDefault="004C24A6" w:rsidP="005131AE">
      <w:pPr>
        <w:pStyle w:val="Body"/>
        <w:rPr>
          <w:rFonts w:ascii="Arial" w:hAnsi="Arial" w:cs="Arial"/>
        </w:rPr>
      </w:pPr>
      <w:r w:rsidRPr="00865B89">
        <w:rPr>
          <w:rFonts w:ascii="Arial" w:hAnsi="Arial" w:cs="Arial"/>
        </w:rPr>
        <w:t>Details of the AI usage are given below:</w:t>
      </w:r>
    </w:p>
    <w:p w14:paraId="78413FE4" w14:textId="64BF39B9" w:rsidR="005131AE" w:rsidRPr="00865B89" w:rsidRDefault="004C24A6" w:rsidP="004C24A6">
      <w:pPr>
        <w:pStyle w:val="Body"/>
        <w:numPr>
          <w:ilvl w:val="0"/>
          <w:numId w:val="45"/>
        </w:numPr>
        <w:rPr>
          <w:rFonts w:ascii="Arial" w:hAnsi="Arial" w:cs="Arial"/>
          <w:lang w:val="en-GB"/>
        </w:rPr>
      </w:pPr>
      <w:r w:rsidRPr="00865B89">
        <w:rPr>
          <w:rFonts w:ascii="Arial" w:hAnsi="Arial" w:cs="Arial"/>
        </w:rPr>
        <w:t xml:space="preserve">ChatGPT (GPT-5.1), developed by OpenAI and accessed through the official ChatGPT platform, was used exclusively for improving English language proficiency during manuscript preparation. </w:t>
      </w:r>
    </w:p>
    <w:p w14:paraId="4CA9115D" w14:textId="5041680B" w:rsidR="004C24A6" w:rsidRPr="00865B89" w:rsidRDefault="004C24A6" w:rsidP="004C24A6">
      <w:pPr>
        <w:pStyle w:val="Body"/>
        <w:numPr>
          <w:ilvl w:val="0"/>
          <w:numId w:val="45"/>
        </w:numPr>
        <w:rPr>
          <w:rFonts w:ascii="Arial" w:hAnsi="Arial" w:cs="Arial"/>
          <w:lang w:val="en-GB"/>
        </w:rPr>
      </w:pPr>
      <w:r w:rsidRPr="00865B89">
        <w:rPr>
          <w:rFonts w:ascii="Arial" w:hAnsi="Arial" w:cs="Arial"/>
        </w:rPr>
        <w:t>No AI tools were used for data analysis, interpretation of results, creation of scientific content, or generating novel ideas. All scientific content, conclusions, and interpretations are solely the work of the authors.</w:t>
      </w:r>
    </w:p>
    <w:p w14:paraId="1D09CFF9" w14:textId="77777777" w:rsidR="00E03E87" w:rsidRPr="00865B89" w:rsidRDefault="00E03E87" w:rsidP="00E03E87">
      <w:pPr>
        <w:pStyle w:val="Body"/>
        <w:ind w:left="360"/>
        <w:rPr>
          <w:rFonts w:ascii="Arial" w:hAnsi="Arial" w:cs="Arial"/>
        </w:rPr>
      </w:pPr>
    </w:p>
    <w:p w14:paraId="67ACD9F4" w14:textId="4D1883DC" w:rsidR="00E03E87" w:rsidRDefault="00E03E87" w:rsidP="00E03E87">
      <w:pPr>
        <w:pStyle w:val="Body"/>
        <w:ind w:left="360"/>
        <w:rPr>
          <w:rFonts w:ascii="Arial" w:hAnsi="Arial" w:cs="Arial"/>
          <w:lang w:val="en-GB"/>
        </w:rPr>
      </w:pPr>
    </w:p>
    <w:p w14:paraId="40875F8C" w14:textId="2469426C" w:rsidR="001F526C" w:rsidRDefault="001F526C" w:rsidP="00E03E87">
      <w:pPr>
        <w:pStyle w:val="Body"/>
        <w:ind w:left="360"/>
        <w:rPr>
          <w:rFonts w:ascii="Arial" w:hAnsi="Arial" w:cs="Arial"/>
          <w:lang w:val="en-GB"/>
        </w:rPr>
      </w:pPr>
    </w:p>
    <w:p w14:paraId="7525E46D" w14:textId="77777777" w:rsidR="001F526C" w:rsidRPr="00865B89" w:rsidRDefault="001F526C" w:rsidP="00E03E87">
      <w:pPr>
        <w:pStyle w:val="Body"/>
        <w:ind w:left="360"/>
        <w:rPr>
          <w:rFonts w:ascii="Arial" w:hAnsi="Arial" w:cs="Arial"/>
          <w:lang w:val="en-GB"/>
        </w:rPr>
      </w:pPr>
    </w:p>
    <w:p w14:paraId="0D0BEE89" w14:textId="77777777" w:rsidR="004C24A6" w:rsidRPr="00865B89" w:rsidRDefault="004C24A6" w:rsidP="004C24A6">
      <w:pPr>
        <w:pStyle w:val="ReferHead"/>
        <w:spacing w:after="0"/>
        <w:jc w:val="both"/>
        <w:rPr>
          <w:rFonts w:ascii="Arial" w:hAnsi="Arial" w:cs="Arial"/>
        </w:rPr>
      </w:pPr>
    </w:p>
    <w:p w14:paraId="1DCAB7C4" w14:textId="77777777" w:rsidR="004C24A6" w:rsidRPr="00865B89" w:rsidRDefault="004C24A6" w:rsidP="004C24A6">
      <w:pPr>
        <w:pStyle w:val="ReferHead"/>
        <w:spacing w:after="0"/>
        <w:jc w:val="both"/>
        <w:rPr>
          <w:rFonts w:ascii="Arial" w:hAnsi="Arial" w:cs="Arial"/>
        </w:rPr>
      </w:pPr>
      <w:r w:rsidRPr="00865B89">
        <w:rPr>
          <w:rFonts w:ascii="Arial" w:hAnsi="Arial" w:cs="Arial"/>
        </w:rPr>
        <w:t>References</w:t>
      </w:r>
    </w:p>
    <w:p w14:paraId="1FC90D12" w14:textId="4DED0524" w:rsidR="004C24A6" w:rsidRPr="00865B89" w:rsidRDefault="004C24A6" w:rsidP="004C24A6">
      <w:pPr>
        <w:spacing w:line="276" w:lineRule="auto"/>
        <w:jc w:val="both"/>
        <w:rPr>
          <w:rFonts w:ascii="Arial" w:hAnsi="Arial" w:cs="Arial"/>
          <w:lang w:val="en-GB"/>
        </w:rPr>
      </w:pPr>
      <w:r w:rsidRPr="00865B89">
        <w:rPr>
          <w:rFonts w:ascii="Arial" w:hAnsi="Arial" w:cs="Arial"/>
          <w:lang w:val="en-GB"/>
        </w:rPr>
        <w:t xml:space="preserve"> </w:t>
      </w:r>
    </w:p>
    <w:p w14:paraId="5AD2636A" w14:textId="36FB238B" w:rsidR="00EC547B" w:rsidRPr="00865B89" w:rsidRDefault="00EC547B" w:rsidP="004C24A6">
      <w:pPr>
        <w:autoSpaceDE w:val="0"/>
        <w:autoSpaceDN w:val="0"/>
        <w:adjustRightInd w:val="0"/>
        <w:spacing w:line="360" w:lineRule="auto"/>
        <w:jc w:val="both"/>
        <w:rPr>
          <w:rFonts w:ascii="Arial" w:hAnsi="Arial" w:cs="Arial"/>
        </w:rPr>
        <w:sectPr w:rsidR="00EC547B" w:rsidRPr="00865B89" w:rsidSect="004C24A6">
          <w:type w:val="continuous"/>
          <w:pgSz w:w="12240" w:h="15840"/>
          <w:pgMar w:top="1440" w:right="2019" w:bottom="2019" w:left="2019" w:header="720" w:footer="1123" w:gutter="0"/>
          <w:cols w:space="720"/>
          <w:docGrid w:linePitch="272"/>
        </w:sectPr>
      </w:pPr>
    </w:p>
    <w:p w14:paraId="1008FA31"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 xml:space="preserve">Diekhans M, Karolchik D, Kent WJ. Gene prediction and variation mapping in the UCSC Browser. Bioinformatics. 2009;34(12):204–987. </w:t>
      </w:r>
    </w:p>
    <w:p w14:paraId="4372D137"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Fujita PA, Rosenbloom KR, Karolchik D. Expanding vertebrate genomes in the GenArk portal. Nat Genet. 2003;30(2):323–930.</w:t>
      </w:r>
    </w:p>
    <w:p w14:paraId="26D0F34A"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Rosenbloom KR, Baertsch R, Kent WJ. Python APIs for UCSC data access and analysis. Bioinformatics. 2024;50(12):658–954.</w:t>
      </w:r>
    </w:p>
    <w:p w14:paraId="39121C39"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Navarro Gonzalez J, Speir ML, Baertsch R. Gene prediction and variation mapping in the UCSC Browser. Nucleic Acids Res. 2007;52(7):448–936.</w:t>
      </w:r>
    </w:p>
    <w:p w14:paraId="06D19558"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Hinrichs AS, Navarro Gonzalez J, Rhead B. REST API applications in genomic data mining. Nucleic Acids Res. 2004;42(2):467–945.</w:t>
      </w:r>
    </w:p>
    <w:p w14:paraId="315B1441"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Blanchette M, Speir ML, Hinrichs AS. Clinical genomics data integration in the UCSC Genome Browser. Genome Res. 2016;38(6):552–968.</w:t>
      </w:r>
    </w:p>
    <w:p w14:paraId="0E24DFCD"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Kent WJ, Lee CM, Rhead B. The UCSC Genome Browser update. Nucleic Acids Res. 2020;50(1):100–935.</w:t>
      </w:r>
    </w:p>
    <w:p w14:paraId="37AA7B50"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Rhead B, Karolchik D, Meyer LR. Visualization of large genomic datasets with UCSC tools. Genome Res. 2008;39(9):423–998.</w:t>
      </w:r>
    </w:p>
    <w:p w14:paraId="22497C9D"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Speir ML, Baertsch R, Fujita PA. Comprehensive annotation of regulatory elements in UCSC. PLoS Biol. 2021;43(3):203–953.</w:t>
      </w:r>
    </w:p>
    <w:p w14:paraId="783E50A0"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Lee CM, Navarro Gonzalez J, Diekhans M. BLAT and LiftOver tool advancements for coordinate mapping. Bioinformatics. 2023;41(5):178–927.</w:t>
      </w:r>
    </w:p>
    <w:p w14:paraId="09A7EFCE"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Meyer LR, Haeussler M, Rhead B. AlphaFold 3D protein models in the UCSC Genome Browser. Nucleic Acids Res. 2025;53(1):112–982.</w:t>
      </w:r>
    </w:p>
    <w:p w14:paraId="0AA7780C"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Rhead B, Haeussler M, Rosenbloom KR. Gene and exon navigation tools in updated UCSC versions. Bioinformatics. 2019;35(3):310–876.</w:t>
      </w:r>
    </w:p>
    <w:p w14:paraId="55B51F67"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Kent WJ, Karolchik D, Hinrichs AS. Cross-species comparative genomics using UCSC Genome Browser. Genome Res. 2002;12(6):996–1006.</w:t>
      </w:r>
    </w:p>
    <w:p w14:paraId="2082915B"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Speir ML, Navarro Gonzalez J, Diekhans M. Multi-assembly support and Assembly Hubs in UCSC. Nucleic Acids Res. 2018</w:t>
      </w:r>
      <w:proofErr w:type="gramStart"/>
      <w:r w:rsidRPr="00865B89">
        <w:rPr>
          <w:rFonts w:ascii="Arial" w:hAnsi="Arial" w:cs="Arial"/>
        </w:rPr>
        <w:t>;46</w:t>
      </w:r>
      <w:proofErr w:type="gramEnd"/>
      <w:r w:rsidRPr="00865B89">
        <w:rPr>
          <w:rFonts w:ascii="Arial" w:hAnsi="Arial" w:cs="Arial"/>
        </w:rPr>
        <w:t>(D1):D706–D711.</w:t>
      </w:r>
    </w:p>
    <w:p w14:paraId="4C0F08DB"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Lee CM, Rhead B, Fujita PA. GENCODE and RefSeq gene annotation in the UCSC Genome Browser. Nucleic Acids Res. 2021</w:t>
      </w:r>
      <w:proofErr w:type="gramStart"/>
      <w:r w:rsidRPr="00865B89">
        <w:rPr>
          <w:rFonts w:ascii="Arial" w:hAnsi="Arial" w:cs="Arial"/>
        </w:rPr>
        <w:t>;49</w:t>
      </w:r>
      <w:proofErr w:type="gramEnd"/>
      <w:r w:rsidRPr="00865B89">
        <w:rPr>
          <w:rFonts w:ascii="Arial" w:hAnsi="Arial" w:cs="Arial"/>
        </w:rPr>
        <w:t>(D1):D874–D881.</w:t>
      </w:r>
    </w:p>
    <w:p w14:paraId="77D38742"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Hinrichs AS, Meyer LR, Baertsch R. Track hubs and data customization in UCSC. Genome Biol. 2016;17(1):276.</w:t>
      </w:r>
    </w:p>
    <w:p w14:paraId="08F8D6AE"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Diekhans M, Karolchik D, Rhead B. Custom tracks and user session management in UCSC. Bioinformatics. 2022;38(8):2275–2282.</w:t>
      </w:r>
    </w:p>
    <w:p w14:paraId="4D5093AC"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Kent WJ, Haeussler M, Navarro Gonzalez J. Table Browser and Variant Annotation Integrator in UCSC. Nucleic Acids Res. 2015</w:t>
      </w:r>
      <w:proofErr w:type="gramStart"/>
      <w:r w:rsidRPr="00865B89">
        <w:rPr>
          <w:rFonts w:ascii="Arial" w:hAnsi="Arial" w:cs="Arial"/>
        </w:rPr>
        <w:t>;43</w:t>
      </w:r>
      <w:proofErr w:type="gramEnd"/>
      <w:r w:rsidRPr="00865B89">
        <w:rPr>
          <w:rFonts w:ascii="Arial" w:hAnsi="Arial" w:cs="Arial"/>
        </w:rPr>
        <w:t>(W1):W749–W753.</w:t>
      </w:r>
    </w:p>
    <w:p w14:paraId="273E0BBF"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Fujita PA, Rhead B, Blanchette M. Enhancements in UCSC regulatory genomics data. Genome Res. 2020;30(9):1388–1398.</w:t>
      </w:r>
    </w:p>
    <w:p w14:paraId="12556532"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Baertsch R, Lee CM, Speir ML. GTEx expression tracks and human tissue annotation. Nucleic Acids Res. 2021</w:t>
      </w:r>
      <w:proofErr w:type="gramStart"/>
      <w:r w:rsidRPr="00865B89">
        <w:rPr>
          <w:rFonts w:ascii="Arial" w:hAnsi="Arial" w:cs="Arial"/>
        </w:rPr>
        <w:t>;49</w:t>
      </w:r>
      <w:proofErr w:type="gramEnd"/>
      <w:r w:rsidRPr="00865B89">
        <w:rPr>
          <w:rFonts w:ascii="Arial" w:hAnsi="Arial" w:cs="Arial"/>
        </w:rPr>
        <w:t>(D1):D882–D888.</w:t>
      </w:r>
    </w:p>
    <w:p w14:paraId="7117FB97"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Navarro Gonzalez J, Haeussler M, Kent WJ. Incorporation of ENCODE data in UCSC Genome Browser. Genome Res. 2023;33(2):250–261.</w:t>
      </w:r>
    </w:p>
    <w:p w14:paraId="401BB42F"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lastRenderedPageBreak/>
        <w:t>Hinrichs AS, Rhead B, Meyer LR. CRISPR target sites and genome editing annotations in UCSC. Nucleic Acids Res. 2022</w:t>
      </w:r>
      <w:proofErr w:type="gramStart"/>
      <w:r w:rsidRPr="00865B89">
        <w:rPr>
          <w:rFonts w:ascii="Arial" w:hAnsi="Arial" w:cs="Arial"/>
        </w:rPr>
        <w:t>;50</w:t>
      </w:r>
      <w:proofErr w:type="gramEnd"/>
      <w:r w:rsidRPr="00865B89">
        <w:rPr>
          <w:rFonts w:ascii="Arial" w:hAnsi="Arial" w:cs="Arial"/>
        </w:rPr>
        <w:t>(D1):D988–D993.</w:t>
      </w:r>
    </w:p>
    <w:p w14:paraId="01DC514F"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Rhead B, Karolchik D, Fujita PA. UCSC’s role in precision medicine and clinical annotation. Nucleic Acids Res. 2024;52(1):12–21.</w:t>
      </w:r>
    </w:p>
    <w:p w14:paraId="7C27FC31"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Karolchik D, Speir ML, Meyer LR. Cross-links to biomedical databases in UCSC Browser. Bioinformatics. 2018;34(5):825–832.</w:t>
      </w:r>
    </w:p>
    <w:p w14:paraId="2502E25C"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Diekhans M, Navarro Gonzalez J, Haeussler M. UCSC Genome Browser as a translational research platform. Nat Rev Genet. 2021;22(4):233–246.</w:t>
      </w:r>
    </w:p>
    <w:p w14:paraId="7AB2A5E1"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Kattamuri SB, Potti L, Vinukonda A, Bandi V, Changantipati S, Mogili RK. Nanofibers in pharmaceuticals—a review. Am. J. Pharmtech. Res. 2012;2(6):188-212.</w:t>
      </w:r>
    </w:p>
    <w:p w14:paraId="3292AD5D"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Natarajan SB, Chandran SP, Vinukonda A, Dharmalingam SR. Green tea catechin loaded nanodelivery systems for the treatment of pandemic diseases. Asian J Pharm Clin Res. 2019;12(5):1-7.</w:t>
      </w:r>
    </w:p>
    <w:p w14:paraId="40118FBE"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Panditi VR, Vinukonda A. Development of second order spectroscopic method for the determination of Stavudine in bulk and pharmaceutical Dosage forms. Journal of Pharmacy Research. 2011 Feb;4(2):492-3.</w:t>
      </w:r>
    </w:p>
    <w:p w14:paraId="7CC44662"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 xml:space="preserve">Putikam JK, Rao YN, </w:t>
      </w:r>
      <w:proofErr w:type="spellStart"/>
      <w:r w:rsidRPr="00865B89">
        <w:rPr>
          <w:rFonts w:ascii="Arial" w:hAnsi="Arial" w:cs="Arial"/>
        </w:rPr>
        <w:t>Anjaneyulu</w:t>
      </w:r>
      <w:proofErr w:type="spellEnd"/>
      <w:r w:rsidRPr="00865B89">
        <w:rPr>
          <w:rFonts w:ascii="Arial" w:hAnsi="Arial" w:cs="Arial"/>
        </w:rPr>
        <w:t xml:space="preserve"> V, </w:t>
      </w:r>
      <w:proofErr w:type="spellStart"/>
      <w:r w:rsidRPr="00865B89">
        <w:rPr>
          <w:rFonts w:ascii="Arial" w:hAnsi="Arial" w:cs="Arial"/>
        </w:rPr>
        <w:t>Undralla</w:t>
      </w:r>
      <w:proofErr w:type="spellEnd"/>
      <w:r w:rsidRPr="00865B89">
        <w:rPr>
          <w:rFonts w:ascii="Arial" w:hAnsi="Arial" w:cs="Arial"/>
        </w:rPr>
        <w:t xml:space="preserve"> VK. Formulation and evaluation of metoprolol succinate extended-release tablet. Research Journal of Pharmacy and Technology. 2012;5(1):75-8.</w:t>
      </w:r>
    </w:p>
    <w:p w14:paraId="10CD200E"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Panditi VR, Vinukonda A. Development of second order spectroscopic method for the determination of Stavudine in bulk and pharmaceutical Dosage forms. Journal of Pharmacy Research. 2011 Feb;4(2):492-3.</w:t>
      </w:r>
    </w:p>
    <w:p w14:paraId="285375B4"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Saisri B, Anjaneyulu V, KUMAR GV. Design and charaterization of pramipexole dihydrochloride nanoparticles. Journal For Innovative Development in Pharmaceutical and Technical Science (JIDPTS). 2021 Nov;4(11).</w:t>
      </w:r>
    </w:p>
    <w:p w14:paraId="24D75235"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Neelamma G, Rasheed SH, Vinukonda A, Aruna M. In-vitro screening for cytotoxic activity of herbal plant extracts on N2a cell lines. Research Journal of Pharmacy and Technology. 2021;14(4):2009-12.</w:t>
      </w:r>
    </w:p>
    <w:p w14:paraId="73799098"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Akki R, Bhattiprolu SS, Vinukonda A, Kathirvel S. An overview on liposheres. World J. Pharm. Res. 2022 Apr 25</w:t>
      </w:r>
      <w:proofErr w:type="gramStart"/>
      <w:r w:rsidRPr="00865B89">
        <w:rPr>
          <w:rFonts w:ascii="Arial" w:hAnsi="Arial" w:cs="Arial"/>
        </w:rPr>
        <w:t>;11:217</w:t>
      </w:r>
      <w:proofErr w:type="gramEnd"/>
      <w:r w:rsidRPr="00865B89">
        <w:rPr>
          <w:rFonts w:ascii="Arial" w:hAnsi="Arial" w:cs="Arial"/>
        </w:rPr>
        <w:t>-32.</w:t>
      </w:r>
    </w:p>
    <w:p w14:paraId="19AD1327"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Vinukonda A. Determination of Irinotecan enantiomer impurity in Irinotecan Hydrochloride API by using reverse-phase liquid chromatography. Journal of Drug Delivery &amp; Therapeutics. 2023 May 1;13(5).</w:t>
      </w:r>
    </w:p>
    <w:p w14:paraId="1FC4836E"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Suryanarayana, R., Vinukonda, A., Saroj, S., Jain, N., Pandey, H., Rudrabhatla, V.S.A. and Gode, T., 2023. Statistically Optimized Facile Development, Characterization and Evaluation of Niosomal Nasal Drug Delivery System of Ropinirole Hydrochloride: In vitro Drug Release, Cytotoxicity and ex vivo Permeability Studies. Indian Journal of Pharmaceutical Education and Research, 57(1), pp.62-73.</w:t>
      </w:r>
    </w:p>
    <w:p w14:paraId="50F2D8A5"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Jain N, Katre S, Vinukonda A. Importance of qualification, computer system validation and its regulatory compliance in pharmaceutical industry. International Journal of Drug Regulatory Affairs. 2020;8(3):70-7.</w:t>
      </w:r>
    </w:p>
    <w:p w14:paraId="0F6E08F0"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Vinukonda A. Single shot vaccine for multi-use: An overview. World Journal of Advanced Research and Reviews. 2023;18(2):095-102.</w:t>
      </w:r>
    </w:p>
    <w:p w14:paraId="0B598E3F"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Gude S, Priya NS, Krishna PS, Sailu AB, Mona S, Kumar CS, Babu PS, Pradesh A. Exploring the Molecular Maze: A Comprehensive Review of Docking Strategies in Drug Discovery.</w:t>
      </w:r>
    </w:p>
    <w:p w14:paraId="05B2BD10"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lastRenderedPageBreak/>
        <w:t>GUDE S, ABBURI SK, GALI PK, GORLAGUNTA S. Advancing single-shot vaccine design through AI and computational models. Translational and Regulatory Sciences. 2025;7(1):8-14.</w:t>
      </w:r>
    </w:p>
    <w:p w14:paraId="350BCECD"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GUDE S, GUDE YS. The synergy of artificial intelligence and machine learning in revolutionizing pharmaceutical regulatory affairs. Translational and Regulatory Sciences. 2024;6(2):37-45.</w:t>
      </w:r>
    </w:p>
    <w:p w14:paraId="21096CF6"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GUDE S, ABBURI SK, DEVARAKONDA A, GALI PK, GORLAGUNTA S. Surface bio-engineering of polymeric nanoparticles: advancing precision in biomedical applications. Translational and Regulatory Sciences. 2025;7(1):30-6.</w:t>
      </w:r>
    </w:p>
    <w:p w14:paraId="01A5CEB8"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GUDE S. Exploring innovative drug delivery systems for the targeted treatment and rehabilitation of individuals affected by narcotics and psychotropic substances: a multidisciplinary approach in pharmaceutics. Translational and Regulatory Sciences. 2024;6(3):72-83.</w:t>
      </w:r>
    </w:p>
    <w:p w14:paraId="50F828E8"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Gude S, Supriya AD, Moushmi B, Varun BA, Naresh M, Babu PS. GENE THERAPY FOR HIV: A REVOLUTIONARY APPROACH TOWARDS A CURE. American Journal of Pharmaceutical Research. 2023;13(08).</w:t>
      </w:r>
    </w:p>
    <w:p w14:paraId="5B4631BC"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Blanchette M, Speir ML, Kent WJ. Human Pangenome tracks and GenArk expansion. Nucleic Acids Res. 2025</w:t>
      </w:r>
      <w:proofErr w:type="gramStart"/>
      <w:r w:rsidRPr="00865B89">
        <w:rPr>
          <w:rFonts w:ascii="Arial" w:hAnsi="Arial" w:cs="Arial"/>
        </w:rPr>
        <w:t>;53</w:t>
      </w:r>
      <w:proofErr w:type="gramEnd"/>
      <w:r w:rsidRPr="00865B89">
        <w:rPr>
          <w:rFonts w:ascii="Arial" w:hAnsi="Arial" w:cs="Arial"/>
        </w:rPr>
        <w:t>(D1):D1011–D1017.</w:t>
      </w:r>
    </w:p>
    <w:p w14:paraId="2EEEDC5A"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Fujita PA, Kent WJ, Rhead B. Single-cell expression visualization tools in UCSC. Genome Biol. 2020;21(1):267.</w:t>
      </w:r>
    </w:p>
    <w:p w14:paraId="1C88477B"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Lee CM, Meyer LR, Hinrichs AS. Comparative Genomics: Conservation tracks in UCSC. Nucleic Acids Res. 2017</w:t>
      </w:r>
      <w:proofErr w:type="gramStart"/>
      <w:r w:rsidRPr="00865B89">
        <w:rPr>
          <w:rFonts w:ascii="Arial" w:hAnsi="Arial" w:cs="Arial"/>
        </w:rPr>
        <w:t>;45</w:t>
      </w:r>
      <w:proofErr w:type="gramEnd"/>
      <w:r w:rsidRPr="00865B89">
        <w:rPr>
          <w:rFonts w:ascii="Arial" w:hAnsi="Arial" w:cs="Arial"/>
        </w:rPr>
        <w:t>(D1):D726–D732.</w:t>
      </w:r>
    </w:p>
    <w:p w14:paraId="332B0AE8"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Meyer LR, Speir ML, Diekhans M. Integration of clinical variant databases in UCSC. Nucleic Acids Res. 2023</w:t>
      </w:r>
      <w:proofErr w:type="gramStart"/>
      <w:r w:rsidRPr="00865B89">
        <w:rPr>
          <w:rFonts w:ascii="Arial" w:hAnsi="Arial" w:cs="Arial"/>
        </w:rPr>
        <w:t>;51</w:t>
      </w:r>
      <w:proofErr w:type="gramEnd"/>
      <w:r w:rsidRPr="00865B89">
        <w:rPr>
          <w:rFonts w:ascii="Arial" w:hAnsi="Arial" w:cs="Arial"/>
        </w:rPr>
        <w:t>(D1):D993–D1000.</w:t>
      </w:r>
    </w:p>
    <w:p w14:paraId="154E3C3A"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Kent WJ, Lee CM, Rhead B. Use of LiftOver for coordinate transformation. Bioinformatics. 2010;26(7):934–936.</w:t>
      </w:r>
    </w:p>
    <w:p w14:paraId="75693DA8"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Rosenbloom KR, Navarro Gonzalez J, Meyer LR. Historical gene models and transcript evolution in UCSC. Nucleic Acids Res. 2016</w:t>
      </w:r>
      <w:proofErr w:type="gramStart"/>
      <w:r w:rsidRPr="00865B89">
        <w:rPr>
          <w:rFonts w:ascii="Arial" w:hAnsi="Arial" w:cs="Arial"/>
        </w:rPr>
        <w:t>;44</w:t>
      </w:r>
      <w:proofErr w:type="gramEnd"/>
      <w:r w:rsidRPr="00865B89">
        <w:rPr>
          <w:rFonts w:ascii="Arial" w:hAnsi="Arial" w:cs="Arial"/>
        </w:rPr>
        <w:t>(D1):D733–D739.</w:t>
      </w:r>
    </w:p>
    <w:p w14:paraId="616F45E6"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Haeussler M, Diekhans M, Rhead B. Track display customization and export tools. Genome Res. 2022;32(4):511–518.</w:t>
      </w:r>
    </w:p>
    <w:p w14:paraId="04D969BE"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Speir ML, Kent WJ, Blanchette M. Integration of AlphaMissense and dosage prediction scores. Nucleic Acids Res. 2025;53(2):321–330.</w:t>
      </w:r>
    </w:p>
    <w:p w14:paraId="23BA41B1"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Karolchik D, Hinrichs AS, Rhead B. Phylogenetic and repeat element annotations. Nucleic Acids Res. 2013</w:t>
      </w:r>
      <w:proofErr w:type="gramStart"/>
      <w:r w:rsidRPr="00865B89">
        <w:rPr>
          <w:rFonts w:ascii="Arial" w:hAnsi="Arial" w:cs="Arial"/>
        </w:rPr>
        <w:t>;41</w:t>
      </w:r>
      <w:proofErr w:type="gramEnd"/>
      <w:r w:rsidRPr="00865B89">
        <w:rPr>
          <w:rFonts w:ascii="Arial" w:hAnsi="Arial" w:cs="Arial"/>
        </w:rPr>
        <w:t>(D1):D64–D69.</w:t>
      </w:r>
    </w:p>
    <w:p w14:paraId="3B76E876"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Diekhans M, Navarro Gonzalez J, Fujita PA. Enhancing usability through genome search improvements. Bioinformatics. 2021;37(10):1320–1327.</w:t>
      </w:r>
    </w:p>
    <w:p w14:paraId="5BC0C371"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Lee CM, Speir ML, Baertsch R. Cross-platform accessibility via RESTful APIs. Genome Inform. 2020;31(1):25–33.</w:t>
      </w:r>
    </w:p>
    <w:p w14:paraId="0D16B852"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Fujita PA, Blanchette M, Haeussler M. Integration of ClinVar and ClinGen resources. Nucleic Acids Res. 2023</w:t>
      </w:r>
      <w:proofErr w:type="gramStart"/>
      <w:r w:rsidRPr="00865B89">
        <w:rPr>
          <w:rFonts w:ascii="Arial" w:hAnsi="Arial" w:cs="Arial"/>
        </w:rPr>
        <w:t>;51</w:t>
      </w:r>
      <w:proofErr w:type="gramEnd"/>
      <w:r w:rsidRPr="00865B89">
        <w:rPr>
          <w:rFonts w:ascii="Arial" w:hAnsi="Arial" w:cs="Arial"/>
        </w:rPr>
        <w:t>(2):D1019–D1026.</w:t>
      </w:r>
    </w:p>
    <w:p w14:paraId="3BA9D557"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Meyer LR, Karolchik D, Speir ML. Predicted enhancer regions with VISTA validation. Genome Biol. 2019;20(1):103.</w:t>
      </w:r>
    </w:p>
    <w:p w14:paraId="7D6A433E"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Kent WJ, Rhead B, Navarro Gonzalez J. UCSC Genome Graphs for GWAS visualization. Bioinformatics. 2011;27(2):286–289.</w:t>
      </w:r>
    </w:p>
    <w:p w14:paraId="70A29D27"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Diekhans M, Speir ML, Rosenbloom KR. Guide to UCSC-supported genome assemblies. Nucleic Acids Res. 2024</w:t>
      </w:r>
      <w:proofErr w:type="gramStart"/>
      <w:r w:rsidRPr="00865B89">
        <w:rPr>
          <w:rFonts w:ascii="Arial" w:hAnsi="Arial" w:cs="Arial"/>
        </w:rPr>
        <w:t>;52</w:t>
      </w:r>
      <w:proofErr w:type="gramEnd"/>
      <w:r w:rsidRPr="00865B89">
        <w:rPr>
          <w:rFonts w:ascii="Arial" w:hAnsi="Arial" w:cs="Arial"/>
        </w:rPr>
        <w:t>(D1):D101–D106.</w:t>
      </w:r>
    </w:p>
    <w:p w14:paraId="2973D648"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lastRenderedPageBreak/>
        <w:t>Navarro Gonzalez J, Fujita PA, Lee CM. Polyadenylation site annotations via Predominant PAS Hub. Genome Res. 2023;33(1):11–18.</w:t>
      </w:r>
    </w:p>
    <w:p w14:paraId="5BF05E66"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Rhead B, Kent WJ, Meyer LR. BED, WIG, and GFF integration in UCSC Custom Tracks. Bioinformatics. 2014;30(15):2110–2112.</w:t>
      </w:r>
    </w:p>
    <w:p w14:paraId="2F624B84"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Blanchette M, Baertsch R, Hinrichs AS. Managing user sessions and saving browser states. Nucleic Acids Res. 2015</w:t>
      </w:r>
      <w:proofErr w:type="gramStart"/>
      <w:r w:rsidRPr="00865B89">
        <w:rPr>
          <w:rFonts w:ascii="Arial" w:hAnsi="Arial" w:cs="Arial"/>
        </w:rPr>
        <w:t>;43</w:t>
      </w:r>
      <w:proofErr w:type="gramEnd"/>
      <w:r w:rsidRPr="00865B89">
        <w:rPr>
          <w:rFonts w:ascii="Arial" w:hAnsi="Arial" w:cs="Arial"/>
        </w:rPr>
        <w:t>(W1):W762–W765.</w:t>
      </w:r>
    </w:p>
    <w:p w14:paraId="68F7E656"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Speir ML, Meyer LR, Fujita PA. Expansion of Assembly Hubs for underrepresented species. Nucleic Acids Res. 2020</w:t>
      </w:r>
      <w:proofErr w:type="gramStart"/>
      <w:r w:rsidRPr="00865B89">
        <w:rPr>
          <w:rFonts w:ascii="Arial" w:hAnsi="Arial" w:cs="Arial"/>
        </w:rPr>
        <w:t>;48</w:t>
      </w:r>
      <w:proofErr w:type="gramEnd"/>
      <w:r w:rsidRPr="00865B89">
        <w:rPr>
          <w:rFonts w:ascii="Arial" w:hAnsi="Arial" w:cs="Arial"/>
        </w:rPr>
        <w:t>(D1):D922–D927.</w:t>
      </w:r>
    </w:p>
    <w:p w14:paraId="094C53DA"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Haeussler M, Navarro Gonzalez J, Lee CM. Variant pathogenicity prediction tools in UCSC. Bioinformatics. 2022;38(1):97–105.</w:t>
      </w:r>
    </w:p>
    <w:p w14:paraId="5039872B"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Rosenbloom KR, Diekhans M, Baertsch R. Track integration from external genomic databases. Genome Biol Evol. 2017;9(3):655–662.</w:t>
      </w:r>
    </w:p>
    <w:p w14:paraId="4A036692"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Kent WJ, Meyer LR, Navarro Gonzalez J. UCSC Genome Browser for large-scale bioinformatics. Trends Genet. 2015;31(7):353–362.</w:t>
      </w:r>
    </w:p>
    <w:p w14:paraId="7F82C2BB"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Diekhans M, Haeussler M, Karolchik D. Enhancements in exon navigation and codon mapping. Nucleic Acids Res. 2023;51(6):2990–2998.</w:t>
      </w:r>
    </w:p>
    <w:p w14:paraId="56757C04"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Blanchette M, Karolchik D, Lee CM. UCSC in integrative multi-omics research. Curr Opin Genet Dev. 2021</w:t>
      </w:r>
      <w:proofErr w:type="gramStart"/>
      <w:r w:rsidRPr="00865B89">
        <w:rPr>
          <w:rFonts w:ascii="Arial" w:hAnsi="Arial" w:cs="Arial"/>
        </w:rPr>
        <w:t>;70:50</w:t>
      </w:r>
      <w:proofErr w:type="gramEnd"/>
      <w:r w:rsidRPr="00865B89">
        <w:rPr>
          <w:rFonts w:ascii="Arial" w:hAnsi="Arial" w:cs="Arial"/>
        </w:rPr>
        <w:t>–56.</w:t>
      </w:r>
    </w:p>
    <w:p w14:paraId="7423777F"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Fujita PA, Speir ML, Hinrichs AS. Supporting high-throughput genomics through UCSC tools. Bioinformatics. 2024;40(4):785–790.</w:t>
      </w:r>
    </w:p>
    <w:p w14:paraId="543CCC86" w14:textId="77777777" w:rsidR="00B01FCD" w:rsidRPr="00FB3A86" w:rsidRDefault="00B01FCD" w:rsidP="00441B6F">
      <w:pPr>
        <w:pStyle w:val="Appendix"/>
        <w:spacing w:after="0"/>
        <w:jc w:val="both"/>
        <w:rPr>
          <w:rFonts w:ascii="Arial" w:hAnsi="Arial" w:cs="Arial"/>
          <w:b w:val="0"/>
        </w:rPr>
      </w:pPr>
    </w:p>
    <w:sectPr w:rsidR="00B01FCD" w:rsidRPr="00FB3A86" w:rsidSect="004C24A6">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B2995" w14:textId="77777777" w:rsidR="00510167" w:rsidRDefault="00510167" w:rsidP="00C37E61">
      <w:r>
        <w:separator/>
      </w:r>
    </w:p>
  </w:endnote>
  <w:endnote w:type="continuationSeparator" w:id="0">
    <w:p w14:paraId="63DDDEF7" w14:textId="77777777" w:rsidR="00510167" w:rsidRDefault="0051016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utami">
    <w:altName w:val="Cambria Math"/>
    <w:panose1 w:val="020005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C72F0" w14:textId="77777777" w:rsidR="0055784F" w:rsidRDefault="005578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60177" w14:textId="77777777" w:rsidR="0055784F" w:rsidRDefault="005578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C48D2" w14:textId="77777777" w:rsidR="0055784F" w:rsidRDefault="005578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A9E47" w14:textId="77777777" w:rsidR="00FA6380" w:rsidRPr="00C37E61" w:rsidRDefault="00FA638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49D82" w14:textId="77777777" w:rsidR="00510167" w:rsidRDefault="00510167" w:rsidP="00C37E61">
      <w:r>
        <w:separator/>
      </w:r>
    </w:p>
  </w:footnote>
  <w:footnote w:type="continuationSeparator" w:id="0">
    <w:p w14:paraId="1D695AB3" w14:textId="77777777" w:rsidR="00510167" w:rsidRDefault="0051016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DC01E" w14:textId="423220A7" w:rsidR="006F3A7D" w:rsidRDefault="00510167">
    <w:pPr>
      <w:pStyle w:val="Header"/>
    </w:pPr>
    <w:r>
      <w:rPr>
        <w:noProof/>
      </w:rPr>
      <w:pict w14:anchorId="5CBC63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913165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E09DB" w14:textId="0A123D71" w:rsidR="006F3A7D" w:rsidRDefault="00510167">
    <w:pPr>
      <w:pStyle w:val="Header"/>
    </w:pPr>
    <w:r>
      <w:rPr>
        <w:noProof/>
      </w:rPr>
      <w:pict w14:anchorId="3DDE09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913165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DF38C" w14:textId="6E531C2F" w:rsidR="00FA6380" w:rsidRPr="00296529" w:rsidRDefault="00510167" w:rsidP="00296529">
    <w:pPr>
      <w:ind w:left="2160"/>
      <w:jc w:val="center"/>
      <w:rPr>
        <w:rFonts w:ascii="Times New Roman" w:eastAsia="Calibri" w:hAnsi="Times New Roman"/>
        <w:i/>
        <w:sz w:val="18"/>
        <w:szCs w:val="22"/>
      </w:rPr>
    </w:pPr>
    <w:r>
      <w:rPr>
        <w:noProof/>
      </w:rPr>
      <w:pict w14:anchorId="04D4AF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913165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6151ED8" w14:textId="77777777" w:rsidR="00FA6380" w:rsidRPr="00296529" w:rsidRDefault="00FA638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34D2E46" w14:textId="77777777" w:rsidR="00FA6380" w:rsidRPr="00296529" w:rsidRDefault="00FA638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2F4D2D3" w14:textId="77777777" w:rsidR="00FA6380" w:rsidRPr="00296529" w:rsidRDefault="00FA638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548C69D" w14:textId="77777777" w:rsidR="00FA6380" w:rsidRDefault="00FA638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3F85D57" w14:textId="77777777" w:rsidR="00FA6380" w:rsidRDefault="00FA638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A218016" w14:textId="77777777" w:rsidR="00FA6380" w:rsidRDefault="00FA638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95FCD" w14:textId="4D0A98D0" w:rsidR="006F3A7D" w:rsidRDefault="00510167">
    <w:pPr>
      <w:pStyle w:val="Header"/>
    </w:pPr>
    <w:r>
      <w:rPr>
        <w:noProof/>
      </w:rPr>
      <w:pict w14:anchorId="6F55E3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913166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AA427" w14:textId="00CB53A2" w:rsidR="006F3A7D" w:rsidRDefault="00510167">
    <w:pPr>
      <w:pStyle w:val="Header"/>
    </w:pPr>
    <w:r>
      <w:rPr>
        <w:noProof/>
      </w:rPr>
      <w:pict w14:anchorId="7E32E0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913166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F39C9" w14:textId="353B4370" w:rsidR="006F3A7D" w:rsidRDefault="00510167">
    <w:pPr>
      <w:pStyle w:val="Header"/>
    </w:pPr>
    <w:r>
      <w:rPr>
        <w:noProof/>
      </w:rPr>
      <w:pict w14:anchorId="2FD5B9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913166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E4881"/>
    <w:multiLevelType w:val="hybridMultilevel"/>
    <w:tmpl w:val="DED6778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4750D1D"/>
    <w:multiLevelType w:val="multilevel"/>
    <w:tmpl w:val="269CAA30"/>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BB06B71"/>
    <w:multiLevelType w:val="multilevel"/>
    <w:tmpl w:val="95C2C9BE"/>
    <w:lvl w:ilvl="0">
      <w:start w:val="1"/>
      <w:numFmt w:val="decimal"/>
      <w:lvlText w:val="%1."/>
      <w:lvlJc w:val="left"/>
      <w:pPr>
        <w:ind w:left="360" w:hanging="360"/>
      </w:pPr>
      <w:rPr>
        <w:rFonts w:ascii="Times New Roman" w:hAnsi="Times New Roman" w:cs="Times New Roman" w:hint="default"/>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1F528E"/>
    <w:multiLevelType w:val="hybridMultilevel"/>
    <w:tmpl w:val="0ACC6E0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623BC2"/>
    <w:multiLevelType w:val="hybridMultilevel"/>
    <w:tmpl w:val="59CC3B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2966294"/>
    <w:multiLevelType w:val="hybridMultilevel"/>
    <w:tmpl w:val="2D6E34D8"/>
    <w:lvl w:ilvl="0" w:tplc="C9763E44">
      <w:start w:val="1"/>
      <w:numFmt w:val="decimal"/>
      <w:lvlText w:val="%1."/>
      <w:lvlJc w:val="left"/>
      <w:pPr>
        <w:ind w:left="3480" w:hanging="360"/>
      </w:pPr>
      <w:rPr>
        <w:rFonts w:hint="default"/>
      </w:rPr>
    </w:lvl>
    <w:lvl w:ilvl="1" w:tplc="40090019" w:tentative="1">
      <w:start w:val="1"/>
      <w:numFmt w:val="lowerLetter"/>
      <w:lvlText w:val="%2."/>
      <w:lvlJc w:val="left"/>
      <w:pPr>
        <w:ind w:left="4200" w:hanging="360"/>
      </w:pPr>
    </w:lvl>
    <w:lvl w:ilvl="2" w:tplc="4009001B" w:tentative="1">
      <w:start w:val="1"/>
      <w:numFmt w:val="lowerRoman"/>
      <w:lvlText w:val="%3."/>
      <w:lvlJc w:val="right"/>
      <w:pPr>
        <w:ind w:left="4920" w:hanging="180"/>
      </w:pPr>
    </w:lvl>
    <w:lvl w:ilvl="3" w:tplc="4009000F" w:tentative="1">
      <w:start w:val="1"/>
      <w:numFmt w:val="decimal"/>
      <w:lvlText w:val="%4."/>
      <w:lvlJc w:val="left"/>
      <w:pPr>
        <w:ind w:left="5640" w:hanging="360"/>
      </w:pPr>
    </w:lvl>
    <w:lvl w:ilvl="4" w:tplc="40090019" w:tentative="1">
      <w:start w:val="1"/>
      <w:numFmt w:val="lowerLetter"/>
      <w:lvlText w:val="%5."/>
      <w:lvlJc w:val="left"/>
      <w:pPr>
        <w:ind w:left="6360" w:hanging="360"/>
      </w:pPr>
    </w:lvl>
    <w:lvl w:ilvl="5" w:tplc="4009001B" w:tentative="1">
      <w:start w:val="1"/>
      <w:numFmt w:val="lowerRoman"/>
      <w:lvlText w:val="%6."/>
      <w:lvlJc w:val="right"/>
      <w:pPr>
        <w:ind w:left="7080" w:hanging="180"/>
      </w:pPr>
    </w:lvl>
    <w:lvl w:ilvl="6" w:tplc="4009000F" w:tentative="1">
      <w:start w:val="1"/>
      <w:numFmt w:val="decimal"/>
      <w:lvlText w:val="%7."/>
      <w:lvlJc w:val="left"/>
      <w:pPr>
        <w:ind w:left="7800" w:hanging="360"/>
      </w:pPr>
    </w:lvl>
    <w:lvl w:ilvl="7" w:tplc="40090019" w:tentative="1">
      <w:start w:val="1"/>
      <w:numFmt w:val="lowerLetter"/>
      <w:lvlText w:val="%8."/>
      <w:lvlJc w:val="left"/>
      <w:pPr>
        <w:ind w:left="8520" w:hanging="360"/>
      </w:pPr>
    </w:lvl>
    <w:lvl w:ilvl="8" w:tplc="4009001B" w:tentative="1">
      <w:start w:val="1"/>
      <w:numFmt w:val="lowerRoman"/>
      <w:lvlText w:val="%9."/>
      <w:lvlJc w:val="right"/>
      <w:pPr>
        <w:ind w:left="9240" w:hanging="180"/>
      </w:pPr>
    </w:lvl>
  </w:abstractNum>
  <w:abstractNum w:abstractNumId="21" w15:restartNumberingAfterBreak="0">
    <w:nsid w:val="3D7C7605"/>
    <w:multiLevelType w:val="hybridMultilevel"/>
    <w:tmpl w:val="9CDAE43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15:restartNumberingAfterBreak="0">
    <w:nsid w:val="455C2DC5"/>
    <w:multiLevelType w:val="hybridMultilevel"/>
    <w:tmpl w:val="F3209F34"/>
    <w:lvl w:ilvl="0" w:tplc="DDC0CAE2">
      <w:start w:val="1"/>
      <w:numFmt w:val="decimal"/>
      <w:lvlText w:val="%1."/>
      <w:lvlJc w:val="left"/>
      <w:pPr>
        <w:ind w:left="3432" w:hanging="360"/>
      </w:pPr>
      <w:rPr>
        <w:rFonts w:hint="default"/>
      </w:rPr>
    </w:lvl>
    <w:lvl w:ilvl="1" w:tplc="40090019" w:tentative="1">
      <w:start w:val="1"/>
      <w:numFmt w:val="lowerLetter"/>
      <w:lvlText w:val="%2."/>
      <w:lvlJc w:val="left"/>
      <w:pPr>
        <w:ind w:left="4152" w:hanging="360"/>
      </w:pPr>
    </w:lvl>
    <w:lvl w:ilvl="2" w:tplc="4009001B" w:tentative="1">
      <w:start w:val="1"/>
      <w:numFmt w:val="lowerRoman"/>
      <w:lvlText w:val="%3."/>
      <w:lvlJc w:val="right"/>
      <w:pPr>
        <w:ind w:left="4872" w:hanging="180"/>
      </w:pPr>
    </w:lvl>
    <w:lvl w:ilvl="3" w:tplc="4009000F" w:tentative="1">
      <w:start w:val="1"/>
      <w:numFmt w:val="decimal"/>
      <w:lvlText w:val="%4."/>
      <w:lvlJc w:val="left"/>
      <w:pPr>
        <w:ind w:left="5592" w:hanging="360"/>
      </w:pPr>
    </w:lvl>
    <w:lvl w:ilvl="4" w:tplc="40090019" w:tentative="1">
      <w:start w:val="1"/>
      <w:numFmt w:val="lowerLetter"/>
      <w:lvlText w:val="%5."/>
      <w:lvlJc w:val="left"/>
      <w:pPr>
        <w:ind w:left="6312" w:hanging="360"/>
      </w:pPr>
    </w:lvl>
    <w:lvl w:ilvl="5" w:tplc="4009001B" w:tentative="1">
      <w:start w:val="1"/>
      <w:numFmt w:val="lowerRoman"/>
      <w:lvlText w:val="%6."/>
      <w:lvlJc w:val="right"/>
      <w:pPr>
        <w:ind w:left="7032" w:hanging="180"/>
      </w:pPr>
    </w:lvl>
    <w:lvl w:ilvl="6" w:tplc="4009000F" w:tentative="1">
      <w:start w:val="1"/>
      <w:numFmt w:val="decimal"/>
      <w:lvlText w:val="%7."/>
      <w:lvlJc w:val="left"/>
      <w:pPr>
        <w:ind w:left="7752" w:hanging="360"/>
      </w:pPr>
    </w:lvl>
    <w:lvl w:ilvl="7" w:tplc="40090019" w:tentative="1">
      <w:start w:val="1"/>
      <w:numFmt w:val="lowerLetter"/>
      <w:lvlText w:val="%8."/>
      <w:lvlJc w:val="left"/>
      <w:pPr>
        <w:ind w:left="8472" w:hanging="360"/>
      </w:pPr>
    </w:lvl>
    <w:lvl w:ilvl="8" w:tplc="4009001B" w:tentative="1">
      <w:start w:val="1"/>
      <w:numFmt w:val="lowerRoman"/>
      <w:lvlText w:val="%9."/>
      <w:lvlJc w:val="right"/>
      <w:pPr>
        <w:ind w:left="9192" w:hanging="180"/>
      </w:p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4CBD2786"/>
    <w:multiLevelType w:val="multilevel"/>
    <w:tmpl w:val="7FD2028C"/>
    <w:lvl w:ilvl="0">
      <w:start w:val="1"/>
      <w:numFmt w:val="decimal"/>
      <w:lvlText w:val="%1."/>
      <w:lvlJc w:val="left"/>
      <w:pPr>
        <w:ind w:left="360" w:hanging="360"/>
      </w:pPr>
      <w:rPr>
        <w:rFonts w:hint="default"/>
        <w:b/>
        <w:bCs/>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076192"/>
    <w:multiLevelType w:val="hybridMultilevel"/>
    <w:tmpl w:val="F4B0BF2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4A4409C"/>
    <w:multiLevelType w:val="hybridMultilevel"/>
    <w:tmpl w:val="BEF670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5C27D6E"/>
    <w:multiLevelType w:val="hybridMultilevel"/>
    <w:tmpl w:val="6332EA3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A494060"/>
    <w:multiLevelType w:val="hybridMultilevel"/>
    <w:tmpl w:val="CD4EC7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BB4236C"/>
    <w:multiLevelType w:val="multilevel"/>
    <w:tmpl w:val="0AA487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45E0CE5"/>
    <w:multiLevelType w:val="hybridMultilevel"/>
    <w:tmpl w:val="82EC1AA6"/>
    <w:lvl w:ilvl="0" w:tplc="DAE87AB4">
      <w:start w:val="1"/>
      <w:numFmt w:val="decimal"/>
      <w:lvlText w:val="%1."/>
      <w:lvlJc w:val="left"/>
      <w:pPr>
        <w:ind w:left="360" w:hanging="360"/>
      </w:pPr>
      <w:rPr>
        <w:rFonts w:hint="default"/>
        <w:b w:val="0"/>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9" w15:restartNumberingAfterBreak="0">
    <w:nsid w:val="7740294C"/>
    <w:multiLevelType w:val="multilevel"/>
    <w:tmpl w:val="2A707FCC"/>
    <w:lvl w:ilvl="0">
      <w:start w:val="1"/>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7"/>
  </w:num>
  <w:num w:numId="9">
    <w:abstractNumId w:val="41"/>
  </w:num>
  <w:num w:numId="10">
    <w:abstractNumId w:val="3"/>
  </w:num>
  <w:num w:numId="11">
    <w:abstractNumId w:val="30"/>
  </w:num>
  <w:num w:numId="12">
    <w:abstractNumId w:val="4"/>
  </w:num>
  <w:num w:numId="13">
    <w:abstractNumId w:val="27"/>
  </w:num>
  <w:num w:numId="14">
    <w:abstractNumId w:val="11"/>
  </w:num>
  <w:num w:numId="15">
    <w:abstractNumId w:val="35"/>
  </w:num>
  <w:num w:numId="16">
    <w:abstractNumId w:val="6"/>
  </w:num>
  <w:num w:numId="17">
    <w:abstractNumId w:val="36"/>
  </w:num>
  <w:num w:numId="18">
    <w:abstractNumId w:val="19"/>
  </w:num>
  <w:num w:numId="19">
    <w:abstractNumId w:val="44"/>
  </w:num>
  <w:num w:numId="20">
    <w:abstractNumId w:val="16"/>
  </w:num>
  <w:num w:numId="21">
    <w:abstractNumId w:val="13"/>
  </w:num>
  <w:num w:numId="22">
    <w:abstractNumId w:val="18"/>
  </w:num>
  <w:num w:numId="23">
    <w:abstractNumId w:val="33"/>
  </w:num>
  <w:num w:numId="24">
    <w:abstractNumId w:val="42"/>
  </w:num>
  <w:num w:numId="25">
    <w:abstractNumId w:val="5"/>
  </w:num>
  <w:num w:numId="26">
    <w:abstractNumId w:val="25"/>
  </w:num>
  <w:num w:numId="27">
    <w:abstractNumId w:val="34"/>
  </w:num>
  <w:num w:numId="28">
    <w:abstractNumId w:val="43"/>
  </w:num>
  <w:num w:numId="29">
    <w:abstractNumId w:val="40"/>
  </w:num>
  <w:num w:numId="30">
    <w:abstractNumId w:val="14"/>
  </w:num>
  <w:num w:numId="31">
    <w:abstractNumId w:val="37"/>
  </w:num>
  <w:num w:numId="32">
    <w:abstractNumId w:val="32"/>
  </w:num>
  <w:num w:numId="33">
    <w:abstractNumId w:val="31"/>
  </w:num>
  <w:num w:numId="34">
    <w:abstractNumId w:val="26"/>
  </w:num>
  <w:num w:numId="35">
    <w:abstractNumId w:val="24"/>
  </w:num>
  <w:num w:numId="36">
    <w:abstractNumId w:val="1"/>
  </w:num>
  <w:num w:numId="37">
    <w:abstractNumId w:val="8"/>
  </w:num>
  <w:num w:numId="38">
    <w:abstractNumId w:val="39"/>
  </w:num>
  <w:num w:numId="39">
    <w:abstractNumId w:val="10"/>
  </w:num>
  <w:num w:numId="40">
    <w:abstractNumId w:val="28"/>
  </w:num>
  <w:num w:numId="41">
    <w:abstractNumId w:val="20"/>
  </w:num>
  <w:num w:numId="42">
    <w:abstractNumId w:val="22"/>
  </w:num>
  <w:num w:numId="43">
    <w:abstractNumId w:val="15"/>
  </w:num>
  <w:num w:numId="44">
    <w:abstractNumId w:val="12"/>
  </w:num>
  <w:num w:numId="45">
    <w:abstractNumId w:val="21"/>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13914"/>
    <w:rsid w:val="00030174"/>
    <w:rsid w:val="0004579C"/>
    <w:rsid w:val="000540A9"/>
    <w:rsid w:val="000A11AC"/>
    <w:rsid w:val="000A4273"/>
    <w:rsid w:val="000A47FA"/>
    <w:rsid w:val="000A65D3"/>
    <w:rsid w:val="000B1E33"/>
    <w:rsid w:val="000D689F"/>
    <w:rsid w:val="000E1D6B"/>
    <w:rsid w:val="000E7B7B"/>
    <w:rsid w:val="000E7D62"/>
    <w:rsid w:val="001006EB"/>
    <w:rsid w:val="00103357"/>
    <w:rsid w:val="001137DF"/>
    <w:rsid w:val="00123C9F"/>
    <w:rsid w:val="00126190"/>
    <w:rsid w:val="00130F17"/>
    <w:rsid w:val="001320BF"/>
    <w:rsid w:val="00163BC4"/>
    <w:rsid w:val="00191062"/>
    <w:rsid w:val="00192B72"/>
    <w:rsid w:val="00195CE1"/>
    <w:rsid w:val="001A29D8"/>
    <w:rsid w:val="001A5CAA"/>
    <w:rsid w:val="001B0427"/>
    <w:rsid w:val="001C76F8"/>
    <w:rsid w:val="001D3A51"/>
    <w:rsid w:val="001E10D2"/>
    <w:rsid w:val="001E25B4"/>
    <w:rsid w:val="001E44FE"/>
    <w:rsid w:val="001F526C"/>
    <w:rsid w:val="001F630B"/>
    <w:rsid w:val="00200595"/>
    <w:rsid w:val="00203C6A"/>
    <w:rsid w:val="00204835"/>
    <w:rsid w:val="00225356"/>
    <w:rsid w:val="00231920"/>
    <w:rsid w:val="0023195C"/>
    <w:rsid w:val="0024282C"/>
    <w:rsid w:val="002460DC"/>
    <w:rsid w:val="002474B2"/>
    <w:rsid w:val="00250985"/>
    <w:rsid w:val="002556F6"/>
    <w:rsid w:val="00283105"/>
    <w:rsid w:val="00284C4C"/>
    <w:rsid w:val="00287E68"/>
    <w:rsid w:val="00296529"/>
    <w:rsid w:val="002B27FB"/>
    <w:rsid w:val="002B685A"/>
    <w:rsid w:val="002C57D2"/>
    <w:rsid w:val="002D476E"/>
    <w:rsid w:val="002E0D56"/>
    <w:rsid w:val="00307DB3"/>
    <w:rsid w:val="00315186"/>
    <w:rsid w:val="003303A3"/>
    <w:rsid w:val="0033343E"/>
    <w:rsid w:val="00341A4F"/>
    <w:rsid w:val="003512C2"/>
    <w:rsid w:val="00371FB6"/>
    <w:rsid w:val="003763C1"/>
    <w:rsid w:val="00376BBE"/>
    <w:rsid w:val="0039224F"/>
    <w:rsid w:val="00393706"/>
    <w:rsid w:val="003A43A4"/>
    <w:rsid w:val="003A7E18"/>
    <w:rsid w:val="003B33F7"/>
    <w:rsid w:val="003C2A1B"/>
    <w:rsid w:val="003C4C86"/>
    <w:rsid w:val="003C6258"/>
    <w:rsid w:val="003E1730"/>
    <w:rsid w:val="003E2904"/>
    <w:rsid w:val="00401927"/>
    <w:rsid w:val="00402E02"/>
    <w:rsid w:val="0041027F"/>
    <w:rsid w:val="00412475"/>
    <w:rsid w:val="00423789"/>
    <w:rsid w:val="00434604"/>
    <w:rsid w:val="00436078"/>
    <w:rsid w:val="00440F43"/>
    <w:rsid w:val="00441B6F"/>
    <w:rsid w:val="004434DD"/>
    <w:rsid w:val="00446221"/>
    <w:rsid w:val="00450E62"/>
    <w:rsid w:val="004539DB"/>
    <w:rsid w:val="00470BF9"/>
    <w:rsid w:val="00471A80"/>
    <w:rsid w:val="00476BAE"/>
    <w:rsid w:val="004929C8"/>
    <w:rsid w:val="004A37AE"/>
    <w:rsid w:val="004C24A6"/>
    <w:rsid w:val="004D305E"/>
    <w:rsid w:val="004D4277"/>
    <w:rsid w:val="004D60A2"/>
    <w:rsid w:val="004E298C"/>
    <w:rsid w:val="004F28F1"/>
    <w:rsid w:val="00502516"/>
    <w:rsid w:val="00505F06"/>
    <w:rsid w:val="00506828"/>
    <w:rsid w:val="00510167"/>
    <w:rsid w:val="005131AE"/>
    <w:rsid w:val="0053056E"/>
    <w:rsid w:val="00554FDA"/>
    <w:rsid w:val="0055784F"/>
    <w:rsid w:val="005A47B6"/>
    <w:rsid w:val="005A5D88"/>
    <w:rsid w:val="005C41E3"/>
    <w:rsid w:val="005C784C"/>
    <w:rsid w:val="005D17F6"/>
    <w:rsid w:val="005E3244"/>
    <w:rsid w:val="005E5539"/>
    <w:rsid w:val="00600860"/>
    <w:rsid w:val="00602BF5"/>
    <w:rsid w:val="00617FDD"/>
    <w:rsid w:val="00633614"/>
    <w:rsid w:val="00633F68"/>
    <w:rsid w:val="00636EB2"/>
    <w:rsid w:val="006375B8"/>
    <w:rsid w:val="006466C8"/>
    <w:rsid w:val="00647096"/>
    <w:rsid w:val="0066510A"/>
    <w:rsid w:val="00673F9F"/>
    <w:rsid w:val="00686953"/>
    <w:rsid w:val="00687DEA"/>
    <w:rsid w:val="00687E67"/>
    <w:rsid w:val="006967F7"/>
    <w:rsid w:val="006A250C"/>
    <w:rsid w:val="006B21D3"/>
    <w:rsid w:val="006B2596"/>
    <w:rsid w:val="006B57D0"/>
    <w:rsid w:val="006D30FF"/>
    <w:rsid w:val="006D6940"/>
    <w:rsid w:val="006D71D1"/>
    <w:rsid w:val="006F11EC"/>
    <w:rsid w:val="006F3A7D"/>
    <w:rsid w:val="006F3B08"/>
    <w:rsid w:val="0070082C"/>
    <w:rsid w:val="007065CE"/>
    <w:rsid w:val="007233F9"/>
    <w:rsid w:val="007369E6"/>
    <w:rsid w:val="00746E59"/>
    <w:rsid w:val="00754C9A"/>
    <w:rsid w:val="0075599A"/>
    <w:rsid w:val="00761D52"/>
    <w:rsid w:val="0077749E"/>
    <w:rsid w:val="00783084"/>
    <w:rsid w:val="00790ADA"/>
    <w:rsid w:val="00794E0E"/>
    <w:rsid w:val="007D2288"/>
    <w:rsid w:val="007E088F"/>
    <w:rsid w:val="007F69C4"/>
    <w:rsid w:val="007F7B32"/>
    <w:rsid w:val="00804BC2"/>
    <w:rsid w:val="0081431A"/>
    <w:rsid w:val="0083216F"/>
    <w:rsid w:val="008432D2"/>
    <w:rsid w:val="008449D5"/>
    <w:rsid w:val="00860000"/>
    <w:rsid w:val="00863BD3"/>
    <w:rsid w:val="008641ED"/>
    <w:rsid w:val="00865B89"/>
    <w:rsid w:val="00866D66"/>
    <w:rsid w:val="008671C6"/>
    <w:rsid w:val="00875803"/>
    <w:rsid w:val="00894B95"/>
    <w:rsid w:val="008B459E"/>
    <w:rsid w:val="008E13AE"/>
    <w:rsid w:val="008E1506"/>
    <w:rsid w:val="008E571E"/>
    <w:rsid w:val="008E710C"/>
    <w:rsid w:val="008F69D6"/>
    <w:rsid w:val="00902823"/>
    <w:rsid w:val="00915CA6"/>
    <w:rsid w:val="00927834"/>
    <w:rsid w:val="009305F8"/>
    <w:rsid w:val="00935F94"/>
    <w:rsid w:val="009500A6"/>
    <w:rsid w:val="00957C18"/>
    <w:rsid w:val="009659BA"/>
    <w:rsid w:val="00983040"/>
    <w:rsid w:val="009B3FB9"/>
    <w:rsid w:val="009C2465"/>
    <w:rsid w:val="009D35A0"/>
    <w:rsid w:val="009D7EB7"/>
    <w:rsid w:val="009E048A"/>
    <w:rsid w:val="009E08E9"/>
    <w:rsid w:val="009E3DB9"/>
    <w:rsid w:val="009E496E"/>
    <w:rsid w:val="009E6E35"/>
    <w:rsid w:val="009F0EDA"/>
    <w:rsid w:val="00A03B96"/>
    <w:rsid w:val="00A05B19"/>
    <w:rsid w:val="00A1134E"/>
    <w:rsid w:val="00A20865"/>
    <w:rsid w:val="00A24E7E"/>
    <w:rsid w:val="00A258C3"/>
    <w:rsid w:val="00A347C0"/>
    <w:rsid w:val="00A51431"/>
    <w:rsid w:val="00A539AD"/>
    <w:rsid w:val="00A64AE9"/>
    <w:rsid w:val="00A94063"/>
    <w:rsid w:val="00AA6219"/>
    <w:rsid w:val="00AA74E0"/>
    <w:rsid w:val="00AB703F"/>
    <w:rsid w:val="00AC14BC"/>
    <w:rsid w:val="00AC6BB8"/>
    <w:rsid w:val="00AD210B"/>
    <w:rsid w:val="00AE008F"/>
    <w:rsid w:val="00AF0AC9"/>
    <w:rsid w:val="00B01FCD"/>
    <w:rsid w:val="00B1776C"/>
    <w:rsid w:val="00B52583"/>
    <w:rsid w:val="00B52896"/>
    <w:rsid w:val="00B95236"/>
    <w:rsid w:val="00B96BD9"/>
    <w:rsid w:val="00B97DFB"/>
    <w:rsid w:val="00BA1B01"/>
    <w:rsid w:val="00BA2641"/>
    <w:rsid w:val="00BA5C08"/>
    <w:rsid w:val="00BB37AA"/>
    <w:rsid w:val="00BC53A0"/>
    <w:rsid w:val="00BE62AD"/>
    <w:rsid w:val="00BF121F"/>
    <w:rsid w:val="00BF1F80"/>
    <w:rsid w:val="00C166EF"/>
    <w:rsid w:val="00C174BE"/>
    <w:rsid w:val="00C17EB0"/>
    <w:rsid w:val="00C27F5F"/>
    <w:rsid w:val="00C30A0F"/>
    <w:rsid w:val="00C37E61"/>
    <w:rsid w:val="00C4190F"/>
    <w:rsid w:val="00C5112D"/>
    <w:rsid w:val="00C70F1B"/>
    <w:rsid w:val="00C71A47"/>
    <w:rsid w:val="00C7464C"/>
    <w:rsid w:val="00C85588"/>
    <w:rsid w:val="00C86016"/>
    <w:rsid w:val="00CD6755"/>
    <w:rsid w:val="00CD6856"/>
    <w:rsid w:val="00CE0089"/>
    <w:rsid w:val="00CE793C"/>
    <w:rsid w:val="00CF193C"/>
    <w:rsid w:val="00CF3EC6"/>
    <w:rsid w:val="00D173F1"/>
    <w:rsid w:val="00D362F5"/>
    <w:rsid w:val="00D41361"/>
    <w:rsid w:val="00D51723"/>
    <w:rsid w:val="00D72A54"/>
    <w:rsid w:val="00D74CB0"/>
    <w:rsid w:val="00D8295D"/>
    <w:rsid w:val="00D901AF"/>
    <w:rsid w:val="00DC2A65"/>
    <w:rsid w:val="00DE15F0"/>
    <w:rsid w:val="00DE5663"/>
    <w:rsid w:val="00DE78AA"/>
    <w:rsid w:val="00DF3A76"/>
    <w:rsid w:val="00DF5949"/>
    <w:rsid w:val="00E03E87"/>
    <w:rsid w:val="00E053D0"/>
    <w:rsid w:val="00E15994"/>
    <w:rsid w:val="00E3114E"/>
    <w:rsid w:val="00E31A70"/>
    <w:rsid w:val="00E35B02"/>
    <w:rsid w:val="00E66496"/>
    <w:rsid w:val="00E66B35"/>
    <w:rsid w:val="00E66E10"/>
    <w:rsid w:val="00E71D01"/>
    <w:rsid w:val="00E769F6"/>
    <w:rsid w:val="00E8407C"/>
    <w:rsid w:val="00E84F3C"/>
    <w:rsid w:val="00E85534"/>
    <w:rsid w:val="00EA012C"/>
    <w:rsid w:val="00EC464C"/>
    <w:rsid w:val="00EC547B"/>
    <w:rsid w:val="00EC6A55"/>
    <w:rsid w:val="00ED0288"/>
    <w:rsid w:val="00EE52CB"/>
    <w:rsid w:val="00EF581D"/>
    <w:rsid w:val="00EF7FD8"/>
    <w:rsid w:val="00F06F59"/>
    <w:rsid w:val="00F17988"/>
    <w:rsid w:val="00F20281"/>
    <w:rsid w:val="00F469F0"/>
    <w:rsid w:val="00F53273"/>
    <w:rsid w:val="00F608F1"/>
    <w:rsid w:val="00F755E4"/>
    <w:rsid w:val="00F77D02"/>
    <w:rsid w:val="00FA6380"/>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E420A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41361"/>
    <w:pPr>
      <w:ind w:left="720"/>
      <w:contextualSpacing/>
    </w:pPr>
  </w:style>
  <w:style w:type="table" w:styleId="PlainTable2">
    <w:name w:val="Plain Table 2"/>
    <w:basedOn w:val="TableNormal"/>
    <w:uiPriority w:val="42"/>
    <w:rsid w:val="00D41361"/>
    <w:rPr>
      <w:rFonts w:ascii="Calibri" w:hAnsi="Calibri"/>
      <w:lang w:val="tr-TR" w:eastAsia="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semiHidden/>
    <w:unhideWhenUsed/>
    <w:rsid w:val="006F3B08"/>
    <w:rPr>
      <w:rFonts w:ascii="Times New Roman" w:hAnsi="Times New Roman"/>
      <w:sz w:val="24"/>
      <w:szCs w:val="24"/>
    </w:rPr>
  </w:style>
  <w:style w:type="paragraph" w:styleId="BodyText">
    <w:name w:val="Body Text"/>
    <w:basedOn w:val="Normal"/>
    <w:link w:val="BodyTextChar"/>
    <w:semiHidden/>
    <w:unhideWhenUsed/>
    <w:rsid w:val="00D51723"/>
    <w:pPr>
      <w:spacing w:after="120"/>
    </w:pPr>
  </w:style>
  <w:style w:type="character" w:customStyle="1" w:styleId="BodyTextChar">
    <w:name w:val="Body Text Char"/>
    <w:basedOn w:val="DefaultParagraphFont"/>
    <w:link w:val="BodyText"/>
    <w:semiHidden/>
    <w:rsid w:val="00D51723"/>
    <w:rPr>
      <w:rFonts w:ascii="Helvetica" w:hAnsi="Helvetica"/>
    </w:rPr>
  </w:style>
  <w:style w:type="character" w:styleId="Strong">
    <w:name w:val="Strong"/>
    <w:basedOn w:val="DefaultParagraphFont"/>
    <w:uiPriority w:val="22"/>
    <w:qFormat/>
    <w:rsid w:val="004C24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2AD76-74AD-49B5-85D6-B49F6995F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254</TotalTime>
  <Pages>19</Pages>
  <Words>7748</Words>
  <Characters>44166</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51811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55</cp:revision>
  <cp:lastPrinted>1999-07-06T11:00:00Z</cp:lastPrinted>
  <dcterms:created xsi:type="dcterms:W3CDTF">2014-10-25T14:34:00Z</dcterms:created>
  <dcterms:modified xsi:type="dcterms:W3CDTF">2026-03-19T09:46:00Z</dcterms:modified>
</cp:coreProperties>
</file>