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8511B6" w14:textId="77777777" w:rsidR="00C449F4" w:rsidRDefault="00C449F4" w:rsidP="00991A84">
      <w:pPr>
        <w:pStyle w:val="Title"/>
        <w:spacing w:after="0"/>
        <w:jc w:val="both"/>
        <w:rPr>
          <w:rFonts w:ascii="Arial" w:hAnsi="Arial" w:cs="Arial"/>
        </w:rPr>
      </w:pPr>
    </w:p>
    <w:p w14:paraId="4BA05B4D" w14:textId="77777777" w:rsidR="00C449F4" w:rsidRDefault="00446F3D" w:rsidP="00991A84">
      <w:pPr>
        <w:pStyle w:val="Author"/>
        <w:spacing w:line="240" w:lineRule="auto"/>
        <w:jc w:val="both"/>
        <w:rPr>
          <w:rFonts w:ascii="Arial" w:hAnsi="Arial" w:cs="Arial"/>
          <w:bCs/>
          <w:iCs/>
          <w:kern w:val="28"/>
          <w:sz w:val="36"/>
        </w:rPr>
      </w:pPr>
      <w:r>
        <w:rPr>
          <w:rFonts w:ascii="Arial" w:hAnsi="Arial" w:cs="Arial"/>
          <w:bCs/>
          <w:iCs/>
          <w:kern w:val="28"/>
          <w:sz w:val="36"/>
        </w:rPr>
        <w:t>Review Article</w:t>
      </w:r>
    </w:p>
    <w:p w14:paraId="7C9FE5F0" w14:textId="1436C7B7" w:rsidR="00C449F4" w:rsidRDefault="006005E8" w:rsidP="00991A84">
      <w:pPr>
        <w:pStyle w:val="Author"/>
        <w:spacing w:line="240" w:lineRule="auto"/>
        <w:jc w:val="both"/>
        <w:rPr>
          <w:rFonts w:ascii="Arial" w:hAnsi="Arial" w:cs="Arial"/>
          <w:sz w:val="36"/>
        </w:rPr>
      </w:pPr>
      <w:r w:rsidRPr="006005E8">
        <w:rPr>
          <w:rFonts w:ascii="Arial" w:hAnsi="Arial" w:cs="Arial"/>
          <w:bCs/>
          <w:iCs/>
          <w:kern w:val="28"/>
          <w:sz w:val="36"/>
          <w:highlight w:val="yellow"/>
        </w:rPr>
        <w:t>Nanotechnology in Cancer Therapy and Immunotherapy: From Targeted Delivery to Cancer Vaccines</w:t>
      </w:r>
    </w:p>
    <w:p w14:paraId="261B03DD" w14:textId="77777777" w:rsidR="00C449F4" w:rsidRDefault="00C449F4" w:rsidP="00991A84">
      <w:pPr>
        <w:pStyle w:val="Author"/>
        <w:spacing w:line="240" w:lineRule="auto"/>
        <w:jc w:val="both"/>
        <w:rPr>
          <w:rFonts w:ascii="Arial" w:hAnsi="Arial" w:cs="Arial"/>
        </w:rPr>
      </w:pPr>
    </w:p>
    <w:p w14:paraId="757DDDBB" w14:textId="77777777" w:rsidR="00C449F4" w:rsidRDefault="00C449F4" w:rsidP="00991A84">
      <w:pPr>
        <w:pStyle w:val="Affiliation"/>
        <w:spacing w:after="0" w:line="240" w:lineRule="auto"/>
        <w:jc w:val="both"/>
        <w:rPr>
          <w:rFonts w:ascii="Arial" w:hAnsi="Arial" w:cs="Arial"/>
        </w:rPr>
      </w:pPr>
    </w:p>
    <w:p w14:paraId="1E3C299B" w14:textId="77777777" w:rsidR="00C449F4" w:rsidRDefault="00C449F4" w:rsidP="00991A84">
      <w:pPr>
        <w:pStyle w:val="Affiliation"/>
        <w:spacing w:after="0" w:line="240" w:lineRule="auto"/>
        <w:jc w:val="both"/>
        <w:rPr>
          <w:rFonts w:ascii="Arial" w:hAnsi="Arial" w:cs="Arial"/>
        </w:rPr>
      </w:pPr>
    </w:p>
    <w:p w14:paraId="1F628ADD" w14:textId="77777777" w:rsidR="00C449F4" w:rsidRDefault="00446F3D" w:rsidP="00991A84">
      <w:pPr>
        <w:pStyle w:val="Copyright"/>
        <w:spacing w:after="0" w:line="240" w:lineRule="auto"/>
        <w:jc w:val="both"/>
        <w:rPr>
          <w:rFonts w:ascii="Arial" w:hAnsi="Arial" w:cs="Arial"/>
        </w:rPr>
        <w:sectPr w:rsidR="00C449F4">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14:anchorId="58BD0DE4" wp14:editId="67CACFF3">
                <wp:extent cx="5303520" cy="0"/>
                <wp:effectExtent l="0" t="9525" r="11430" b="9525"/>
                <wp:docPr id="1"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1DD205B5"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" strokeweight="1.5pt">
                <w10:anchorlock/>
              </v:shape>
            </w:pict>
          </mc:Fallback>
        </mc:AlternateContent>
      </w:r>
      <w:r>
        <w:rPr>
          <w:rFonts w:ascii="Arial" w:hAnsi="Arial" w:cs="Arial"/>
        </w:rPr>
        <w:t>.</w:t>
      </w:r>
    </w:p>
    <w:p w14:paraId="2275F6FC" w14:textId="77777777" w:rsidR="00C449F4" w:rsidRDefault="00446F3D" w:rsidP="00991A84">
      <w:pPr>
        <w:pStyle w:val="AbstHead"/>
        <w:spacing w:after="0"/>
        <w:jc w:val="both"/>
        <w:rPr>
          <w:rFonts w:ascii="Arial" w:hAnsi="Arial" w:cs="Arial"/>
        </w:rPr>
      </w:pPr>
      <w:r>
        <w:rPr>
          <w:rFonts w:ascii="Arial" w:hAnsi="Arial" w:cs="Arial"/>
        </w:rPr>
        <w:t>ABSTRACT</w:t>
      </w:r>
    </w:p>
    <w:p w14:paraId="2290EBF4" w14:textId="77777777" w:rsidR="00C449F4" w:rsidRDefault="00C449F4" w:rsidP="00991A84">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C449F4" w14:paraId="0B6BE6A0" w14:textId="77777777">
        <w:tc>
          <w:tcPr>
            <w:tcW w:w="9576" w:type="dxa"/>
            <w:shd w:val="clear" w:color="auto" w:fill="F2F2F2"/>
          </w:tcPr>
          <w:p w14:paraId="65661072" w14:textId="739F8F50" w:rsidR="006005E8" w:rsidRPr="006005E8" w:rsidRDefault="006005E8" w:rsidP="00991A84">
            <w:pPr>
              <w:pStyle w:val="Body"/>
              <w:spacing w:after="0"/>
              <w:rPr>
                <w:rFonts w:ascii="Arial" w:eastAsia="Calibri" w:hAnsi="Arial" w:cs="Arial"/>
                <w:szCs w:val="22"/>
                <w:lang w:val="en-IN"/>
              </w:rPr>
            </w:pPr>
            <w:r w:rsidRPr="006005E8">
              <w:rPr>
                <w:rFonts w:ascii="Arial" w:eastAsia="Calibri" w:hAnsi="Arial" w:cs="Arial"/>
                <w:szCs w:val="22"/>
                <w:highlight w:val="yellow"/>
                <w:lang w:val="en-IN"/>
              </w:rPr>
              <w:t>Cancer remains a leading cause of global mortality, and conventional treatment modalities such as chemotherapy, radiotherapy, and surgery often suffer from limited tumor specificity, systemic toxicity, and suboptimal patient outcomes. In this context, nanotechnology has emerged as a clinically relevant strategy to enhance therapeutic precision and reduce adverse effects. Several clinically approved nanomedicines, including liposomal doxorubicin (Doxil®), liposomal daunorubicin (DaunoXome®), albumin-bound paclitaxel (Abraxane®), and liposomal irinotecan (Onivyde®), demonstrate the translational potential of nanocarrier-based drug delivery systems by improving pharmacokinetics, tumor targeting, and tolerability. These platforms exemplify how nanoscale engineering can enhance drug solubility, prolong circulation time, and achieve controlled release, thereby improving therapeutic efficacy and patient quality of life. Beyond established formulations, emerging nanotechnological approaches such as nanovaccines, polymeric and metallic nanoparticles, and gene-delivery systems are being explored to augment cancer immunotherapy, photothermal therapy, and photodynamic therapy. Such systems support tumor-specific immune activation, enable targeted cytotoxicity, and facilitate theranostic integration for real-time monitoring of treatment response. However, despite promising preclinical and clinical outcomes, several challenges constrain widespread clinical adoption. These include limited large-scale clinical validation, potential long-term toxicity, manufacturing complexity, regulatory hurdles, high production costs, and variability in biological interactions. Addressing these translational barriers through standardized evaluation protocols, improved safety profiling, and cost-effective manufacturing will be critical for broader clinical integration. Overall, nanotechnology-driven oncology holds substantial promise in bridging experimental innovation with clinical practice, advancing more precise, personalized, and clinically effective cancer therapies.</w:t>
            </w:r>
          </w:p>
          <w:p w14:paraId="41A8FFD8" w14:textId="16A00A5D" w:rsidR="00C449F4" w:rsidRDefault="00446F3D" w:rsidP="00991A84">
            <w:pPr>
              <w:pStyle w:val="Body"/>
              <w:spacing w:after="0"/>
              <w:rPr>
                <w:rFonts w:ascii="Arial" w:eastAsia="Calibri" w:hAnsi="Arial" w:cs="Arial"/>
                <w:szCs w:val="22"/>
              </w:rPr>
            </w:pPr>
            <w:r>
              <w:rPr>
                <w:rFonts w:ascii="Arial" w:eastAsia="Calibri" w:hAnsi="Arial" w:cs="Arial"/>
                <w:szCs w:val="22"/>
                <w:lang w:val="en-IN"/>
              </w:rPr>
              <w:t>.</w:t>
            </w:r>
          </w:p>
        </w:tc>
      </w:tr>
    </w:tbl>
    <w:p w14:paraId="457B43D8" w14:textId="77777777" w:rsidR="00C449F4" w:rsidRDefault="00C449F4" w:rsidP="00991A84">
      <w:pPr>
        <w:pStyle w:val="Body"/>
        <w:spacing w:after="0"/>
        <w:rPr>
          <w:rFonts w:ascii="Arial" w:hAnsi="Arial" w:cs="Arial"/>
          <w:i/>
        </w:rPr>
      </w:pPr>
    </w:p>
    <w:p w14:paraId="3ABE8AC3" w14:textId="77777777" w:rsidR="00C449F4" w:rsidRDefault="00446F3D" w:rsidP="00991A84">
      <w:pPr>
        <w:pStyle w:val="Body"/>
        <w:spacing w:after="0"/>
        <w:rPr>
          <w:rFonts w:ascii="Arial" w:hAnsi="Arial" w:cs="Arial"/>
          <w:i/>
        </w:rPr>
      </w:pPr>
      <w:r w:rsidRPr="006005E8">
        <w:rPr>
          <w:rFonts w:ascii="Arial" w:hAnsi="Arial" w:cs="Arial"/>
          <w:b/>
          <w:bCs/>
          <w:i/>
          <w:highlight w:val="yellow"/>
        </w:rPr>
        <w:t>Keywords:</w:t>
      </w:r>
      <w:r w:rsidRPr="006005E8">
        <w:rPr>
          <w:rFonts w:ascii="Arial" w:hAnsi="Arial" w:cs="Arial"/>
          <w:i/>
          <w:highlight w:val="yellow"/>
        </w:rPr>
        <w:t xml:space="preserve"> Nanomedicine; Immunotherapy; Cancer Vaccines; Targeted Drug Delivery; Nanovaccines</w:t>
      </w:r>
    </w:p>
    <w:p w14:paraId="27358B47" w14:textId="77777777" w:rsidR="00C449F4" w:rsidRDefault="00C449F4" w:rsidP="00991A84">
      <w:pPr>
        <w:pStyle w:val="Body"/>
        <w:spacing w:after="0"/>
        <w:rPr>
          <w:rFonts w:ascii="Arial" w:hAnsi="Arial" w:cs="Arial"/>
          <w:i/>
          <w:sz w:val="18"/>
        </w:rPr>
      </w:pPr>
    </w:p>
    <w:p w14:paraId="4C2CE494" w14:textId="77777777" w:rsidR="00C449F4" w:rsidRDefault="00C449F4" w:rsidP="00991A84">
      <w:pPr>
        <w:pStyle w:val="Body"/>
        <w:spacing w:after="0"/>
        <w:rPr>
          <w:rFonts w:ascii="Arial" w:hAnsi="Arial" w:cs="Arial"/>
          <w:i/>
        </w:rPr>
      </w:pPr>
    </w:p>
    <w:p w14:paraId="7149EE09" w14:textId="77777777" w:rsidR="00C449F4" w:rsidRDefault="00446F3D" w:rsidP="00991A84">
      <w:pPr>
        <w:pStyle w:val="AbstHead"/>
        <w:spacing w:after="0"/>
        <w:jc w:val="both"/>
        <w:rPr>
          <w:rFonts w:ascii="Arial" w:hAnsi="Arial" w:cs="Arial"/>
        </w:rPr>
      </w:pPr>
      <w:r>
        <w:rPr>
          <w:rFonts w:ascii="Arial" w:hAnsi="Arial" w:cs="Arial"/>
        </w:rPr>
        <w:t>1. INTRODUCTION</w:t>
      </w:r>
    </w:p>
    <w:p w14:paraId="3C3DBB2B" w14:textId="77777777" w:rsidR="00C449F4" w:rsidRDefault="00C449F4" w:rsidP="00991A84">
      <w:pPr>
        <w:pStyle w:val="AbstHead"/>
        <w:spacing w:after="0"/>
        <w:jc w:val="both"/>
        <w:rPr>
          <w:rFonts w:ascii="Arial" w:hAnsi="Arial" w:cs="Arial"/>
        </w:rPr>
      </w:pPr>
    </w:p>
    <w:p w14:paraId="464160FF" w14:textId="77777777" w:rsidR="00635094" w:rsidRPr="00635094" w:rsidRDefault="00D20CEB" w:rsidP="00635094">
      <w:pPr>
        <w:pStyle w:val="NormalWeb"/>
        <w:jc w:val="both"/>
      </w:pPr>
      <w:r w:rsidRPr="00D20CEB">
        <w:rPr>
          <w:highlight w:val="yellow"/>
        </w:rPr>
        <w:t>Cancer continues to be a leading cause of mortality globally, responsible for millions of deaths annually. Conventional therapeutic approaches, including chemotherapy, radiotherapy, and surgical intervention, are frequently non-specific in their action, resulting in damage to both malignant and healthy tissues and consequently giving rise to significant adverse effects [1].</w:t>
      </w:r>
      <w:r>
        <w:rPr>
          <w:highlight w:val="yellow"/>
        </w:rPr>
        <w:t xml:space="preserve"> </w:t>
      </w:r>
      <w:r w:rsidR="00446F3D">
        <w:rPr>
          <w:rFonts w:ascii="Arial" w:hAnsi="Arial" w:cs="Arial"/>
          <w:lang w:val="en-IN"/>
        </w:rPr>
        <w:t xml:space="preserve">Chemotherapeutic drugs, in particular, </w:t>
      </w:r>
      <w:r w:rsidR="00446F3D">
        <w:rPr>
          <w:rFonts w:ascii="Arial" w:hAnsi="Arial" w:cs="Arial"/>
          <w:lang w:val="en-IN"/>
        </w:rPr>
        <w:lastRenderedPageBreak/>
        <w:t xml:space="preserve">cannot effectively distinguish between cancerous and normal cells, resulting in systemic toxicity, immune suppression, and diminished patient quality of life [2]. In addition, the emergence of drug resistance in tumors continues to hinder long-term treatment success, highlighting the need for more targeted and less toxic therapeutic strategies [3].Nanotechnology has emerged as a promising approach to address these limitations. </w:t>
      </w:r>
      <w:r w:rsidR="00446F3D" w:rsidRPr="009D14E2">
        <w:rPr>
          <w:rFonts w:ascii="Arial" w:hAnsi="Arial" w:cs="Arial"/>
          <w:highlight w:val="cyan"/>
          <w:lang w:val="en-IN"/>
        </w:rPr>
        <w:t>Defined as the manipulation of materials at the nanoscale (1–100 nm), it offers innovative opportunities for improved cancer diagnosis, treatment, and monitoring</w:t>
      </w:r>
      <w:r w:rsidR="00446F3D">
        <w:rPr>
          <w:rFonts w:ascii="Arial" w:hAnsi="Arial" w:cs="Arial"/>
          <w:lang w:val="en-IN"/>
        </w:rPr>
        <w:t xml:space="preserve"> [4]. By exploiting the unique physicochemical and biological properties of nanomaterials, researchers have developed advanced therapeutic and diagnostic systems with enhanced targeting ability, reduced toxicity, and improved treatment outcomes. This integration of nanotechnology into oncology, often referred to as nanomedicine, includes nanocarriers for drug delivery, nanoscale diagnostic platforms for early detection, and targeted therapeutic nanomaterials [5]. </w:t>
      </w:r>
      <w:r w:rsidR="00635094" w:rsidRPr="00635094">
        <w:t>These nanocarriers are capable of encapsulating a wide range of therapeutic agents, including chemotherapeutic drugs, genes, and proteins, allowing for precise delivery to tumor sites while minimizing off-target effects. In addition, nanotechnology enables the concept of theranostics, in which nanoparticles integrate therapeutic and diagnostic functionalities. This approach allows real-time monitoring of treatment responses and supports more personalized cancer management [6].</w:t>
      </w:r>
    </w:p>
    <w:p w14:paraId="144EC6F1" w14:textId="77777777" w:rsidR="00C449F4" w:rsidRDefault="00C449F4" w:rsidP="00991A84">
      <w:pPr>
        <w:pStyle w:val="Body"/>
        <w:spacing w:after="0"/>
        <w:rPr>
          <w:rFonts w:ascii="Arial" w:hAnsi="Arial" w:cs="Arial"/>
          <w:lang w:val="en-IN"/>
        </w:rPr>
      </w:pPr>
    </w:p>
    <w:p w14:paraId="36444A2D" w14:textId="77777777" w:rsidR="00C449F4" w:rsidRDefault="00446F3D" w:rsidP="00991A84">
      <w:pPr>
        <w:pStyle w:val="Body"/>
        <w:spacing w:after="0"/>
        <w:rPr>
          <w:rFonts w:ascii="Arial" w:hAnsi="Arial" w:cs="Arial"/>
          <w:lang w:val="en-IN"/>
        </w:rPr>
      </w:pPr>
      <w:r>
        <w:rPr>
          <w:rFonts w:ascii="Arial" w:hAnsi="Arial" w:cs="Arial"/>
          <w:lang w:val="en-IN"/>
        </w:rPr>
        <w:t>Immunotherapy has shown markedly improved response rates compared with conventional approaches such as chemotherapy. Since their first approval in 2011, immune checkpoint blockade (ICB) therapies have reshaped cancer management, particularly for advanced melanoma. For instance, treatment with nivolumab has extended overall survival to nearly 34.8 months, compared with about 15.7 months observed with traditional therapies. The clinical adoption of ICB treatments has also increased by approximately 150%, highlighting their expanding role in managing diverse solid tumors [7]. Advances in cancer biology have been crucial in developing targeted therapies by clarifying how the immune system recognizes and eliminates malignant cells [8]. Nevertheless, tumors possess complex immune evasion strategies that enable survival, progression, and metastasis [9]. A central mechanism underlying immune escape is immunoediting, a dynamic interaction in which immune pressure eliminates highly immunogenic tumor cells while allowing less-detectable variants to proliferate [10]. This process contributes to tumor heterogeneity and the formation of an immune-resistant tumor microenvironment (TME). Many tumors, including melanoma, exploit immune checkpoints such as PD-L1 to suppress T-cell activity [11]. In cancers with high mutational burdens, such as non-small cell lung cancer, resistance to checkpoint inhibitors can also develop [12]. Additionally, tumors establish immunosuppressive TMEs by secreting cytokines like TGF-β and IL-10 and recruiting regulatory T-cells and myeloid-derived suppressor cells, thereby weakening tumor-infiltrating lymphocyte function [13–15]. Loss of tumor-specific antigens and reduced MHC expression further limit immune recognition, while checkpoint ligand expression promotes immune tolerance [16,17].</w:t>
      </w:r>
    </w:p>
    <w:p w14:paraId="35098D2B" w14:textId="77777777" w:rsidR="00C449F4" w:rsidRDefault="00C449F4" w:rsidP="00991A84">
      <w:pPr>
        <w:pStyle w:val="Body"/>
        <w:spacing w:after="0"/>
        <w:rPr>
          <w:rFonts w:ascii="Arial" w:hAnsi="Arial" w:cs="Arial"/>
          <w:lang w:val="en-IN"/>
        </w:rPr>
      </w:pPr>
    </w:p>
    <w:p w14:paraId="5745A1D6" w14:textId="77777777" w:rsidR="00635094" w:rsidRPr="00635094" w:rsidRDefault="00635094" w:rsidP="00635094">
      <w:pPr>
        <w:spacing w:before="100" w:beforeAutospacing="1" w:after="100" w:afterAutospacing="1"/>
        <w:jc w:val="both"/>
        <w:rPr>
          <w:rFonts w:ascii="Times New Roman" w:hAnsi="Times New Roman"/>
          <w:sz w:val="24"/>
          <w:szCs w:val="24"/>
        </w:rPr>
      </w:pPr>
      <w:r w:rsidRPr="00635094">
        <w:rPr>
          <w:rFonts w:ascii="Times New Roman" w:hAnsi="Times New Roman"/>
          <w:sz w:val="24"/>
          <w:szCs w:val="24"/>
        </w:rPr>
        <w:t xml:space="preserve">As understanding of tumor–immune interactions has advanced, immunotherapy has become a major modality for cancer treatment. Approaches such as immune checkpoint inhibitors, adoptive T-cell therapies, and cancer vaccines aim to restore or enhance immune activity against tumors [18,19]. The efficacy of these therapies </w:t>
      </w:r>
      <w:r w:rsidRPr="00635094">
        <w:rPr>
          <w:rFonts w:ascii="Times New Roman" w:hAnsi="Times New Roman"/>
          <w:sz w:val="24"/>
          <w:szCs w:val="24"/>
        </w:rPr>
        <w:lastRenderedPageBreak/>
        <w:t>relies on careful antigen selection, including tumor-specific antigens, tumor-associated antigens, and neoantigens arising from tumor mutations [20,21]. Personalized neoantigen-based vaccines can elicit precise and durable immune responses, particularly when combined with strategies that modulate the tumor microenvironment (TME) [22,23]. More recently, nanovaccines have emerged as a promising innovation, improving antigen stability, delivery, and immune activation. These nanoscale platforms allow targeted transport of antigens and adjuvants, enhance immune recognition, and facilitate personalized therapies by incorporating patient-specific neoantigens [24–26].</w:t>
      </w:r>
    </w:p>
    <w:p w14:paraId="4654F6D7" w14:textId="77777777" w:rsidR="00DF4E1C" w:rsidRDefault="00DF4E1C" w:rsidP="00991A84">
      <w:pPr>
        <w:pStyle w:val="Body"/>
        <w:spacing w:after="0"/>
        <w:rPr>
          <w:rFonts w:ascii="Arial" w:hAnsi="Arial" w:cs="Arial"/>
          <w:lang w:val="en-IN"/>
        </w:rPr>
      </w:pPr>
    </w:p>
    <w:p w14:paraId="28848BD0" w14:textId="77777777" w:rsidR="00DF4E1C" w:rsidRDefault="00DF4E1C" w:rsidP="00991A84">
      <w:pPr>
        <w:pStyle w:val="Body"/>
        <w:spacing w:after="0"/>
        <w:rPr>
          <w:rFonts w:ascii="Arial" w:hAnsi="Arial" w:cs="Arial"/>
          <w:lang w:val="en-IN"/>
        </w:rPr>
      </w:pPr>
    </w:p>
    <w:p w14:paraId="5E9A225A" w14:textId="77777777" w:rsidR="00DF4E1C" w:rsidRDefault="00DF4E1C" w:rsidP="00991A84">
      <w:pPr>
        <w:pStyle w:val="Body"/>
        <w:spacing w:after="0"/>
        <w:rPr>
          <w:rFonts w:ascii="Arial" w:hAnsi="Arial" w:cs="Arial"/>
          <w:lang w:val="en-IN"/>
        </w:rPr>
      </w:pPr>
    </w:p>
    <w:p w14:paraId="4FF3A2A5" w14:textId="77777777" w:rsidR="00DF4E1C" w:rsidRDefault="00DF4E1C" w:rsidP="00991A84">
      <w:pPr>
        <w:pStyle w:val="Body"/>
        <w:spacing w:after="0"/>
        <w:rPr>
          <w:rFonts w:ascii="Arial" w:hAnsi="Arial" w:cs="Arial"/>
          <w:lang w:val="en-IN"/>
        </w:rPr>
      </w:pPr>
    </w:p>
    <w:p w14:paraId="0D28B31C" w14:textId="77777777" w:rsidR="00DF4E1C" w:rsidRDefault="00DF4E1C" w:rsidP="00991A84">
      <w:pPr>
        <w:pStyle w:val="Body"/>
        <w:spacing w:after="0"/>
        <w:rPr>
          <w:rFonts w:ascii="Arial" w:hAnsi="Arial" w:cs="Arial"/>
          <w:lang w:val="en-IN"/>
        </w:rPr>
      </w:pPr>
    </w:p>
    <w:p w14:paraId="3909001A" w14:textId="7EED09C6" w:rsidR="00DF4E1C" w:rsidRPr="00DF4E1C" w:rsidRDefault="00DF4E1C" w:rsidP="00991A84">
      <w:pPr>
        <w:pStyle w:val="Body"/>
        <w:spacing w:after="0"/>
        <w:rPr>
          <w:rFonts w:ascii="Arial" w:hAnsi="Arial" w:cs="Arial"/>
          <w:b/>
          <w:bCs/>
          <w:highlight w:val="yellow"/>
          <w:lang w:val="en-IN"/>
        </w:rPr>
      </w:pPr>
      <w:r w:rsidRPr="00DF4E1C">
        <w:rPr>
          <w:b/>
          <w:bCs/>
          <w:highlight w:val="yellow"/>
        </w:rPr>
        <w:t>Methods for literature selection</w:t>
      </w:r>
    </w:p>
    <w:p w14:paraId="59D76258" w14:textId="77777777" w:rsidR="00DF4E1C" w:rsidRPr="00DF4E1C" w:rsidRDefault="00DF4E1C" w:rsidP="00991A84">
      <w:pPr>
        <w:pStyle w:val="Body"/>
        <w:spacing w:after="0"/>
        <w:rPr>
          <w:rFonts w:ascii="Arial" w:hAnsi="Arial" w:cs="Arial"/>
          <w:highlight w:val="yellow"/>
          <w:lang w:val="en-IN"/>
        </w:rPr>
      </w:pPr>
    </w:p>
    <w:p w14:paraId="0A11560B" w14:textId="6E4EC87C" w:rsidR="00C449F4" w:rsidRDefault="00DF4E1C" w:rsidP="00991A84">
      <w:pPr>
        <w:pStyle w:val="Body"/>
        <w:spacing w:after="0"/>
        <w:rPr>
          <w:rFonts w:ascii="Arial" w:hAnsi="Arial" w:cs="Arial"/>
          <w:lang w:val="en-IN"/>
        </w:rPr>
      </w:pPr>
      <w:r w:rsidRPr="00DF4E1C">
        <w:rPr>
          <w:rFonts w:ascii="Arial" w:hAnsi="Arial" w:cs="Arial"/>
          <w:highlight w:val="yellow"/>
          <w:lang w:val="en-IN"/>
        </w:rPr>
        <w:t>A narrative literature search was conducted using PubMed, Web of Science, Scopus, and Google Scholar to identify studies relevant to nanotechnology in cancer therapy and immunotherapy, including targeted drug delivery, nanovaccines, nucleic acid vaccines, photothermal therapy, and photodynamic therapy. Search strings combined controlled terms and keywords such as “nanotechnology” OR “nanomedicine” AND “cancer therapy” OR “oncology” AND “immunotherapy,” “cancer vaccines,” “targeted drug delivery,” “nanovaccines,” “mRNA vaccines,” “DNA vaccines,” “photothermal therapy,” and “photodynamic therapy.” The search covered publications from January 2000 to December 2024, with emphasis on recent studies and landmark earlier reports of clear translational relevance. Original research articles, clinical studies, systematic reviews, and authoritative review papers in English were included when they directly addressed nanoparticle-based cancer treatment or immunotherapeutic applications. Editorials, conference abstracts, duplicate records, non-English papers, and studies with limited relevance to oncology-focused nanotechnology were excluded.</w:t>
      </w:r>
    </w:p>
    <w:p w14:paraId="70019EFA" w14:textId="77777777" w:rsidR="00C449F4" w:rsidRDefault="00C449F4" w:rsidP="00991A84">
      <w:pPr>
        <w:pStyle w:val="Body"/>
        <w:spacing w:after="0"/>
        <w:rPr>
          <w:rFonts w:ascii="Arial" w:hAnsi="Arial" w:cs="Arial"/>
          <w:lang w:val="en-IN"/>
        </w:rPr>
      </w:pPr>
    </w:p>
    <w:p w14:paraId="7EE9A1A5" w14:textId="77777777" w:rsidR="00C449F4" w:rsidRDefault="00C449F4" w:rsidP="00991A84">
      <w:pPr>
        <w:pStyle w:val="Body"/>
        <w:spacing w:after="0"/>
        <w:rPr>
          <w:rFonts w:ascii="Arial" w:hAnsi="Arial" w:cs="Arial"/>
          <w:lang w:val="en-IN"/>
        </w:rPr>
      </w:pPr>
    </w:p>
    <w:p w14:paraId="7F05A4EF" w14:textId="77777777" w:rsidR="00C449F4" w:rsidRDefault="00C449F4" w:rsidP="00991A84">
      <w:pPr>
        <w:pStyle w:val="Body"/>
        <w:spacing w:after="0"/>
        <w:rPr>
          <w:rFonts w:ascii="Arial" w:hAnsi="Arial" w:cs="Arial"/>
        </w:rPr>
      </w:pPr>
    </w:p>
    <w:p w14:paraId="268E9845" w14:textId="77777777" w:rsidR="00C449F4" w:rsidRDefault="00446F3D" w:rsidP="00991A84">
      <w:pPr>
        <w:pStyle w:val="Body"/>
        <w:numPr>
          <w:ilvl w:val="0"/>
          <w:numId w:val="2"/>
        </w:numPr>
        <w:rPr>
          <w:rFonts w:ascii="Arial" w:hAnsi="Arial" w:cs="Arial"/>
        </w:rPr>
      </w:pPr>
      <w:r>
        <w:rPr>
          <w:rFonts w:ascii="Arial" w:hAnsi="Arial" w:cs="Arial"/>
          <w:b/>
          <w:bCs/>
        </w:rPr>
        <w:t>Nanoparticles as drug carriers:</w:t>
      </w:r>
      <w:r>
        <w:rPr>
          <w:rFonts w:ascii="Arial" w:hAnsi="Arial" w:cs="Arial"/>
        </w:rPr>
        <w:t xml:space="preserve"> </w:t>
      </w:r>
    </w:p>
    <w:p w14:paraId="60BCE263" w14:textId="77777777" w:rsidR="00635094" w:rsidRPr="00635094" w:rsidRDefault="00635094" w:rsidP="00635094">
      <w:pPr>
        <w:spacing w:before="100" w:beforeAutospacing="1" w:after="100" w:afterAutospacing="1"/>
        <w:jc w:val="both"/>
        <w:rPr>
          <w:rFonts w:ascii="Times New Roman" w:hAnsi="Times New Roman"/>
          <w:sz w:val="24"/>
          <w:szCs w:val="24"/>
        </w:rPr>
      </w:pPr>
      <w:r w:rsidRPr="00635094">
        <w:rPr>
          <w:rFonts w:ascii="Times New Roman" w:hAnsi="Times New Roman"/>
          <w:sz w:val="24"/>
          <w:szCs w:val="24"/>
        </w:rPr>
        <w:t xml:space="preserve">Nanoparticles (NPs) have emerged as highly promising and versatile platforms in the field of drug delivery, particularly for cancer therapy [27]. A diverse array of nanoparticles—including liposomes, dendrimers, metallic nanoparticles such as gold and silver, and polymeric nanoparticles—possess unique physicochemical and structural properties that enable the precise and targeted delivery of chemotherapeutic agents [28]. One of the primary advantages of NPs as drug carriers lies in their ability to encapsulate a wide range of therapeutic compounds, protecting them from premature degradation and facilitating their controlled release at the tumour site [29]. By delivering drugs directly to malignant cells, nanoparticles achieve elevated local concentrations, thereby enhancing antitumour efficacy while simultaneously reducing systemic exposure and the off-target toxicities typically associated with conventional chemotherapy [30]. Moreover, the surface of nanoparticles can be functionalised with ligands, antibodies, or other targeting </w:t>
      </w:r>
      <w:r w:rsidRPr="00635094">
        <w:rPr>
          <w:rFonts w:ascii="Times New Roman" w:hAnsi="Times New Roman"/>
          <w:sz w:val="24"/>
          <w:szCs w:val="24"/>
        </w:rPr>
        <w:lastRenderedPageBreak/>
        <w:t>moieties, further improving specificity for cancer cells and opening avenues for personalised and precision-based therapeutic interventions.</w:t>
      </w:r>
    </w:p>
    <w:p w14:paraId="315692A0" w14:textId="77777777" w:rsidR="002D402E" w:rsidRPr="002D402E" w:rsidRDefault="00766993" w:rsidP="00991A84">
      <w:pPr>
        <w:pStyle w:val="NormalWeb"/>
        <w:jc w:val="both"/>
      </w:pPr>
      <w:r w:rsidRPr="00766993">
        <w:rPr>
          <w:rFonts w:ascii="Arial" w:hAnsi="Arial" w:cs="Arial"/>
        </w:rPr>
        <w:t>The enhanced permeability and retention (EPR) effect has provided a useful rationale for nanoparticle delivery in solid tumors, but its magnitude is heterogeneous across tumor types and patients, and it should not be assumed to guarantee effective clinical targeting.</w:t>
      </w:r>
      <w:r w:rsidR="00446F3D">
        <w:rPr>
          <w:rFonts w:ascii="Arial" w:hAnsi="Arial" w:cs="Arial"/>
        </w:rPr>
        <w:t xml:space="preserve"> </w:t>
      </w:r>
      <w:r w:rsidR="002D402E" w:rsidRPr="002D402E">
        <w:t>Aberrant angiogenesis driven by malignant cells gives rise to an irregular vascular architecture, which facilitates the penetration of even large molecules and promotes their retention, partly due to the inadequately developed immune surveillance within the tumour milieu [31]. This enhanced permeability enables nanoparticles to preferentially accumulate within the tumour microenvironment, while impaired lymphatic drainage in tumours supports their prolonged retention, resulting in sustained drug exposure at the target site [32]. This passive targeting phenomenon is especially beneficial in the treatment of solid tumours, where achieving adequate drug concentrations using conventional approaches remains a significant challenge [33].</w:t>
      </w:r>
    </w:p>
    <w:p w14:paraId="47744C35" w14:textId="42378E2A" w:rsidR="00C449F4" w:rsidRDefault="00C449F4" w:rsidP="00991A84">
      <w:pPr>
        <w:pStyle w:val="Body"/>
        <w:rPr>
          <w:rFonts w:ascii="Arial" w:hAnsi="Arial" w:cs="Arial"/>
        </w:rPr>
      </w:pPr>
    </w:p>
    <w:p w14:paraId="3943EA97" w14:textId="77777777" w:rsidR="00635094" w:rsidRPr="00635094" w:rsidRDefault="00635094" w:rsidP="00635094">
      <w:pPr>
        <w:spacing w:before="100" w:beforeAutospacing="1" w:after="100" w:afterAutospacing="1"/>
        <w:jc w:val="both"/>
        <w:rPr>
          <w:rFonts w:ascii="Times New Roman" w:hAnsi="Times New Roman"/>
          <w:sz w:val="24"/>
          <w:szCs w:val="24"/>
        </w:rPr>
      </w:pPr>
      <w:r w:rsidRPr="00635094">
        <w:rPr>
          <w:rFonts w:ascii="Times New Roman" w:hAnsi="Times New Roman"/>
          <w:sz w:val="24"/>
          <w:szCs w:val="24"/>
        </w:rPr>
        <w:t>Liposomes, among the earliest nanoparticulate systems developed for drug delivery, are spherical vesicles composed of lipid bilayers that can encapsulate both hydrophilic and hydrophobic therapeutic agents [34]. Due to their structural similarity to biological membranes and their high encapsulation efficiency, liposomes offer several notable advantages, including optimal size, biocompatibility, biodegradability, and low toxicity and immunogenicity [35]. The clinical success of liposomal formulations, exemplified by Doxil®—a liposomal formulation of doxorubicin—has highlighted the potential of nanoparticles to enhance the therapeutic index of chemotherapeutic agents, particularly in the treatment of breast cancer, Kaposi’s sarcoma, and ovarian cancer [36]. Compared with conventional doxorubicin, polyethylene glycol-coated liposomal formulations demonstrate a reduced volume of distribution, extended intravascular circulation half-life, and decreased plasma clearance [37]. These pharmacokinetic improvements mitigate cardiotoxicity and other systemic side effects, enabling more effective and safer cancer therapy [38]. As the first nanotechnology-based formulation approved by the FDA in 1995, Doxil continues to be used clinically for the treatment of multiple malignancies, including ovarian cancer, acute lymphoblastic leukaemia, breast cancer, AIDS-related Kaposi’s sarcoma, and acute myeloblastic leukaemia [39]. Furthermore, the development of liposomal drug carriers has facilitated the design of more advanced nanocarriers capable of responding to specific environmental stimuli, such as pH, temperature, or enzymatic activity, thereby enabling controlled and site-specific drug release [40,156]. In parallel, polymeric nanoparticles have emerged as another versatile class of drug delivery systems, derived from either natural or synthetic polymers, offering enhanced stability, tunable release profiles, and potential for surface functionalisation for targeted therapies [41].</w:t>
      </w:r>
    </w:p>
    <w:p w14:paraId="6022FD12" w14:textId="57116371" w:rsidR="002D402E" w:rsidRPr="002D402E" w:rsidRDefault="002D402E" w:rsidP="00991A84">
      <w:pPr>
        <w:spacing w:before="100" w:beforeAutospacing="1" w:after="100" w:afterAutospacing="1"/>
        <w:jc w:val="both"/>
        <w:rPr>
          <w:rFonts w:ascii="Times New Roman" w:hAnsi="Times New Roman"/>
          <w:sz w:val="24"/>
          <w:szCs w:val="24"/>
        </w:rPr>
      </w:pPr>
      <w:r w:rsidRPr="002D402E">
        <w:rPr>
          <w:rFonts w:ascii="Times New Roman" w:hAnsi="Times New Roman"/>
          <w:sz w:val="24"/>
          <w:szCs w:val="24"/>
        </w:rPr>
        <w:lastRenderedPageBreak/>
        <w:t>Their frequent composition from biodegradable materials renders them particularly advantageous for applications in nanomedicine [42]. Naturally derived polymers include polysaccharides such as cellulose, starch, and inulin, as well as plant-based proteins and polyesters [43]. In parallel, synthetic polymeric systems, such as chitosan-based nanoparticles, have also attracted considerable attention. Chitosan, a deacetylated derivative of chitin, has emerged as an effective carrier for anticancer drug delivery [44]. Despite its inherent biocompatibility, bioactivity, and biodegradability, its application was initially limited by poor solubility. However, its ability to be readily internalised across cellular membranes and to provide sustained drug release enables the maintenance of therapeutic concentrations within tumour tissues while minimising systemic toxicity [45]. Additionally, polymeric nanoparticles can be engineered to co-deliver multiple therapeutic agents, thereby facilitating combination therapies within a single delivery platform [46</w:t>
      </w:r>
      <w:r>
        <w:rPr>
          <w:rFonts w:ascii="Times New Roman" w:hAnsi="Times New Roman"/>
          <w:sz w:val="24"/>
          <w:szCs w:val="24"/>
        </w:rPr>
        <w:t>,156</w:t>
      </w:r>
      <w:r w:rsidRPr="002D402E">
        <w:rPr>
          <w:rFonts w:ascii="Times New Roman" w:hAnsi="Times New Roman"/>
          <w:sz w:val="24"/>
          <w:szCs w:val="24"/>
        </w:rPr>
        <w:t>].</w:t>
      </w:r>
    </w:p>
    <w:p w14:paraId="5434E01B" w14:textId="7C656142" w:rsidR="002D402E" w:rsidRPr="002D402E" w:rsidRDefault="002D402E" w:rsidP="00991A84">
      <w:pPr>
        <w:spacing w:before="100" w:beforeAutospacing="1" w:after="100" w:afterAutospacing="1"/>
        <w:jc w:val="both"/>
        <w:rPr>
          <w:rFonts w:ascii="Times New Roman" w:hAnsi="Times New Roman"/>
          <w:sz w:val="24"/>
          <w:szCs w:val="24"/>
        </w:rPr>
      </w:pPr>
      <w:r w:rsidRPr="002D402E">
        <w:rPr>
          <w:rFonts w:ascii="Times New Roman" w:hAnsi="Times New Roman"/>
          <w:sz w:val="24"/>
          <w:szCs w:val="24"/>
        </w:rPr>
        <w:t>Dendrimers constitute another important category of nanoparticles, characterised by highly branched, tree-like architectures with precisely controllable size and surface functionality [47]. Their unique structural features enable high drug-loading capacity, while the presence of multiple surface functional groups facilitates the conjugation of targeting ligands and imaging agents [48]. In oncology, dendrimers have been extensively investigated as carriers for nucleic acids [49]. Nucleic acid-based therapies offer significant advantages in terms of specificity and biocompatibility; however, their clinical application is limited by challenges associated with cellular uptake, largely due to their high molecular weight and hydrophilic nature [50–51]. Conventional delivery approaches, including viral and non-viral vectors, have raised concerns regarding immunological and oncogenic adverse effects, thereby restricting their clinical translation [52]. To address these limitations, poly(amidoamine) (PAMAM) dendrimers were introduced for nucleic acid delivery in 1995, representing a significant advancement in the field [53]. Subsequent modifications have improved their structural compactness and functionality. For instance, fourth-generation PAMAM dendrimers have been conjugated with interferon-β and functionalised with arginine residues to target malignant gliomas [54]. Similarly, dendrimers functionalised with folic acid can selectively target folate receptors that are overexpressed in certain cancer cells, thereby enhancing delivery specificity [55]. Such modifications improve biocompatibility and reduce potential toxicity, supporting the application of dendrimers as carriers for chemotherapeutic agents and gene therapies [56</w:t>
      </w:r>
      <w:r>
        <w:rPr>
          <w:rFonts w:ascii="Times New Roman" w:hAnsi="Times New Roman"/>
          <w:sz w:val="24"/>
          <w:szCs w:val="24"/>
        </w:rPr>
        <w:t>,156</w:t>
      </w:r>
      <w:r w:rsidRPr="002D402E">
        <w:rPr>
          <w:rFonts w:ascii="Times New Roman" w:hAnsi="Times New Roman"/>
          <w:sz w:val="24"/>
          <w:szCs w:val="24"/>
        </w:rPr>
        <w:t>].</w:t>
      </w:r>
      <w:r>
        <w:rPr>
          <w:rFonts w:ascii="Times New Roman" w:hAnsi="Times New Roman"/>
          <w:sz w:val="24"/>
          <w:szCs w:val="24"/>
        </w:rPr>
        <w:t xml:space="preserve"> </w:t>
      </w:r>
      <w:r w:rsidRPr="002D402E">
        <w:rPr>
          <w:rFonts w:ascii="Times New Roman" w:hAnsi="Times New Roman"/>
          <w:sz w:val="24"/>
          <w:szCs w:val="24"/>
        </w:rPr>
        <w:t xml:space="preserve">In addition to these extensively studied systems, metallic nanoparticles, particularly gold and silver nanoparticles, have demonstrated considerable promise in cancer therapeutics [57]. Among these, gold nanoparticles have attracted significant interest due to their favourable biocompatibility, chemical stability, and high electron density, which contributes to their low reactivity [58]. Their optical and photothermal properties can be tailored through surface modification with specific ligands, enabling targeted delivery to cancer cells. Upon irradiation with near-infrared light, these nanoparticles generate localised heat, facilitating the selective </w:t>
      </w:r>
      <w:r w:rsidRPr="002D402E">
        <w:rPr>
          <w:rFonts w:ascii="Times New Roman" w:hAnsi="Times New Roman"/>
          <w:sz w:val="24"/>
          <w:szCs w:val="24"/>
        </w:rPr>
        <w:lastRenderedPageBreak/>
        <w:t>destruction of tumour cells while minimising damage to surrounding healthy tissues [59]. Gold nanorods, in particular, have emerged as a prominent class of capsule-like nanoparticles with growing relevance in this domain [60]. This dual functionality supports the development of theranostic platforms, integrating both therapeutic and diagnostic capabilities [60</w:t>
      </w:r>
      <w:r>
        <w:rPr>
          <w:rFonts w:ascii="Times New Roman" w:hAnsi="Times New Roman"/>
          <w:sz w:val="24"/>
          <w:szCs w:val="24"/>
        </w:rPr>
        <w:t>,156</w:t>
      </w:r>
      <w:r w:rsidRPr="002D402E">
        <w:rPr>
          <w:rFonts w:ascii="Times New Roman" w:hAnsi="Times New Roman"/>
          <w:sz w:val="24"/>
          <w:szCs w:val="24"/>
        </w:rPr>
        <w:t>].</w:t>
      </w:r>
    </w:p>
    <w:p w14:paraId="0B864188" w14:textId="77777777" w:rsidR="002D402E" w:rsidRPr="002D402E" w:rsidRDefault="002D402E" w:rsidP="00991A84">
      <w:pPr>
        <w:spacing w:before="100" w:beforeAutospacing="1" w:after="100" w:afterAutospacing="1"/>
        <w:jc w:val="both"/>
        <w:rPr>
          <w:rFonts w:ascii="Times New Roman" w:hAnsi="Times New Roman"/>
          <w:sz w:val="24"/>
          <w:szCs w:val="24"/>
        </w:rPr>
      </w:pPr>
      <w:r w:rsidRPr="002D402E">
        <w:rPr>
          <w:rFonts w:ascii="Times New Roman" w:hAnsi="Times New Roman"/>
          <w:sz w:val="24"/>
          <w:szCs w:val="24"/>
        </w:rPr>
        <w:t>Moreover, nanoparticles can be engineered to respond to specific stimuli within the tumour microenvironment, including variations in pH, temperature, and enzymatic activity [61]. For example, pH-sensitive nanoparticles can selectively release their drug payload in the acidic tumour milieu, thereby enhancing site-specific drug delivery while limiting off-target effects [62]. Similarly, enzyme-responsive nanoparticles enable controlled drug release in the presence of enzymes that are overexpressed in tumour tissues, further improving treatment specificity and efficacy [63].</w:t>
      </w:r>
    </w:p>
    <w:p w14:paraId="7F220BFB" w14:textId="77777777" w:rsidR="00C449F4" w:rsidRPr="009D14E2" w:rsidRDefault="00C449F4" w:rsidP="00991A84">
      <w:pPr>
        <w:pStyle w:val="Body"/>
        <w:spacing w:after="0"/>
        <w:rPr>
          <w:rFonts w:ascii="Arial" w:hAnsi="Arial" w:cs="Arial"/>
          <w:highlight w:val="cyan"/>
        </w:rPr>
      </w:pPr>
    </w:p>
    <w:p w14:paraId="4179BC8E" w14:textId="77777777" w:rsidR="00C449F4" w:rsidRPr="009D14E2" w:rsidRDefault="00446F3D" w:rsidP="00991A84">
      <w:pPr>
        <w:pStyle w:val="Body"/>
        <w:numPr>
          <w:ilvl w:val="0"/>
          <w:numId w:val="2"/>
        </w:numPr>
        <w:rPr>
          <w:rFonts w:ascii="Arial" w:hAnsi="Arial" w:cs="Arial"/>
          <w:b/>
          <w:bCs/>
          <w:highlight w:val="cyan"/>
        </w:rPr>
      </w:pPr>
      <w:r w:rsidRPr="009D14E2">
        <w:rPr>
          <w:rFonts w:ascii="Arial" w:hAnsi="Arial" w:cs="Arial"/>
          <w:b/>
          <w:bCs/>
          <w:highlight w:val="cyan"/>
        </w:rPr>
        <w:t xml:space="preserve">Targeted Delivery System: </w:t>
      </w:r>
    </w:p>
    <w:p w14:paraId="7CC507C8" w14:textId="0D225076" w:rsidR="00435CAA" w:rsidRPr="00435CAA" w:rsidRDefault="00102E0A" w:rsidP="00991A84">
      <w:pPr>
        <w:spacing w:before="100" w:beforeAutospacing="1" w:after="100" w:afterAutospacing="1"/>
        <w:jc w:val="both"/>
        <w:rPr>
          <w:rFonts w:ascii="Times New Roman" w:hAnsi="Times New Roman"/>
          <w:sz w:val="24"/>
          <w:szCs w:val="24"/>
        </w:rPr>
      </w:pPr>
      <w:r>
        <w:t>Targeted delivery systems represent a major advancement in nanotechnology-based cancer therapeutics, offering the potential for highly specific and effective treatment while minimising adverse effects [64]. Functionalisation of nanoparticles (NPs) with ligands such as peptides, antibodies, aptamers, or small molecules enables selective recognition of cancer cell surface receptors, which are frequently overexpressed or uniquely expressed in tumour cells compared with normal tissues [64]. This selective interaction promotes the preferential accumulation of therapeutic agents within malignant cells, thereby enhancing treatment efficacy and reducing off-target toxicity [65,156]. A key advantage of such targeted delivery systems lies in their ability to exploit molecular differences between cancerous and healthy cells. Many tumour types display elevated expression of specific surface receptors or proteins that can act as binding sites for ligand-functionalised nanoparticles [66]. For example, the human epidermal growth factor receptor 2 (HER2) is overexpressed in certain breast cancers, and nanoparticles conjugated with anti-HER2 antibodies can selectively bind to these receptors, facilitating precise delivery of chemotherapeutic agents [67]. This strategy increases drug accumulation at the tumour site while sparing non-malignant tissues, thereby limiting systemic toxicity [156]. Another extensively studied target is the folate receptor, which is overexpressed in a range of malignancies, including ovarian, breast, and lung cancers [69]. Nanoparticles functionalised with folic acid exhibit high binding affinity for these receptors, enabling preferential uptake by tumour cells. Once internalised, the nanoparticles release their therapeutic payload, resulting in enhanced drug delivery and improved therapeutic outcomes [70]. The selective targeting of folate receptors is particularly advantageous, as these receptors are minimally expressed or absent in most normal tissues, thereby providing high specificity and reducing collateral damage to healthy cells [71</w:t>
      </w:r>
      <w:proofErr w:type="gramStart"/>
      <w:r>
        <w:t>].</w:t>
      </w:r>
      <w:r w:rsidR="00435CAA" w:rsidRPr="00435CAA">
        <w:rPr>
          <w:rFonts w:ascii="Times New Roman" w:hAnsi="Times New Roman"/>
          <w:sz w:val="24"/>
          <w:szCs w:val="24"/>
        </w:rPr>
        <w:t>Peptide</w:t>
      </w:r>
      <w:proofErr w:type="gramEnd"/>
      <w:r w:rsidR="00435CAA" w:rsidRPr="00435CAA">
        <w:rPr>
          <w:rFonts w:ascii="Times New Roman" w:hAnsi="Times New Roman"/>
          <w:sz w:val="24"/>
          <w:szCs w:val="24"/>
        </w:rPr>
        <w:t xml:space="preserve">-based ligands have also been extensively utilised for nanoparticle targeting [72]. Although peptides may exhibit lower binding affinity and greater susceptibility to enzymatic degradation compared with antibodies, they offer notable advantages, including rapid tissue penetration and efficient cellular internalisation [73]. Consequently, peptides have been widely engineered to guide nanoparticles towards specific receptors or proteins expressed on cancer cell surfaces [74]. Furthermore, interactions between nanoparticles and peptides can confer protection </w:t>
      </w:r>
      <w:r w:rsidR="00435CAA" w:rsidRPr="00435CAA">
        <w:rPr>
          <w:rFonts w:ascii="Times New Roman" w:hAnsi="Times New Roman"/>
          <w:sz w:val="24"/>
          <w:szCs w:val="24"/>
        </w:rPr>
        <w:lastRenderedPageBreak/>
        <w:t>against proteolytic degradation, thereby enhancing peptide stability in biological environments [75</w:t>
      </w:r>
      <w:r w:rsidR="00435CAA">
        <w:rPr>
          <w:rFonts w:ascii="Times New Roman" w:hAnsi="Times New Roman"/>
          <w:sz w:val="24"/>
          <w:szCs w:val="24"/>
        </w:rPr>
        <w:t>,156</w:t>
      </w:r>
      <w:r w:rsidR="00435CAA" w:rsidRPr="00435CAA">
        <w:rPr>
          <w:rFonts w:ascii="Times New Roman" w:hAnsi="Times New Roman"/>
          <w:sz w:val="24"/>
          <w:szCs w:val="24"/>
        </w:rPr>
        <w:t>].</w:t>
      </w:r>
      <w:r w:rsidR="00435CAA">
        <w:rPr>
          <w:rFonts w:ascii="Times New Roman" w:hAnsi="Times New Roman"/>
          <w:sz w:val="24"/>
          <w:szCs w:val="24"/>
        </w:rPr>
        <w:t xml:space="preserve"> </w:t>
      </w:r>
      <w:r w:rsidR="00435CAA" w:rsidRPr="00435CAA">
        <w:rPr>
          <w:rFonts w:ascii="Times New Roman" w:hAnsi="Times New Roman"/>
          <w:sz w:val="24"/>
          <w:szCs w:val="24"/>
        </w:rPr>
        <w:t>A prominent example is the RGD peptide, which recognises integrins that are overexpressed on tumour endothelial cells and has been widely employed for nanoparticle functionalisation [76]. Modified variants, such as internalising RGD (iRGD), not only retain integrin-binding capability but also enhance tissue penetration [77]. This modification facilitates deeper intratumoural drug delivery [78]. By targeting αvβ3 integrins on endothelial cells involved in tumour angiogenesis, such systems can inhibit neovascularisation [79]. This strategy is particularly effective in targeting tumour vasculature, as integrins play a critical role in angiogenesis, a process essential for tumour growth and metastasis. By delivering therapeutic agents directly to the tumour vasculature, peptide-functionalised nanoparticles can suppress angiogenesis and restrict tumour progression by limiting its blood supply [80</w:t>
      </w:r>
      <w:r w:rsidR="00435CAA">
        <w:rPr>
          <w:rFonts w:ascii="Times New Roman" w:hAnsi="Times New Roman"/>
          <w:sz w:val="24"/>
          <w:szCs w:val="24"/>
        </w:rPr>
        <w:t>,156</w:t>
      </w:r>
      <w:r w:rsidR="00435CAA" w:rsidRPr="00435CAA">
        <w:rPr>
          <w:rFonts w:ascii="Times New Roman" w:hAnsi="Times New Roman"/>
          <w:sz w:val="24"/>
          <w:szCs w:val="24"/>
        </w:rPr>
        <w:t>].</w:t>
      </w:r>
    </w:p>
    <w:p w14:paraId="3C2D6D6C" w14:textId="77777777" w:rsidR="00C449F4" w:rsidRDefault="00446F3D" w:rsidP="00991A84">
      <w:pPr>
        <w:pStyle w:val="Body"/>
        <w:spacing w:after="0"/>
        <w:rPr>
          <w:rFonts w:ascii="Arial" w:hAnsi="Arial" w:cs="Arial"/>
          <w:lang w:val="en-IN"/>
        </w:rPr>
      </w:pPr>
      <w:r>
        <w:rPr>
          <w:rFonts w:ascii="Arial" w:hAnsi="Arial" w:cs="Arial"/>
          <w:lang w:val="en-IN"/>
        </w:rPr>
        <w:t>Ligand-functionalized nanoparticles enhance selective targeting of cancer cells by enabling specific receptor binding, which improves cellular uptake and internalization [81]. After binding to receptors on the cancer cell surface, these nanoparticles are commonly internalized through receptor-mediated endocytosis, allowing the cell to engulf them within intracellular vesicles [82]. This mechanism ensures direct delivery of therapeutic agents into cancer cells, where they can effectively exert cytotoxic activity [83]. For instance, antibody-conjugated nanoparticles targeting transferrin receptors are taken up via clathrin-mediated endocytosis, enabling efficient intracellular delivery of chemotherapeutic drugs to tumor cells [84]. Targeted nanoparticle systems also help overcome major limitations of conventional chemotherapy, particularly drug resistance [85]. Many tumors develop resistance by overexpressing efflux transporters such as P-glycoprotein, which remove drugs from cancer cells before they produce therapeutic effects [134]. Ligand-functionalized nanoparticles can bypass these resistance pathways by binding specifically to tumor cell receptors and entering cells through endocytosis [86]. Once inside, the encapsulated drugs are released intracellularly, avoiding efflux pump action and increasing drug retention within cancer cells [135]. Furthermore, these nanoparticles can be designed to respond to unique features of the tumor microenvironment, including variations in pH, temperature, and enzyme activity [136]. Tumor tissues typically exhibit a more acidic environment than normal tissues due to elevated metabolic activity [137]. pH-responsive polymers are therefore widely employed in nanocarriers, remaining stable at physiological pH but undergoing structural changes such as swelling or degradation under acidic tumor or endosomal conditions [138]. This pH-triggered behavior promotes site-specific drug release, improves bioavailability, and reduces off-target toxicity. Polymers containing acid-sensitive bonds or protonatable functional groups further enhance release efficiency under acidic conditions [139]. In addition, enzyme-responsive nanoparticles can release therapeutic cargo in the presence of tumor-associated enzymes such as matrix metalloproteinases, which are highly expressed in tumors and contribute to invasion and metastasis [87].</w:t>
      </w:r>
    </w:p>
    <w:p w14:paraId="3DDAA8EC" w14:textId="77777777" w:rsidR="00C449F4" w:rsidRDefault="00C449F4" w:rsidP="00991A84">
      <w:pPr>
        <w:pStyle w:val="Body"/>
        <w:spacing w:after="0"/>
        <w:rPr>
          <w:rFonts w:ascii="Arial" w:hAnsi="Arial" w:cs="Arial"/>
        </w:rPr>
      </w:pPr>
    </w:p>
    <w:p w14:paraId="1D9C710B" w14:textId="77777777" w:rsidR="00C449F4" w:rsidRPr="009D14E2" w:rsidRDefault="00446F3D" w:rsidP="00991A84">
      <w:pPr>
        <w:pStyle w:val="Body"/>
        <w:numPr>
          <w:ilvl w:val="0"/>
          <w:numId w:val="2"/>
        </w:numPr>
        <w:rPr>
          <w:rFonts w:ascii="Arial" w:hAnsi="Arial" w:cs="Arial"/>
          <w:b/>
          <w:bCs/>
          <w:highlight w:val="cyan"/>
        </w:rPr>
      </w:pPr>
      <w:r w:rsidRPr="009D14E2">
        <w:rPr>
          <w:rFonts w:ascii="Arial" w:hAnsi="Arial" w:cs="Arial"/>
          <w:b/>
          <w:bCs/>
          <w:highlight w:val="cyan"/>
        </w:rPr>
        <w:t xml:space="preserve">Nanotechnology-based therapeutic strategies: </w:t>
      </w:r>
    </w:p>
    <w:p w14:paraId="284D24F9" w14:textId="3CBBFF1F" w:rsidR="00991A84" w:rsidRPr="00991A84" w:rsidRDefault="00991A84" w:rsidP="00991A84">
      <w:pPr>
        <w:spacing w:before="100" w:beforeAutospacing="1" w:after="100" w:afterAutospacing="1"/>
        <w:jc w:val="both"/>
        <w:rPr>
          <w:rFonts w:ascii="Times New Roman" w:hAnsi="Times New Roman"/>
          <w:sz w:val="24"/>
          <w:szCs w:val="24"/>
        </w:rPr>
      </w:pPr>
      <w:r w:rsidRPr="00991A84">
        <w:rPr>
          <w:rFonts w:ascii="Times New Roman" w:hAnsi="Times New Roman"/>
          <w:sz w:val="24"/>
          <w:szCs w:val="24"/>
        </w:rPr>
        <w:t xml:space="preserve">Nanotechnology has significantly transformed cancer therapeutics by enabling the development of innovative treatment strategies that are more precise, effective, and targeted [140]. These advanced approaches minimise damage to healthy tissues while maximising therapeutic efficacy against tumour cells. Nanoparticles serve as versatile platforms for a wide range of cancer treatment modalities, including </w:t>
      </w:r>
      <w:r w:rsidRPr="00991A84">
        <w:rPr>
          <w:rFonts w:ascii="Times New Roman" w:hAnsi="Times New Roman"/>
          <w:sz w:val="24"/>
          <w:szCs w:val="24"/>
        </w:rPr>
        <w:lastRenderedPageBreak/>
        <w:t>photothermal therapy, photodynamic therapy, gene therapy, immunotherapy, and the enhancement of radiotherapy [141]. Their unique physicochemical properties, such as high surface area, tunable size, and capacity for surface functionalisation, render them highly suitable for overcoming many of the limitations associated with conventional cancer therapies [88</w:t>
      </w:r>
      <w:r>
        <w:rPr>
          <w:rFonts w:ascii="Times New Roman" w:hAnsi="Times New Roman"/>
          <w:sz w:val="24"/>
          <w:szCs w:val="24"/>
        </w:rPr>
        <w:t>,156</w:t>
      </w:r>
      <w:r w:rsidRPr="00991A84">
        <w:rPr>
          <w:rFonts w:ascii="Times New Roman" w:hAnsi="Times New Roman"/>
          <w:sz w:val="24"/>
          <w:szCs w:val="24"/>
        </w:rPr>
        <w:t>].</w:t>
      </w:r>
    </w:p>
    <w:p w14:paraId="22DD92D1" w14:textId="77777777" w:rsidR="00C449F4" w:rsidRDefault="00446F3D" w:rsidP="00991A84">
      <w:pPr>
        <w:pStyle w:val="Body"/>
        <w:rPr>
          <w:rFonts w:ascii="Arial" w:hAnsi="Arial" w:cs="Arial"/>
        </w:rPr>
      </w:pPr>
      <w:r>
        <w:rPr>
          <w:rFonts w:ascii="Arial" w:hAnsi="Arial" w:cs="Arial"/>
          <w:b/>
          <w:bCs/>
        </w:rPr>
        <w:t>3.1.</w:t>
      </w:r>
      <w:r>
        <w:rPr>
          <w:rFonts w:ascii="Arial" w:hAnsi="Arial" w:cs="Arial"/>
        </w:rPr>
        <w:t xml:space="preserve"> </w:t>
      </w:r>
      <w:r>
        <w:rPr>
          <w:rFonts w:ascii="Arial" w:hAnsi="Arial" w:cs="Arial"/>
          <w:b/>
          <w:bCs/>
        </w:rPr>
        <w:t xml:space="preserve"> Immunotherapy:</w:t>
      </w:r>
      <w:r>
        <w:rPr>
          <w:rFonts w:ascii="Arial" w:hAnsi="Arial" w:cs="Arial"/>
        </w:rPr>
        <w:t xml:space="preserve"> </w:t>
      </w:r>
    </w:p>
    <w:p w14:paraId="19BC9948" w14:textId="25021CDA" w:rsidR="00991A84" w:rsidRPr="00991A84" w:rsidRDefault="00991A84" w:rsidP="00991A84">
      <w:pPr>
        <w:spacing w:before="100" w:beforeAutospacing="1" w:after="100" w:afterAutospacing="1"/>
        <w:jc w:val="both"/>
        <w:rPr>
          <w:rFonts w:ascii="Times New Roman" w:hAnsi="Times New Roman"/>
          <w:sz w:val="24"/>
          <w:szCs w:val="24"/>
        </w:rPr>
      </w:pPr>
      <w:r w:rsidRPr="00991A84">
        <w:rPr>
          <w:rFonts w:ascii="Times New Roman" w:hAnsi="Times New Roman"/>
          <w:sz w:val="24"/>
          <w:szCs w:val="24"/>
        </w:rPr>
        <w:t>Cell-based cancer vaccines are developed using either whole tumour cells (modified or unmodified) or specific cellular components containing tumour-associated antigens capable of eliciting antitumour immune responses [89]. These vaccines are designed to enhance immune recognition and subsequent elimination of malignant cells through effective antigen presentation to the host immune system. The first tumour cell-based vaccine was reported in 1980, in which autologous tumour cells were employed in the treatment of colorectal cancer, thereby generating early clinical interest in therapeutic cancer vaccination [142,143].</w:t>
      </w:r>
      <w:r>
        <w:rPr>
          <w:rFonts w:ascii="Times New Roman" w:hAnsi="Times New Roman"/>
          <w:sz w:val="24"/>
          <w:szCs w:val="24"/>
        </w:rPr>
        <w:t xml:space="preserve"> </w:t>
      </w:r>
      <w:r w:rsidRPr="00991A84">
        <w:rPr>
          <w:rFonts w:ascii="Times New Roman" w:hAnsi="Times New Roman"/>
          <w:sz w:val="24"/>
          <w:szCs w:val="24"/>
        </w:rPr>
        <w:t>Over time, cell-based vaccines have been broadly classified into tumour cell-based vaccines and immune cell-based vaccines [90]. Tumour cell vaccines utilise either autologous or allogeneic tumour cells that express tumour-associated antigens and epitopes recognised by CD4⁺ helper T cells and CD8⁺ cytotoxic T lymphocytes [145]. These cells are typically irradiated and administered in combination with adjuvants to enhance their immunogenicity. In some cases, they are genetically engineered to secrete immunostimulatory cytokines, such as interleukin-21 (IL-21), interleukin-7 (IL-7), or granulocyte–macrophage colony-stimulating factor (GM-CSF), in order to potentiate T-cell activation [146].</w:t>
      </w:r>
      <w:r>
        <w:rPr>
          <w:rFonts w:ascii="Times New Roman" w:hAnsi="Times New Roman"/>
          <w:sz w:val="24"/>
          <w:szCs w:val="24"/>
        </w:rPr>
        <w:t xml:space="preserve"> </w:t>
      </w:r>
      <w:r w:rsidRPr="00991A84">
        <w:rPr>
          <w:rFonts w:ascii="Times New Roman" w:hAnsi="Times New Roman"/>
          <w:sz w:val="24"/>
          <w:szCs w:val="24"/>
        </w:rPr>
        <w:t>Immune cell-based vaccines, particularly dendritic cell (DC) vaccines, exploit the intrinsic antigen-presenting capabilities of immune cells to induce tumour-specific immune responses [91]. In these strategies, dendritic cells are loaded ex vivo with tumour antigens or lysates and subsequently reintroduced into the patient, where they activate T lymphocytes and promote targeted cytotoxic activity against tumour cells [147,148]. Most dendritic cell-based vaccines are derived from monocytes and have demonstrated favourable safety profiles and immunogenic potential in early-phase clinical studies</w:t>
      </w:r>
      <w:r>
        <w:rPr>
          <w:rFonts w:ascii="Times New Roman" w:hAnsi="Times New Roman"/>
          <w:sz w:val="24"/>
          <w:szCs w:val="24"/>
        </w:rPr>
        <w:t xml:space="preserve"> [156]</w:t>
      </w:r>
      <w:r w:rsidRPr="00991A84">
        <w:rPr>
          <w:rFonts w:ascii="Times New Roman" w:hAnsi="Times New Roman"/>
          <w:sz w:val="24"/>
          <w:szCs w:val="24"/>
        </w:rPr>
        <w:t>.</w:t>
      </w:r>
    </w:p>
    <w:p w14:paraId="3115AA75" w14:textId="76A95209" w:rsidR="000B0394" w:rsidRPr="000B0394" w:rsidRDefault="000B0394" w:rsidP="00991A84">
      <w:pPr>
        <w:pStyle w:val="Body"/>
        <w:rPr>
          <w:rFonts w:ascii="Arial" w:hAnsi="Arial" w:cs="Arial"/>
          <w:lang w:val="en-IN"/>
        </w:rPr>
      </w:pPr>
      <w:r w:rsidRPr="000B0394">
        <w:rPr>
          <w:rFonts w:ascii="Arial" w:hAnsi="Arial" w:cs="Arial"/>
          <w:highlight w:val="yellow"/>
          <w:lang w:val="en-IN"/>
        </w:rPr>
        <w:t xml:space="preserve">Emerging preclinical strategies also explore cancer stem cells (CSCs) as antigen sources for vaccine development [149]. CSC-targeted vaccines aim to eliminate therapy-resistant tumor subpopulations responsible for recurrence and metastasis [92]. Although in vitro and early experimental studies indicate that CSC-sensitized dendritic cells can inhibit tumor growth and migration, these approaches remain at the preclinical or early clinical investigation stage, and no CSC-based vaccines have yet received regulatory approval [93]. This highlights the distinction between promising laboratory findings and clinically validated outcomes. Among clinically evaluated cell-based vaccines, Sipuleucel-T (Provenge) represents a significant milestone as the first FDA-approved therapeutic cancer vaccine for metastatic prostate cancer in 2010 [144]. It is an autologous dendritic-cell-based vaccine generated from peripheral blood mononuclear cells cultured with prostatic acid phosphatase (PAP) antigen and GM-CSF, leading to activation of PAP-specific T-cells upon reinfusion [94]. Clinical trials demonstrated a modest but significant improvement in overall survival of approximately four months, establishing proof-of-concept for personalized cancer </w:t>
      </w:r>
      <w:r w:rsidRPr="000B0394">
        <w:rPr>
          <w:rFonts w:ascii="Arial" w:hAnsi="Arial" w:cs="Arial"/>
          <w:highlight w:val="yellow"/>
          <w:lang w:val="en-IN"/>
        </w:rPr>
        <w:lastRenderedPageBreak/>
        <w:t>vaccination while also highlighting limitations in achieving robust clinical responses. Other vaccine platforms, such as GVAX and Canvaxin, illustrate the gap between early clinical promise and late-stage clinical outcomes. GVAX consists of irradiated tumor cells genetically modified to secrete GM-CSF and has shown encouraging immunogenicity and survival correlations in early-phase trials for lung and pancreatic cancers, particularly in combination with radiotherapy. However, larger studies have produced inconsistent efficacy results, and definitive Phase III success has not been achieved. Similarly, Canvaxin, an allogeneic whole-tumor-cell vaccine evaluated in prostate, breast, and pancreatic cancers, demonstrated initial promise but failed to meet primary endpoints in advanced clinical trials, leading to discontinuation of further development. These outcomes emphasize the challenges of translating immunogenicity into consistent survival benefits in large patient populations.</w:t>
      </w:r>
    </w:p>
    <w:p w14:paraId="05D7D313" w14:textId="77777777" w:rsidR="00C449F4" w:rsidRDefault="00446F3D" w:rsidP="00991A84">
      <w:pPr>
        <w:pStyle w:val="Body"/>
        <w:rPr>
          <w:rFonts w:ascii="Arial" w:hAnsi="Arial" w:cs="Arial"/>
          <w:lang w:val="en-IN"/>
        </w:rPr>
      </w:pPr>
      <w:r>
        <w:rPr>
          <w:rFonts w:ascii="Arial" w:hAnsi="Arial" w:cs="Arial"/>
          <w:lang w:val="en-IN"/>
        </w:rPr>
        <w:t>Recent progress in tumor cell–based vaccine development has focused on improving their immunogenicity to achieve stronger therapeutic responses. Tumor cells often release soluble factors that suppress immune activity, limiting vaccine effectiveness. Strategies to enhance immune stimulation include using dead tumor cells instead of live ones, modifying tumor cells genetically, or combining vaccination with radiotherapy [96]. Oncolytic viruses such as adenoviruses, coxsackieviruses, and measles viruses are frequently employed to induce immunogenic cell death (ICD) in tumor cells. This process promotes the release of damage-associated molecular patterns (DAMPs) and pathogen-associated molecular patterns (PAMPs), which enhance immune cell recruitment to the tumor microenvironment and improve antigen presentation [97]. Enhanced cross-presentation of tumor-associated antigens by antigen-presenting cells through MHC-I pathways activates cytotoxic T lymphocytes and strengthens antitumor immunity. Other approaches to boost immunogenicity include the use of oxaliplatin, although adenoviruses have demonstrated greater ability to induce immunogenic cell death [98]. In neuroblastoma, nanoparticles that activate interferon genes have been shown to effectively trigger tumor cell apoptosis. Genetic modification of tumor cells to improve antigen presentation, including the incorporation of cytokines such as IL-21 and IL-7, has also produced promising immune responses [99]. The inclusion of adjuvants further enhances antigen presentation; for example, nanoparticles carrying CpG motifs can promote immune recognition of apoptotic tumor cells. Combination therapies, particularly whole-cell vaccines used with immune checkpoint inhibitors, have demonstrated improved efficacy [100]. Blocking PD-L1 enhances T-cell activation by preventing its interaction with PD-1, thereby promoting tumor cell destruction [101]. Additionally, combining radiotherapy with dendritic cell vaccines increases tumor-associated neutrophil activity and reactive oxygen species production, leading to greater tumor apoptosis and neoantigen release, which supports dendritic cell maturation and improved antigen recognition [102].</w:t>
      </w:r>
    </w:p>
    <w:p w14:paraId="5AF3A533" w14:textId="77777777" w:rsidR="00C449F4" w:rsidRDefault="00446F3D" w:rsidP="00991A84">
      <w:pPr>
        <w:pStyle w:val="Body"/>
        <w:rPr>
          <w:rFonts w:ascii="Arial" w:hAnsi="Arial" w:cs="Arial"/>
          <w:lang w:val="en-IN"/>
        </w:rPr>
      </w:pPr>
      <w:r>
        <w:rPr>
          <w:rFonts w:ascii="Arial" w:hAnsi="Arial" w:cs="Arial"/>
          <w:lang w:val="en-IN"/>
        </w:rPr>
        <w:t xml:space="preserve">Cancer vaccines used as monotherapy often show limited clinical effectiveness due to several biological challenges. A major barrier is the immunosuppressive tumor microenvironment, which is enriched with regulatory T-cells, tumor-associated macrophages, and inhibitory cytokines such as TGF-β and IL-10 that suppress vaccine-induced immune responses [103]. Effective antigen selection is also essential for activating CD8+ and CD4+ T-cells; however, many tumors lack highly immunogenic neoantigens, reducing vaccine efficiency in stimulating strong immune reactions. In advanced cancers, vaccine monotherapy frequently produces insufficient immune activation to completely eliminate tumor cells, resulting in weak or transient responses [104]. Enhancing dendritic cell (DC) migration to lymph nodes is a key strategy to improve vaccine efficacy, as lymph nodes provide an optimal environment for antigen presentation and T-cell activation. Upon detecting danger signals, DCs migrate to lymph nodes, mature, and efficiently initiate adaptive immune responses. DC maturation can also be promoted using FLT3 receptor </w:t>
      </w:r>
      <w:r>
        <w:rPr>
          <w:rFonts w:ascii="Arial" w:hAnsi="Arial" w:cs="Arial"/>
          <w:lang w:val="en-IN"/>
        </w:rPr>
        <w:lastRenderedPageBreak/>
        <w:t>ligands, which support DC differentiation, proliferation, and survival [105]. For example, CD103+ DCs migrate from tumors to lymph nodes following antigen recognition and play a crucial role in cross-presentation to CD8+ T-cells, a process dependent on the CCR7 chemokine receptor. Studies indicate that increasing CCR7 expression enhances DC migration and immune activation, whereas CCR7 deficiency reduces these responses [180]. Despite these advancements, tumors continuously evolve through mutations, angiogenesis, and immune-suppressive signaling to evade immune detection, which limits the overall benefits of vaccine-based therapies compared with other cancer treatments [106].</w:t>
      </w:r>
    </w:p>
    <w:p w14:paraId="66972A9D" w14:textId="0200DAC2" w:rsidR="00C449F4" w:rsidRPr="00C545EE" w:rsidRDefault="00446F3D" w:rsidP="00991A84">
      <w:pPr>
        <w:pStyle w:val="Body"/>
        <w:rPr>
          <w:rFonts w:ascii="Arial" w:hAnsi="Arial" w:cs="Arial"/>
          <w:lang w:val="en-IN"/>
        </w:rPr>
      </w:pPr>
      <w:r>
        <w:rPr>
          <w:rFonts w:ascii="Arial" w:hAnsi="Arial" w:cs="Arial"/>
          <w:lang w:val="en-IN"/>
        </w:rPr>
        <w:t>Brain tumors, particularly malignant gliomas such as glioblastoma multiforme (GBM), remain a major challenge in cancer therapy. The effectiveness of immunotherapeutic vaccines against GBM is limited by several barriers, including the blood–brain barrier, which restricts immune cell access to brain tissue and reduces antitumor immune responses. Additional challenges include the limited availability of well-defined glioma-specific antigens and the presence of a highly immunosuppressive tumor microenvironment. However, since 2000, advances in understanding immune–central nervous system interactions and blood–brain barrier permeability have enabled the identification of glioma-specific antigens, supporting the development of targeted immunotherapeutic vaccines. Early vaccine strategies for GBM involved isolating CD14+ monocytes from peripheral blood and differentiating them into immature dendritic cells (DCs) using GM-CSF and IL-4. These DCs were then loaded with tumor antigens and matured with cytokines such as IL-6 and TNF-α to stimulate immune responses. Initial clinical applications demonstrated promising results; the first reported case in 2000 showed a survival extension of 21 months. Subsequent studies between 2001 and 2004 confirmed that peptide-loaded DC vaccines were safe and capable of activating antitumor immunity, increasing overall survival by an average of 2.5 years in some patients. More recently, the ICT-107 dendritic cell vaccine, targeting multiple glioblastoma-associated antigens, has highlighted the importance of antigen specificity in vaccine design [107]. Although a phase II clinical trial did not significantly improve median overall survival, progression-free survival improved, particularly among HLA-A2–positive patients, indicating enhanced immunological and clinical responses [108].</w:t>
      </w:r>
    </w:p>
    <w:p w14:paraId="291F727F" w14:textId="77777777" w:rsidR="00C449F4" w:rsidRDefault="00446F3D" w:rsidP="00991A84">
      <w:pPr>
        <w:pStyle w:val="Body"/>
        <w:rPr>
          <w:rFonts w:ascii="Arial" w:hAnsi="Arial" w:cs="Arial"/>
          <w:b/>
          <w:bCs/>
        </w:rPr>
      </w:pPr>
      <w:r>
        <w:rPr>
          <w:rFonts w:ascii="Arial" w:hAnsi="Arial" w:cs="Arial"/>
          <w:b/>
          <w:bCs/>
        </w:rPr>
        <w:t xml:space="preserve">3.2. Peptide and Protein Vaccines: </w:t>
      </w:r>
    </w:p>
    <w:p w14:paraId="1638F9D9" w14:textId="50D087AB" w:rsidR="00C449F4" w:rsidRDefault="00446F3D" w:rsidP="00991A84">
      <w:pPr>
        <w:pStyle w:val="Body"/>
        <w:rPr>
          <w:rFonts w:ascii="Arial" w:hAnsi="Arial" w:cs="Arial"/>
          <w:lang w:val="en-IN"/>
        </w:rPr>
      </w:pPr>
      <w:r>
        <w:rPr>
          <w:rFonts w:ascii="Arial" w:hAnsi="Arial" w:cs="Arial"/>
          <w:lang w:val="en-IN"/>
        </w:rPr>
        <w:t xml:space="preserve">Protein- and peptide-based cancer vaccines aim to stimulate immune responses against specific antigenic epitopes derived from tumor-associated proteins that are absent or minimally expressed in normal tissues. These synthetic antigens are processed by antigen-presenting cells and presented via MHC molecules, enabling T-cells to recognize and attack cancer cells. Numerous tumor-associated antigen (TAA) epitopes capable of binding to MHC have been identified, along with mutation-derived neoantigens that provide highly specific targets for immune activation [109]. Advances in computational tools have further improved neoantigen identification. Despite promising early clinical findings, many phase III trials have not achieved significant therapeutic success, with low tumor clearance rates due to immune escape mechanisms and the immunosuppressive tumor microenvironment [110]. The effectiveness of peptide vaccines depends on careful antigen selection, optimal peptide length, epitope diversity, and the ability to activate both CD4+ and CD8+ T-cells. Peptide vaccines are generally classified as long-chain or short-chain formulations [111]. Long peptides can be processed and presented through both MHC class I and II pathways, activating cytotoxic and helper T-cells and preventing immune tolerance through stronger costimulatory signaling [112]. In contrast, short peptides bind directly to MHC class I molecules and primarily stimulate CD8+ T-cells, but may induce immune tolerance if adequate costimulation is lacking [113]. </w:t>
      </w:r>
      <w:r w:rsidR="00766993" w:rsidRPr="00766993">
        <w:rPr>
          <w:rFonts w:ascii="Arial" w:hAnsi="Arial" w:cs="Arial"/>
          <w:lang w:val="en-IN"/>
        </w:rPr>
        <w:t xml:space="preserve">Although peptide vaccines have been explored for various cancers, investigational WT1-targeting peptide vaccines such as DSP-7888 have </w:t>
      </w:r>
      <w:r w:rsidR="00766993" w:rsidRPr="00766993">
        <w:rPr>
          <w:rFonts w:ascii="Arial" w:hAnsi="Arial" w:cs="Arial"/>
          <w:lang w:val="en-IN"/>
        </w:rPr>
        <w:lastRenderedPageBreak/>
        <w:t>entered clinical evaluation, but no broad regulatory approval has been established for this agent</w:t>
      </w:r>
      <w:r w:rsidR="00766993">
        <w:rPr>
          <w:rFonts w:ascii="Arial" w:hAnsi="Arial" w:cs="Arial"/>
          <w:lang w:val="en-IN"/>
        </w:rPr>
        <w:t xml:space="preserve"> </w:t>
      </w:r>
      <w:r>
        <w:rPr>
          <w:rFonts w:ascii="Arial" w:hAnsi="Arial" w:cs="Arial"/>
          <w:lang w:val="en-IN"/>
        </w:rPr>
        <w:t>[</w:t>
      </w:r>
      <w:r w:rsidR="00766993">
        <w:rPr>
          <w:rFonts w:ascii="Arial" w:hAnsi="Arial" w:cs="Arial"/>
          <w:lang w:val="en-IN"/>
        </w:rPr>
        <w:t xml:space="preserve">MLM, 2026; </w:t>
      </w:r>
      <w:r>
        <w:rPr>
          <w:rFonts w:ascii="Arial" w:hAnsi="Arial" w:cs="Arial"/>
          <w:lang w:val="en-IN"/>
        </w:rPr>
        <w:t>114</w:t>
      </w:r>
      <w:r w:rsidR="00991A84">
        <w:rPr>
          <w:rFonts w:ascii="Arial" w:hAnsi="Arial" w:cs="Arial"/>
          <w:lang w:val="en-IN"/>
        </w:rPr>
        <w:t>,156</w:t>
      </w:r>
      <w:r>
        <w:rPr>
          <w:rFonts w:ascii="Arial" w:hAnsi="Arial" w:cs="Arial"/>
          <w:lang w:val="en-IN"/>
        </w:rPr>
        <w:t>].</w:t>
      </w:r>
    </w:p>
    <w:p w14:paraId="5D358E45" w14:textId="27F82939" w:rsidR="00991A84" w:rsidRPr="00991A84" w:rsidRDefault="00991A84" w:rsidP="00991A84">
      <w:pPr>
        <w:spacing w:before="100" w:beforeAutospacing="1" w:after="100" w:afterAutospacing="1"/>
        <w:jc w:val="both"/>
        <w:rPr>
          <w:rFonts w:ascii="Times New Roman" w:hAnsi="Times New Roman"/>
          <w:sz w:val="24"/>
          <w:szCs w:val="24"/>
        </w:rPr>
      </w:pPr>
      <w:r w:rsidRPr="00991A84">
        <w:rPr>
          <w:rFonts w:ascii="Times New Roman" w:hAnsi="Times New Roman"/>
          <w:sz w:val="24"/>
          <w:szCs w:val="24"/>
        </w:rPr>
        <w:t xml:space="preserve">Peptide-based vaccines are currently under clinical evaluation for a range of malignancies, including lung cancer, pancreatic cancer, and melanoma. Clinical investigations by Mittendorf </w:t>
      </w:r>
      <w:r w:rsidRPr="00991A84">
        <w:rPr>
          <w:rFonts w:ascii="Times New Roman" w:hAnsi="Times New Roman"/>
          <w:i/>
          <w:iCs/>
          <w:sz w:val="24"/>
          <w:szCs w:val="24"/>
        </w:rPr>
        <w:t>et al.</w:t>
      </w:r>
      <w:r w:rsidRPr="00991A84">
        <w:rPr>
          <w:rFonts w:ascii="Times New Roman" w:hAnsi="Times New Roman"/>
          <w:sz w:val="24"/>
          <w:szCs w:val="24"/>
        </w:rPr>
        <w:t xml:space="preserve"> demonstrated that E75, a peptide derived from the human epidermal growth factor receptor 2 (HER2), exhibits a favourable safety profile and therapeutic potential, leading to its progression into phase III clinical trials. Furthermore, phase II studies have indicated that the combination of GP2 with granulocyte–macrophage colony-stimulating factor (GM-CSF) may reduce relapse rates in patients with breast cancer. Notably, this peptide-based strategy showed particularly promising outcomes in individuals with HER2-positive tumours who had previously received trastuzumab, suggesting a synergistic effect in lowering the risk of recurrence within this subgroup [115</w:t>
      </w:r>
      <w:r>
        <w:rPr>
          <w:rFonts w:ascii="Times New Roman" w:hAnsi="Times New Roman"/>
          <w:sz w:val="24"/>
          <w:szCs w:val="24"/>
        </w:rPr>
        <w:t>,156</w:t>
      </w:r>
      <w:r w:rsidRPr="00991A84">
        <w:rPr>
          <w:rFonts w:ascii="Times New Roman" w:hAnsi="Times New Roman"/>
          <w:sz w:val="24"/>
          <w:szCs w:val="24"/>
        </w:rPr>
        <w:t>].</w:t>
      </w:r>
      <w:r>
        <w:rPr>
          <w:rFonts w:ascii="Times New Roman" w:hAnsi="Times New Roman"/>
          <w:sz w:val="24"/>
          <w:szCs w:val="24"/>
        </w:rPr>
        <w:t xml:space="preserve"> </w:t>
      </w:r>
      <w:r w:rsidRPr="00991A84">
        <w:rPr>
          <w:rFonts w:ascii="Times New Roman" w:hAnsi="Times New Roman"/>
          <w:sz w:val="24"/>
          <w:szCs w:val="24"/>
        </w:rPr>
        <w:t xml:space="preserve">Survivin, an anti-apoptotic protein that is widely overexpressed across multiple cancer types, has also been explored as a vaccine target. A survivin-based vaccine incorporating three short-chain peptides containing multiple epitopes—eight </w:t>
      </w:r>
      <w:proofErr w:type="gramStart"/>
      <w:r w:rsidRPr="00991A84">
        <w:rPr>
          <w:rFonts w:ascii="Times New Roman" w:hAnsi="Times New Roman"/>
          <w:sz w:val="24"/>
          <w:szCs w:val="24"/>
        </w:rPr>
        <w:t>specific</w:t>
      </w:r>
      <w:proofErr w:type="gramEnd"/>
      <w:r w:rsidRPr="00991A84">
        <w:rPr>
          <w:rFonts w:ascii="Times New Roman" w:hAnsi="Times New Roman"/>
          <w:sz w:val="24"/>
          <w:szCs w:val="24"/>
        </w:rPr>
        <w:t xml:space="preserve"> to CD4⁺ T cells and six to CD8⁺ T cells—has been developed [183]. This multiepitope design facilitates the concurrent activation of both T-cell subsets, thereby promoting a robust and coordinated immune response [116]. Preclinical evaluation in murine models of colorectal cancer and B-cell lymphoma demonstrated significant inhibition of tumour growth, alongside a marked extension in survival, with treated animals exhibiting an increase in lifespan of up to 60 days</w:t>
      </w:r>
      <w:r>
        <w:rPr>
          <w:rFonts w:ascii="Times New Roman" w:hAnsi="Times New Roman"/>
          <w:sz w:val="24"/>
          <w:szCs w:val="24"/>
        </w:rPr>
        <w:t xml:space="preserve"> [156]</w:t>
      </w:r>
      <w:r w:rsidRPr="00991A84">
        <w:rPr>
          <w:rFonts w:ascii="Times New Roman" w:hAnsi="Times New Roman"/>
          <w:sz w:val="24"/>
          <w:szCs w:val="24"/>
        </w:rPr>
        <w:t>.</w:t>
      </w:r>
      <w:r>
        <w:rPr>
          <w:rFonts w:ascii="Times New Roman" w:hAnsi="Times New Roman"/>
          <w:sz w:val="24"/>
          <w:szCs w:val="24"/>
        </w:rPr>
        <w:t xml:space="preserve"> </w:t>
      </w:r>
      <w:r w:rsidRPr="00991A84">
        <w:rPr>
          <w:rFonts w:ascii="Times New Roman" w:hAnsi="Times New Roman"/>
          <w:sz w:val="24"/>
          <w:szCs w:val="24"/>
        </w:rPr>
        <w:t>Mucin-1 (MUC-1), a glycoprotein characterised by tandemly repeated 20-amino-acid sequences known as variable number tandem repeats (VNTRs), represents another important target in peptide vaccine development. In malignant cells, MUC-1 undergoes aberrant glycosylation, resulting in reduced carbohydrate side chains and enhanced exposure of immunogenic epitopes. This alteration facilitates the activation of both humoral and cytotoxic T lymphocyte (CTL) responses [117]. In a clinical study involving nine patients with breast cancer, administration of a MUC-1-derived peptide containing five VNTR repeats led to a significant increase in antigen-specific IgG and IgM production in seven participants, indicating a measurable immune response</w:t>
      </w:r>
      <w:r>
        <w:rPr>
          <w:rFonts w:ascii="Times New Roman" w:hAnsi="Times New Roman"/>
          <w:sz w:val="24"/>
          <w:szCs w:val="24"/>
        </w:rPr>
        <w:t xml:space="preserve"> [156]</w:t>
      </w:r>
      <w:r w:rsidRPr="00991A84">
        <w:rPr>
          <w:rFonts w:ascii="Times New Roman" w:hAnsi="Times New Roman"/>
          <w:sz w:val="24"/>
          <w:szCs w:val="24"/>
        </w:rPr>
        <w:t>.</w:t>
      </w:r>
      <w:r>
        <w:rPr>
          <w:rFonts w:ascii="Times New Roman" w:hAnsi="Times New Roman"/>
          <w:sz w:val="24"/>
          <w:szCs w:val="24"/>
        </w:rPr>
        <w:t xml:space="preserve"> </w:t>
      </w:r>
      <w:r w:rsidRPr="00991A84">
        <w:rPr>
          <w:rFonts w:ascii="Times New Roman" w:hAnsi="Times New Roman"/>
          <w:sz w:val="24"/>
          <w:szCs w:val="24"/>
        </w:rPr>
        <w:t>The Ras oncogene, a key component of the Ras/MAPK signalling pathway, is also a target of interest. This pathway regulates essential cellular processes, including proliferation, differentiation, and survival. Under physiological conditions, Ras remains inactive in the cytoplasm and is activated upon ligand binding—such as epidermal growth factor (EGF)—to receptor tyrosine kinases (RTKs) on the cell surface. However, in many cases of pancreatic and colorectal cancers, mutations result in constitutive activation of Ras, driving uncontrolled cell proliferation and tumour progression. Several clinical trials have investigated vaccination strategies targeting Ras, employing peptides of varying lengths in combination with adjuvants to facilitate antigen presentation by antigen-presenting cells (APCs). Although these studies did not demonstrate substantial tumour regression, they did reveal a positive association between immune activation—particularly cytokine responses—and modest improvements in patient survival [118</w:t>
      </w:r>
      <w:r>
        <w:rPr>
          <w:rFonts w:ascii="Times New Roman" w:hAnsi="Times New Roman"/>
          <w:sz w:val="24"/>
          <w:szCs w:val="24"/>
        </w:rPr>
        <w:t>,156</w:t>
      </w:r>
      <w:r w:rsidRPr="00991A84">
        <w:rPr>
          <w:rFonts w:ascii="Times New Roman" w:hAnsi="Times New Roman"/>
          <w:sz w:val="24"/>
          <w:szCs w:val="24"/>
        </w:rPr>
        <w:t>].</w:t>
      </w:r>
    </w:p>
    <w:p w14:paraId="74DA1A54" w14:textId="3274EA92" w:rsidR="00C449F4" w:rsidRPr="00C05627" w:rsidRDefault="00C05627" w:rsidP="00991A84">
      <w:pPr>
        <w:pStyle w:val="Body"/>
        <w:rPr>
          <w:rFonts w:ascii="Arial" w:hAnsi="Arial" w:cs="Arial"/>
          <w:lang w:val="en-IN"/>
        </w:rPr>
      </w:pPr>
      <w:r w:rsidRPr="00C05627">
        <w:rPr>
          <w:rFonts w:ascii="Arial" w:hAnsi="Arial" w:cs="Arial"/>
          <w:highlight w:val="yellow"/>
          <w:lang w:val="en-IN"/>
        </w:rPr>
        <w:lastRenderedPageBreak/>
        <w:t>To enhance the efficacy of peptide-based cancer vaccines, careful selection of target peptides is essential. Computational prediction algorithms are widely used to evaluate peptide–major histocompatibility complex (MHC) interactions by analyzing amino acid sequences and three-dimensional structural features, enabling accurate prediction of binding affinity and immunogenic potential. Complementing this approach, whole-exome sequencing facilitates the identification of tumor-specific neoantigens generated by somatic mutations that are absent in normal tissues. These neoantigens provide highly specific targets for vaccine design, reducing the risk of autoimmune responses and improving therapeutic selectivity. Consequently, personalized peptide vaccines based on patient-specific neoantigens have demonstrated improved immunogenicity and clinical promise by aligning vaccine composition with the molecular characteristics of individual tumors. Despite these advances, peptide vaccines often exhibit limited intrinsic immunogenicity and require effective adjuvants to optimize antigen presentation and T-cell activation. Toll-like receptor (TLR) agonists and immune-stimulating adjuvants are commonly employed to strengthen immune signaling and enhance vaccine performance. Frequently used adjuvants include alum, monophosphorylated lipid A, polyinosinic–polycytidylic acid, CpG oligodeoxynucleotides, and Montanide ISA 51 [119]. Alum promotes antigen-presenting cell activation and remains widely used in clinically approved vaccines, while monophosphorylated lipid A functions as a TLR4 agonist to stimulate dendritic cells and cytotoxic T lymphocyte responses. CpG oligodeoxynucleotides and polyinosinic–polycytidylic acid activate TLR9 and TLR3, respectively, further enhancing antigen presentation and immune activation. Montanide ISA 51 provides a depot effect at the injection site, enabling sustained antigen release and prolonged T-cell stimulation, with demonstrated enhancement of CD4+ and CD8+ T-cell responses in combination with tumor-associated peptides [120]. Granulocyte–macrophage colony-stimulating factor (GM-CSF) is also employed as an adjuvant to recruit and activate antigen-presenting cells and support local immune stimulation. In addition to promoting dendritic cell accumulation at vaccination sites, GM-CSF may contribute to antiangiogenic effects that restrict tumor growth. While its incorporation into peptide-based vaccines has shown immunostimulatory benefits in late-stage clinical evaluation, commonly reported adverse effects include localized injection-site reactions [121]. Overall, the integration of computational neoantigen selection with optimized adjuvant systems continues to improve the clinical potential of peptide-based cancer vaccines.</w:t>
      </w:r>
    </w:p>
    <w:p w14:paraId="649B8AB0" w14:textId="77777777" w:rsidR="00C449F4" w:rsidRDefault="00446F3D" w:rsidP="00991A84">
      <w:pPr>
        <w:pStyle w:val="Body"/>
        <w:rPr>
          <w:rFonts w:ascii="Arial" w:hAnsi="Arial" w:cs="Arial"/>
        </w:rPr>
      </w:pPr>
      <w:r>
        <w:rPr>
          <w:rFonts w:ascii="Arial" w:hAnsi="Arial" w:cs="Arial"/>
          <w:b/>
          <w:bCs/>
        </w:rPr>
        <w:t>3.3. Viral Vector-Based Vaccines:</w:t>
      </w:r>
      <w:r>
        <w:rPr>
          <w:rFonts w:ascii="Arial" w:hAnsi="Arial" w:cs="Arial"/>
        </w:rPr>
        <w:t xml:space="preserve"> </w:t>
      </w:r>
    </w:p>
    <w:p w14:paraId="35F5A6E6" w14:textId="615E02BA" w:rsidR="00147138" w:rsidRPr="00147138" w:rsidRDefault="00147138" w:rsidP="00147138">
      <w:pPr>
        <w:spacing w:before="100" w:beforeAutospacing="1" w:after="100" w:afterAutospacing="1"/>
        <w:jc w:val="both"/>
        <w:rPr>
          <w:rFonts w:ascii="Times New Roman" w:hAnsi="Times New Roman"/>
          <w:sz w:val="24"/>
          <w:szCs w:val="24"/>
        </w:rPr>
      </w:pPr>
      <w:r w:rsidRPr="00147138">
        <w:rPr>
          <w:rFonts w:ascii="Times New Roman" w:hAnsi="Times New Roman"/>
          <w:sz w:val="24"/>
          <w:szCs w:val="24"/>
        </w:rPr>
        <w:t>In recent decades, viruses have attracted increasing attention in the field of cancer immunotherapy due to their capacity to interact selectively with both the immune system and the tumour microenvironment. Their intrinsic ability to infect host cells, integrate genetic material, and undergo replication confers distinctive functional advantages. These properties enable viruses to be utilised as gene delivery vectors, immunological adjuvants that enhance immune activation, or oncolytic agents capable of directly lysing tumour cells.</w:t>
      </w:r>
      <w:r>
        <w:rPr>
          <w:rFonts w:ascii="Times New Roman" w:hAnsi="Times New Roman"/>
          <w:sz w:val="24"/>
          <w:szCs w:val="24"/>
        </w:rPr>
        <w:t xml:space="preserve"> </w:t>
      </w:r>
      <w:r w:rsidRPr="00147138">
        <w:rPr>
          <w:rFonts w:ascii="Times New Roman" w:hAnsi="Times New Roman"/>
          <w:sz w:val="24"/>
          <w:szCs w:val="24"/>
        </w:rPr>
        <w:t>As previously noted, the induction of a robust cellular immune response is a critical requirement for the efficacy of cancer vaccines. Viral vectors play a pivotal role in this context, as they not only promote efficient expression of tumour-associated antigens but also stimulate immune activation, particularly by enhancing T-cell responses. Among the most extensively employed viral vectors are adenoviruses, poxviruses, and vaccinia viruses. Adenoviral systems have been widely used to deliver tumour antigens into muscle tissue, taking advantage of their high transfection efficiency to elicit strong immune responses.</w:t>
      </w:r>
      <w:r>
        <w:rPr>
          <w:rFonts w:ascii="Times New Roman" w:hAnsi="Times New Roman"/>
          <w:sz w:val="24"/>
          <w:szCs w:val="24"/>
        </w:rPr>
        <w:t xml:space="preserve"> </w:t>
      </w:r>
      <w:r w:rsidRPr="00147138">
        <w:rPr>
          <w:rFonts w:ascii="Times New Roman" w:hAnsi="Times New Roman"/>
          <w:sz w:val="24"/>
          <w:szCs w:val="24"/>
        </w:rPr>
        <w:t xml:space="preserve">Modified Vaccinia Ankara (MVA), a genetically attenuated strain of </w:t>
      </w:r>
      <w:r w:rsidRPr="00147138">
        <w:rPr>
          <w:rFonts w:ascii="Times New Roman" w:hAnsi="Times New Roman"/>
          <w:sz w:val="24"/>
          <w:szCs w:val="24"/>
        </w:rPr>
        <w:lastRenderedPageBreak/>
        <w:t>vaccinia virus, has demonstrated potential in targeting renal cell carcinoma and epithelial malignancies, particularly through its application in addressing the overexpression of the MUC1 antigen. In addition, the therapeutic vaccine PROSTVAC, which utilises two poxvirus-based vectors to express prostate-specific antigen, has shown promising clinical outcomes, particularly when combined with immune checkpoint inhibitors. Clinical trial data indicate that PROSTVAC is associated with an extension in overall survival of approximately 8.5 months and a 44% reduction in mortality risk, underscoring its therapeutic potential in advanced prostate cancer [122</w:t>
      </w:r>
      <w:r>
        <w:rPr>
          <w:rFonts w:ascii="Times New Roman" w:hAnsi="Times New Roman"/>
          <w:sz w:val="24"/>
          <w:szCs w:val="24"/>
        </w:rPr>
        <w:t>,156</w:t>
      </w:r>
      <w:r w:rsidRPr="00147138">
        <w:rPr>
          <w:rFonts w:ascii="Times New Roman" w:hAnsi="Times New Roman"/>
          <w:sz w:val="24"/>
          <w:szCs w:val="24"/>
        </w:rPr>
        <w:t>].</w:t>
      </w:r>
    </w:p>
    <w:p w14:paraId="3E247567" w14:textId="7B8ABB41" w:rsidR="00C449F4" w:rsidRDefault="00766993" w:rsidP="00991A84">
      <w:pPr>
        <w:pStyle w:val="Body"/>
        <w:rPr>
          <w:rFonts w:ascii="Arial" w:hAnsi="Arial" w:cs="Arial"/>
        </w:rPr>
      </w:pPr>
      <w:r w:rsidRPr="00766993">
        <w:rPr>
          <w:rFonts w:ascii="Arial" w:hAnsi="Arial" w:cs="Arial"/>
        </w:rPr>
        <w:t>In an earlier phase II study, PROSTVAC was associated with an apparent overall survival signal; however, the subsequent randomized phase III trial did not demonstrate a significant overall survival benefit, underscoring the difficulty of translating promising early vaccine results into definitive clinical efficacy.</w:t>
      </w:r>
      <w:r>
        <w:rPr>
          <w:rFonts w:ascii="Arial" w:hAnsi="Arial" w:cs="Arial"/>
        </w:rPr>
        <w:t xml:space="preserve"> (NLM, 2026; Gulley et al., 2019)</w:t>
      </w:r>
    </w:p>
    <w:p w14:paraId="6A5E2293" w14:textId="0AA0FC3F" w:rsidR="00102E0A" w:rsidRPr="00102E0A" w:rsidRDefault="00102E0A" w:rsidP="00102E0A">
      <w:pPr>
        <w:spacing w:before="100" w:beforeAutospacing="1" w:after="100" w:afterAutospacing="1"/>
        <w:jc w:val="both"/>
        <w:rPr>
          <w:rFonts w:ascii="Times New Roman" w:hAnsi="Times New Roman"/>
          <w:sz w:val="24"/>
          <w:szCs w:val="24"/>
        </w:rPr>
      </w:pPr>
      <w:r w:rsidRPr="00102E0A">
        <w:rPr>
          <w:rFonts w:ascii="Times New Roman" w:hAnsi="Times New Roman"/>
          <w:sz w:val="24"/>
          <w:szCs w:val="24"/>
        </w:rPr>
        <w:t xml:space="preserve">Heterologous prime-boost vaccination represents a sophisticated immunisation strategy that surpasses conventional vaccine approaches by optimising the induction of robust and durable immune responses. Unlike traditional protocols, in which the same vaccine is administered repeatedly, this method employs distinct vaccine platforms in a defined sequence to enhance both cellular and humoral immunity. For example, in a </w:t>
      </w:r>
      <w:r w:rsidRPr="00102E0A">
        <w:rPr>
          <w:rFonts w:ascii="Times New Roman" w:hAnsi="Times New Roman"/>
          <w:i/>
          <w:iCs/>
          <w:sz w:val="24"/>
          <w:szCs w:val="24"/>
        </w:rPr>
        <w:t>Mycobacterium bovis</w:t>
      </w:r>
      <w:r w:rsidRPr="00102E0A">
        <w:rPr>
          <w:rFonts w:ascii="Times New Roman" w:hAnsi="Times New Roman"/>
          <w:sz w:val="24"/>
          <w:szCs w:val="24"/>
        </w:rPr>
        <w:t xml:space="preserve"> model, heterologous prime-boost vaccination using the Bacillus Calmette–Guérin vaccine combined with DNA encoding Hsp65, Hsp70, and Apa conferred protection against bovine tuberculosis regardless of the order of administration. Conversely, in other experimental systems, the sequence proved critical. In a murine model employing HSV-2 gD antigen, priming with DNA was essential; reversing the sequence with a protein booster produced antibody titres similar to those observed with homologous protein–protein vaccination but failed to augment helper T-cell activation. Similarly, studies with hepatitis C antigens demonstrated that a DNA prime followed by an adenoviral vector boost elicited the highest levels of Th1-type CD4</w:t>
      </w:r>
      <w:r w:rsidRPr="00102E0A">
        <w:rPr>
          <w:rFonts w:ascii="Cambria Math" w:hAnsi="Cambria Math" w:cs="Cambria Math"/>
          <w:sz w:val="24"/>
          <w:szCs w:val="24"/>
        </w:rPr>
        <w:t>⁺</w:t>
      </w:r>
      <w:r w:rsidRPr="00102E0A">
        <w:rPr>
          <w:rFonts w:ascii="Times New Roman" w:hAnsi="Times New Roman"/>
          <w:sz w:val="24"/>
          <w:szCs w:val="24"/>
        </w:rPr>
        <w:t xml:space="preserve"> T-cell responses, outperforming both homologous regimens and alternative DNA</w:t>
      </w:r>
      <w:r w:rsidRPr="00102E0A">
        <w:rPr>
          <w:rFonts w:cs="Helvetica"/>
          <w:sz w:val="24"/>
          <w:szCs w:val="24"/>
        </w:rPr>
        <w:t>–</w:t>
      </w:r>
      <w:r w:rsidRPr="00102E0A">
        <w:rPr>
          <w:rFonts w:ascii="Times New Roman" w:hAnsi="Times New Roman"/>
          <w:sz w:val="24"/>
          <w:szCs w:val="24"/>
        </w:rPr>
        <w:t>viral vector combinations. A primate study conducted at the University of Washington further corroborated these findings, showing that vaccinia virus vectors combined with DNA as primes generated superior antibody responses compared with repeated administration of either platform alone [123].</w:t>
      </w:r>
      <w:r>
        <w:rPr>
          <w:rFonts w:ascii="Times New Roman" w:hAnsi="Times New Roman"/>
          <w:sz w:val="24"/>
          <w:szCs w:val="24"/>
        </w:rPr>
        <w:t xml:space="preserve"> </w:t>
      </w:r>
      <w:proofErr w:type="gramStart"/>
      <w:r w:rsidRPr="00102E0A">
        <w:rPr>
          <w:rFonts w:ascii="Times New Roman" w:hAnsi="Times New Roman"/>
          <w:sz w:val="24"/>
          <w:szCs w:val="24"/>
        </w:rPr>
        <w:t>Heterologous</w:t>
      </w:r>
      <w:proofErr w:type="gramEnd"/>
      <w:r w:rsidRPr="00102E0A">
        <w:rPr>
          <w:rFonts w:ascii="Times New Roman" w:hAnsi="Times New Roman"/>
          <w:sz w:val="24"/>
          <w:szCs w:val="24"/>
        </w:rPr>
        <w:t xml:space="preserve"> prime-boost approaches have also shown considerable potential in cancer immunotherapy. For instance, vaccination with the six-transmembrane epithelial antigen of the prostate (STEAP) using heterologous DNA and replicon particles derived from Venezuelan equine encephalitis virus enhanced immune responses, evidenced by elevated levels of IFN-γ, TNF-α, and IL-12, and significantly delayed tumour development in murine models. The strategy offers versatility in administration routes; although most studies have utilised conventional subcutaneous or intradermal injections, recent research has highlighted the safety and efficacy of intratumoral delivery. Notably, the rF-CEA-TRICOM vaccine was preclinically evaluated in carcinoembryonic antigen (CEA)-positive tumours using a subcutaneous prime with rV-CEA-TRICOM followed by an </w:t>
      </w:r>
      <w:r w:rsidRPr="00102E0A">
        <w:rPr>
          <w:rFonts w:ascii="Times New Roman" w:hAnsi="Times New Roman"/>
          <w:sz w:val="24"/>
          <w:szCs w:val="24"/>
        </w:rPr>
        <w:lastRenderedPageBreak/>
        <w:t>intratumoral booster with rF-CEA-TRICOM. These encouraging preclinical results facilitated translation into clinical trials for prostate cancer, where the heterologous prime-boost regimen demonstrated both safety and feasibility [124]. Collectively, these findings underscore the potential of heterologous prime-boost strategies to optimise antigen-specific immunity, offering a promising avenue for the development of more effective cancer vaccines.</w:t>
      </w:r>
    </w:p>
    <w:p w14:paraId="35B83211" w14:textId="7FC57342" w:rsidR="00147138" w:rsidRPr="00147138" w:rsidRDefault="00147138" w:rsidP="00147138">
      <w:pPr>
        <w:spacing w:before="100" w:beforeAutospacing="1" w:after="100" w:afterAutospacing="1"/>
        <w:jc w:val="both"/>
        <w:rPr>
          <w:rFonts w:ascii="Times New Roman" w:hAnsi="Times New Roman"/>
          <w:sz w:val="24"/>
          <w:szCs w:val="24"/>
        </w:rPr>
      </w:pPr>
      <w:r w:rsidRPr="00147138">
        <w:rPr>
          <w:rFonts w:ascii="Times New Roman" w:hAnsi="Times New Roman"/>
          <w:sz w:val="24"/>
          <w:szCs w:val="24"/>
        </w:rPr>
        <w:t>Modified vaccinia Ankara (MVA)-based vaccines are also being developed and evaluated for various oncological indications, demonstrating promising results. Recombinant MVA vaccines, administered alone or alongside chemotherapy, have elicited robust immune responses in clinical settings. For example, Transgene has developed an MVA expressing MUC-1 and IL-2 for the treatment of lung and prostate cancers. In a phase II trial involving patients with advanced-stage lung cancer (stages III and IV), combining this vaccine with cisplatin or vinorelbine achieved disease control in 71% of participants, most of whom had stage IV MUC-1-positive tumours, a marker associated with poor prognosis. Additionally, Transgene has created another recombinant MVA vaccine targeting cervical cancer by expressing the E6 and E7 antigens of human papillomavirus type 16 alongside IL-2. In three phase I studies, this vaccine demonstrated an acceptable safety profile, supporting progression to more advanced trials aimed at eliciting cellular responses to eliminate both malignant and precancerous lesions.</w:t>
      </w:r>
      <w:r>
        <w:rPr>
          <w:rFonts w:ascii="Times New Roman" w:hAnsi="Times New Roman"/>
          <w:sz w:val="24"/>
          <w:szCs w:val="24"/>
        </w:rPr>
        <w:t xml:space="preserve"> </w:t>
      </w:r>
      <w:r w:rsidRPr="00147138">
        <w:rPr>
          <w:rFonts w:ascii="Times New Roman" w:hAnsi="Times New Roman"/>
          <w:sz w:val="24"/>
          <w:szCs w:val="24"/>
        </w:rPr>
        <w:t>Oxford Biomedica has developed TroVax, an MVA-based vaccine encoding the oncofetal antigen 5T4, expressed in most epithelial malignancies, including colorectal, renal, breast, and ovarian cancers. Early studies reported stable disease control along with consistent induction of antibody and T-cell responses, highlighting its clinical potential. TroVax has also been evaluated in combination with the FOLFOX chemotherapy regimen in a phase II trial, in which all 23 participants developed cellular and/or humoral responses against the 5T4 antigen [125</w:t>
      </w:r>
      <w:r>
        <w:rPr>
          <w:rFonts w:ascii="Times New Roman" w:hAnsi="Times New Roman"/>
          <w:sz w:val="24"/>
          <w:szCs w:val="24"/>
        </w:rPr>
        <w:t>,156</w:t>
      </w:r>
      <w:r w:rsidRPr="00147138">
        <w:rPr>
          <w:rFonts w:ascii="Times New Roman" w:hAnsi="Times New Roman"/>
          <w:sz w:val="24"/>
          <w:szCs w:val="24"/>
        </w:rPr>
        <w:t>].</w:t>
      </w:r>
    </w:p>
    <w:p w14:paraId="558EA3D5" w14:textId="77777777" w:rsidR="00C449F4" w:rsidRDefault="00446F3D" w:rsidP="00991A84">
      <w:pPr>
        <w:pStyle w:val="Body"/>
        <w:rPr>
          <w:rFonts w:ascii="Arial" w:hAnsi="Arial" w:cs="Arial"/>
        </w:rPr>
      </w:pPr>
      <w:r>
        <w:rPr>
          <w:rFonts w:ascii="Arial" w:hAnsi="Arial" w:cs="Arial"/>
          <w:b/>
          <w:bCs/>
        </w:rPr>
        <w:t>3.4. Nucleic Acid Vaccines:</w:t>
      </w:r>
      <w:r>
        <w:rPr>
          <w:rFonts w:ascii="Arial" w:hAnsi="Arial" w:cs="Arial"/>
        </w:rPr>
        <w:t xml:space="preserve"> </w:t>
      </w:r>
    </w:p>
    <w:p w14:paraId="6050EEB1" w14:textId="77777777" w:rsidR="00102E0A" w:rsidRPr="00102E0A" w:rsidRDefault="00102E0A" w:rsidP="00102E0A">
      <w:pPr>
        <w:spacing w:before="100" w:beforeAutospacing="1" w:after="100" w:afterAutospacing="1"/>
        <w:jc w:val="both"/>
        <w:rPr>
          <w:rFonts w:ascii="Times New Roman" w:hAnsi="Times New Roman"/>
          <w:sz w:val="24"/>
          <w:szCs w:val="24"/>
        </w:rPr>
      </w:pPr>
      <w:r w:rsidRPr="00102E0A">
        <w:rPr>
          <w:rFonts w:ascii="Times New Roman" w:hAnsi="Times New Roman"/>
          <w:sz w:val="24"/>
          <w:szCs w:val="24"/>
        </w:rPr>
        <w:t xml:space="preserve">Nucleic acid vaccines, encompassing both DNA- and RNA-based platforms, represent a transformative strategy in cancer immunotherapy, offering the capacity to elicit precise and durable immune responses. By delivering genetic material directly into host cells, these vaccines facilitate the endogenous production of tumour-associated antigens (TAAs), which in turn stimulate both cellular and humoral immune responses capable of recognising and eradicating malignant cells. These platforms are generally regarded as stable, safe, and highly efficacious. DNA-based vaccination was first developed in the 1990s, exemplified by a plasmid encoding the nucleoprotein of influenza A virus, marking a pivotal milestone in the field. DNA vaccines rely on successful entry into the cytoplasm of antigen-presenting cells (APCs), followed by nuclear translocation to enable transcription and subsequent antigen expression, a critical prerequisite for initiating adaptive immunity. In contrast, RNA-based vaccines bypass the requirement for nuclear entry, reducing the </w:t>
      </w:r>
      <w:r w:rsidRPr="00102E0A">
        <w:rPr>
          <w:rFonts w:ascii="Times New Roman" w:hAnsi="Times New Roman"/>
          <w:sz w:val="24"/>
          <w:szCs w:val="24"/>
        </w:rPr>
        <w:lastRenderedPageBreak/>
        <w:t>risk of genomic integration and associated oncogenic concerns, while still effectively inducing antigen expression in the cytoplasm. Advances in delivery technologies, including lipid nanoparticles and polymeric carriers, have further enhanced the stability, cellular uptake, and immunogenicity of nucleic acid vaccines, positioning them as a versatile and promising modality for personalised cancer immunotherapy.</w:t>
      </w:r>
    </w:p>
    <w:p w14:paraId="5D385BC4" w14:textId="4AD396D0" w:rsidR="000D1514" w:rsidRPr="000D1514" w:rsidRDefault="000D1514" w:rsidP="000D1514">
      <w:pPr>
        <w:spacing w:before="100" w:beforeAutospacing="1" w:after="100" w:afterAutospacing="1"/>
        <w:jc w:val="both"/>
        <w:rPr>
          <w:rFonts w:ascii="Times New Roman" w:hAnsi="Times New Roman"/>
          <w:sz w:val="24"/>
          <w:szCs w:val="24"/>
        </w:rPr>
      </w:pPr>
      <w:r w:rsidRPr="000D1514">
        <w:rPr>
          <w:rFonts w:ascii="Times New Roman" w:hAnsi="Times New Roman"/>
          <w:sz w:val="24"/>
          <w:szCs w:val="24"/>
        </w:rPr>
        <w:t>In contrast, RNA vaccines do not integrate into the host genome, eliminating the risk of insertional mutagenesis, and their cytoplasmic expression obviates the need for nuclear entry, further reducing the likelihood of adverse effects. While RNA vaccines are inherently more susceptible to degradation than DNA vaccines, their stability can be enhanced through the use of lipid nanoparticle formulations or stabilising adjuvants. The flexibility of nucleic acid platforms also allows for personalised approaches, tailoring vaccines to the specific antigenic profile of individual tumours [126].</w:t>
      </w:r>
      <w:r>
        <w:rPr>
          <w:rFonts w:ascii="Times New Roman" w:hAnsi="Times New Roman"/>
          <w:sz w:val="24"/>
          <w:szCs w:val="24"/>
        </w:rPr>
        <w:t xml:space="preserve"> </w:t>
      </w:r>
      <w:r w:rsidRPr="000D1514">
        <w:rPr>
          <w:rFonts w:ascii="Times New Roman" w:hAnsi="Times New Roman"/>
          <w:sz w:val="24"/>
          <w:szCs w:val="24"/>
        </w:rPr>
        <w:t>Recent advances in delivery systems, including lipid nanoparticles and biodegradable polymers, have further improved the efficacy and safety of nucleic acid vaccines, supporting the development of next-generation, patient-specific therapies. Both DNA- and RNA-based approaches hold substantial promise, although continued optimisation of delivery mechanisms and safety profiles is essential to fully realise their therapeutic potential [127</w:t>
      </w:r>
      <w:r>
        <w:rPr>
          <w:rFonts w:ascii="Times New Roman" w:hAnsi="Times New Roman"/>
          <w:sz w:val="24"/>
          <w:szCs w:val="24"/>
        </w:rPr>
        <w:t>,156</w:t>
      </w:r>
      <w:r w:rsidRPr="000D1514">
        <w:rPr>
          <w:rFonts w:ascii="Times New Roman" w:hAnsi="Times New Roman"/>
          <w:sz w:val="24"/>
          <w:szCs w:val="24"/>
        </w:rPr>
        <w:t>].</w:t>
      </w:r>
    </w:p>
    <w:p w14:paraId="1825F2A5" w14:textId="4A32BEDC" w:rsidR="000D1514" w:rsidRPr="000D1514" w:rsidRDefault="000D1514" w:rsidP="000D1514">
      <w:pPr>
        <w:spacing w:before="100" w:beforeAutospacing="1" w:after="100" w:afterAutospacing="1"/>
        <w:jc w:val="both"/>
        <w:rPr>
          <w:rFonts w:ascii="Times New Roman" w:hAnsi="Times New Roman"/>
          <w:sz w:val="24"/>
          <w:szCs w:val="24"/>
        </w:rPr>
      </w:pPr>
      <w:r w:rsidRPr="000D1514">
        <w:rPr>
          <w:rFonts w:ascii="Times New Roman" w:hAnsi="Times New Roman"/>
          <w:sz w:val="24"/>
          <w:szCs w:val="24"/>
        </w:rPr>
        <w:t>DNA vaccines have emerged as a promising strategy in cancer immunotherapy due to their capacity to elicit potent immune responses through the delivery of genetic material encoding tumour-associated antigens. These vaccines may be plasmid-based or, in some contexts, mRNA-based, each offering distinct advantages. Plasmid DNA vaccines are particularly appealing owing to their stability, ease of production, and ability to be engineered to encode specific antigens, thereby enabling targeted immune activation. They are capable of stimulating both cellular and humoral immune responses, making them effective in generating robust antitumour immunity</w:t>
      </w:r>
      <w:r>
        <w:rPr>
          <w:rFonts w:ascii="Times New Roman" w:hAnsi="Times New Roman"/>
          <w:sz w:val="24"/>
          <w:szCs w:val="24"/>
        </w:rPr>
        <w:t xml:space="preserve"> [156]</w:t>
      </w:r>
      <w:r w:rsidRPr="000D1514">
        <w:rPr>
          <w:rFonts w:ascii="Times New Roman" w:hAnsi="Times New Roman"/>
          <w:sz w:val="24"/>
          <w:szCs w:val="24"/>
        </w:rPr>
        <w:t>.</w:t>
      </w:r>
    </w:p>
    <w:p w14:paraId="02DA5B8B" w14:textId="6EBCF870" w:rsidR="000D1514" w:rsidRPr="000D1514" w:rsidRDefault="000D1514" w:rsidP="000D1514">
      <w:pPr>
        <w:spacing w:before="100" w:beforeAutospacing="1" w:after="100" w:afterAutospacing="1"/>
        <w:jc w:val="both"/>
        <w:rPr>
          <w:rFonts w:ascii="Times New Roman" w:hAnsi="Times New Roman"/>
          <w:sz w:val="24"/>
          <w:szCs w:val="24"/>
        </w:rPr>
      </w:pPr>
      <w:r w:rsidRPr="000D1514">
        <w:rPr>
          <w:rFonts w:ascii="Times New Roman" w:hAnsi="Times New Roman"/>
          <w:sz w:val="24"/>
          <w:szCs w:val="24"/>
        </w:rPr>
        <w:t>Recent studies have demonstrated that the efficacy of DNA vaccines can be substantially enhanced through co-administration with immunostimulatory adjuvants or via advanced delivery platforms, such as nanoparticles, which improve antigen presentation and potentiate immune activation. Furthermore, DNA vaccines designed to target tumour-specific neoantigens are gaining significant attention, offering the potential for highly personalised immunotherapy approaches tailored to the unique mutational landscape of individual patients’ tumours</w:t>
      </w:r>
      <w:r>
        <w:rPr>
          <w:rFonts w:ascii="Times New Roman" w:hAnsi="Times New Roman"/>
          <w:sz w:val="24"/>
          <w:szCs w:val="24"/>
        </w:rPr>
        <w:t xml:space="preserve"> [156]</w:t>
      </w:r>
      <w:r w:rsidRPr="000D1514">
        <w:rPr>
          <w:rFonts w:ascii="Times New Roman" w:hAnsi="Times New Roman"/>
          <w:sz w:val="24"/>
          <w:szCs w:val="24"/>
        </w:rPr>
        <w:t>.</w:t>
      </w:r>
    </w:p>
    <w:p w14:paraId="426E7F57" w14:textId="32BCCBD5" w:rsidR="00C449F4" w:rsidRDefault="00446F3D" w:rsidP="00991A84">
      <w:pPr>
        <w:pStyle w:val="Body"/>
        <w:rPr>
          <w:rFonts w:ascii="Arial" w:hAnsi="Arial" w:cs="Arial"/>
          <w:lang w:val="en-IN"/>
        </w:rPr>
      </w:pPr>
      <w:r>
        <w:rPr>
          <w:rFonts w:ascii="Arial" w:hAnsi="Arial" w:cs="Arial"/>
          <w:lang w:val="en-IN"/>
        </w:rPr>
        <w:t xml:space="preserve">DNA cancer vaccines can be customized according to an individual’s tumor profile, improving specificity and minimizing off-target effects. Efforts to enhance their therapeutic efficacy focus on improving antigen delivery, immune activation, and overcoming tumor-induced immunosuppression. One important method is the prime–boost strategy, in which an initial DNA vaccination is followed by viral or bacterial vector–based boosters encoding the same antigen. This approach enhances antigen-specific T-cell production and activates innate immune pathways through Toll-like receptor stimulation, showing promising outcomes in hepatocellular carcinoma and other clinical studies involving HER-2 and carcinoembryonic </w:t>
      </w:r>
      <w:r>
        <w:rPr>
          <w:rFonts w:ascii="Arial" w:hAnsi="Arial" w:cs="Arial"/>
          <w:lang w:val="en-IN"/>
        </w:rPr>
        <w:lastRenderedPageBreak/>
        <w:t>antigen–based vaccines. Combining DNA vaccines with immunomodulatory cytokines is another effective strategy. Plasmids encoding cytokines such as IL-2 and GM-CSF enhance dendritic cell maturation and T-cell activation while avoiding systemic toxicity. IL-2 supports T-cell proliferation and activation, whereas GM-CSF promotes antigen presentation through granulocyte and macrophage stimulation. Chimeric DNA vaccines that integrate xenogeneic and self-antigens also show potential by generating strong immune responses without inducing tolerance. Hybrid plasmids encoding both xenogeneic and autologous antigens, such as neu-HER2–targeting constructs for ErbB2-positive tumors, are being developed to further enhance specificity and immunogenicity. More recently, DNA nanovaccines have emerged as a promising advancement by integrating DNA vaccination with nanotechnology-based delivery systems. Encapsulation of tumor antigens within nanoparticles improves stability, targeted delivery, and immune cell activation while reducing adverse effects. Nanocarriers such as liposomes, dendrimers, and polymeric nanoparticles enhance tumor penetration and allow co-delivery of immune modulators or adjuvants, thereby strengthening immune recognition of cancer cells. These developments are advancing personalized cancer immunotherapy and addressing earlier limitations in DNA vaccine delivery and effectiveness [128].</w:t>
      </w:r>
    </w:p>
    <w:p w14:paraId="45D2A833" w14:textId="77777777" w:rsidR="00C449F4" w:rsidRDefault="00446F3D" w:rsidP="00991A84">
      <w:pPr>
        <w:pStyle w:val="Body"/>
        <w:numPr>
          <w:ilvl w:val="1"/>
          <w:numId w:val="2"/>
        </w:numPr>
        <w:rPr>
          <w:rFonts w:ascii="Arial" w:hAnsi="Arial" w:cs="Arial"/>
          <w:b/>
          <w:bCs/>
        </w:rPr>
      </w:pPr>
      <w:r>
        <w:rPr>
          <w:rFonts w:ascii="Arial" w:hAnsi="Arial" w:cs="Arial"/>
          <w:b/>
          <w:bCs/>
        </w:rPr>
        <w:t xml:space="preserve">Messenger RNA (mRNA) Vaccines: </w:t>
      </w:r>
    </w:p>
    <w:p w14:paraId="147F3943" w14:textId="77777777" w:rsidR="00102E0A" w:rsidRPr="00102E0A" w:rsidRDefault="00102E0A" w:rsidP="00102E0A">
      <w:pPr>
        <w:spacing w:before="100" w:beforeAutospacing="1" w:after="100" w:afterAutospacing="1"/>
        <w:jc w:val="both"/>
        <w:rPr>
          <w:rFonts w:ascii="Times New Roman" w:hAnsi="Times New Roman"/>
          <w:sz w:val="24"/>
          <w:szCs w:val="24"/>
        </w:rPr>
      </w:pPr>
      <w:r w:rsidRPr="00102E0A">
        <w:rPr>
          <w:rFonts w:ascii="Times New Roman" w:hAnsi="Times New Roman"/>
          <w:sz w:val="24"/>
          <w:szCs w:val="24"/>
        </w:rPr>
        <w:t>mRNA vaccines have emerged as a highly promising strategy in cancer immunotherapy owing to their ability to elicit robust humoral and cellular immune responses. These vaccines deliver synthetic mRNA encoding tumour-associated antigens, which are translated by host cells and subsequently presented via major histocompatibility complex (MHC) molecules, thereby activating CD8</w:t>
      </w:r>
      <w:r w:rsidRPr="00102E0A">
        <w:rPr>
          <w:rFonts w:ascii="Cambria Math" w:hAnsi="Cambria Math" w:cs="Cambria Math"/>
          <w:sz w:val="24"/>
          <w:szCs w:val="24"/>
        </w:rPr>
        <w:t>⁺</w:t>
      </w:r>
      <w:r w:rsidRPr="00102E0A">
        <w:rPr>
          <w:rFonts w:ascii="Times New Roman" w:hAnsi="Times New Roman"/>
          <w:sz w:val="24"/>
          <w:szCs w:val="24"/>
        </w:rPr>
        <w:t xml:space="preserve"> cytotoxic T-cells and CD4</w:t>
      </w:r>
      <w:r w:rsidRPr="00102E0A">
        <w:rPr>
          <w:rFonts w:ascii="Cambria Math" w:hAnsi="Cambria Math" w:cs="Cambria Math"/>
          <w:sz w:val="24"/>
          <w:szCs w:val="24"/>
        </w:rPr>
        <w:t>⁺</w:t>
      </w:r>
      <w:r w:rsidRPr="00102E0A">
        <w:rPr>
          <w:rFonts w:ascii="Times New Roman" w:hAnsi="Times New Roman"/>
          <w:sz w:val="24"/>
          <w:szCs w:val="24"/>
        </w:rPr>
        <w:t xml:space="preserve"> helper T-cells that are critical for effective antitumour immunity. A major advantage of mRNA vaccines lies in their rapid and cost-effective production, as they can be synthesised in vitro without reliance on cell-based systems, and they do not integrate into the host genome, mitigating potential safety concerns. Moreover, personalised mRNA vaccines designed to target tumour-specific neoantigens offer enhanced specificity and therapeutic efficacy, tailoring immune responses to the unique mutational landscape of individual cancers. These vaccines can also be administered in combination with other treatment modalities, such as immune checkpoint inhibitors, to overcome tumour-mediated immunosuppressive mechanisms. Maximising the clinical potential of mRNA vaccines necessitates the optimisation of formulation and delivery strategies, including the use of lipid nanoparticles or other carrier systems, to improve stability, cellular uptake, and antigen expression, ultimately strengthening immunogenicity and therapeutic outcomes.</w:t>
      </w:r>
    </w:p>
    <w:p w14:paraId="4291BAD0" w14:textId="19481CB9" w:rsidR="00C449F4" w:rsidRPr="00C05627" w:rsidRDefault="00446F3D" w:rsidP="00991A84">
      <w:pPr>
        <w:pStyle w:val="Body"/>
        <w:rPr>
          <w:rFonts w:ascii="Arial" w:hAnsi="Arial" w:cs="Arial"/>
          <w:lang w:val="en-IN"/>
        </w:rPr>
      </w:pPr>
      <w:r>
        <w:rPr>
          <w:rFonts w:ascii="Arial" w:hAnsi="Arial" w:cs="Arial"/>
          <w:lang w:val="en-IN"/>
        </w:rPr>
        <w:t xml:space="preserve">Structural modifications, including the addition of a 5′ cap and poly(A) tail, increase mRNA stability and translation efficiency. Delivery systems such as lipid nanoparticles (LNPs) protect mRNA from degradation, enhance cellular uptake, and promote cytoplasmic release for effective antigen expression. Although LNPs are widely used, concerns regarding inflammatory responses have encouraged exploration of alternative carriers, including polymeric micelles and hybrid biomimetic systems. These next-generation platforms improve stability, targeting, and immune activation while minimizing adverse effects. Functionalized nanoparticles and advanced delivery systems continue to enhance antigen presentation and </w:t>
      </w:r>
      <w:r>
        <w:rPr>
          <w:rFonts w:ascii="Arial" w:hAnsi="Arial" w:cs="Arial"/>
          <w:lang w:val="en-IN"/>
        </w:rPr>
        <w:lastRenderedPageBreak/>
        <w:t>T-cell responses, supporting the development of more effective and personalized mRNA-based cancer vaccines [129].</w:t>
      </w:r>
    </w:p>
    <w:p w14:paraId="34AF216F" w14:textId="77777777" w:rsidR="00C449F4" w:rsidRDefault="00446F3D" w:rsidP="00991A84">
      <w:pPr>
        <w:pStyle w:val="Body"/>
        <w:numPr>
          <w:ilvl w:val="0"/>
          <w:numId w:val="2"/>
        </w:numPr>
        <w:rPr>
          <w:rFonts w:ascii="Arial" w:hAnsi="Arial" w:cs="Arial"/>
          <w:b/>
          <w:bCs/>
        </w:rPr>
      </w:pPr>
      <w:r>
        <w:rPr>
          <w:rFonts w:ascii="Arial" w:hAnsi="Arial" w:cs="Arial"/>
          <w:b/>
          <w:bCs/>
        </w:rPr>
        <w:t>Photothermal therapy (PTT) and Photodynamic therapy (PDT)</w:t>
      </w:r>
    </w:p>
    <w:p w14:paraId="468B12A9" w14:textId="77777777" w:rsidR="00C449F4" w:rsidRDefault="00446F3D" w:rsidP="00991A84">
      <w:pPr>
        <w:pStyle w:val="Body"/>
        <w:rPr>
          <w:rFonts w:ascii="Arial" w:hAnsi="Arial" w:cs="Arial"/>
          <w:lang w:val="en-IN"/>
        </w:rPr>
      </w:pPr>
      <w:r>
        <w:rPr>
          <w:rFonts w:ascii="Arial" w:hAnsi="Arial" w:cs="Arial"/>
          <w:lang w:val="en-IN"/>
        </w:rPr>
        <w:t>Photothermal therapy (PTT) is an emerging cancer treatment that uses nanoparticles to convert light, particularly near-infrared (NIR) radiation, into heat to selectively destroy cancer cells while sparing healthy tissues. This targeted approach reduces the adverse effects commonly associated with conventional treatments such as chemotherapy and radiotherapy. Nanoparticles like gold nanoparticles and carbon nanotubes efficiently absorb NIR light and generate localized heat, which raises the tumor temperature to levels that induce cancer cell death through protein denaturation and membrane disruption. Gold nanoparticles are widely used due to their strong surface plasmon resonance and can be functionalized with antibodies or peptides to improve tumor targeting. Carbon nanotubes also demonstrate high photothermal efficiency and can simultaneously serve as drug carriers, enabling combined photothermal and chemotherapeutic treatment. PTT offers advantages such as minimal invasiveness, precise tumor targeting, and the ability to be repeated with limited side effects, making it particularly useful for tumors in sensitive regions. Photodynamic therapy (PDT) is another light-based treatment that employs photosensitizers activated by specific wavelengths to generate reactive oxygen species, leading to selective tumor destruction. Nanocarriers enhance PDT effectiveness by improving photosensitizer stability, solubility, and tumor targeting. Liposomal carriers protect hydrophobic photosensitizers and facilitate tumor accumulation through the enhanced permeability and retention effect. Polymeric nanoparticles, such as those made from PLGA, enable controlled drug release and improved circulation time, while also responding to tumor-specific conditions like pH and enzyme activity. Metal-based nanoparticles, including gold nanoparticles and quantum dots, further enhance PDT by improving light absorption and reactive oxygen species generation. These platforms also support theranostic applications, combining imaging and therapy for more precise and personalized cancer treatment.</w:t>
      </w:r>
    </w:p>
    <w:p w14:paraId="6F91117F" w14:textId="631EE834" w:rsidR="006F0D3F" w:rsidRPr="006F0D3F" w:rsidRDefault="006F0D3F" w:rsidP="006F0D3F">
      <w:pPr>
        <w:spacing w:before="100" w:beforeAutospacing="1" w:after="100" w:afterAutospacing="1"/>
        <w:jc w:val="both"/>
        <w:rPr>
          <w:rFonts w:ascii="Times New Roman" w:hAnsi="Times New Roman"/>
          <w:sz w:val="24"/>
          <w:szCs w:val="24"/>
        </w:rPr>
      </w:pPr>
      <w:r w:rsidRPr="006F0D3F">
        <w:rPr>
          <w:rFonts w:ascii="Times New Roman" w:hAnsi="Times New Roman"/>
          <w:sz w:val="24"/>
          <w:szCs w:val="24"/>
        </w:rPr>
        <w:t>Carbon-based nanomaterials, including graphene oxide (GO) and carbon nanotubes (CNTs), have further expanded the applications of photodynamic therapy (PDT) in cancer treatment. Their high surface area allows the conjugation of multiple photosensitisers or targeting ligands, thereby enhancing tumour specificity [130]. In addition, carbon nanotubes exhibit unique photothermal properties, enabling the integration of PDT with photothermal therapy (PTT) in a single treatment modality. This combination can improve therapeutic outcomes, particularly in hypoxic tumours where oxygen-dependent reactive oxygen species (ROS) generation may be limited.</w:t>
      </w:r>
      <w:r>
        <w:rPr>
          <w:rFonts w:ascii="Times New Roman" w:hAnsi="Times New Roman"/>
          <w:sz w:val="24"/>
          <w:szCs w:val="24"/>
        </w:rPr>
        <w:t xml:space="preserve"> </w:t>
      </w:r>
      <w:r w:rsidRPr="006F0D3F">
        <w:rPr>
          <w:rFonts w:ascii="Times New Roman" w:hAnsi="Times New Roman"/>
          <w:sz w:val="24"/>
          <w:szCs w:val="24"/>
        </w:rPr>
        <w:t>To address tumour hypoxia, oxygen-carrying nanomaterials such as perfluorocarbon nanoparticles can be incorporated into PDT systems. These carriers deliver molecular oxygen directly to the tumour site, enhancing ROS production and overcoming a critical limitation of conventional PDT. Similarly, mesoporous silica nanoparticles (MSNs) have gained interest due to their ability to co-deliver photosensitisers and chemotherapeutic agents, facilitating combination therapies that attack tumours through multiple mechanisms.</w:t>
      </w:r>
      <w:r>
        <w:rPr>
          <w:rFonts w:ascii="Times New Roman" w:hAnsi="Times New Roman"/>
          <w:sz w:val="24"/>
          <w:szCs w:val="24"/>
        </w:rPr>
        <w:t xml:space="preserve"> </w:t>
      </w:r>
      <w:r w:rsidRPr="006F0D3F">
        <w:rPr>
          <w:rFonts w:ascii="Times New Roman" w:hAnsi="Times New Roman"/>
          <w:sz w:val="24"/>
          <w:szCs w:val="24"/>
        </w:rPr>
        <w:t xml:space="preserve">Importantly, both PTT and PDT, as localised treatment strategies, have attracted considerable attention in cancer immunotherapy. These approaches induce tumour cell death through thermal effects or ROS generation, leading to immunogenic cell death (ICD). ICD stimulates antitumour immunity via the release of damage-associated molecular patterns </w:t>
      </w:r>
      <w:r w:rsidRPr="006F0D3F">
        <w:rPr>
          <w:rFonts w:ascii="Times New Roman" w:hAnsi="Times New Roman"/>
          <w:sz w:val="24"/>
          <w:szCs w:val="24"/>
        </w:rPr>
        <w:lastRenderedPageBreak/>
        <w:t xml:space="preserve">(DAMPs), including surface-exposed calreticulin, extracellular ATP, and high-mobility group box 1 protein (HMGB1). These signals promote dendritic cell recruitment, antigen uptake, and cross-presentation, thereby enhancing T-cell activation and tumour-specific immune responses (Chen </w:t>
      </w:r>
      <w:r w:rsidRPr="006F0D3F">
        <w:rPr>
          <w:rFonts w:ascii="Times New Roman" w:hAnsi="Times New Roman"/>
          <w:i/>
          <w:iCs/>
          <w:sz w:val="24"/>
          <w:szCs w:val="24"/>
        </w:rPr>
        <w:t>et al.</w:t>
      </w:r>
      <w:r w:rsidRPr="006F0D3F">
        <w:rPr>
          <w:rFonts w:ascii="Times New Roman" w:hAnsi="Times New Roman"/>
          <w:sz w:val="24"/>
          <w:szCs w:val="24"/>
        </w:rPr>
        <w:t>, 2025).</w:t>
      </w:r>
      <w:r>
        <w:rPr>
          <w:rFonts w:ascii="Times New Roman" w:hAnsi="Times New Roman"/>
          <w:sz w:val="24"/>
          <w:szCs w:val="24"/>
        </w:rPr>
        <w:t xml:space="preserve"> </w:t>
      </w:r>
      <w:r w:rsidRPr="006F0D3F">
        <w:rPr>
          <w:rFonts w:ascii="Times New Roman" w:hAnsi="Times New Roman"/>
          <w:sz w:val="24"/>
          <w:szCs w:val="24"/>
        </w:rPr>
        <w:t>Furthermore, combining PDT- and PTT-induced ICD with immunotherapeutic strategies, such as immune checkpoint inhibitors and tumour vaccines, can produce synergistic effects and further improve treatment efficacy. Consequently, leveraging ICD mechanisms induced by PTT and PDT represents a promising new avenue for the development of advanced tumour immunotherapies [131</w:t>
      </w:r>
      <w:r>
        <w:rPr>
          <w:rFonts w:ascii="Times New Roman" w:hAnsi="Times New Roman"/>
          <w:sz w:val="24"/>
          <w:szCs w:val="24"/>
        </w:rPr>
        <w:t>,156</w:t>
      </w:r>
      <w:r w:rsidRPr="006F0D3F">
        <w:rPr>
          <w:rFonts w:ascii="Times New Roman" w:hAnsi="Times New Roman"/>
          <w:sz w:val="24"/>
          <w:szCs w:val="24"/>
        </w:rPr>
        <w:t>].</w:t>
      </w:r>
    </w:p>
    <w:p w14:paraId="19D3372E" w14:textId="77777777" w:rsidR="00C449F4" w:rsidRPr="009D14E2" w:rsidRDefault="00446F3D" w:rsidP="00991A84">
      <w:pPr>
        <w:pStyle w:val="Body"/>
        <w:numPr>
          <w:ilvl w:val="0"/>
          <w:numId w:val="2"/>
        </w:numPr>
        <w:rPr>
          <w:rFonts w:ascii="Arial" w:hAnsi="Arial" w:cs="Arial"/>
          <w:highlight w:val="cyan"/>
        </w:rPr>
      </w:pPr>
      <w:r w:rsidRPr="009D14E2">
        <w:rPr>
          <w:rFonts w:ascii="Arial" w:hAnsi="Arial" w:cs="Arial"/>
          <w:b/>
          <w:bCs/>
          <w:highlight w:val="cyan"/>
        </w:rPr>
        <w:t>Regulatory Hurdles:</w:t>
      </w:r>
      <w:r w:rsidRPr="009D14E2">
        <w:rPr>
          <w:rFonts w:ascii="Arial" w:hAnsi="Arial" w:cs="Arial"/>
          <w:highlight w:val="cyan"/>
        </w:rPr>
        <w:t xml:space="preserve"> </w:t>
      </w:r>
    </w:p>
    <w:p w14:paraId="0C4A4C8E" w14:textId="77777777" w:rsidR="00102E0A" w:rsidRPr="00102E0A" w:rsidRDefault="00102E0A" w:rsidP="00102E0A">
      <w:pPr>
        <w:spacing w:before="100" w:beforeAutospacing="1" w:after="100" w:afterAutospacing="1"/>
        <w:jc w:val="both"/>
        <w:rPr>
          <w:rFonts w:ascii="Times New Roman" w:hAnsi="Times New Roman"/>
          <w:sz w:val="24"/>
          <w:szCs w:val="24"/>
        </w:rPr>
      </w:pPr>
      <w:r w:rsidRPr="00102E0A">
        <w:rPr>
          <w:rFonts w:ascii="Times New Roman" w:hAnsi="Times New Roman"/>
          <w:sz w:val="24"/>
          <w:szCs w:val="24"/>
        </w:rPr>
        <w:t>The regulatory approval of nanomedicines presents considerable challenges, primarily due to the inherent complexity and multifunctionality of nanoparticle systems. Unlike conventional small-molecule drugs, which are generally well-characterised and possess a defined mechanism of action, nanoparticles exhibit diverse and often intricate behaviours influenced by factors such as size, shape, surface charge, and compos</w:t>
      </w:r>
      <w:bookmarkStart w:id="0" w:name="_GoBack"/>
      <w:bookmarkEnd w:id="0"/>
      <w:r w:rsidRPr="00102E0A">
        <w:rPr>
          <w:rFonts w:ascii="Times New Roman" w:hAnsi="Times New Roman"/>
          <w:sz w:val="24"/>
          <w:szCs w:val="24"/>
        </w:rPr>
        <w:t>ition. This complexity complicates the establishment of standardised criteria for evaluating the safety, efficacy, and quality of nanomedicines, thereby posing substantial regulatory hurdles.</w:t>
      </w:r>
    </w:p>
    <w:p w14:paraId="1967ADB1" w14:textId="77777777" w:rsidR="00102E0A" w:rsidRPr="00102E0A" w:rsidRDefault="00102E0A" w:rsidP="00102E0A">
      <w:pPr>
        <w:spacing w:before="100" w:beforeAutospacing="1" w:after="100" w:afterAutospacing="1"/>
        <w:jc w:val="both"/>
        <w:rPr>
          <w:rFonts w:ascii="Times New Roman" w:hAnsi="Times New Roman"/>
          <w:sz w:val="24"/>
          <w:szCs w:val="24"/>
        </w:rPr>
      </w:pPr>
      <w:r w:rsidRPr="00102E0A">
        <w:rPr>
          <w:rFonts w:ascii="Times New Roman" w:hAnsi="Times New Roman"/>
          <w:sz w:val="24"/>
          <w:szCs w:val="24"/>
        </w:rPr>
        <w:t>Regulatory bodies, including the U.S. Food and Drug Administration (FDA) and the European Medicines Agency (EMA), require comprehensive data on pharmacokinetics, biodistribution, and toxicity prior to granting clinical approval. For nanoparticles, these evaluations are particularly stringent due to their potential for unpredictable interactions with biological systems. Moreover, the long-term safety of nanomaterials necessitates careful assessment, as many formulations may persist in the body over extended periods. Consequently, long-term preclinical and clinical investigations are often required to elucidate the risks associated with chronic exposure, which can prolong the approval process and substantially increase development costs.</w:t>
      </w:r>
    </w:p>
    <w:p w14:paraId="397F2B6E" w14:textId="77777777" w:rsidR="00102E0A" w:rsidRPr="00102E0A" w:rsidRDefault="00102E0A" w:rsidP="00102E0A">
      <w:pPr>
        <w:spacing w:before="100" w:beforeAutospacing="1" w:after="100" w:afterAutospacing="1"/>
        <w:jc w:val="both"/>
        <w:rPr>
          <w:rFonts w:ascii="Times New Roman" w:hAnsi="Times New Roman"/>
          <w:sz w:val="24"/>
          <w:szCs w:val="24"/>
        </w:rPr>
      </w:pPr>
      <w:r w:rsidRPr="00102E0A">
        <w:rPr>
          <w:rFonts w:ascii="Times New Roman" w:hAnsi="Times New Roman"/>
          <w:sz w:val="24"/>
          <w:szCs w:val="24"/>
        </w:rPr>
        <w:t>Another major regulatory challenge lies in the lack of standardised testing methodologies for nanomedicines. Existing guidelines for evaluating drug safety and efficacy frequently fail to capture the unique physicochemical and biological properties of nanoparticles. Conventional assays for drug release, toxicity, and pharmacokinetics may not accurately reflect nanoparticle behaviour in complex biological environments. Therefore, the development of innovative testing protocols and regulatory frameworks specifically tailored to nanomedicines is imperative. Achieving this goal requires sustained collaboration among regulatory authorities, academic researchers, and industry stakeholders to ensure the establishment of rigorous standards that safeguard patient safety while facilitating the clinical translation of nanoparticle-based therapies.</w:t>
      </w:r>
    </w:p>
    <w:p w14:paraId="6F1CC162" w14:textId="77777777" w:rsidR="00F60A8E" w:rsidRPr="00F60A8E" w:rsidRDefault="00F60A8E" w:rsidP="00F60A8E">
      <w:pPr>
        <w:spacing w:before="100" w:beforeAutospacing="1" w:after="100" w:afterAutospacing="1"/>
        <w:jc w:val="both"/>
        <w:rPr>
          <w:rFonts w:ascii="Times New Roman" w:hAnsi="Times New Roman"/>
          <w:sz w:val="24"/>
          <w:szCs w:val="24"/>
        </w:rPr>
      </w:pPr>
      <w:r w:rsidRPr="00F60A8E">
        <w:rPr>
          <w:rFonts w:ascii="Times New Roman" w:hAnsi="Times New Roman"/>
          <w:sz w:val="24"/>
          <w:szCs w:val="24"/>
        </w:rPr>
        <w:lastRenderedPageBreak/>
        <w:t>Financial and temporal constraints further hinder the clinical translation of nanomedicines. The development of nanoparticle-based therapies often entails substantial investment in research, manufacturing, and preclinical testing, which can be prohibitively expensive for small biotech companies or academic institutions. Moreover, the extended timelines associated with regulatory review—particularly for first-in-class nanomedicines—can delay market entry and limit patient access. Collectively, these challenges underscore the need for coordinated efforts to streamline regulatory pathways, reduce costs, and accelerate the translation of innovative nanomedicine therapies from the laboratory to clinical practice.</w:t>
      </w:r>
    </w:p>
    <w:p w14:paraId="08B4F717" w14:textId="77777777" w:rsidR="000E6930" w:rsidRDefault="000E6930" w:rsidP="00991A84">
      <w:pPr>
        <w:pStyle w:val="Body"/>
      </w:pPr>
      <w:r w:rsidRPr="000E6930">
        <w:rPr>
          <w:rStyle w:val="Strong"/>
          <w:highlight w:val="yellow"/>
        </w:rPr>
        <w:t>Limitations and Future Research</w:t>
      </w:r>
      <w:r w:rsidRPr="000E6930">
        <w:rPr>
          <w:highlight w:val="yellow"/>
        </w:rPr>
        <w:br/>
        <w:t>This article is a narrative review and does not follow a formal systematic-review or meta-analysis framework; therefore, literature selection may be influenced by thematic relevance and publication availability rather than exhaustive retrieval criteria. In addition, the review integrates evidence spanning clinically approved nanomedicines, early clinical studies, and preclinical platforms, resulting in uneven levels of translational maturity across sections. Some discussion of cancer vaccines and immunotherapy is broader than nanotechnology alone, reflecting the interdisciplinary nature of the field. Future research should prioritize biomarker-guided patient stratification, improved predictive preclinical models, scalable and reproducible manufacturing, harmonized regulatory evaluation, long-term safety assessment, and rational combination strategies that integrate nanocarriers with immunotherapy, gene-editing approaches, and precision diagnostics to improve durable clinical benefit.</w:t>
      </w:r>
      <w:r>
        <w:t xml:space="preserve"> </w:t>
      </w:r>
    </w:p>
    <w:p w14:paraId="18C62F07" w14:textId="250D424B" w:rsidR="00C449F4" w:rsidRDefault="00446F3D" w:rsidP="00991A84">
      <w:pPr>
        <w:pStyle w:val="Body"/>
        <w:rPr>
          <w:rFonts w:ascii="Arial" w:hAnsi="Arial" w:cs="Arial"/>
          <w:b/>
          <w:bCs/>
        </w:rPr>
      </w:pPr>
      <w:r>
        <w:rPr>
          <w:rFonts w:ascii="Arial" w:hAnsi="Arial" w:cs="Arial"/>
          <w:b/>
          <w:bCs/>
        </w:rPr>
        <w:t xml:space="preserve">Conclusion: </w:t>
      </w:r>
    </w:p>
    <w:p w14:paraId="12C23531" w14:textId="3A469B06" w:rsidR="00C05627" w:rsidRPr="00C05627" w:rsidRDefault="00C05627" w:rsidP="00991A84">
      <w:pPr>
        <w:pStyle w:val="Body"/>
        <w:spacing w:after="0"/>
        <w:rPr>
          <w:rFonts w:ascii="Arial" w:hAnsi="Arial" w:cs="Arial"/>
          <w:lang w:val="en-IN"/>
        </w:rPr>
      </w:pPr>
      <w:r w:rsidRPr="00C05627">
        <w:rPr>
          <w:rFonts w:ascii="Arial" w:hAnsi="Arial" w:cs="Arial"/>
          <w:highlight w:val="yellow"/>
          <w:lang w:val="en-IN"/>
        </w:rPr>
        <w:t>In summary, this review highlights that nanotechnology has made measurable contributions to oncology, particularly through clinically approved nanomedicines that have improved pharmacokinetics, reduced systemic toxicity, and enhanced drug tolerability. Liposomal and albumin-based formulations have validated the concept that nanoscale delivery systems can translate into tangible patient benefit. At the same time, emerging platforms including nanovaccines, nucleic acid-based systems, and photothermal or photodynamic nanotherapies demonstrate substantial preclinical promise in enhancing tumor specificity and immune activation. However, clinical outcomes have often been more modest than anticipated, underscoring the complexity of tumor biology and the limitations of relying solely on enhanced permeability and retention effects or simplified targeting assumptions. Several unresolved challenges remain. These include biological heterogeneity among patients, incomplete understanding of nano–bio interactions, scalability and reproducibility in manufacturing, long-term safety concerns, and inconsistent success in late-phase clinical trials. Regulatory pathways for complex multifunctional nanosystems also remain insufficiently harmonized, creating additional barriers to translation. Furthermore, cost-effectiveness and accessibility must be addressed to ensure equitable implementation in clinical practice. Future progress will likely depend on integrating nanotechnology with robust biomarker-driven patient stratification, improved predictive preclinical models, and adaptive clinical trial designs. Rational combination strategies pairing nanocarriers with immunotherapies, gene-editing tools, or precision diagnostics may offer more durable therapeutic responses. Emphasis on standardized characterization methods, real-time in vivo tracking, and long-term pharmacovigilance will be critical for clinical acceptance. Ultimately, while nanotechnology has established a foundation for precision oncology, its full potential will be realized only through rigorous translational validation, interdisciplinary collaboration, and realistic alignment between technological innovation and clinical need.</w:t>
      </w:r>
    </w:p>
    <w:p w14:paraId="03A30092" w14:textId="77777777" w:rsidR="00C449F4" w:rsidRDefault="00C449F4" w:rsidP="00991A84">
      <w:pPr>
        <w:pStyle w:val="Body"/>
        <w:spacing w:after="0"/>
        <w:rPr>
          <w:rFonts w:ascii="Arial" w:hAnsi="Arial" w:cs="Arial"/>
        </w:rPr>
      </w:pPr>
    </w:p>
    <w:p w14:paraId="15140E31" w14:textId="77777777" w:rsidR="00C449F4" w:rsidRDefault="00446F3D" w:rsidP="00991A84">
      <w:pPr>
        <w:pStyle w:val="ReferHead"/>
        <w:spacing w:after="0"/>
        <w:jc w:val="both"/>
        <w:rPr>
          <w:rFonts w:ascii="Arial" w:hAnsi="Arial" w:cs="Arial"/>
        </w:rPr>
      </w:pPr>
      <w:r>
        <w:rPr>
          <w:rFonts w:ascii="Arial" w:hAnsi="Arial" w:cs="Arial"/>
          <w:bCs/>
          <w:lang w:val="en-GB"/>
        </w:rPr>
        <w:t>DISCLAIMER</w:t>
      </w:r>
    </w:p>
    <w:p w14:paraId="7A1C9711" w14:textId="77777777" w:rsidR="00C449F4" w:rsidRDefault="00446F3D" w:rsidP="00991A84">
      <w:pPr>
        <w:pStyle w:val="ReferHead"/>
        <w:jc w:val="both"/>
        <w:rPr>
          <w:rFonts w:ascii="Arial" w:hAnsi="Arial" w:cs="Arial"/>
          <w:b w:val="0"/>
          <w:caps w:val="0"/>
          <w:sz w:val="20"/>
        </w:rPr>
      </w:pPr>
      <w:r>
        <w:rPr>
          <w:rFonts w:ascii="Arial" w:hAnsi="Arial" w:cs="Arial"/>
          <w:b w:val="0"/>
          <w:caps w:val="0"/>
          <w:sz w:val="20"/>
        </w:rPr>
        <w:t>Author(s) hereby declare that generative AI technologies such as Large Language Models have been used during the writing or editing of the manuscript. This explanation includes the name, version, model, and source of the generative AI technology, as well as the general nature of the input prompts provided.</w:t>
      </w:r>
    </w:p>
    <w:p w14:paraId="7252A215" w14:textId="77777777" w:rsidR="00C449F4" w:rsidRDefault="00446F3D" w:rsidP="00991A84">
      <w:pPr>
        <w:pStyle w:val="ReferHead"/>
        <w:jc w:val="both"/>
        <w:rPr>
          <w:rFonts w:ascii="Arial" w:hAnsi="Arial" w:cs="Arial"/>
          <w:b w:val="0"/>
          <w:caps w:val="0"/>
          <w:sz w:val="20"/>
        </w:rPr>
      </w:pPr>
      <w:r>
        <w:rPr>
          <w:rFonts w:ascii="Arial" w:hAnsi="Arial" w:cs="Arial"/>
          <w:b w:val="0"/>
          <w:caps w:val="0"/>
          <w:sz w:val="20"/>
        </w:rPr>
        <w:t>Details of the AI usage are given below:</w:t>
      </w:r>
    </w:p>
    <w:p w14:paraId="61E83F7A" w14:textId="77777777" w:rsidR="00EB0EDA" w:rsidRDefault="00446F3D" w:rsidP="00991A84">
      <w:pPr>
        <w:pStyle w:val="ReferHead"/>
        <w:numPr>
          <w:ilvl w:val="0"/>
          <w:numId w:val="3"/>
        </w:numPr>
        <w:jc w:val="both"/>
        <w:rPr>
          <w:rFonts w:ascii="Arial" w:hAnsi="Arial" w:cs="Arial"/>
          <w:b w:val="0"/>
          <w:caps w:val="0"/>
          <w:sz w:val="20"/>
        </w:rPr>
      </w:pPr>
      <w:r w:rsidRPr="00EB0EDA">
        <w:rPr>
          <w:rFonts w:ascii="Arial" w:hAnsi="Arial" w:cs="Arial"/>
          <w:b w:val="0"/>
          <w:caps w:val="0"/>
          <w:sz w:val="20"/>
        </w:rPr>
        <w:t xml:space="preserve">ChatGPT (GPT-5.1), developed by OpenAI and accessed through the official ChatGPT platform, was used exclusively for improving English language proficiency during manuscript preparation. </w:t>
      </w:r>
    </w:p>
    <w:p w14:paraId="1A50FB26" w14:textId="36C5EB7F" w:rsidR="00C449F4" w:rsidRPr="00EB0EDA" w:rsidRDefault="00446F3D" w:rsidP="00991A84">
      <w:pPr>
        <w:pStyle w:val="ReferHead"/>
        <w:numPr>
          <w:ilvl w:val="0"/>
          <w:numId w:val="3"/>
        </w:numPr>
        <w:jc w:val="both"/>
        <w:rPr>
          <w:rFonts w:ascii="Arial" w:hAnsi="Arial" w:cs="Arial"/>
          <w:b w:val="0"/>
          <w:caps w:val="0"/>
          <w:sz w:val="20"/>
        </w:rPr>
      </w:pPr>
      <w:r w:rsidRPr="00EB0EDA">
        <w:rPr>
          <w:rFonts w:ascii="Arial" w:hAnsi="Arial" w:cs="Arial"/>
          <w:b w:val="0"/>
          <w:caps w:val="0"/>
          <w:sz w:val="20"/>
        </w:rPr>
        <w:t>No AI tools were used for data analysis, interpretation of results, creation of scientific content, or generating novel ideas. All scientific content, conclusions, and interpretations are solely the work of the authors.</w:t>
      </w:r>
    </w:p>
    <w:p w14:paraId="70FAE129" w14:textId="25D82215" w:rsidR="00C449F4" w:rsidRDefault="00446F3D" w:rsidP="00991A84">
      <w:pPr>
        <w:pStyle w:val="Body"/>
        <w:rPr>
          <w:rFonts w:ascii="Arial" w:hAnsi="Arial" w:cs="Arial"/>
          <w:lang w:val="en-GB"/>
        </w:rPr>
      </w:pPr>
      <w:r>
        <w:rPr>
          <w:rFonts w:ascii="Arial" w:hAnsi="Arial" w:cs="Arial"/>
          <w:b/>
          <w:bCs/>
          <w:lang w:val="en-GB"/>
        </w:rPr>
        <w:t>COMPETING INTERESTS:</w:t>
      </w:r>
    </w:p>
    <w:p w14:paraId="639CE504" w14:textId="77777777" w:rsidR="00C449F4" w:rsidRDefault="00446F3D" w:rsidP="00991A84">
      <w:pPr>
        <w:pStyle w:val="Body"/>
        <w:rPr>
          <w:rFonts w:ascii="Arial" w:hAnsi="Arial" w:cs="Arial"/>
          <w:lang w:val="en-GB"/>
        </w:rPr>
      </w:pPr>
      <w:r>
        <w:rPr>
          <w:rFonts w:ascii="Arial" w:hAnsi="Arial" w:cs="Arial"/>
          <w:lang w:val="en-GB"/>
        </w:rPr>
        <w:t>Authors have declared that they have no known competing financial interests OR non-financial interests OR personal relationships that could have appeared to influence the work reported in this paper.</w:t>
      </w:r>
    </w:p>
    <w:p w14:paraId="6651F397" w14:textId="77777777" w:rsidR="00C449F4" w:rsidRDefault="00C449F4" w:rsidP="00991A84">
      <w:pPr>
        <w:pStyle w:val="ReferHead"/>
        <w:jc w:val="both"/>
        <w:rPr>
          <w:rFonts w:ascii="Arial" w:hAnsi="Arial" w:cs="Arial"/>
          <w:b w:val="0"/>
          <w:caps w:val="0"/>
          <w:sz w:val="20"/>
        </w:rPr>
      </w:pPr>
    </w:p>
    <w:p w14:paraId="534F7ED8" w14:textId="77777777" w:rsidR="00C449F4" w:rsidRDefault="00C449F4" w:rsidP="00991A84">
      <w:pPr>
        <w:pStyle w:val="ReferHead"/>
        <w:spacing w:after="0"/>
        <w:jc w:val="both"/>
        <w:rPr>
          <w:rFonts w:ascii="Arial" w:hAnsi="Arial" w:cs="Arial"/>
        </w:rPr>
      </w:pPr>
    </w:p>
    <w:p w14:paraId="2BC20D98" w14:textId="77777777" w:rsidR="00C449F4" w:rsidRDefault="00446F3D" w:rsidP="00991A84">
      <w:pPr>
        <w:pStyle w:val="ReferHead"/>
        <w:spacing w:after="0"/>
        <w:jc w:val="both"/>
        <w:rPr>
          <w:rFonts w:ascii="Arial" w:hAnsi="Arial" w:cs="Arial"/>
        </w:rPr>
      </w:pPr>
      <w:r>
        <w:rPr>
          <w:rFonts w:ascii="Arial" w:hAnsi="Arial" w:cs="Arial"/>
        </w:rPr>
        <w:t>References</w:t>
      </w:r>
    </w:p>
    <w:p w14:paraId="4E9053FD" w14:textId="77777777" w:rsidR="00C449F4" w:rsidRDefault="00C449F4" w:rsidP="00991A84">
      <w:pPr>
        <w:pStyle w:val="ReferHead"/>
        <w:spacing w:after="0"/>
        <w:jc w:val="both"/>
        <w:rPr>
          <w:rFonts w:ascii="Arial" w:hAnsi="Arial" w:cs="Arial"/>
        </w:rPr>
      </w:pPr>
    </w:p>
    <w:p w14:paraId="7176D830"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Melero I., Gaudernack G., Gerritsen W., Huber C., Parmiani G., Scholl S., Thatcher N., Wagstaff J., Zielinski C., Faulkner I., et al. Therapeutic vaccines for cancer: An overview of clinical trials. Nat. Rev. Clin. Oncol. 2014;11:509–524. </w:t>
      </w:r>
    </w:p>
    <w:p w14:paraId="7750933C"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Nelde A., Rammensee H.G., Walz J.S. The Peptide Vaccine of the Future. Mol. Cell Proteom. 2021;20:100022. </w:t>
      </w:r>
    </w:p>
    <w:p w14:paraId="692D50EB"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Hamley I.W. Peptides for Vaccine Development. ACS Appl. Bio Mater. 2022;5:905–944. </w:t>
      </w:r>
    </w:p>
    <w:p w14:paraId="0A862569"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Kumai T., Lee S., Cho H.I., Sultan H., Kobayashi H., Harabuchi Y., Celis E. Optimization of Peptide Vaccines to Induce Robust Antitumor CD4 T-cell Responses. Cancer Immunol. Res. 2017;5:72–83. </w:t>
      </w:r>
    </w:p>
    <w:p w14:paraId="5755DF0C"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Liu D., Liu L., Li X., Wang S., Wu G., Che X. Advancements and Challenges in Peptide-Based Cancer Vaccination: A Multidisciplinary Perspective. Vaccines. 2024;12:950. </w:t>
      </w:r>
    </w:p>
    <w:p w14:paraId="145AA827"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Liu W., Tang H., Li L., Wang X., Yu Z., Li J. Peptide-based therapeutic cancer vaccine: Current trends in clinical application. Cell Prolif. </w:t>
      </w:r>
      <w:proofErr w:type="gramStart"/>
      <w:r>
        <w:rPr>
          <w:rFonts w:ascii="Arial" w:hAnsi="Arial" w:cs="Arial"/>
          <w:lang w:val="fr-FR"/>
        </w:rPr>
        <w:t>2021;</w:t>
      </w:r>
      <w:proofErr w:type="gramEnd"/>
      <w:r>
        <w:rPr>
          <w:rFonts w:ascii="Arial" w:hAnsi="Arial" w:cs="Arial"/>
          <w:lang w:val="fr-FR"/>
        </w:rPr>
        <w:t xml:space="preserve">54:e13025. </w:t>
      </w:r>
    </w:p>
    <w:p w14:paraId="74F19D02"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lastRenderedPageBreak/>
        <w:t xml:space="preserve">Jou J., Harrington K.J., Zocca M.B., Ehrnrooth E., Cohen E.E.W. The Changing Landscape of Therapeutic Cancer Vaccines-Novel Platforms and Neoantigen Identification. Clin. Cancer Res. 2021;27:689–703. </w:t>
      </w:r>
    </w:p>
    <w:p w14:paraId="74214272"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Phan T., Fan D., Melstrom L.G. Developing Vaccines in Pancreatic Adenocarcinoma: Trials and Tribulations. Curr. Oncol. 2024;31:4855–4884. </w:t>
      </w:r>
    </w:p>
    <w:p w14:paraId="3AFEFED5"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Zhang S., Huang C., Li Y., Li Z., Zhu Y., Yang L., Hu H., Sun Q., Liu M., Cao S. Anti-cancer immune effect of human colorectal cancer neoantigen peptide based on MHC class I molecular affinity screening. Front. Immunol. 2024;15:1473145. </w:t>
      </w:r>
    </w:p>
    <w:p w14:paraId="63830F1D"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Hampson I.N., Oliver A.W. Update on Effects of the Prophylactic HPV Vaccines on HPV Type Prevalence and Cervical Pathology. Viruses. 2024;16:1245. </w:t>
      </w:r>
    </w:p>
    <w:p w14:paraId="35E7AE4B"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Mbulawa Z.Z.A., Kondlo S., Toni S., Faye L.M., Businge C.B. Prevalence, Characteristics, and Distribution of Human Papillomavirus According to Age and HIV Status in Women of Eastern Cape Province, South Africa. Viruses. 2024;16:1751. </w:t>
      </w:r>
    </w:p>
    <w:p w14:paraId="14163629"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Zahedipour F., Jamialahmadi K., Zamani P., Reza Jaafari M. Improving the efficacy of peptide vaccines in cancer immunotherapy. Int. Immunopharmacol. 2023;123:110721.</w:t>
      </w:r>
    </w:p>
    <w:p w14:paraId="33287E3D"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Wang X., Niu Y., Bian F. The progress of tumor vaccines clinical trials in non-small cell lung cancer. Clin. Transl. Oncol. 2024:1–13. </w:t>
      </w:r>
    </w:p>
    <w:p w14:paraId="337FBE9B"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Fu Q., Luo Y., Li J., Li H., Liu X., Chen Z., Ni G., Wang T. Caerin 1.1 and 1.9 peptides halt B16 melanoma metastatic tumours via expanding cDC1 and reprogramming tumour macrophages. J. Transl. Med. 2024;22:973. </w:t>
      </w:r>
    </w:p>
    <w:p w14:paraId="46C00EFC"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Mittendorf E.A., Clifton G.T., Holmes J.P., Schneble E., Van Echo D., Ponniah S., Peoples G.E. Final report of the phase I/II clinical trial of the E75 (nelipepimut-S) vaccine with booster inoculations to prevent disease recurrence in high-risk breast cancer patients. Ann. Oncol. 2014;25:1735–1742. </w:t>
      </w:r>
    </w:p>
    <w:p w14:paraId="510BA8BF"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Onodi F., Maherzi-Mechalikh C., Mougel A., Ben Hamouda N., Taboas C., Gueugnon F., Tran T., Nozach H., Marcon E., Gey A., et al. High Therapeutic Efficacy of a New Survivin LSP-Cancer Vaccine Containing CD4+ and CD8+ T-Cell Epitopes. Front. Oncol. 2018;8:517. </w:t>
      </w:r>
    </w:p>
    <w:p w14:paraId="47558100"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Stephens A.J., Burgess-Brown N.A., Jiang S. Beyond Just Peptide Antigens: The Complex World of Peptide-Based Cancer Vaccines. Front. Immunol. 2021;12:696791. </w:t>
      </w:r>
    </w:p>
    <w:p w14:paraId="3642C022"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Stergiou N., Gaidzik N., Heimes A.S., Dietzen S., Besenius P., Jäkel J., Brenner W., Schmidt M., Kunz H., Schmitt E. Reduced Breast Tumor Growth after Immunization with a Tumor-Restricted MUC1 Glycopeptide Conjugated to Tetanus Toxoid. Cancer Immunol. Res. 2019;7:113–122. </w:t>
      </w:r>
    </w:p>
    <w:p w14:paraId="39D197BE"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lastRenderedPageBreak/>
        <w:t xml:space="preserve">Stergiou N., Glaffig M., Jonuleit H., Schmitt E., Kunz H. Immunization with a Synthetic Human MUC1 Glycopeptide Vaccine against Tumor-Associated MUC1 Breaks Tolerance in Human MUC1 Transgenic Mice. ChemMedChem. 2017;12:1424–1428. </w:t>
      </w:r>
    </w:p>
    <w:p w14:paraId="38B72120"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Naz R.K., Dabir P. Peptide vaccines against cancer, infectious diseases, and conception. Front. Biosci. 2007;12:1833–1844. </w:t>
      </w:r>
    </w:p>
    <w:p w14:paraId="647E9EF1"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Boumelha J., Molina-Arcas M., Downward J. Facts and Hopes on RAS Inhibitors and Cancer Immunotherapy. Clin. Cancer Res. 2023;29:5012–5020. </w:t>
      </w:r>
    </w:p>
    <w:p w14:paraId="68A466FA"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Mugarza E., van Maldegem F., Boumelha J., Moore C., Rana S., Llorian Sopena M., East P., Ambler R., Anastasiou P., Romero-Clavijo P., et al. Therapeutic KRAS(G12C) inhibition drives effective interferon-mediated antitumor immunity in immunogenic lung cancers. Sci. Adv. </w:t>
      </w:r>
      <w:proofErr w:type="gramStart"/>
      <w:r>
        <w:rPr>
          <w:rFonts w:ascii="Arial" w:hAnsi="Arial" w:cs="Arial"/>
          <w:lang w:val="fr-FR"/>
        </w:rPr>
        <w:t>2022;</w:t>
      </w:r>
      <w:proofErr w:type="gramEnd"/>
      <w:r>
        <w:rPr>
          <w:rFonts w:ascii="Arial" w:hAnsi="Arial" w:cs="Arial"/>
          <w:lang w:val="fr-FR"/>
        </w:rPr>
        <w:t xml:space="preserve">8:eabm8780. </w:t>
      </w:r>
    </w:p>
    <w:p w14:paraId="060F8673"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Molina-Arcas M., Downward J. Exploiting the therapeutic implications of KRAS inhibition on tumor immunity. Cancer Cell. 2024;42:338–357. </w:t>
      </w:r>
    </w:p>
    <w:p w14:paraId="1CA5A666"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Sakamoto S., Noguchi M., Yamada A., Itoh K., Sasada T. Prospect and progress of personalized peptide vaccinations for advanced cancers. Expert. Opin. Biol. Ther. 2016;16:689–698. </w:t>
      </w:r>
    </w:p>
    <w:p w14:paraId="19ED4883"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Desrichard A., Snyder A., Chan T.A. Cancer Neoantigens and Applications for Immunotherapy. Clin. Cancer Res. 2016;22:807–812. </w:t>
      </w:r>
    </w:p>
    <w:p w14:paraId="3F037892"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Liu Z., Lv J., Dang Q., Liu L., Weng S., Wang L., Zhou Z., Kong Y., Li H., Han Y., et al. Engineering neoantigen vaccines to improve cancer personalized immunotherapy. Int. J. Biol. Sci. 2022;18:5607–5623. </w:t>
      </w:r>
    </w:p>
    <w:p w14:paraId="03354E9C"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Chen Z., Zhang S., Han N., Jiang J., Xu Y., Ma D., Lu L., Guo X., Qiu M., Huang Q., et al. A Neoantigen-Based Peptide Vaccine for Patients With Advanced Pancreatic Cancer Refractory to Standard Treatment. Front. Immunol. 2021;12:691605. </w:t>
      </w:r>
    </w:p>
    <w:p w14:paraId="2F157AC8"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Criscitiello C., Viale G., Curigliano G. Peptide vaccines in early breast cancer. Breast. 2019;44:128–134. </w:t>
      </w:r>
    </w:p>
    <w:p w14:paraId="661428C4"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Tu H.F., Wong M., Tseng S.H., Ingavat N., Olczak P., Notarte K.I., Hung C.F., Roden R.B.S. Virus-like particle vaccine displaying an external, membrane adjacent MUC16 epitope elicits ovarian cancer-reactive antibodies. J. Ovarian Res. 2024;17:19. </w:t>
      </w:r>
    </w:p>
    <w:p w14:paraId="2E6CDD71"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Zhao J., Zhang L., Li P., Liu S., Yu S., Chen Z., Zhu M., Xie S., Ling D., Li F. An Immunomodulatory Zinc-Alum/Ovalbumin Nanovaccine Boosts Cancer Metalloimmunotherapy Through Erythrocyte-Assisted Cascade Immune Activation. Adv. Sci. </w:t>
      </w:r>
      <w:proofErr w:type="gramStart"/>
      <w:r>
        <w:rPr>
          <w:rFonts w:ascii="Arial" w:hAnsi="Arial" w:cs="Arial"/>
          <w:lang w:val="fr-FR"/>
        </w:rPr>
        <w:t>2024;</w:t>
      </w:r>
      <w:proofErr w:type="gramEnd"/>
      <w:r>
        <w:rPr>
          <w:rFonts w:ascii="Arial" w:hAnsi="Arial" w:cs="Arial"/>
          <w:lang w:val="fr-FR"/>
        </w:rPr>
        <w:t xml:space="preserve">11:e2307389. </w:t>
      </w:r>
    </w:p>
    <w:p w14:paraId="217803A8"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lastRenderedPageBreak/>
        <w:t xml:space="preserve">Phung I., Rodrigues K.A., Marina-Zárate E., Maiorino L., Pahar B., Lee W.H., Melo M., Kaur A., Allers C., Fahlberg M., et al. A combined adjuvant approach primes robust germinal center responses and humoral immunity in non-human primates. Nat. Commun. 2023;14:7107. </w:t>
      </w:r>
    </w:p>
    <w:p w14:paraId="14310213"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Makino T., Miyata H., Yasuda T., Kitagawa Y., Muro K., Park J.H., Hikichi T., Hasegawa T., Igarashi K., Iguchi M., et al. A phase 3, randomized, double-blind, multicenter, placebo-controlled study of S-588410, a five-peptide cancer vaccine as an adjuvant therapy after curative resection in patients with esophageal squamous cell carcinoma. Esophagus. 2024;21:447–455. </w:t>
      </w:r>
    </w:p>
    <w:p w14:paraId="372955AA"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Melssen M.M., Fisher C.T., Slingluff C.L., Melief C.J.M. Peptide emulsions in incomplete Freund’s adjuvant create effective nurseries promoting egress of systemic CD4+ and CD8+ T cells for immunotherapy of cancer. J. Immunother. Cancer. </w:t>
      </w:r>
      <w:proofErr w:type="gramStart"/>
      <w:r>
        <w:rPr>
          <w:rFonts w:ascii="Arial" w:hAnsi="Arial" w:cs="Arial"/>
          <w:lang w:val="fr-FR"/>
        </w:rPr>
        <w:t>2022;</w:t>
      </w:r>
      <w:proofErr w:type="gramEnd"/>
      <w:r>
        <w:rPr>
          <w:rFonts w:ascii="Arial" w:hAnsi="Arial" w:cs="Arial"/>
          <w:lang w:val="fr-FR"/>
        </w:rPr>
        <w:t xml:space="preserve">10:e004709. </w:t>
      </w:r>
    </w:p>
    <w:p w14:paraId="47C82E87"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Roehnisch T., Martos-Contreras M.C., Manoochehri M., Nogueira M., Bremm F., Dörrie J., Christoph J., Kunz M., Schönharting W. Individualized neoantigen peptide immunization of a metastatic pancreatic cancer patient: A case report of combined tumor and liquid biopsy. Front. Immunol. 2024;15:1414737.</w:t>
      </w:r>
    </w:p>
    <w:p w14:paraId="65ADCDBA"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Gupta A., O’Cearbhaill R.E., Block M.S., Hamilton E., Konner J.A., Knutson K.L., Potts J., Garrett G., Kenney R.T., Wenham R.M. Vaccination with folate receptor-alpha peptides in patients with ovarian cancer following response to platinum-based therapy: A randomized, multicenter clinical trial. Gynecol. Oncol. 2024;189:90–97. </w:t>
      </w:r>
    </w:p>
    <w:p w14:paraId="57BA4CDC"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Liao J.-Y., Zhang S. Safety and Efficacy of Personalized Cancer Vaccines in Combination With Immune Checkpoint Inhibitors in Cancer Treatment. Front. Oncol. 2021;11:663264. </w:t>
      </w:r>
    </w:p>
    <w:p w14:paraId="21236A2B"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Soltani M., Savvateeva L.V., Ganjalikhani-Hakemi M., Zamyatnin A.A. Clinical Combinatorial Treatments Based on Cancer Vaccines: Combination with Checkpoint Inhibitors and Beyond. Curr. Drug Targets. 2022;23:1072–1084. </w:t>
      </w:r>
    </w:p>
    <w:p w14:paraId="66ACA9B8"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Tagliabue E., Campiglio M., Pupa S.M., Ménard S., Balsari A. Activity and resistance of trastuzumab according to different clinical settings. Cancer Treat. Rev. 2012;38:212–217. </w:t>
      </w:r>
    </w:p>
    <w:p w14:paraId="08F7D73B"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Gall V.A., Philips A.V., Qiao N., Clise-Dwyer K., Perakis A.A., Zhang M., Clifton G.T., Sukhumalchandra P., Ma Q., Reddy S.M., et al. Trastuzumab Increases HER2 Uptake and Cross-Presentation by Dendritic Cells. Cancer Res. 2017;77:5374–5383. </w:t>
      </w:r>
    </w:p>
    <w:p w14:paraId="2708AEAE"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Hickerson A., Clifton G.T., Hale D.F., Peace K.M., Holmes J.P., Vreeland T.J., Litton J.K., Murthy R.K., Lukas J.J., Mittendorf E.A., et al. Final analysis of nelipepimut-S </w:t>
      </w:r>
      <w:r>
        <w:rPr>
          <w:rFonts w:ascii="Arial" w:hAnsi="Arial" w:cs="Arial"/>
          <w:lang w:val="fr-FR"/>
        </w:rPr>
        <w:lastRenderedPageBreak/>
        <w:t xml:space="preserve">plus GM-CSF with trastuzumab versus trastuzumab alone to prevent recurrences in high-risk, HER2 low-expressing breast cancer: A prospective, randomized, blinded, multicenter phase IIb trial. J. Clin. Oncol. 2019;37:1. </w:t>
      </w:r>
    </w:p>
    <w:p w14:paraId="1321FE30"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Huijts C.M., Santegoets S.J., van den Eertwegh A.J., Pijpers L.S., Haanen J.B., de Gruijl T.D., Verheul H.M., van der Vliet H.J. Phase I-II study of everolimus and low-dose oral cyclophosphamide in patients with metastatic renal cell cancer. BMC Cancer. 2011;11:505. </w:t>
      </w:r>
    </w:p>
    <w:p w14:paraId="1A213B07"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Scurr M., Pembroke T., Bloom A., Roberts D., Thomson A., Smart K., Bridgeman H., Adams R., Brewster A., Jones R., et al. Effect of Modified Vaccinia Ankara-5T4 and Low-Dose Cyclophosphamide on Antitumor Immunity in Metastatic Colorectal Cancer: A Randomized Clinical Trial. JAMA Oncol. </w:t>
      </w:r>
      <w:proofErr w:type="gramStart"/>
      <w:r>
        <w:rPr>
          <w:rFonts w:ascii="Arial" w:hAnsi="Arial" w:cs="Arial"/>
          <w:lang w:val="fr-FR"/>
        </w:rPr>
        <w:t>2017;</w:t>
      </w:r>
      <w:proofErr w:type="gramEnd"/>
      <w:r>
        <w:rPr>
          <w:rFonts w:ascii="Arial" w:hAnsi="Arial" w:cs="Arial"/>
          <w:lang w:val="fr-FR"/>
        </w:rPr>
        <w:t xml:space="preserve">3:e172579. </w:t>
      </w:r>
    </w:p>
    <w:p w14:paraId="07E228E1"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Shirahama T., Muroya D., Matsueda S., Yamada A., Shichijo S., Naito M., Yamashita T., Sakamoto S., Okuda K., Itoh K., et al. A randomized phase II trial of personalized peptide vaccine with low dose cyclophosphamide in biliary tract cancer. Cancer Sci. 2017;108:838–845. </w:t>
      </w:r>
    </w:p>
    <w:p w14:paraId="0A46EF19"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Puigmal N., Ramos V., Artzi N., Borrós S. </w:t>
      </w:r>
      <w:proofErr w:type="gramStart"/>
      <w:r>
        <w:rPr>
          <w:rFonts w:ascii="Arial" w:hAnsi="Arial" w:cs="Arial"/>
          <w:lang w:val="fr-FR"/>
        </w:rPr>
        <w:t>Poly(</w:t>
      </w:r>
      <w:proofErr w:type="gramEnd"/>
      <w:r>
        <w:rPr>
          <w:rFonts w:ascii="Arial" w:hAnsi="Arial" w:cs="Arial"/>
          <w:lang w:val="fr-FR"/>
        </w:rPr>
        <w:t xml:space="preserve">β-amino ester)s-Based Delivery Systems for Targeted Transdermal Vaccination. Pharmaceutics. 2023;15:1262. </w:t>
      </w:r>
    </w:p>
    <w:p w14:paraId="5E4F3DC4"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Qin F., Xia F., Chen H., Cui B., Feng Y., Zhang P., Chen J., Luo M. A Guide to Nucleic Acid Vaccines in the Prevention and Treatment of Infectious Diseases and Cancers: From Basic Principles to Current Applications. Front. Cell Dev. Biol. 2021;9:633776. </w:t>
      </w:r>
    </w:p>
    <w:p w14:paraId="21015E13"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Jahanafrooz Z., Baradaran B., Mosafer J., Hashemzaei M., Rezaei T., Mokhtarzadeh A., Hamblin M.R. Comparison of DNA and mRNA vaccines against cancer. Drug Discov. Today. 2020;25:552–560.</w:t>
      </w:r>
    </w:p>
    <w:p w14:paraId="4C82B886"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Lopes A., Vandermeulen G., Préat V. Cancer DNA vaccines: Current preclinical and clinical developments and future perspectives. J. Exp. Clin. Cancer Res. 2019;38:146. </w:t>
      </w:r>
    </w:p>
    <w:p w14:paraId="4DEDBA4E"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Liu M.A. A Comparison of Plasmid DNA and mRNA as Vaccine Technologies. Vaccines. 2019;7:37. </w:t>
      </w:r>
    </w:p>
    <w:p w14:paraId="34112312"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Ferraro B., Morrow M.P., Hutnick N.A., Shin T.H., Lucke C.E., Weiner D.B. Clinical applications of DNA vaccines: Current progress. Clin. Infect. Dis. 2011;53:296–302. </w:t>
      </w:r>
    </w:p>
    <w:p w14:paraId="107B3020"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Lu B., Lim J.M., Yu B., Song S., Neeli P., Sobhani N., K P., Bonam S.R., Kurapati R., Zheng J., et al. The next-generation DNA vaccine platforms and delivery systems: Advances, challenges and prospects. Front. Immunol. 2024;15:1332939. </w:t>
      </w:r>
    </w:p>
    <w:p w14:paraId="60F1F325"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lastRenderedPageBreak/>
        <w:t xml:space="preserve">Pandya A., Shah Y., Kothari N., Postwala H., Shah A., Parekh P., Chorawala M.R. The future of cancer immunotherapy: DNA vaccines leading the way. Med. Oncol. 2023;40:200. </w:t>
      </w:r>
    </w:p>
    <w:p w14:paraId="3D09C322"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Tiptiri-Kourpeti A., Spyridopoulou K., Pappa A., Chlichlia K. DNA vaccines to attack cancer: Strategies for improving immunogenicity and efficacy. Pharmacol. Ther. 2016;165:32–49. </w:t>
      </w:r>
    </w:p>
    <w:p w14:paraId="3A8FD062"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Dang Y., Guan J. Nanoparticle-based drug delivery systems for cancer therapy. Smart Mater. Med. 2020;1:10–19.</w:t>
      </w:r>
    </w:p>
    <w:p w14:paraId="3A3A220F"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Chen F., Shi Y., Zhang J., Liu Q. Nanoparticle-based Drug Delivery Systems for Targeted Epigenetics Cancer Therapy. Curr. Drug Targets. 2020;21:1084–1098. </w:t>
      </w:r>
    </w:p>
    <w:p w14:paraId="633966D9"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Xin Y., Yin M., Zhao L., Meng F., Luo L. Recent progress on nanoparticle-based drug delivery systems for cancer therapy. Cancer Biol. Med. 2017;14:228–241. Lorentzen C.L., Haanen J.B., Met Ö., Svane I.M. Clinical advances and ongoing trials on mRNA vaccines for cancer treatment. Lancet Oncol. </w:t>
      </w:r>
      <w:proofErr w:type="gramStart"/>
      <w:r>
        <w:rPr>
          <w:rFonts w:ascii="Arial" w:hAnsi="Arial" w:cs="Arial"/>
          <w:lang w:val="fr-FR"/>
        </w:rPr>
        <w:t>2022;</w:t>
      </w:r>
      <w:proofErr w:type="gramEnd"/>
      <w:r>
        <w:rPr>
          <w:rFonts w:ascii="Arial" w:hAnsi="Arial" w:cs="Arial"/>
          <w:lang w:val="fr-FR"/>
        </w:rPr>
        <w:t xml:space="preserve">23:e450–e458. </w:t>
      </w:r>
    </w:p>
    <w:p w14:paraId="2C2B8506"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Deng Z., Tian Y., Song J., An G., Yang P. mRNA Vaccines: The Dawn of a New Era of Cancer Immunotherapy. Front. Immunol. 2022;13:887125. </w:t>
      </w:r>
    </w:p>
    <w:p w14:paraId="1C9B0A21"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Sayour E.J., Boczkowski D., Mitchell D.A., Nair S.K. Cancer mRNA vaccines: Clinical advances and future opportunities. Nat. Rev. Clin. Oncol. 2024;21:489–500. </w:t>
      </w:r>
    </w:p>
    <w:p w14:paraId="02E04A64"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Mei Y., Wang X. RNA modification in mRNA cancer vaccines. Clin. Exp. Med. 2023;23:1917–1931. </w:t>
      </w:r>
    </w:p>
    <w:p w14:paraId="71928CDB"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Chehelgerdi M., Chehelgerdi M. The use of RNA-based treatments in the field of cancer immunotherapy. Mol. Cancer. 2023;22:106. </w:t>
      </w:r>
    </w:p>
    <w:p w14:paraId="1E32A60C"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Omidi Y., Pourseif M.M., Ansari R.A., Barar J. Design and development of mRNA and self-amplifying mRNA vaccine nanoformulations. Nanomedicine. 2024;19:2699–2725. </w:t>
      </w:r>
    </w:p>
    <w:p w14:paraId="1818E7EA"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Zong Y., Lin Y., Wei T., Cheng Q. Lipid Nanoparticle (LNP) Enables mRNA Delivery for Cancer Therapy. Adv. Mater. </w:t>
      </w:r>
      <w:proofErr w:type="gramStart"/>
      <w:r>
        <w:rPr>
          <w:rFonts w:ascii="Arial" w:hAnsi="Arial" w:cs="Arial"/>
          <w:lang w:val="fr-FR"/>
        </w:rPr>
        <w:t>2023;</w:t>
      </w:r>
      <w:proofErr w:type="gramEnd"/>
      <w:r>
        <w:rPr>
          <w:rFonts w:ascii="Arial" w:hAnsi="Arial" w:cs="Arial"/>
          <w:lang w:val="fr-FR"/>
        </w:rPr>
        <w:t xml:space="preserve">35:e2303261. </w:t>
      </w:r>
    </w:p>
    <w:p w14:paraId="0E85AF69"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Zhang H., Xia X. RNA cancer vaccines: Developing mRNA nanovaccine with self-adjuvant property for cancer immunotherapy. Hum. Vaccin. Immunother. 2021;17:2995–2998. </w:t>
      </w:r>
    </w:p>
    <w:p w14:paraId="39A719D9"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Zhou L., Yi W., Zhang Z., Shan X., Zhao Z., Sun X., Wang J., Wang H., Jiang H., Zheng M., et al. STING agonist-boosted mRNA immunization via intelligent design of nanovaccines for enhancing cancer immunotherapy. Natl. Sci. Rev. </w:t>
      </w:r>
      <w:proofErr w:type="gramStart"/>
      <w:r>
        <w:rPr>
          <w:rFonts w:ascii="Arial" w:hAnsi="Arial" w:cs="Arial"/>
          <w:lang w:val="fr-FR"/>
        </w:rPr>
        <w:t>2023;</w:t>
      </w:r>
      <w:proofErr w:type="gramEnd"/>
      <w:r>
        <w:rPr>
          <w:rFonts w:ascii="Arial" w:hAnsi="Arial" w:cs="Arial"/>
          <w:lang w:val="fr-FR"/>
        </w:rPr>
        <w:t xml:space="preserve">10:nwad214. </w:t>
      </w:r>
    </w:p>
    <w:p w14:paraId="5A977757"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lastRenderedPageBreak/>
        <w:t xml:space="preserve">Zhang X., Wang K., Zhao Z., Shan X., Wang Y., Feng Z., Li B., Luo C., Chen X., Sun J. Self-Adjuvanting Polyguanidine Nanovaccines for Cancer Immunotherapy. ACS Nano. 2024;18:7136–7147. </w:t>
      </w:r>
    </w:p>
    <w:p w14:paraId="7FCA38D1"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Vishweshwaraiah Y.L., Dokholyan N.V. mRNA vaccines for cancer immunotherapy. Front. Immunol. 2022;13:1029069. </w:t>
      </w:r>
    </w:p>
    <w:p w14:paraId="0BF29F91"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Disis M.L.N., Guthrie K.A., Liu Y., Coveler A.L., Higgins D.M., Childs J.S., Dang Y., Salazar L.G. Safety and Outcomes of a Plasmid DNA Vaccine Encoding the ERBB2 Intracellular Domain in Patients With Advanced-Stage ERBB2-Positive Breast Cancer: A Phase 1 Nonrandomized Clinical Trial. JAMA Oncol. 2023;9:71–78. </w:t>
      </w:r>
    </w:p>
    <w:p w14:paraId="75E0380B"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Awad M.M., Govindan R., Balogh K.N., Spigel D.R., Garon E.B., Bushway M.E., Poran A., Sheen J.H., Kohler V., Esaulova E., et al. Personalized neoantigen vaccine NEO-PV-01 with chemotherapy and anti-PD-1 as first-line treatment for non-squamous non-small cell lung cancer. Cancer Cell. 2022;40:1010–1026.e1011. </w:t>
      </w:r>
    </w:p>
    <w:p w14:paraId="35D2EAF1"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Keskin D.B., Anandappa A.J., Sun J., Tirosh I., Mathewson N.D., Li S., Oliveira G., Giobbie-Hurder A., Felt K., Gjini E., et al. Neoantigen vaccine generates intratumoral T cell responses in phase Ib glioblastoma trial. Nature. 2019;565:234–239. </w:t>
      </w:r>
    </w:p>
    <w:p w14:paraId="778BFD95"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Pant S., Wainberg Z.A., Weekes C.D., Furqan M., Kasi P.M., Devoe C.E., Leal A.D., Chung V., Basturk O., VanWyk H., et al. Lymph-node-targeted, mKRAS-specific amphiphile vaccine in pancreatic and colorectal cancer: The phase 1 AMPLIFY-201 trial. Nat. Med. 2024;30:531–542. </w:t>
      </w:r>
    </w:p>
    <w:p w14:paraId="508C3BC2"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Rojas L.A., Sethna Z., Soares K.C., Olcese C., Pang N., Patterson E., Lihm J., Ceglia N., Guasp P., Chu A., et al. Personalized RNA neoantigen vaccines stimulate T cells in pancreatic cancer. Nature. 2023;618:144–150.</w:t>
      </w:r>
    </w:p>
    <w:p w14:paraId="2EDD5A6B"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Muth S.T., Saung M.T., Blair A.B., Henderson M.G., Thomas D.L., 2nd, Zheng L. CD137 agonist-based combination immunotherapy enhances activated, effector memory T cells and prolongs survival in pancreatic adenocarcinoma. Cancer Lett. 2021;499:99–108. </w:t>
      </w:r>
    </w:p>
    <w:p w14:paraId="7CE285A5"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Cafri G., Gartner J.J., Zaks T., Hopson K., Levin N., Paria B.C., Parkhurst M.R., Yossef R., Lowery F.J., Jafferji M.S., et al. </w:t>
      </w:r>
      <w:proofErr w:type="gramStart"/>
      <w:r>
        <w:rPr>
          <w:rFonts w:ascii="Arial" w:hAnsi="Arial" w:cs="Arial"/>
          <w:lang w:val="fr-FR"/>
        </w:rPr>
        <w:t>mRNA</w:t>
      </w:r>
      <w:proofErr w:type="gramEnd"/>
      <w:r>
        <w:rPr>
          <w:rFonts w:ascii="Arial" w:hAnsi="Arial" w:cs="Arial"/>
          <w:lang w:val="fr-FR"/>
        </w:rPr>
        <w:t xml:space="preserve"> vaccine-induced neoantigen-specific T cell immunity in patients with gastrointestinal cancer. J. Clin. Investig. 2020;130:5976–5988. </w:t>
      </w:r>
    </w:p>
    <w:p w14:paraId="192E15C9"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Sharma P., Hu-Lieskovan S., Wargo J.A., Ribas A. Primary, Adaptive, and Acquired Resistance to Cancer Immunotherapy. Cell. 2017;168:707–723. </w:t>
      </w:r>
    </w:p>
    <w:p w14:paraId="180689D4"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Postow M.A., Callahan M.K., Wolchok J.D. Immune Checkpoint Blockade in Cancer Therapy. J. Clin. Oncol. 2015;33:1974–1982. </w:t>
      </w:r>
    </w:p>
    <w:p w14:paraId="4DE23A45"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lastRenderedPageBreak/>
        <w:t xml:space="preserve">Emens L.A., Ascierto P.A., Darcy P.K., Demaria S., Eggermont A.M.M., Redmond W.L., Seliger B., Marincola F.M. Cancer immunotherapy: Opportunities and challenges in the rapidly evolving clinical landscape. Eur. J. Cancer. 2017;81:116–129. </w:t>
      </w:r>
    </w:p>
    <w:p w14:paraId="7AE24201"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Fusciello M., Ylösmäki E., Cerullo V. Viral Nanoparticles: Cancer Vaccines and Immune Modulators. Adv. Exp. Med. Biol. 2021;1295:317–325. </w:t>
      </w:r>
    </w:p>
    <w:p w14:paraId="550B1181"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Fukuhara H., Ino Y., Todo T. Oncolytic virus therapy: A new era of cancer treatment at dawn. Cancer Sci. 2016;107:1373–1379. </w:t>
      </w:r>
    </w:p>
    <w:p w14:paraId="24AB667E"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Sasso E., D’Alise A.M., Zambrano N., Scarselli E., Folgori A., Nicosia A. New viral vectors for infectious diseases and cancer. Semin. Immunol. 2020;50:101430. </w:t>
      </w:r>
    </w:p>
    <w:p w14:paraId="5E87C770"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Wu Y.Y., Sun T.K., Chen M.S., Munir M., Liu H.J. Oncolytic viruses-modulated immunogenic cell death, apoptosis and autophagy linking to virotherapy and cancer immune response. Front. Cell Infect. Microbiol. 2023;13:1142172.</w:t>
      </w:r>
    </w:p>
    <w:p w14:paraId="19FB0176"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Mathlouthi S., Kuryk L., Prygiel M., Lupo M.G., Zasada A.A., Pesce C., Ferri N., Rinner B., Salmaso S., Garofalo M. Extracellular vesicles powered cancer immunotherapy: Targeted delivery of adenovirus-based cancer vaccine in humanized melanoma model. J. Control Release. 2024;376:777–793. </w:t>
      </w:r>
    </w:p>
    <w:p w14:paraId="4D73C350"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Cote G.M., Conley A.P., Attia S., Van Tine B.A., Seetharam M., Chen Y.L., Gafoor Z., Heery C., Pico-Navarro C., Adams T. A phase 2 study of a brachyury-targeting vaccine in combination with radiation therapy for the treatment of advanced chordoma. Cancer. 2024;130:3845–3854. </w:t>
      </w:r>
    </w:p>
    <w:p w14:paraId="6D18BDC9"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Cyrelle Ornella M.S., Kim J.J., Cho E., Cho M., Hwang T.H. Dose Considerations for Vaccinia Oncolytic Virus Based on Retrospective Reanalysis of Early and Late Clinical Trials. Vaccines. 2024;12:1010. </w:t>
      </w:r>
    </w:p>
    <w:p w14:paraId="6935AD2C"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Del Médico Zajac M.P., Molinari P., Gravisaco M.J., Maizon D.O., Morón G., Gherardi M.M., Calamante G. MVAΔ008 viral vector encoding the model protein OVA induces improved immune response against the heterologous antigen and equal levels of protection in a mice tumor model than the conventional MVA. Mol. Immunol. 2021;139:115–122. </w:t>
      </w:r>
    </w:p>
    <w:p w14:paraId="4B415337"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Larocca C., Schlom J. Viral vector-based therapeutic cancer vaccines. Cancer J. 2011;17:359–371. </w:t>
      </w:r>
    </w:p>
    <w:p w14:paraId="242243D7"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Lu S. Heterologous prime-boost vaccination. Curr. Opin. Immunol. 2009;21:346–351. </w:t>
      </w:r>
    </w:p>
    <w:p w14:paraId="5191674C"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Meseda C.A., Elkins K.L., Merchlinsky M.J., Weir J.P. Prime-boost immunization with DNA and modified vaccinia virus ankara vectors expressing herpes simplex </w:t>
      </w:r>
      <w:r>
        <w:rPr>
          <w:rFonts w:ascii="Arial" w:hAnsi="Arial" w:cs="Arial"/>
          <w:lang w:val="fr-FR"/>
        </w:rPr>
        <w:lastRenderedPageBreak/>
        <w:t xml:space="preserve">virus-2 glycoprotein D elicits greater specific antibody and cytokine responses than DNA vaccine alone. J. Infect. Dis. 2002;186:1065–1073. </w:t>
      </w:r>
    </w:p>
    <w:p w14:paraId="5234A06E"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Park S.H., Yang S.H., Lee C.G., Youn J.W., Chang J., Sung Y.C. Efficient induction of T helper 1 CD4+ T-cell responses to hepatitis C virus core and E2 by a DNA prime-adenovirus boost. Vaccine. 2003;21:4555–4564. </w:t>
      </w:r>
    </w:p>
    <w:p w14:paraId="47FB8349"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Garcia-Hernandez M.D.L.L., Gray A., Hubby B., Kast W.M. In vivo Effects of Vaccination with Six-Transmembrane Epithelial Antigen of the Prostate: A Candidate Antigen for Treating Prostate Cancer. Cancer Res. 2007;67:1344–1351. </w:t>
      </w:r>
    </w:p>
    <w:p w14:paraId="16E873DE"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Kaufman H.L., Cohen S., Cheung K., Deraffele G., Mitcham J., Moroziewicz D., Schlom J., Hesdorffer C. Local Delivery of Vaccinia Virus Expressing Multiple Costimulatory Molecules for the Treatment of Established Tumors. Hum. Gene Ther. 2006;17:239–244. </w:t>
      </w:r>
    </w:p>
    <w:p w14:paraId="6EB1D826"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Bezeljak U. Cancer gene therapy goes viral: Viral vector platforms come of age. Radiol. Oncol. 2022;56:1–13. </w:t>
      </w:r>
    </w:p>
    <w:p w14:paraId="37BE151A"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Capone S., Naddeo M., D’Alise A.M., Abbate A., Grazioli F., Del Gaudio A., Del Sorbo M., Esposito M.L., Ammendola V., Perretta G., et al. Fusion of HCV Nonstructural Antigen to MHC Class II–associated Invariant Chain Enhances T-cell Responses Induced by Vectored Vaccines in Nonhuman Primates. Mol. Ther. 2014;22:1039–1047. </w:t>
      </w:r>
    </w:p>
    <w:p w14:paraId="123C647C"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Bots S.T.F., Kemp V., Cramer S.J., van den Wollenberg D.J.M., Hornsveld M., Lamfers M.L.M., van der Pluijm G., Hoeben R.C. Nonhuman Primate Adenoviruses of the Human Adenovirus B Species Are Potent and Broadly Acting Oncolytic Vector Candidates. Hum. Gene Ther. 2022;33:275–289. </w:t>
      </w:r>
    </w:p>
    <w:p w14:paraId="31E79AF3"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Guo Z.S., Lu B., Guo Z., Giehl E., Feist M., Dai E., Liu W., Storkus W.J., He Y., Liu Z., et al. Vaccinia virus-mediated cancer immunotherapy: Cancer vaccines and oncolytics. J. Immunother. Cancer. 2019;7:6. </w:t>
      </w:r>
    </w:p>
    <w:p w14:paraId="1D303512"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Zuo S., Wei M., He B., Chen A., Wang S., Kong L., Zhang Y., Meng G., Xu T., Wu J., et al. Enhanced antitumor efficacy of a novel oncolytic vaccinia virus encoding a fully monoclonal antibody against T-cell immunoglobulin and ITIM domain (TIGIT) EBioMedicine. 2021;64:103240. </w:t>
      </w:r>
    </w:p>
    <w:p w14:paraId="5D70B061"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Yang X., Huang B., Deng L., Hu Z. Progress in gene therapy using oncolytic vaccinia virus as vectors. J. Cancer Res. Clin. Oncol. 2018;144:2433–2440. </w:t>
      </w:r>
    </w:p>
    <w:p w14:paraId="472B65F6"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Anderson R.J., Schneider J. Plasmid DNA and viral vector-based vaccines for the treatment of cancer. Vaccine. </w:t>
      </w:r>
      <w:proofErr w:type="gramStart"/>
      <w:r>
        <w:rPr>
          <w:rFonts w:ascii="Arial" w:hAnsi="Arial" w:cs="Arial"/>
          <w:lang w:val="fr-FR"/>
        </w:rPr>
        <w:t>2007;</w:t>
      </w:r>
      <w:proofErr w:type="gramEnd"/>
      <w:r>
        <w:rPr>
          <w:rFonts w:ascii="Arial" w:hAnsi="Arial" w:cs="Arial"/>
          <w:lang w:val="fr-FR"/>
        </w:rPr>
        <w:t xml:space="preserve">25((Suppl. S2)):B24–B34. </w:t>
      </w:r>
    </w:p>
    <w:p w14:paraId="66F35758"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Velu T., Ramlau R., Quoix E., Pawlicki M., Pless M., Lena H., Levy E., Krzakowski M., Limacher J.-M., Bizouarne N. A phase II study evaluating the clinical efficacy of </w:t>
      </w:r>
      <w:r>
        <w:rPr>
          <w:rFonts w:ascii="Arial" w:hAnsi="Arial" w:cs="Arial"/>
          <w:lang w:val="fr-FR"/>
        </w:rPr>
        <w:lastRenderedPageBreak/>
        <w:t>TG4010 (MVA-MUC1-IL2) in association with chemotherapy in patients with non small cell lung cancer. J. Clin. Oncol. 2005;23:7132.</w:t>
      </w:r>
    </w:p>
    <w:p w14:paraId="206AC807"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Sellars M.C., Wu C.J., Fritsch E.F. Cancer vaccines: Building a bridge over troubled waters. Cell. 2022;185:2770–2788.</w:t>
      </w:r>
    </w:p>
    <w:p w14:paraId="3B886E17"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Garg P., Malhotra J., Kulkarni P., Horne D., Salgia R., Singhal S.S. Emerging Therapeutic Strategies to Overcome Drug Resistance in Cancer Cells. Cancers. 2024;16:2478.</w:t>
      </w:r>
    </w:p>
    <w:p w14:paraId="7BF42F02"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Sun Q., Hong Z., Zhang C., Wang L., Han Z., Ma D. Immune checkpoint therapy for solid tumours: Clinical dilemmas and future trends. Signal Transduct. Target. Ther. 2023;8:320. </w:t>
      </w:r>
    </w:p>
    <w:p w14:paraId="61BC6AF1"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Yang L., Ning Q., Tang S.-S. Recent Advances and Next Breakthrough in Immunotherapy for Cancer Treatment. J. Immunol. Res. 2022;2022:8052212. </w:t>
      </w:r>
    </w:p>
    <w:p w14:paraId="145F8C46"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Binnewies M., Roberts E.W., Kersten K., Chan V., Fearon D.F., Merad M., Coussens L.M., Gabrilovich D.I., Ostrand-Rosenberg S., Hedrick C.C., et al. Understanding the tumor immune microenvironment (TIME) for effective therapy. Nat. Med. 2018;24:541–550. </w:t>
      </w:r>
    </w:p>
    <w:p w14:paraId="30952269"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Dunn G.P., Old L.J., Schreiber R.D. The immunobiology of cancer immunosurveillance and immunoediting. Immunity. 2004;21:137–148. </w:t>
      </w:r>
    </w:p>
    <w:p w14:paraId="6455ECD6"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Schreiber R.D., Old L.J., Smyth M.J. Cancer immunoediting: Integrating immunity’s roles in cancer suppression and promotion. Science. 2011;331:1565–1570. </w:t>
      </w:r>
    </w:p>
    <w:p w14:paraId="4F6BADA6"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Togashi Y., Shitara K., Nishikawa H. Regulatory T cells in cancer immunosuppression—Implications for anticancer therapy. Nat. Rev. Clin. Oncol. 2019;16:356–371. </w:t>
      </w:r>
    </w:p>
    <w:p w14:paraId="70F1A653"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Sun C., Xu S. Advances in personalized neoantigen vaccines for cancer immunotherapy. Biosci. Trends. 2020;14:349–353. </w:t>
      </w:r>
    </w:p>
    <w:p w14:paraId="0186A303"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Guo Z., Zhang R., Yang A.G., Zheng G. Diversity of immune checkpoints in cancer immunotherapy. Front. Immunol. 2023;14:1121285. </w:t>
      </w:r>
    </w:p>
    <w:p w14:paraId="25284A16"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Zhao F., Shen D., Shang M., Yu H., Zuo X., Chen L., Huang Z., Li L., Wang L. Immunotherapy: A new target for cancer cure (Review) Oncol. Rep. 2023;49:100. </w:t>
      </w:r>
    </w:p>
    <w:p w14:paraId="15AEF6FA"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Blaya-Cánovas J.L., Griñán-Lisón C., Blancas I., Marchal J.A., Ramírez-Tortosa C., López-Tejada A., Benabdellah K., Cortijo-Gutiérrez M., Cano-Cortés M.V., Graván P., et al. Autologous patient-derived exhausted nano T-cells exploit tumor immune evasion to engage an effective cancer therapy. Mol. Cancer. 2024;23:83. </w:t>
      </w:r>
    </w:p>
    <w:p w14:paraId="744590A6"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lastRenderedPageBreak/>
        <w:t xml:space="preserve">Igarashi Y., Sasada T. Cancer Vaccines: Toward the Next Breakthrough in Cancer Immunotherapy. J. Immunol. Res. 2020;2020:5825401. </w:t>
      </w:r>
    </w:p>
    <w:p w14:paraId="2BCB1EDD"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Seclì L., Leoni G., Ruzza V., Siani L., Cotugno G., Scarselli E., D’Alise A.M. Personalized Cancer Vaccines Go Viral: Viral Vectors in the Era of Personalized Immunotherapy of Cancer. Int. J. Mol. Sci. 2023;24:16591. </w:t>
      </w:r>
    </w:p>
    <w:p w14:paraId="2A6BCB65"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Fan T., Zhang M., Yang J., Zhu Z., Cao W., Dong C. Therapeutic cancer vaccines: Advancements, challenges, and prospects. Signal Transduct. Target. Ther. 2023;8:450. </w:t>
      </w:r>
    </w:p>
    <w:p w14:paraId="0466A3A2"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Malacopol A.T., Holst P.J. Cancer Vaccines: Recent Insights and Future Directions. Int. J. Mol. Sci. 2024;25:11256. </w:t>
      </w:r>
    </w:p>
    <w:p w14:paraId="70A02B55"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Richard G., Ruggiero N., Steinberg G.D., Martin W.D., De Groot A.S. Neoadjuvant personalized cancer vaccines: The final frontier? Expert. Rev. Vaccines. 2024;23:205–212.</w:t>
      </w:r>
    </w:p>
    <w:p w14:paraId="4BAB3F88"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Liu L., Kshirsagar P.G., Gautam S.K., Gulati M., Wafa E.I., Christiansen J.C., White B.M., Mallapragada S.K., Wannemuehler M.J., Kumar S., et al. Nanocarriers for pancreatic cancer imaging, treatments, and immunotherapies. Theranostics. 2022;12:1030–1060. </w:t>
      </w:r>
    </w:p>
    <w:p w14:paraId="03B134BA"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Nooraei S., Bahrulolum H., Hoseini Z.S., Katalani C., Hajizade A., Easton A.J., Ahmadian G. Virus-like particles: Preparation, immunogenicity and their roles as nanovaccines and drug nanocarriers. J. Nanobiotechnol. 2021;19:59. </w:t>
      </w:r>
    </w:p>
    <w:p w14:paraId="404081C3"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Fang X., Lan H., Jin K., Gong D., Qian J. Nanovaccines for Cancer Prevention and Immunotherapy: An Update Review. Cancers. 2022;14:3842. </w:t>
      </w:r>
    </w:p>
    <w:p w14:paraId="05BEE68B"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Mainini F., Eccles M.R. Lipid and Polymer-Based Nanoparticle siRNA Delivery Systems for Cancer Therapy. Molecules. 2020;25:2692. </w:t>
      </w:r>
    </w:p>
    <w:p w14:paraId="079F07AA"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Zhang Y., Jiang M., Du G., Zhong X., He C., Qin M., Hou Y., Liu R., Sun X. An antigen self-assembled and dendritic cell-targeted nanovaccine for enhanced immunity against cancer. Acta Pharm. Sin. B. 2023;13:3518–3534. </w:t>
      </w:r>
    </w:p>
    <w:p w14:paraId="7AF5BBD4"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Das A., Ali N. Nanovaccine: An emerging strategy. Expert. Rev. Vaccines. 2021;20:1273–1290. </w:t>
      </w:r>
    </w:p>
    <w:p w14:paraId="4033A143"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Hou Y., Li Y., Zhang Y., Zhang J., Wu D. Current status and future directions of nanovaccine for cancer: A bibliometric analysis during 2004–2023. Front. Immunol. 2024;15:1423212. </w:t>
      </w:r>
    </w:p>
    <w:p w14:paraId="17BE5AE3"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Koyande N.P., Srivastava R., Padmakumar A., Rengan A.K. Advances in Nanotechnology for Cancer Immunoprevention and Immunotherapy: A Review. Vaccines. 2022;10:1727.</w:t>
      </w:r>
    </w:p>
    <w:p w14:paraId="7CB17E3E"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lastRenderedPageBreak/>
        <w:t xml:space="preserve">Liu J., Fu M., Wang M., Wan D., Wei Y., Wei X. Cancer vaccines as promising immuno-therapeutics: Platforms and current progress. J. Hematol. Oncol. 2022;15:28. </w:t>
      </w:r>
    </w:p>
    <w:p w14:paraId="4045112D"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Hoover H.C., Jr., Surdyke M.G., Dangel R.B., Peters L.C., Hanna M.G., Jr. Prospectively randomized trial of adjuvant active-specific immunotherapy for human colorectal cancer. Cancer. 1985;55:1236–1243. </w:t>
      </w:r>
    </w:p>
    <w:p w14:paraId="34B0C08B"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Gardner T., Elzey B., Hahn N.M. Sipuleucel-T (Provenge) autologous vaccine approved for treatment of men with asymptomatic or minimally symptomatic castrate-resistant metastatic prostate cancer. Hum. Vaccines Immunother. 2012;8:534–539. </w:t>
      </w:r>
    </w:p>
    <w:p w14:paraId="7BD75C20"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Rai A., Deshpande S.G., Vaidya A., Shinde R.K. Advancements in Immunotherapy for Breast Cancer: Mechanisms, Efficacy, and Future Directions. Cureus. </w:t>
      </w:r>
      <w:proofErr w:type="gramStart"/>
      <w:r>
        <w:rPr>
          <w:rFonts w:ascii="Arial" w:hAnsi="Arial" w:cs="Arial"/>
          <w:lang w:val="fr-FR"/>
        </w:rPr>
        <w:t>2024;</w:t>
      </w:r>
      <w:proofErr w:type="gramEnd"/>
      <w:r>
        <w:rPr>
          <w:rFonts w:ascii="Arial" w:hAnsi="Arial" w:cs="Arial"/>
          <w:lang w:val="fr-FR"/>
        </w:rPr>
        <w:t xml:space="preserve">16:e68351. </w:t>
      </w:r>
    </w:p>
    <w:p w14:paraId="0FF62A58"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Ghemrawi R., Abuamer L., Kremesh S., Hussien G., Ahmed R., Mousa W., Khoder G., Khair M. Revolutionizing Cancer Treatment: Recent Advances in Immunotherapy. Biomedicines. 2024;12:2158. </w:t>
      </w:r>
      <w:proofErr w:type="gramStart"/>
      <w:r>
        <w:rPr>
          <w:rFonts w:ascii="Arial" w:hAnsi="Arial" w:cs="Arial"/>
          <w:lang w:val="fr-FR"/>
        </w:rPr>
        <w:t>doi:</w:t>
      </w:r>
      <w:proofErr w:type="gramEnd"/>
      <w:r>
        <w:rPr>
          <w:rFonts w:ascii="Arial" w:hAnsi="Arial" w:cs="Arial"/>
          <w:lang w:val="fr-FR"/>
        </w:rPr>
        <w:t xml:space="preserve"> 10.3390/biomedicines12092158. </w:t>
      </w:r>
    </w:p>
    <w:p w14:paraId="71C3290A"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Panuccio G., Correale P., d’Apolito M., Mutti L., Giannicola R., Pirtoli L., Giordano A., Labate D., Macheda S., Carabetta N., et al. Immuno-related cardio-vascular adverse events associated with immuno-oncological treatments: An under-estimated threat for cancer patients. Basic. Res. Cardiol. 2024;120:153–169. </w:t>
      </w:r>
    </w:p>
    <w:p w14:paraId="670A51E0"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Rüttinger D., Van Den Engel N.K., Winter H., Schlemmer M., Pohla H., Grützner S., Wagner B., Schendel D.J., Fox B.A., Jauch K.W., et al. Adjuvant therapeutic vaccination in patients with non-small cell lung cancer made lymphopenic and reconstituted with autologous PBMC: First clinical experience and evidence of an immune response. J. Transl. Med. 2007;5:43. </w:t>
      </w:r>
    </w:p>
    <w:p w14:paraId="11F3F849"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Wu H., Dong H., Ren S., Chen J., Zhang Y., Dai M., Wu Y., Zhang X. Exploration of novel clusters and prognostic value of immune-related signatures and identify HAMP as hub gene in colorectal cancer. Oncol. Lett. 2023;26:360. </w:t>
      </w:r>
    </w:p>
    <w:p w14:paraId="5788D04D"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Lichtenstern C.R., Ngu R.K., Shalapour S., Karin M. Immunotherapy, Inflammation and Colorectal Cancer. Cells. 2020;9:618. </w:t>
      </w:r>
    </w:p>
    <w:p w14:paraId="36ABF443"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Morton D.L. Immune response to postsurgical adjuvant active immunotherapy with Canvaxin polyvalent cancer vaccine: Correlations with clinical course of patients with metastatic melanoma. Dev. Biol. 2004;116:209–217.</w:t>
      </w:r>
    </w:p>
    <w:p w14:paraId="7DC68374"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Tani K., Azuma M., Nakazaki Y., Oyaizu N., Hase H., Ohata J., Takahashi K., Oiwamonna M., Hanazawa K., Wakumoto Y., et al. Phase I Study of Autologous Tumor Vaccines Transduced with the GM-CSF Gene in Four Patients with Stage IV </w:t>
      </w:r>
      <w:r>
        <w:rPr>
          <w:rFonts w:ascii="Arial" w:hAnsi="Arial" w:cs="Arial"/>
          <w:lang w:val="fr-FR"/>
        </w:rPr>
        <w:lastRenderedPageBreak/>
        <w:t xml:space="preserve">Renal Cell Cancer in Japan: Clinical and Immunological Findings. Mol. Ther. 2004;10:799–816. </w:t>
      </w:r>
    </w:p>
    <w:p w14:paraId="43AE0688"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Gu Y.-Z., Fan C.-W., Lu R., Shao B., Sang Y.-X., Huang Q.-R., Li X., Meng W.-T., Mo X.-M., Wei Y.-Q. Forced co-expression of IL-21 and IL-7 in whole-cell cancer vaccines promotes antitumor immunity. Sci. Rep. 2016;6:32351. </w:t>
      </w:r>
    </w:p>
    <w:p w14:paraId="063D5FF5"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Zhao Y., Wei K., Chi H., Xia Z., Li X. IL-7: A promising adjuvant ensuring effective T cell responses and memory in combination with cancer vaccines? Front. Immunol. 2022;13:1022808. </w:t>
      </w:r>
    </w:p>
    <w:p w14:paraId="7B96F797"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Jaffee E.M., Hruban R.H., Biedrzycki B., Laheru D., Schepers K., Sauter P.R., Goemann M., Coleman J., Grochow L., Donehower R.C., et al. Novel Allogeneic Granulocyte-Macrophage Colony-Stimulating Factor–Secreting Tumor Vaccine for Pancreatic Cancer: A Phase I Trial of Safety and Immune Activation. J. Clin. Oncol. 2001;19:145–156. </w:t>
      </w:r>
    </w:p>
    <w:p w14:paraId="69A567E5"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Hato L., Vizcay A., Eguren I., Pérez-Gracia J.L., Rodríguez J., Gállego Pérez-Larraya J., Sarobe P., Inogés S., Díaz De Cerio A.L., Santisteban M. Dendritic Cells in Cancer Immunology and Immunotherapy. Cancers. 2024;16:981. </w:t>
      </w:r>
    </w:p>
    <w:p w14:paraId="098FA8C4"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Sun C., Ma X., Zhou C., Zhang Z., Guo J. Irreversible Electroporation Combined With Dendritic Cell-based Vaccines for the Treatment of Osteosarcoma. Anticancer. Res. 2023;43:3389–3400. </w:t>
      </w:r>
    </w:p>
    <w:p w14:paraId="674A223F"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Vincent B.G., File D.M., McKinnon K.P., Moore D.T., Frelinger J.A., Collins E.J., Ibrahim J.G., Bixby L., Reisdorf S., Laurie S.J., et al. Efficacy of a Dual-Epitope Dendritic Cell Vaccine as Part of Combined Immunotherapy for HER2-Expressing Breast Tumors. J. Immunol. 2023;211:219–228. </w:t>
      </w:r>
    </w:p>
    <w:p w14:paraId="2210A9D3"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Yin T., Shi P., Gou S., Shen Q., Wang C. Dendritic Cells Loaded with Pancreatic Cancer Stem Cells (CSCs) Lysates Induce Antitumor Immune Killing Effect In Vitro. PLoS ONE. </w:t>
      </w:r>
      <w:proofErr w:type="gramStart"/>
      <w:r>
        <w:rPr>
          <w:rFonts w:ascii="Arial" w:hAnsi="Arial" w:cs="Arial"/>
          <w:lang w:val="fr-FR"/>
        </w:rPr>
        <w:t>2014;</w:t>
      </w:r>
      <w:proofErr w:type="gramEnd"/>
      <w:r>
        <w:rPr>
          <w:rFonts w:ascii="Arial" w:hAnsi="Arial" w:cs="Arial"/>
          <w:lang w:val="fr-FR"/>
        </w:rPr>
        <w:t xml:space="preserve">9:e114581. </w:t>
      </w:r>
    </w:p>
    <w:p w14:paraId="744FBC72"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Chen L., Rao W., Chen Y., Xie J. In vitro induction of anti-lung cancer immune response by the A549 lung cancer stem cell lysate-sensitized dendritic cell vaccine. Oncol. Lett. 2024;28:550. </w:t>
      </w:r>
    </w:p>
    <w:p w14:paraId="31FD557B"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Hu Y., Lu L., Xia Y., Chen X., Chang A.E., Hollingsworth R.E., Hurt E., Owen J., Moyer J.S., Prince M.E.P., et al. Therapeutic Efficacy of Cancer Stem Cell Vaccines in the Adjuvant Setting. Cancer Res. 2016;76:4661–4672. </w:t>
      </w:r>
    </w:p>
    <w:p w14:paraId="5EC51118"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Hashemi F., Razmi M., Tajik F., Zöller M., Dehghan Manshadi M., Mahdavinezhad F., Tiyuri A., Ghods R., Madjd Z. Efficacy of Whole Cancer Stem Cell-Based Vaccines: A Systematic Review of Preclinical and Clinical Studies. Stem Cells. 2023;41:207–232. </w:t>
      </w:r>
    </w:p>
    <w:p w14:paraId="492DB583"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lastRenderedPageBreak/>
        <w:t xml:space="preserve">Baek B.-S., Park H., Choi J.-W., Lee E.-Y., Youn J.-I., Seong S.-Y. Dendritic cells pulsed with penetratin-OLFM4 inhibit the growth and metastasis of melanoma in mice. Biomed. Pharmacother. 2024;177:117083. </w:t>
      </w:r>
    </w:p>
    <w:p w14:paraId="79993CBA"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Alqarni A., Jasim S.A., Altalbawy F.M.A., Kaur H., Kaur I., Rodriguez-Benites C., Deorari M., Alwaily E.R., Al-Ani A.M., Redhee A.H. Challenges and opportunities for cancer stem cell-targeted immunotherapies include immune checkpoint inhibitor, cancer stem cell-dendritic cell vaccine, chimeric antigen receptor immune cells, and modified exosomes. J. Biochem. Mol. Toxicol. </w:t>
      </w:r>
      <w:proofErr w:type="gramStart"/>
      <w:r>
        <w:rPr>
          <w:rFonts w:ascii="Arial" w:hAnsi="Arial" w:cs="Arial"/>
          <w:lang w:val="fr-FR"/>
        </w:rPr>
        <w:t>2024;</w:t>
      </w:r>
      <w:proofErr w:type="gramEnd"/>
      <w:r>
        <w:rPr>
          <w:rFonts w:ascii="Arial" w:hAnsi="Arial" w:cs="Arial"/>
          <w:lang w:val="fr-FR"/>
        </w:rPr>
        <w:t xml:space="preserve">38:e23719. </w:t>
      </w:r>
    </w:p>
    <w:p w14:paraId="06BB991F"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Hill C.S., Parkinson R., Jaffee E.M., Sugar E., Zheng L., Onners B., Weiss M.J., Wolfgang C.L., Cameron J.L., Pawlik T.M., et al. Phase I Study of Adjuvant Allogeneic GM-CSF-Transduced Pancreatic Tumor Cell Vaccine, Low Dose Cyclophosphamide, and SBRT followed by FFX in High-Risk Resected Pancreatic Ductal Adenocarcinoma. Int. J. Radiat. Oncol. Biol. Phys. 2024 </w:t>
      </w:r>
    </w:p>
    <w:p w14:paraId="65EDDCF4"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Jacobsen E., Plant A., Redd R., Armand P., McDonough M., Ihuoma U., Fisher D.C., Lacasce A., Ritz J., Dranoff G., et al. A phase I trial of vaccination with lethally irradiated lymphoma cells admixed with granulocyte-macrophage colony-stimulating factor secreting K562 cells for the treatment of follicular lymphoma. Leuk. Lymphoma. 2024;65:1864–1874. </w:t>
      </w:r>
    </w:p>
    <w:p w14:paraId="71425A4C"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Nemunaitis J. GVAX (GMCSF gene modified tumor vaccine) in advanced stage non small cell lung cancer. J. Control. Release. 2003;91:225–231. </w:t>
      </w:r>
    </w:p>
    <w:p w14:paraId="198F17C3"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Nemunaitis J., Jahan T., Ross H., Sterman D., Richards D., Fox B., Jablons D., Aimi J., Lin A., Hege K. Phase 1/2 trial of autologous tumor mixed with an allogeneic GVAX® vaccine in advanced-stage non-small-cell lung cancer. Cancer Gene Ther. 2006;13:555–562. </w:t>
      </w:r>
    </w:p>
    <w:p w14:paraId="218F5AF3" w14:textId="77777777" w:rsidR="00C449F4" w:rsidRDefault="00446F3D" w:rsidP="00991A84">
      <w:pPr>
        <w:pStyle w:val="ListParagraph"/>
        <w:numPr>
          <w:ilvl w:val="0"/>
          <w:numId w:val="4"/>
        </w:numPr>
        <w:autoSpaceDE w:val="0"/>
        <w:autoSpaceDN w:val="0"/>
        <w:adjustRightInd w:val="0"/>
        <w:spacing w:after="160" w:line="360" w:lineRule="auto"/>
        <w:jc w:val="both"/>
        <w:rPr>
          <w:rFonts w:ascii="Arial" w:hAnsi="Arial" w:cs="Arial"/>
          <w:lang w:val="fr-FR"/>
        </w:rPr>
      </w:pPr>
      <w:r>
        <w:rPr>
          <w:rFonts w:ascii="Arial" w:hAnsi="Arial" w:cs="Arial"/>
          <w:lang w:val="fr-FR"/>
        </w:rPr>
        <w:t xml:space="preserve">Lutz E., Yeo C.J., Lillemoe K.D., Biedrzycki B., Kobrin B., Herman J., Sugar E., Piantadosi S., Cameron J.L., Solt S., et al. A lethally irradiated allogeneic granulocyte-macrophage colony stimulating factor-secreting tumor vaccine for pancreatic adenocarcinoma. A Phase II trial of safety, efficacy, and immune activation. Ann. Surg. 2011;253:328–335. </w:t>
      </w:r>
    </w:p>
    <w:p w14:paraId="5EECDF0C" w14:textId="77777777" w:rsidR="00C449F4" w:rsidRDefault="00C449F4" w:rsidP="00991A84">
      <w:pPr>
        <w:pStyle w:val="Appendix"/>
        <w:spacing w:after="0"/>
        <w:jc w:val="both"/>
        <w:rPr>
          <w:rFonts w:ascii="Arial" w:hAnsi="Arial" w:cs="Arial"/>
          <w:b w:val="0"/>
        </w:rPr>
      </w:pPr>
    </w:p>
    <w:p w14:paraId="67DC4D50" w14:textId="77777777" w:rsidR="00766993" w:rsidRDefault="00766993" w:rsidP="00991A84">
      <w:pPr>
        <w:pStyle w:val="Appendix"/>
        <w:spacing w:after="0"/>
        <w:jc w:val="both"/>
        <w:rPr>
          <w:rFonts w:ascii="Arial" w:hAnsi="Arial" w:cs="Arial"/>
          <w:b w:val="0"/>
        </w:rPr>
      </w:pPr>
    </w:p>
    <w:p w14:paraId="53E22F92" w14:textId="5A6CC0F3" w:rsidR="00766993" w:rsidRDefault="00766993" w:rsidP="00991A84">
      <w:pPr>
        <w:pStyle w:val="NormalWeb"/>
        <w:numPr>
          <w:ilvl w:val="0"/>
          <w:numId w:val="4"/>
        </w:numPr>
        <w:jc w:val="both"/>
      </w:pPr>
      <w:r>
        <w:t xml:space="preserve">Gulley, J. L., Borre, M., Vogelzang, N. J., Ng, S., Agarwal, N., Parker, C. C., Pook, D. W., Rathenborg, P., Flaig, T. W., Carles, J., Saad, F., Shore, N. D., Chen, L., Heery, C. R., Gerritsen, W. R., Priou, F., Langkilde, N. C., Novikov, A., &amp; Kantoff, P. W. (2019). Phase III trial of PROSTVAC </w:t>
      </w:r>
      <w:r>
        <w:lastRenderedPageBreak/>
        <w:t xml:space="preserve">in asymptomatic or minimally symptomatic metastatic castration-resistant prostate cancer. </w:t>
      </w:r>
      <w:r>
        <w:rPr>
          <w:rStyle w:val="Emphasis"/>
        </w:rPr>
        <w:t>Journal of Clinical Oncology, 37</w:t>
      </w:r>
      <w:r>
        <w:t xml:space="preserve">(13), 1051–1061. </w:t>
      </w:r>
      <w:hyperlink r:id="rId15" w:history="1">
        <w:r w:rsidRPr="004F1230">
          <w:rPr>
            <w:rStyle w:val="Hyperlink"/>
          </w:rPr>
          <w:t>https://doi.org/10.1200/JCO.18.02031</w:t>
        </w:r>
      </w:hyperlink>
    </w:p>
    <w:p w14:paraId="16C851D4" w14:textId="77777777" w:rsidR="00766993" w:rsidRDefault="00766993" w:rsidP="00991A84">
      <w:pPr>
        <w:pStyle w:val="NormalWeb"/>
        <w:jc w:val="both"/>
      </w:pPr>
    </w:p>
    <w:p w14:paraId="2747E688" w14:textId="5C6AB498" w:rsidR="00766993" w:rsidRDefault="00766993" w:rsidP="00991A84">
      <w:pPr>
        <w:pStyle w:val="NormalWeb"/>
        <w:numPr>
          <w:ilvl w:val="0"/>
          <w:numId w:val="4"/>
        </w:numPr>
        <w:jc w:val="both"/>
        <w:rPr>
          <w:rFonts w:ascii="Segoe UI" w:hAnsi="Segoe UI" w:cs="Segoe UI"/>
          <w:color w:val="222222"/>
          <w:shd w:val="clear" w:color="auto" w:fill="FFFFFF"/>
        </w:rPr>
      </w:pPr>
      <w:r>
        <w:t xml:space="preserve">Krysko, D. V., Garg, A. D., Kaczmarek, A., Krysko, O., Agostinis, P., &amp; Vandenabeele, P. (2012). Immunogenic cell death and DAMPs in cancer therapy. </w:t>
      </w:r>
      <w:r>
        <w:rPr>
          <w:rStyle w:val="Emphasis"/>
        </w:rPr>
        <w:t>Nature Reviews Cancer, 12</w:t>
      </w:r>
      <w:r>
        <w:t xml:space="preserve">(12), 860–875. </w:t>
      </w:r>
      <w:hyperlink r:id="rId16" w:history="1">
        <w:r w:rsidRPr="004F1230">
          <w:rPr>
            <w:rStyle w:val="Hyperlink"/>
            <w:rFonts w:ascii="Segoe UI" w:hAnsi="Segoe UI" w:cs="Segoe UI"/>
            <w:shd w:val="clear" w:color="auto" w:fill="FFFFFF"/>
          </w:rPr>
          <w:t>https://doi.org/10.1038/nrc3380</w:t>
        </w:r>
      </w:hyperlink>
    </w:p>
    <w:p w14:paraId="6250A050" w14:textId="77777777" w:rsidR="00766993" w:rsidRDefault="00766993" w:rsidP="00991A84">
      <w:pPr>
        <w:pStyle w:val="NormalWeb"/>
        <w:jc w:val="both"/>
        <w:rPr>
          <w:rFonts w:ascii="Segoe UI" w:hAnsi="Segoe UI" w:cs="Segoe UI"/>
          <w:color w:val="222222"/>
          <w:shd w:val="clear" w:color="auto" w:fill="FFFFFF"/>
        </w:rPr>
      </w:pPr>
    </w:p>
    <w:p w14:paraId="3D498C5B" w14:textId="577E0AD3" w:rsidR="00766993" w:rsidRDefault="00766993" w:rsidP="00991A84">
      <w:pPr>
        <w:pStyle w:val="NormalWeb"/>
        <w:numPr>
          <w:ilvl w:val="0"/>
          <w:numId w:val="4"/>
        </w:numPr>
        <w:jc w:val="both"/>
        <w:rPr>
          <w:rFonts w:ascii="Segoe UI" w:hAnsi="Segoe UI" w:cs="Segoe UI"/>
          <w:color w:val="222222"/>
          <w:shd w:val="clear" w:color="auto" w:fill="FFFFFF"/>
        </w:rPr>
      </w:pPr>
      <w:r w:rsidRPr="00766993">
        <w:rPr>
          <w:rFonts w:ascii="Segoe UI" w:hAnsi="Segoe UI" w:cs="Segoe UI"/>
          <w:color w:val="222222"/>
          <w:shd w:val="clear" w:color="auto" w:fill="FFFFFF"/>
        </w:rPr>
        <w:t>Chen, R., Zou, J., Liu, J., Kang, R., &amp; Tang, D. (2025). DAMPs in the immunogenicity of cell death. Molecular cell, 85(20), 3874-3889.</w:t>
      </w:r>
      <w:r>
        <w:rPr>
          <w:rFonts w:ascii="Segoe UI" w:hAnsi="Segoe UI" w:cs="Segoe UI"/>
          <w:color w:val="222222"/>
          <w:shd w:val="clear" w:color="auto" w:fill="FFFFFF"/>
        </w:rPr>
        <w:t xml:space="preserve"> </w:t>
      </w:r>
      <w:hyperlink r:id="rId17" w:history="1">
        <w:r w:rsidRPr="004F1230">
          <w:rPr>
            <w:rStyle w:val="Hyperlink"/>
            <w:rFonts w:ascii="Segoe UI" w:hAnsi="Segoe UI" w:cs="Segoe UI"/>
            <w:shd w:val="clear" w:color="auto" w:fill="FFFFFF"/>
          </w:rPr>
          <w:t>https://doi.org/10.1016/j.molcel.2025.09.007</w:t>
        </w:r>
      </w:hyperlink>
    </w:p>
    <w:p w14:paraId="6C812681" w14:textId="77777777" w:rsidR="00766993" w:rsidRDefault="00766993" w:rsidP="00991A84">
      <w:pPr>
        <w:pStyle w:val="NormalWeb"/>
        <w:jc w:val="both"/>
      </w:pPr>
    </w:p>
    <w:p w14:paraId="2CF21BB5" w14:textId="654C0E58" w:rsidR="00766993" w:rsidRDefault="00766993" w:rsidP="00991A84">
      <w:pPr>
        <w:pStyle w:val="NormalWeb"/>
        <w:numPr>
          <w:ilvl w:val="0"/>
          <w:numId w:val="4"/>
        </w:numPr>
        <w:jc w:val="both"/>
      </w:pPr>
      <w:r>
        <w:t xml:space="preserve">National Library of Medicine. (n.d.). </w:t>
      </w:r>
      <w:r>
        <w:rPr>
          <w:rStyle w:val="Emphasis"/>
        </w:rPr>
        <w:t>A randomized, double-blind, phase 3 efficacy trial of PROSTVAC-V/F ± GM-CSF in men with asymptomatic or minimally symptomatic metastatic castrate-resistant prostate cancer (NCT01322490)</w:t>
      </w:r>
      <w:r>
        <w:t xml:space="preserve">. </w:t>
      </w:r>
      <w:r>
        <w:rPr>
          <w:rStyle w:val="Emphasis"/>
        </w:rPr>
        <w:t>ClinicalTrials.gov</w:t>
      </w:r>
      <w:r>
        <w:t xml:space="preserve">. Retrieved March 17, 2026, from </w:t>
      </w:r>
      <w:hyperlink r:id="rId18" w:tgtFrame="_new" w:history="1">
        <w:r>
          <w:rPr>
            <w:rStyle w:val="Hyperlink"/>
          </w:rPr>
          <w:t>https://clinicaltrials.gov/study/NCT01322490</w:t>
        </w:r>
      </w:hyperlink>
    </w:p>
    <w:p w14:paraId="5BE33F51" w14:textId="77777777" w:rsidR="00766993" w:rsidRDefault="00766993" w:rsidP="00991A84">
      <w:pPr>
        <w:pStyle w:val="NormalWeb"/>
        <w:jc w:val="both"/>
      </w:pPr>
    </w:p>
    <w:p w14:paraId="5F1DB2CA" w14:textId="3548A067" w:rsidR="00766993" w:rsidRDefault="00766993" w:rsidP="00991A84">
      <w:pPr>
        <w:pStyle w:val="NormalWeb"/>
        <w:numPr>
          <w:ilvl w:val="0"/>
          <w:numId w:val="4"/>
        </w:numPr>
        <w:jc w:val="both"/>
        <w:rPr>
          <w:rStyle w:val="Hyperlink"/>
        </w:rPr>
      </w:pPr>
      <w:r>
        <w:t xml:space="preserve">National Library of Medicine. (n.d.). </w:t>
      </w:r>
      <w:r>
        <w:rPr>
          <w:rStyle w:val="Emphasis"/>
        </w:rPr>
        <w:t>Investigator-initiated clinical trial (phase II) of cancer vaccine “DSP-7888” for acute myeloid leukemia patients (NCT04747002)</w:t>
      </w:r>
      <w:r>
        <w:t xml:space="preserve">. </w:t>
      </w:r>
      <w:r>
        <w:rPr>
          <w:rStyle w:val="Emphasis"/>
        </w:rPr>
        <w:t>ClinicalTrials.gov</w:t>
      </w:r>
      <w:r>
        <w:t xml:space="preserve">. Retrieved March 17, 2026, from </w:t>
      </w:r>
      <w:hyperlink r:id="rId19" w:tgtFrame="_new" w:history="1">
        <w:r>
          <w:rPr>
            <w:rStyle w:val="Hyperlink"/>
          </w:rPr>
          <w:t>https://clinicaltrials.gov/study/NCT04747002</w:t>
        </w:r>
      </w:hyperlink>
    </w:p>
    <w:p w14:paraId="207CEB11" w14:textId="7352BCB2" w:rsidR="002D402E" w:rsidRDefault="002D402E" w:rsidP="00991A84">
      <w:pPr>
        <w:pStyle w:val="NormalWeb"/>
        <w:jc w:val="both"/>
      </w:pPr>
    </w:p>
    <w:p w14:paraId="481DEA7B" w14:textId="39C2E9BE" w:rsidR="002D402E" w:rsidRDefault="002D402E" w:rsidP="00991A84">
      <w:pPr>
        <w:pStyle w:val="NormalWeb"/>
        <w:numPr>
          <w:ilvl w:val="0"/>
          <w:numId w:val="4"/>
        </w:numPr>
        <w:jc w:val="both"/>
      </w:pPr>
      <w:r>
        <w:rPr>
          <w:rFonts w:ascii="Arial" w:hAnsi="Arial" w:cs="Arial"/>
          <w:color w:val="222222"/>
          <w:sz w:val="20"/>
          <w:szCs w:val="20"/>
          <w:shd w:val="clear" w:color="auto" w:fill="FFFFFF"/>
        </w:rPr>
        <w:t>Delgado-Almenta, V., Blaya-Cánovas, J. L., Calahorra, J., López-Tejada, A., Griñán-Lisón, C., &amp; Granados-Principal, S. (2025). Cancer Vaccines and Beyond: The Transformative Role of Nanotechnology in Immunotherapy. </w:t>
      </w:r>
      <w:r>
        <w:rPr>
          <w:rFonts w:ascii="Arial" w:hAnsi="Arial" w:cs="Arial"/>
          <w:i/>
          <w:iCs/>
          <w:color w:val="222222"/>
          <w:sz w:val="20"/>
          <w:szCs w:val="20"/>
          <w:shd w:val="clear" w:color="auto" w:fill="FFFFFF"/>
        </w:rPr>
        <w:t>Pharmaceutics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17</w:t>
      </w:r>
      <w:r>
        <w:rPr>
          <w:rFonts w:ascii="Arial" w:hAnsi="Arial" w:cs="Arial"/>
          <w:color w:val="222222"/>
          <w:sz w:val="20"/>
          <w:szCs w:val="20"/>
          <w:shd w:val="clear" w:color="auto" w:fill="FFFFFF"/>
        </w:rPr>
        <w:t>(2), 216.</w:t>
      </w:r>
    </w:p>
    <w:p w14:paraId="408BB835" w14:textId="77777777" w:rsidR="00766993" w:rsidRDefault="00766993" w:rsidP="00991A84">
      <w:pPr>
        <w:pStyle w:val="Appendix"/>
        <w:spacing w:after="0"/>
        <w:jc w:val="both"/>
        <w:rPr>
          <w:rFonts w:ascii="Arial" w:hAnsi="Arial" w:cs="Arial"/>
          <w:b w:val="0"/>
        </w:rPr>
      </w:pPr>
    </w:p>
    <w:p w14:paraId="688499A5" w14:textId="77777777" w:rsidR="002D402E" w:rsidRDefault="002D402E" w:rsidP="00991A84">
      <w:pPr>
        <w:pStyle w:val="Appendix"/>
        <w:spacing w:after="0"/>
        <w:jc w:val="both"/>
        <w:rPr>
          <w:rFonts w:ascii="Arial" w:hAnsi="Arial" w:cs="Arial"/>
          <w:b w:val="0"/>
        </w:rPr>
      </w:pPr>
    </w:p>
    <w:p w14:paraId="5AD2636A" w14:textId="26AA261B" w:rsidR="002D402E" w:rsidRDefault="002D402E" w:rsidP="00991A84">
      <w:pPr>
        <w:pStyle w:val="Appendix"/>
        <w:spacing w:after="0"/>
        <w:jc w:val="both"/>
        <w:rPr>
          <w:rFonts w:ascii="Arial" w:hAnsi="Arial" w:cs="Arial"/>
          <w:b w:val="0"/>
        </w:rPr>
        <w:sectPr w:rsidR="002D402E">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pPr>
    </w:p>
    <w:p w14:paraId="543CCC86" w14:textId="77777777" w:rsidR="00C449F4" w:rsidRDefault="00C449F4" w:rsidP="00991A84">
      <w:pPr>
        <w:pStyle w:val="Appendix"/>
        <w:spacing w:after="0"/>
        <w:jc w:val="both"/>
        <w:rPr>
          <w:rFonts w:ascii="Arial" w:hAnsi="Arial" w:cs="Arial"/>
          <w:b w:val="0"/>
        </w:rPr>
      </w:pPr>
    </w:p>
    <w:sectPr w:rsidR="00C449F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354E1D" w14:textId="77777777" w:rsidR="001F0235" w:rsidRDefault="001F0235">
      <w:r>
        <w:separator/>
      </w:r>
    </w:p>
  </w:endnote>
  <w:endnote w:type="continuationSeparator" w:id="0">
    <w:p w14:paraId="6367D15E" w14:textId="77777777" w:rsidR="001F0235" w:rsidRDefault="001F0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A17EA" w14:textId="77777777" w:rsidR="00C449F4" w:rsidRDefault="00C449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BF349" w14:textId="77777777" w:rsidR="00C449F4" w:rsidRDefault="00C449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D99EF" w14:textId="77777777" w:rsidR="00C449F4" w:rsidRDefault="00C449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A9E47" w14:textId="77777777" w:rsidR="00C449F4" w:rsidRDefault="00C449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F1859F" w14:textId="77777777" w:rsidR="001F0235" w:rsidRDefault="001F0235">
      <w:r>
        <w:separator/>
      </w:r>
    </w:p>
  </w:footnote>
  <w:footnote w:type="continuationSeparator" w:id="0">
    <w:p w14:paraId="70925020" w14:textId="77777777" w:rsidR="001F0235" w:rsidRDefault="001F0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DC01E" w14:textId="77777777" w:rsidR="00C449F4" w:rsidRDefault="00102E0A">
    <w:pPr>
      <w:pStyle w:val="Header"/>
    </w:pPr>
    <w:r>
      <w:pict w14:anchorId="0813EC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159876" o:spid="_x0000_s2050" type="#_x0000_t136" style="position:absolute;margin-left:0;margin-top:0;width:519.9pt;height:58.65pt;rotation:315;z-index:-25165516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E09DB" w14:textId="77777777" w:rsidR="00C449F4" w:rsidRDefault="00102E0A">
    <w:pPr>
      <w:pStyle w:val="Header"/>
    </w:pPr>
    <w:r>
      <w:pict w14:anchorId="698011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159877" o:spid="_x0000_s2051" type="#_x0000_t136" style="position:absolute;margin-left:0;margin-top:0;width:519.9pt;height:58.65pt;rotation:315;z-index:-25165414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DF38C" w14:textId="77777777" w:rsidR="00C449F4" w:rsidRDefault="00102E0A">
    <w:pPr>
      <w:ind w:left="2160"/>
      <w:jc w:val="center"/>
      <w:rPr>
        <w:rFonts w:ascii="Times New Roman" w:eastAsia="Calibri" w:hAnsi="Times New Roman"/>
        <w:i/>
        <w:sz w:val="18"/>
        <w:szCs w:val="22"/>
      </w:rPr>
    </w:pPr>
    <w:r>
      <w:pict w14:anchorId="2F19E0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159875" o:spid="_x0000_s2049" type="#_x0000_t136" style="position:absolute;left:0;text-align:left;margin-left:0;margin-top:0;width:519.9pt;height:58.65pt;rotation:315;z-index:-25165619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p w14:paraId="56151ED8" w14:textId="77777777" w:rsidR="00C449F4" w:rsidRDefault="00446F3D">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034D2E46" w14:textId="77777777" w:rsidR="00C449F4" w:rsidRDefault="00446F3D">
    <w:pPr>
      <w:jc w:val="center"/>
      <w:rPr>
        <w:rFonts w:ascii="Times New Roman" w:eastAsia="Calibri" w:hAnsi="Times New Roman"/>
        <w:i/>
        <w:sz w:val="18"/>
        <w:szCs w:val="22"/>
      </w:rPr>
    </w:pPr>
    <w:r>
      <w:rPr>
        <w:rFonts w:ascii="Times New Roman" w:eastAsia="Calibri" w:hAnsi="Times New Roman"/>
        <w:i/>
        <w:sz w:val="18"/>
        <w:szCs w:val="22"/>
      </w:rPr>
      <w:t>.</w:t>
    </w:r>
  </w:p>
  <w:p w14:paraId="42F4D2D3" w14:textId="77777777" w:rsidR="00C449F4" w:rsidRDefault="00446F3D">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4548C69D" w14:textId="77777777" w:rsidR="00C449F4" w:rsidRDefault="00446F3D">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13F85D57" w14:textId="77777777" w:rsidR="00C449F4" w:rsidRDefault="00446F3D">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A218016" w14:textId="77777777" w:rsidR="00C449F4" w:rsidRDefault="00446F3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95FCD" w14:textId="77777777" w:rsidR="00C449F4" w:rsidRDefault="00102E0A">
    <w:pPr>
      <w:pStyle w:val="Header"/>
    </w:pPr>
    <w:r>
      <w:pict w14:anchorId="6FD187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159879" o:spid="_x0000_s2053" type="#_x0000_t136" style="position:absolute;margin-left:0;margin-top:0;width:519.9pt;height:58.65pt;rotation:315;z-index:-25165209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AA427" w14:textId="77777777" w:rsidR="00C449F4" w:rsidRDefault="00102E0A">
    <w:pPr>
      <w:pStyle w:val="Header"/>
    </w:pPr>
    <w:r>
      <w:pict w14:anchorId="3A1B24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159880" o:spid="_x0000_s2054" type="#_x0000_t136" style="position:absolute;margin-left:0;margin-top:0;width:519.9pt;height:58.65pt;rotation:315;z-index:-25165107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F39C9" w14:textId="77777777" w:rsidR="00C449F4" w:rsidRDefault="00102E0A">
    <w:pPr>
      <w:pStyle w:val="Header"/>
    </w:pPr>
    <w:r>
      <w:pict w14:anchorId="1532BB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159878" o:spid="_x0000_s2052" type="#_x0000_t136" style="position:absolute;margin-left:0;margin-top:0;width:519.9pt;height:58.65pt;rotation:315;z-index:-251653120;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BD2786"/>
    <w:multiLevelType w:val="multilevel"/>
    <w:tmpl w:val="4CBD2786"/>
    <w:lvl w:ilvl="0">
      <w:start w:val="1"/>
      <w:numFmt w:val="decimal"/>
      <w:lvlText w:val="%1."/>
      <w:lvlJc w:val="left"/>
      <w:pPr>
        <w:ind w:left="360" w:hanging="360"/>
      </w:pPr>
      <w:rPr>
        <w:rFonts w:hint="default"/>
        <w:b/>
        <w:bCs/>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54076192"/>
    <w:multiLevelType w:val="multilevel"/>
    <w:tmpl w:val="5407619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6A494060"/>
    <w:multiLevelType w:val="multilevel"/>
    <w:tmpl w:val="6A4940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activeWritingStyle w:appName="MSWord" w:lang="fr-FR" w:vendorID="64" w:dllVersion="6" w:nlCheck="1" w:checkStyle="0"/>
  <w:activeWritingStyle w:appName="MSWord" w:lang="en-US" w:vendorID="64" w:dllVersion="6" w:nlCheck="1" w:checkStyle="1"/>
  <w:activeWritingStyle w:appName="MSWord" w:lang="en-IN" w:vendorID="64" w:dllVersion="6" w:nlCheck="1" w:checkStyle="1"/>
  <w:activeWritingStyle w:appName="MSWord" w:lang="en-IN" w:vendorID="64" w:dllVersion="4096" w:nlCheck="1" w:checkStyle="0"/>
  <w:activeWritingStyle w:appName="MSWord" w:lang="en-US" w:vendorID="64" w:dllVersion="4096" w:nlCheck="1" w:checkStyle="0"/>
  <w:activeWritingStyle w:appName="MSWord" w:lang="fr-FR" w:vendorID="64" w:dllVersion="4096"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C0NDExMzM3NzcwMjdR0lEKTi0uzszPAykwrgUAQ76Q5SwAAAA="/>
  </w:docVars>
  <w:rsids>
    <w:rsidRoot w:val="00AA6219"/>
    <w:rsid w:val="00000F8F"/>
    <w:rsid w:val="00021CFC"/>
    <w:rsid w:val="00030174"/>
    <w:rsid w:val="0004579C"/>
    <w:rsid w:val="000955E0"/>
    <w:rsid w:val="000A11AC"/>
    <w:rsid w:val="000A47FA"/>
    <w:rsid w:val="000A5E72"/>
    <w:rsid w:val="000A65D3"/>
    <w:rsid w:val="000B0394"/>
    <w:rsid w:val="000B1E33"/>
    <w:rsid w:val="000B50B7"/>
    <w:rsid w:val="000D1514"/>
    <w:rsid w:val="000D689F"/>
    <w:rsid w:val="000E1D6B"/>
    <w:rsid w:val="000E6930"/>
    <w:rsid w:val="000E7B7B"/>
    <w:rsid w:val="000E7D62"/>
    <w:rsid w:val="00102E0A"/>
    <w:rsid w:val="00103357"/>
    <w:rsid w:val="001137DF"/>
    <w:rsid w:val="00123C9F"/>
    <w:rsid w:val="00126190"/>
    <w:rsid w:val="00130F17"/>
    <w:rsid w:val="001320BF"/>
    <w:rsid w:val="00147138"/>
    <w:rsid w:val="00163BC4"/>
    <w:rsid w:val="00191062"/>
    <w:rsid w:val="00192B72"/>
    <w:rsid w:val="00195CE1"/>
    <w:rsid w:val="001A233A"/>
    <w:rsid w:val="001A29D8"/>
    <w:rsid w:val="001A5CAA"/>
    <w:rsid w:val="001B0427"/>
    <w:rsid w:val="001C313A"/>
    <w:rsid w:val="001C76F8"/>
    <w:rsid w:val="001D3A51"/>
    <w:rsid w:val="001E10D2"/>
    <w:rsid w:val="001E25B4"/>
    <w:rsid w:val="001E44FE"/>
    <w:rsid w:val="001F0235"/>
    <w:rsid w:val="001F4BD7"/>
    <w:rsid w:val="00200595"/>
    <w:rsid w:val="00203C6A"/>
    <w:rsid w:val="00204835"/>
    <w:rsid w:val="00225356"/>
    <w:rsid w:val="00231920"/>
    <w:rsid w:val="0023195C"/>
    <w:rsid w:val="0024282C"/>
    <w:rsid w:val="002460DC"/>
    <w:rsid w:val="00250985"/>
    <w:rsid w:val="002556F6"/>
    <w:rsid w:val="00283105"/>
    <w:rsid w:val="00284C4C"/>
    <w:rsid w:val="00287E68"/>
    <w:rsid w:val="00296529"/>
    <w:rsid w:val="002B27FB"/>
    <w:rsid w:val="002B685A"/>
    <w:rsid w:val="002C57D2"/>
    <w:rsid w:val="002D402E"/>
    <w:rsid w:val="002D476E"/>
    <w:rsid w:val="002E0D56"/>
    <w:rsid w:val="00307DB3"/>
    <w:rsid w:val="00315186"/>
    <w:rsid w:val="003303A3"/>
    <w:rsid w:val="0033343E"/>
    <w:rsid w:val="003512C2"/>
    <w:rsid w:val="00371FB6"/>
    <w:rsid w:val="003763C1"/>
    <w:rsid w:val="00376BBE"/>
    <w:rsid w:val="0039224F"/>
    <w:rsid w:val="00393706"/>
    <w:rsid w:val="003A43A4"/>
    <w:rsid w:val="003A7E18"/>
    <w:rsid w:val="003C2A1B"/>
    <w:rsid w:val="003C4C86"/>
    <w:rsid w:val="003C6258"/>
    <w:rsid w:val="003E1730"/>
    <w:rsid w:val="003E2904"/>
    <w:rsid w:val="00401927"/>
    <w:rsid w:val="00402E02"/>
    <w:rsid w:val="0041027F"/>
    <w:rsid w:val="00412475"/>
    <w:rsid w:val="00423789"/>
    <w:rsid w:val="004245CA"/>
    <w:rsid w:val="00434604"/>
    <w:rsid w:val="00435CAA"/>
    <w:rsid w:val="00436078"/>
    <w:rsid w:val="00440F43"/>
    <w:rsid w:val="00441B6F"/>
    <w:rsid w:val="004434DD"/>
    <w:rsid w:val="00446221"/>
    <w:rsid w:val="00446F3D"/>
    <w:rsid w:val="00450E62"/>
    <w:rsid w:val="004539DB"/>
    <w:rsid w:val="00470BF9"/>
    <w:rsid w:val="00471A80"/>
    <w:rsid w:val="00476BAE"/>
    <w:rsid w:val="00493AA9"/>
    <w:rsid w:val="004A76A1"/>
    <w:rsid w:val="004D305E"/>
    <w:rsid w:val="004D4277"/>
    <w:rsid w:val="004E298C"/>
    <w:rsid w:val="004F28F1"/>
    <w:rsid w:val="00502516"/>
    <w:rsid w:val="00505F06"/>
    <w:rsid w:val="00506828"/>
    <w:rsid w:val="0053056E"/>
    <w:rsid w:val="00554FDA"/>
    <w:rsid w:val="005A47B6"/>
    <w:rsid w:val="005C784C"/>
    <w:rsid w:val="005D17F6"/>
    <w:rsid w:val="005E3244"/>
    <w:rsid w:val="005E5539"/>
    <w:rsid w:val="006005E8"/>
    <w:rsid w:val="00602BF5"/>
    <w:rsid w:val="00617FDD"/>
    <w:rsid w:val="00633614"/>
    <w:rsid w:val="00633F68"/>
    <w:rsid w:val="00635094"/>
    <w:rsid w:val="00636EB2"/>
    <w:rsid w:val="006375B8"/>
    <w:rsid w:val="0066510A"/>
    <w:rsid w:val="00673F9F"/>
    <w:rsid w:val="00686953"/>
    <w:rsid w:val="00687DEA"/>
    <w:rsid w:val="00687E67"/>
    <w:rsid w:val="006967F7"/>
    <w:rsid w:val="006A250C"/>
    <w:rsid w:val="006B21D3"/>
    <w:rsid w:val="006B57D0"/>
    <w:rsid w:val="006D30FF"/>
    <w:rsid w:val="006D6940"/>
    <w:rsid w:val="006D71D1"/>
    <w:rsid w:val="006F0D3F"/>
    <w:rsid w:val="006F11EC"/>
    <w:rsid w:val="006F3A7D"/>
    <w:rsid w:val="006F3B08"/>
    <w:rsid w:val="0070082C"/>
    <w:rsid w:val="007065CE"/>
    <w:rsid w:val="007165D0"/>
    <w:rsid w:val="007233F9"/>
    <w:rsid w:val="007369E6"/>
    <w:rsid w:val="007422ED"/>
    <w:rsid w:val="00746E59"/>
    <w:rsid w:val="00754C9A"/>
    <w:rsid w:val="0075599A"/>
    <w:rsid w:val="00761D52"/>
    <w:rsid w:val="00766993"/>
    <w:rsid w:val="0077749E"/>
    <w:rsid w:val="00783084"/>
    <w:rsid w:val="00790ADA"/>
    <w:rsid w:val="00794E0E"/>
    <w:rsid w:val="007A4348"/>
    <w:rsid w:val="007D2288"/>
    <w:rsid w:val="007E088F"/>
    <w:rsid w:val="007F1E17"/>
    <w:rsid w:val="007F69C4"/>
    <w:rsid w:val="007F7B32"/>
    <w:rsid w:val="00804BC2"/>
    <w:rsid w:val="0081431A"/>
    <w:rsid w:val="0083216F"/>
    <w:rsid w:val="00860000"/>
    <w:rsid w:val="00863BD3"/>
    <w:rsid w:val="008641ED"/>
    <w:rsid w:val="00866D66"/>
    <w:rsid w:val="008671C6"/>
    <w:rsid w:val="00874EF0"/>
    <w:rsid w:val="00875803"/>
    <w:rsid w:val="00894B95"/>
    <w:rsid w:val="008B459E"/>
    <w:rsid w:val="008E13AE"/>
    <w:rsid w:val="008E1506"/>
    <w:rsid w:val="008E710C"/>
    <w:rsid w:val="008F69D6"/>
    <w:rsid w:val="00902823"/>
    <w:rsid w:val="00915CA6"/>
    <w:rsid w:val="00927834"/>
    <w:rsid w:val="009305F8"/>
    <w:rsid w:val="009500A6"/>
    <w:rsid w:val="00957C18"/>
    <w:rsid w:val="009659BA"/>
    <w:rsid w:val="00983040"/>
    <w:rsid w:val="00991A84"/>
    <w:rsid w:val="009B3FB9"/>
    <w:rsid w:val="009C2465"/>
    <w:rsid w:val="009D14E2"/>
    <w:rsid w:val="009D35A0"/>
    <w:rsid w:val="009D7EB7"/>
    <w:rsid w:val="009E048A"/>
    <w:rsid w:val="009E08E9"/>
    <w:rsid w:val="009E3DB9"/>
    <w:rsid w:val="009E6E35"/>
    <w:rsid w:val="009F0EDA"/>
    <w:rsid w:val="00A03B96"/>
    <w:rsid w:val="00A05B19"/>
    <w:rsid w:val="00A1134E"/>
    <w:rsid w:val="00A20865"/>
    <w:rsid w:val="00A24E7E"/>
    <w:rsid w:val="00A258C3"/>
    <w:rsid w:val="00A347C0"/>
    <w:rsid w:val="00A51431"/>
    <w:rsid w:val="00A539AD"/>
    <w:rsid w:val="00A72866"/>
    <w:rsid w:val="00A94063"/>
    <w:rsid w:val="00AA6219"/>
    <w:rsid w:val="00AA74E0"/>
    <w:rsid w:val="00AB51DA"/>
    <w:rsid w:val="00AB703F"/>
    <w:rsid w:val="00AC6BB8"/>
    <w:rsid w:val="00AD210B"/>
    <w:rsid w:val="00AD37CA"/>
    <w:rsid w:val="00AE008F"/>
    <w:rsid w:val="00AF20C5"/>
    <w:rsid w:val="00B01FCD"/>
    <w:rsid w:val="00B1776C"/>
    <w:rsid w:val="00B52583"/>
    <w:rsid w:val="00B52896"/>
    <w:rsid w:val="00B92E1F"/>
    <w:rsid w:val="00B95236"/>
    <w:rsid w:val="00B96BD9"/>
    <w:rsid w:val="00BA1B01"/>
    <w:rsid w:val="00BA2641"/>
    <w:rsid w:val="00BA5C08"/>
    <w:rsid w:val="00BB37AA"/>
    <w:rsid w:val="00BC53A0"/>
    <w:rsid w:val="00BE62AD"/>
    <w:rsid w:val="00BE6403"/>
    <w:rsid w:val="00BF121F"/>
    <w:rsid w:val="00BF1F80"/>
    <w:rsid w:val="00C05627"/>
    <w:rsid w:val="00C166EF"/>
    <w:rsid w:val="00C174BE"/>
    <w:rsid w:val="00C17EB0"/>
    <w:rsid w:val="00C27F5F"/>
    <w:rsid w:val="00C30A0F"/>
    <w:rsid w:val="00C37E61"/>
    <w:rsid w:val="00C449F4"/>
    <w:rsid w:val="00C5112D"/>
    <w:rsid w:val="00C545EE"/>
    <w:rsid w:val="00C70F1B"/>
    <w:rsid w:val="00C71A47"/>
    <w:rsid w:val="00C7464C"/>
    <w:rsid w:val="00C85588"/>
    <w:rsid w:val="00C86016"/>
    <w:rsid w:val="00CD6755"/>
    <w:rsid w:val="00CD6856"/>
    <w:rsid w:val="00CE0089"/>
    <w:rsid w:val="00CE793C"/>
    <w:rsid w:val="00CF193C"/>
    <w:rsid w:val="00CF4E59"/>
    <w:rsid w:val="00D173F1"/>
    <w:rsid w:val="00D20CEB"/>
    <w:rsid w:val="00D362F5"/>
    <w:rsid w:val="00D41361"/>
    <w:rsid w:val="00D74CB0"/>
    <w:rsid w:val="00D8295D"/>
    <w:rsid w:val="00DA0D52"/>
    <w:rsid w:val="00DC2A65"/>
    <w:rsid w:val="00DE15F0"/>
    <w:rsid w:val="00DE5663"/>
    <w:rsid w:val="00DE78AA"/>
    <w:rsid w:val="00DF3A76"/>
    <w:rsid w:val="00DF4E1C"/>
    <w:rsid w:val="00DF5949"/>
    <w:rsid w:val="00E053D0"/>
    <w:rsid w:val="00E15994"/>
    <w:rsid w:val="00E3114E"/>
    <w:rsid w:val="00E31A70"/>
    <w:rsid w:val="00E35B02"/>
    <w:rsid w:val="00E66496"/>
    <w:rsid w:val="00E66B35"/>
    <w:rsid w:val="00E66E10"/>
    <w:rsid w:val="00E71D01"/>
    <w:rsid w:val="00E769F6"/>
    <w:rsid w:val="00E82C27"/>
    <w:rsid w:val="00E8407C"/>
    <w:rsid w:val="00E84F3C"/>
    <w:rsid w:val="00E85534"/>
    <w:rsid w:val="00EA012C"/>
    <w:rsid w:val="00EB0EDA"/>
    <w:rsid w:val="00EC547B"/>
    <w:rsid w:val="00EC6A55"/>
    <w:rsid w:val="00ED0288"/>
    <w:rsid w:val="00ED799D"/>
    <w:rsid w:val="00EE52CB"/>
    <w:rsid w:val="00EF4642"/>
    <w:rsid w:val="00EF581D"/>
    <w:rsid w:val="00EF7FD8"/>
    <w:rsid w:val="00F06F59"/>
    <w:rsid w:val="00F17988"/>
    <w:rsid w:val="00F469F0"/>
    <w:rsid w:val="00F53273"/>
    <w:rsid w:val="00F543A4"/>
    <w:rsid w:val="00F608F1"/>
    <w:rsid w:val="00F60A8E"/>
    <w:rsid w:val="00F755E4"/>
    <w:rsid w:val="00F77D02"/>
    <w:rsid w:val="00FA6380"/>
    <w:rsid w:val="00FB3A86"/>
    <w:rsid w:val="00FD36C8"/>
    <w:rsid w:val="027250AC"/>
    <w:rsid w:val="09035DAC"/>
  </w:rsids>
  <m:mathPr>
    <m:mathFont m:val="Cambria Math"/>
    <m:brkBin m:val="before"/>
    <m:brkBinSub m:val="--"/>
    <m:smallFrac m:val="0"/>
    <m:dispDef/>
    <m:lMargin m:val="0"/>
    <m:rMargin m:val="0"/>
    <m:defJc m:val="centerGroup"/>
    <m:wrapIndent m:val="1440"/>
    <m:intLim m:val="subSup"/>
    <m:naryLim m:val="undOvr"/>
  </m:mathPr>
  <w:themeFontLang w:val="en-US" w:eastAsia="zh-C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30F716DF"/>
  <w15:docId w15:val="{E7D529F9-2463-4B37-99DF-CFF4090AE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te-IN"/>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lang w:val="en-US" w:eastAsia="en-US" w:bidi="ar-SA"/>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rPr>
      <w:color w:val="800080"/>
      <w:u w:val="single"/>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rPr>
      <w:color w:val="FF0080"/>
      <w:u w:val="single"/>
    </w:rPr>
  </w:style>
  <w:style w:type="character" w:styleId="LineNumber">
    <w:name w:val="line number"/>
    <w:basedOn w:val="DefaultParagraphFont"/>
  </w:style>
  <w:style w:type="paragraph" w:styleId="NormalWeb">
    <w:name w:val="Normal (Web)"/>
    <w:basedOn w:val="Normal"/>
    <w:uiPriority w:val="99"/>
    <w:semiHidden/>
    <w:unhideWhenUsed/>
    <w:rPr>
      <w:rFonts w:ascii="Times New Roman" w:hAnsi="Times New Roman"/>
      <w:sz w:val="24"/>
      <w:szCs w:val="24"/>
    </w:rPr>
  </w:style>
  <w:style w:type="paragraph" w:styleId="Signature">
    <w:name w:val="Signature"/>
    <w:basedOn w:val="Normal"/>
    <w:pPr>
      <w:ind w:left="4320"/>
    </w:pPr>
  </w:style>
  <w:style w:type="table" w:styleId="TableGrid">
    <w:name w:val="Table Grid"/>
    <w:basedOn w:val="TableNormal"/>
    <w:uiPriority w:val="3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MainHead">
    <w:name w:val="Main Head"/>
    <w:basedOn w:val="Normal"/>
    <w:pPr>
      <w:keepNext/>
      <w:spacing w:after="240"/>
    </w:pPr>
    <w:rPr>
      <w:b/>
      <w:caps/>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2">
    <w:name w:val="Head2"/>
    <w:basedOn w:val="Normal"/>
    <w:next w:val="Body"/>
    <w:pPr>
      <w:keepNext/>
      <w:spacing w:after="240"/>
    </w:pPr>
    <w:rPr>
      <w:caps/>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customStyle="1" w:styleId="Head40">
    <w:name w:val="Head 4"/>
    <w:basedOn w:val="Head3"/>
    <w:rPr>
      <w:u w:val="none"/>
    </w:rPr>
  </w:style>
  <w:style w:type="paragraph" w:customStyle="1" w:styleId="Paper">
    <w:name w:val="Paper"/>
    <w:basedOn w:val="Normal"/>
    <w:pPr>
      <w:spacing w:after="360" w:line="440" w:lineRule="exact"/>
      <w:jc w:val="right"/>
    </w:pPr>
    <w:rPr>
      <w:b/>
      <w:sz w:val="36"/>
    </w:r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customStyle="1" w:styleId="BodyText2Char">
    <w:name w:val="Body Text 2 Char"/>
    <w:basedOn w:val="DefaultParagraphFont"/>
    <w:link w:val="BodyText2"/>
    <w:rPr>
      <w:rFonts w:ascii="Helvetica" w:hAnsi="Helvetica"/>
    </w:rPr>
  </w:style>
  <w:style w:type="character" w:customStyle="1" w:styleId="CommentTextChar">
    <w:name w:val="Comment Text Char"/>
    <w:basedOn w:val="DefaultParagraphFont"/>
    <w:link w:val="CommentText"/>
    <w:uiPriority w:val="99"/>
    <w:rPr>
      <w:lang w:val="nb-NO" w:eastAsia="nb-NO"/>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table" w:customStyle="1" w:styleId="PlainTable21">
    <w:name w:val="Plain Table 21"/>
    <w:basedOn w:val="TableNormal"/>
    <w:uiPriority w:val="42"/>
    <w:rPr>
      <w:rFonts w:ascii="Calibri" w:hAnsi="Calibri"/>
      <w:lang w:val="tr-TR" w:eastAsia="tr-TR"/>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ommentSubject">
    <w:name w:val="annotation subject"/>
    <w:basedOn w:val="CommentText"/>
    <w:next w:val="CommentText"/>
    <w:link w:val="CommentSubjectChar"/>
    <w:semiHidden/>
    <w:unhideWhenUsed/>
    <w:rsid w:val="006005E8"/>
    <w:rPr>
      <w:rFonts w:ascii="Helvetica" w:hAnsi="Helvetica"/>
      <w:b/>
      <w:bCs/>
      <w:lang w:val="en-US" w:eastAsia="en-US"/>
    </w:rPr>
  </w:style>
  <w:style w:type="character" w:customStyle="1" w:styleId="CommentSubjectChar">
    <w:name w:val="Comment Subject Char"/>
    <w:basedOn w:val="CommentTextChar"/>
    <w:link w:val="CommentSubject"/>
    <w:semiHidden/>
    <w:rsid w:val="006005E8"/>
    <w:rPr>
      <w:rFonts w:ascii="Helvetica" w:eastAsia="Times New Roman" w:hAnsi="Helvetica"/>
      <w:b/>
      <w:bCs/>
      <w:lang w:val="en-US" w:eastAsia="en-US" w:bidi="ar-SA"/>
    </w:rPr>
  </w:style>
  <w:style w:type="character" w:customStyle="1" w:styleId="UnresolvedMention2">
    <w:name w:val="Unresolved Mention2"/>
    <w:basedOn w:val="DefaultParagraphFont"/>
    <w:uiPriority w:val="99"/>
    <w:semiHidden/>
    <w:unhideWhenUsed/>
    <w:rsid w:val="00766993"/>
    <w:rPr>
      <w:color w:val="605E5C"/>
      <w:shd w:val="clear" w:color="auto" w:fill="E1DFDD"/>
    </w:rPr>
  </w:style>
  <w:style w:type="character" w:styleId="Strong">
    <w:name w:val="Strong"/>
    <w:basedOn w:val="DefaultParagraphFont"/>
    <w:uiPriority w:val="22"/>
    <w:qFormat/>
    <w:rsid w:val="000E69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258014">
      <w:bodyDiv w:val="1"/>
      <w:marLeft w:val="0"/>
      <w:marRight w:val="0"/>
      <w:marTop w:val="0"/>
      <w:marBottom w:val="0"/>
      <w:divBdr>
        <w:top w:val="none" w:sz="0" w:space="0" w:color="auto"/>
        <w:left w:val="none" w:sz="0" w:space="0" w:color="auto"/>
        <w:bottom w:val="none" w:sz="0" w:space="0" w:color="auto"/>
        <w:right w:val="none" w:sz="0" w:space="0" w:color="auto"/>
      </w:divBdr>
    </w:div>
    <w:div w:id="201989993">
      <w:bodyDiv w:val="1"/>
      <w:marLeft w:val="0"/>
      <w:marRight w:val="0"/>
      <w:marTop w:val="0"/>
      <w:marBottom w:val="0"/>
      <w:divBdr>
        <w:top w:val="none" w:sz="0" w:space="0" w:color="auto"/>
        <w:left w:val="none" w:sz="0" w:space="0" w:color="auto"/>
        <w:bottom w:val="none" w:sz="0" w:space="0" w:color="auto"/>
        <w:right w:val="none" w:sz="0" w:space="0" w:color="auto"/>
      </w:divBdr>
    </w:div>
    <w:div w:id="266540938">
      <w:bodyDiv w:val="1"/>
      <w:marLeft w:val="0"/>
      <w:marRight w:val="0"/>
      <w:marTop w:val="0"/>
      <w:marBottom w:val="0"/>
      <w:divBdr>
        <w:top w:val="none" w:sz="0" w:space="0" w:color="auto"/>
        <w:left w:val="none" w:sz="0" w:space="0" w:color="auto"/>
        <w:bottom w:val="none" w:sz="0" w:space="0" w:color="auto"/>
        <w:right w:val="none" w:sz="0" w:space="0" w:color="auto"/>
      </w:divBdr>
    </w:div>
    <w:div w:id="325475974">
      <w:bodyDiv w:val="1"/>
      <w:marLeft w:val="0"/>
      <w:marRight w:val="0"/>
      <w:marTop w:val="0"/>
      <w:marBottom w:val="0"/>
      <w:divBdr>
        <w:top w:val="none" w:sz="0" w:space="0" w:color="auto"/>
        <w:left w:val="none" w:sz="0" w:space="0" w:color="auto"/>
        <w:bottom w:val="none" w:sz="0" w:space="0" w:color="auto"/>
        <w:right w:val="none" w:sz="0" w:space="0" w:color="auto"/>
      </w:divBdr>
    </w:div>
    <w:div w:id="407700695">
      <w:bodyDiv w:val="1"/>
      <w:marLeft w:val="0"/>
      <w:marRight w:val="0"/>
      <w:marTop w:val="0"/>
      <w:marBottom w:val="0"/>
      <w:divBdr>
        <w:top w:val="none" w:sz="0" w:space="0" w:color="auto"/>
        <w:left w:val="none" w:sz="0" w:space="0" w:color="auto"/>
        <w:bottom w:val="none" w:sz="0" w:space="0" w:color="auto"/>
        <w:right w:val="none" w:sz="0" w:space="0" w:color="auto"/>
      </w:divBdr>
      <w:divsChild>
        <w:div w:id="320473226">
          <w:marLeft w:val="0"/>
          <w:marRight w:val="0"/>
          <w:marTop w:val="0"/>
          <w:marBottom w:val="0"/>
          <w:divBdr>
            <w:top w:val="none" w:sz="0" w:space="0" w:color="auto"/>
            <w:left w:val="none" w:sz="0" w:space="0" w:color="auto"/>
            <w:bottom w:val="none" w:sz="0" w:space="0" w:color="auto"/>
            <w:right w:val="none" w:sz="0" w:space="0" w:color="auto"/>
          </w:divBdr>
          <w:divsChild>
            <w:div w:id="682590064">
              <w:marLeft w:val="0"/>
              <w:marRight w:val="0"/>
              <w:marTop w:val="0"/>
              <w:marBottom w:val="0"/>
              <w:divBdr>
                <w:top w:val="none" w:sz="0" w:space="0" w:color="auto"/>
                <w:left w:val="none" w:sz="0" w:space="0" w:color="auto"/>
                <w:bottom w:val="none" w:sz="0" w:space="0" w:color="auto"/>
                <w:right w:val="none" w:sz="0" w:space="0" w:color="auto"/>
              </w:divBdr>
              <w:divsChild>
                <w:div w:id="596598945">
                  <w:marLeft w:val="0"/>
                  <w:marRight w:val="0"/>
                  <w:marTop w:val="0"/>
                  <w:marBottom w:val="0"/>
                  <w:divBdr>
                    <w:top w:val="none" w:sz="0" w:space="0" w:color="auto"/>
                    <w:left w:val="none" w:sz="0" w:space="0" w:color="auto"/>
                    <w:bottom w:val="none" w:sz="0" w:space="0" w:color="auto"/>
                    <w:right w:val="none" w:sz="0" w:space="0" w:color="auto"/>
                  </w:divBdr>
                  <w:divsChild>
                    <w:div w:id="1840466396">
                      <w:marLeft w:val="0"/>
                      <w:marRight w:val="0"/>
                      <w:marTop w:val="0"/>
                      <w:marBottom w:val="0"/>
                      <w:divBdr>
                        <w:top w:val="none" w:sz="0" w:space="0" w:color="auto"/>
                        <w:left w:val="none" w:sz="0" w:space="0" w:color="auto"/>
                        <w:bottom w:val="none" w:sz="0" w:space="0" w:color="auto"/>
                        <w:right w:val="none" w:sz="0" w:space="0" w:color="auto"/>
                      </w:divBdr>
                      <w:divsChild>
                        <w:div w:id="1596285044">
                          <w:marLeft w:val="0"/>
                          <w:marRight w:val="0"/>
                          <w:marTop w:val="0"/>
                          <w:marBottom w:val="0"/>
                          <w:divBdr>
                            <w:top w:val="none" w:sz="0" w:space="0" w:color="auto"/>
                            <w:left w:val="none" w:sz="0" w:space="0" w:color="auto"/>
                            <w:bottom w:val="none" w:sz="0" w:space="0" w:color="auto"/>
                            <w:right w:val="none" w:sz="0" w:space="0" w:color="auto"/>
                          </w:divBdr>
                          <w:divsChild>
                            <w:div w:id="624116049">
                              <w:marLeft w:val="0"/>
                              <w:marRight w:val="0"/>
                              <w:marTop w:val="0"/>
                              <w:marBottom w:val="0"/>
                              <w:divBdr>
                                <w:top w:val="none" w:sz="0" w:space="0" w:color="auto"/>
                                <w:left w:val="none" w:sz="0" w:space="0" w:color="auto"/>
                                <w:bottom w:val="none" w:sz="0" w:space="0" w:color="auto"/>
                                <w:right w:val="none" w:sz="0" w:space="0" w:color="auto"/>
                              </w:divBdr>
                              <w:divsChild>
                                <w:div w:id="66428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2064544">
      <w:bodyDiv w:val="1"/>
      <w:marLeft w:val="0"/>
      <w:marRight w:val="0"/>
      <w:marTop w:val="0"/>
      <w:marBottom w:val="0"/>
      <w:divBdr>
        <w:top w:val="none" w:sz="0" w:space="0" w:color="auto"/>
        <w:left w:val="none" w:sz="0" w:space="0" w:color="auto"/>
        <w:bottom w:val="none" w:sz="0" w:space="0" w:color="auto"/>
        <w:right w:val="none" w:sz="0" w:space="0" w:color="auto"/>
      </w:divBdr>
    </w:div>
    <w:div w:id="1001200673">
      <w:bodyDiv w:val="1"/>
      <w:marLeft w:val="0"/>
      <w:marRight w:val="0"/>
      <w:marTop w:val="0"/>
      <w:marBottom w:val="0"/>
      <w:divBdr>
        <w:top w:val="none" w:sz="0" w:space="0" w:color="auto"/>
        <w:left w:val="none" w:sz="0" w:space="0" w:color="auto"/>
        <w:bottom w:val="none" w:sz="0" w:space="0" w:color="auto"/>
        <w:right w:val="none" w:sz="0" w:space="0" w:color="auto"/>
      </w:divBdr>
      <w:divsChild>
        <w:div w:id="537819473">
          <w:marLeft w:val="0"/>
          <w:marRight w:val="0"/>
          <w:marTop w:val="0"/>
          <w:marBottom w:val="0"/>
          <w:divBdr>
            <w:top w:val="none" w:sz="0" w:space="0" w:color="auto"/>
            <w:left w:val="none" w:sz="0" w:space="0" w:color="auto"/>
            <w:bottom w:val="none" w:sz="0" w:space="0" w:color="auto"/>
            <w:right w:val="none" w:sz="0" w:space="0" w:color="auto"/>
          </w:divBdr>
          <w:divsChild>
            <w:div w:id="235825310">
              <w:marLeft w:val="0"/>
              <w:marRight w:val="0"/>
              <w:marTop w:val="0"/>
              <w:marBottom w:val="0"/>
              <w:divBdr>
                <w:top w:val="none" w:sz="0" w:space="0" w:color="auto"/>
                <w:left w:val="none" w:sz="0" w:space="0" w:color="auto"/>
                <w:bottom w:val="none" w:sz="0" w:space="0" w:color="auto"/>
                <w:right w:val="none" w:sz="0" w:space="0" w:color="auto"/>
              </w:divBdr>
              <w:divsChild>
                <w:div w:id="1173031046">
                  <w:marLeft w:val="0"/>
                  <w:marRight w:val="0"/>
                  <w:marTop w:val="0"/>
                  <w:marBottom w:val="0"/>
                  <w:divBdr>
                    <w:top w:val="none" w:sz="0" w:space="0" w:color="auto"/>
                    <w:left w:val="none" w:sz="0" w:space="0" w:color="auto"/>
                    <w:bottom w:val="none" w:sz="0" w:space="0" w:color="auto"/>
                    <w:right w:val="none" w:sz="0" w:space="0" w:color="auto"/>
                  </w:divBdr>
                  <w:divsChild>
                    <w:div w:id="396902987">
                      <w:marLeft w:val="0"/>
                      <w:marRight w:val="0"/>
                      <w:marTop w:val="0"/>
                      <w:marBottom w:val="0"/>
                      <w:divBdr>
                        <w:top w:val="none" w:sz="0" w:space="0" w:color="auto"/>
                        <w:left w:val="none" w:sz="0" w:space="0" w:color="auto"/>
                        <w:bottom w:val="none" w:sz="0" w:space="0" w:color="auto"/>
                        <w:right w:val="none" w:sz="0" w:space="0" w:color="auto"/>
                      </w:divBdr>
                      <w:divsChild>
                        <w:div w:id="635529200">
                          <w:marLeft w:val="0"/>
                          <w:marRight w:val="0"/>
                          <w:marTop w:val="0"/>
                          <w:marBottom w:val="0"/>
                          <w:divBdr>
                            <w:top w:val="none" w:sz="0" w:space="0" w:color="auto"/>
                            <w:left w:val="none" w:sz="0" w:space="0" w:color="auto"/>
                            <w:bottom w:val="none" w:sz="0" w:space="0" w:color="auto"/>
                            <w:right w:val="none" w:sz="0" w:space="0" w:color="auto"/>
                          </w:divBdr>
                          <w:divsChild>
                            <w:div w:id="1631278651">
                              <w:marLeft w:val="0"/>
                              <w:marRight w:val="0"/>
                              <w:marTop w:val="0"/>
                              <w:marBottom w:val="0"/>
                              <w:divBdr>
                                <w:top w:val="none" w:sz="0" w:space="0" w:color="auto"/>
                                <w:left w:val="none" w:sz="0" w:space="0" w:color="auto"/>
                                <w:bottom w:val="none" w:sz="0" w:space="0" w:color="auto"/>
                                <w:right w:val="none" w:sz="0" w:space="0" w:color="auto"/>
                              </w:divBdr>
                              <w:divsChild>
                                <w:div w:id="129193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8896998">
      <w:bodyDiv w:val="1"/>
      <w:marLeft w:val="0"/>
      <w:marRight w:val="0"/>
      <w:marTop w:val="0"/>
      <w:marBottom w:val="0"/>
      <w:divBdr>
        <w:top w:val="none" w:sz="0" w:space="0" w:color="auto"/>
        <w:left w:val="none" w:sz="0" w:space="0" w:color="auto"/>
        <w:bottom w:val="none" w:sz="0" w:space="0" w:color="auto"/>
        <w:right w:val="none" w:sz="0" w:space="0" w:color="auto"/>
      </w:divBdr>
    </w:div>
    <w:div w:id="1191528221">
      <w:bodyDiv w:val="1"/>
      <w:marLeft w:val="0"/>
      <w:marRight w:val="0"/>
      <w:marTop w:val="0"/>
      <w:marBottom w:val="0"/>
      <w:divBdr>
        <w:top w:val="none" w:sz="0" w:space="0" w:color="auto"/>
        <w:left w:val="none" w:sz="0" w:space="0" w:color="auto"/>
        <w:bottom w:val="none" w:sz="0" w:space="0" w:color="auto"/>
        <w:right w:val="none" w:sz="0" w:space="0" w:color="auto"/>
      </w:divBdr>
    </w:div>
    <w:div w:id="1201161793">
      <w:bodyDiv w:val="1"/>
      <w:marLeft w:val="0"/>
      <w:marRight w:val="0"/>
      <w:marTop w:val="0"/>
      <w:marBottom w:val="0"/>
      <w:divBdr>
        <w:top w:val="none" w:sz="0" w:space="0" w:color="auto"/>
        <w:left w:val="none" w:sz="0" w:space="0" w:color="auto"/>
        <w:bottom w:val="none" w:sz="0" w:space="0" w:color="auto"/>
        <w:right w:val="none" w:sz="0" w:space="0" w:color="auto"/>
      </w:divBdr>
      <w:divsChild>
        <w:div w:id="831526415">
          <w:marLeft w:val="0"/>
          <w:marRight w:val="0"/>
          <w:marTop w:val="0"/>
          <w:marBottom w:val="0"/>
          <w:divBdr>
            <w:top w:val="none" w:sz="0" w:space="0" w:color="auto"/>
            <w:left w:val="none" w:sz="0" w:space="0" w:color="auto"/>
            <w:bottom w:val="none" w:sz="0" w:space="0" w:color="auto"/>
            <w:right w:val="none" w:sz="0" w:space="0" w:color="auto"/>
          </w:divBdr>
          <w:divsChild>
            <w:div w:id="2001350694">
              <w:marLeft w:val="0"/>
              <w:marRight w:val="0"/>
              <w:marTop w:val="0"/>
              <w:marBottom w:val="0"/>
              <w:divBdr>
                <w:top w:val="none" w:sz="0" w:space="0" w:color="auto"/>
                <w:left w:val="none" w:sz="0" w:space="0" w:color="auto"/>
                <w:bottom w:val="none" w:sz="0" w:space="0" w:color="auto"/>
                <w:right w:val="none" w:sz="0" w:space="0" w:color="auto"/>
              </w:divBdr>
              <w:divsChild>
                <w:div w:id="301616753">
                  <w:marLeft w:val="0"/>
                  <w:marRight w:val="0"/>
                  <w:marTop w:val="0"/>
                  <w:marBottom w:val="0"/>
                  <w:divBdr>
                    <w:top w:val="none" w:sz="0" w:space="0" w:color="auto"/>
                    <w:left w:val="none" w:sz="0" w:space="0" w:color="auto"/>
                    <w:bottom w:val="none" w:sz="0" w:space="0" w:color="auto"/>
                    <w:right w:val="none" w:sz="0" w:space="0" w:color="auto"/>
                  </w:divBdr>
                  <w:divsChild>
                    <w:div w:id="1121993800">
                      <w:marLeft w:val="0"/>
                      <w:marRight w:val="0"/>
                      <w:marTop w:val="0"/>
                      <w:marBottom w:val="0"/>
                      <w:divBdr>
                        <w:top w:val="none" w:sz="0" w:space="0" w:color="auto"/>
                        <w:left w:val="none" w:sz="0" w:space="0" w:color="auto"/>
                        <w:bottom w:val="none" w:sz="0" w:space="0" w:color="auto"/>
                        <w:right w:val="none" w:sz="0" w:space="0" w:color="auto"/>
                      </w:divBdr>
                      <w:divsChild>
                        <w:div w:id="672728113">
                          <w:marLeft w:val="0"/>
                          <w:marRight w:val="0"/>
                          <w:marTop w:val="0"/>
                          <w:marBottom w:val="0"/>
                          <w:divBdr>
                            <w:top w:val="none" w:sz="0" w:space="0" w:color="auto"/>
                            <w:left w:val="none" w:sz="0" w:space="0" w:color="auto"/>
                            <w:bottom w:val="none" w:sz="0" w:space="0" w:color="auto"/>
                            <w:right w:val="none" w:sz="0" w:space="0" w:color="auto"/>
                          </w:divBdr>
                          <w:divsChild>
                            <w:div w:id="1807775677">
                              <w:marLeft w:val="0"/>
                              <w:marRight w:val="0"/>
                              <w:marTop w:val="0"/>
                              <w:marBottom w:val="0"/>
                              <w:divBdr>
                                <w:top w:val="none" w:sz="0" w:space="0" w:color="auto"/>
                                <w:left w:val="none" w:sz="0" w:space="0" w:color="auto"/>
                                <w:bottom w:val="none" w:sz="0" w:space="0" w:color="auto"/>
                                <w:right w:val="none" w:sz="0" w:space="0" w:color="auto"/>
                              </w:divBdr>
                              <w:divsChild>
                                <w:div w:id="74773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3158323">
      <w:bodyDiv w:val="1"/>
      <w:marLeft w:val="0"/>
      <w:marRight w:val="0"/>
      <w:marTop w:val="0"/>
      <w:marBottom w:val="0"/>
      <w:divBdr>
        <w:top w:val="none" w:sz="0" w:space="0" w:color="auto"/>
        <w:left w:val="none" w:sz="0" w:space="0" w:color="auto"/>
        <w:bottom w:val="none" w:sz="0" w:space="0" w:color="auto"/>
        <w:right w:val="none" w:sz="0" w:space="0" w:color="auto"/>
      </w:divBdr>
    </w:div>
    <w:div w:id="1450196082">
      <w:bodyDiv w:val="1"/>
      <w:marLeft w:val="0"/>
      <w:marRight w:val="0"/>
      <w:marTop w:val="0"/>
      <w:marBottom w:val="0"/>
      <w:divBdr>
        <w:top w:val="none" w:sz="0" w:space="0" w:color="auto"/>
        <w:left w:val="none" w:sz="0" w:space="0" w:color="auto"/>
        <w:bottom w:val="none" w:sz="0" w:space="0" w:color="auto"/>
        <w:right w:val="none" w:sz="0" w:space="0" w:color="auto"/>
      </w:divBdr>
    </w:div>
    <w:div w:id="1498110689">
      <w:bodyDiv w:val="1"/>
      <w:marLeft w:val="0"/>
      <w:marRight w:val="0"/>
      <w:marTop w:val="0"/>
      <w:marBottom w:val="0"/>
      <w:divBdr>
        <w:top w:val="none" w:sz="0" w:space="0" w:color="auto"/>
        <w:left w:val="none" w:sz="0" w:space="0" w:color="auto"/>
        <w:bottom w:val="none" w:sz="0" w:space="0" w:color="auto"/>
        <w:right w:val="none" w:sz="0" w:space="0" w:color="auto"/>
      </w:divBdr>
    </w:div>
    <w:div w:id="1548222675">
      <w:bodyDiv w:val="1"/>
      <w:marLeft w:val="0"/>
      <w:marRight w:val="0"/>
      <w:marTop w:val="0"/>
      <w:marBottom w:val="0"/>
      <w:divBdr>
        <w:top w:val="none" w:sz="0" w:space="0" w:color="auto"/>
        <w:left w:val="none" w:sz="0" w:space="0" w:color="auto"/>
        <w:bottom w:val="none" w:sz="0" w:space="0" w:color="auto"/>
        <w:right w:val="none" w:sz="0" w:space="0" w:color="auto"/>
      </w:divBdr>
    </w:div>
    <w:div w:id="1656832870">
      <w:bodyDiv w:val="1"/>
      <w:marLeft w:val="0"/>
      <w:marRight w:val="0"/>
      <w:marTop w:val="0"/>
      <w:marBottom w:val="0"/>
      <w:divBdr>
        <w:top w:val="none" w:sz="0" w:space="0" w:color="auto"/>
        <w:left w:val="none" w:sz="0" w:space="0" w:color="auto"/>
        <w:bottom w:val="none" w:sz="0" w:space="0" w:color="auto"/>
        <w:right w:val="none" w:sz="0" w:space="0" w:color="auto"/>
      </w:divBdr>
    </w:div>
    <w:div w:id="1684818110">
      <w:bodyDiv w:val="1"/>
      <w:marLeft w:val="0"/>
      <w:marRight w:val="0"/>
      <w:marTop w:val="0"/>
      <w:marBottom w:val="0"/>
      <w:divBdr>
        <w:top w:val="none" w:sz="0" w:space="0" w:color="auto"/>
        <w:left w:val="none" w:sz="0" w:space="0" w:color="auto"/>
        <w:bottom w:val="none" w:sz="0" w:space="0" w:color="auto"/>
        <w:right w:val="none" w:sz="0" w:space="0" w:color="auto"/>
      </w:divBdr>
    </w:div>
    <w:div w:id="1694068532">
      <w:bodyDiv w:val="1"/>
      <w:marLeft w:val="0"/>
      <w:marRight w:val="0"/>
      <w:marTop w:val="0"/>
      <w:marBottom w:val="0"/>
      <w:divBdr>
        <w:top w:val="none" w:sz="0" w:space="0" w:color="auto"/>
        <w:left w:val="none" w:sz="0" w:space="0" w:color="auto"/>
        <w:bottom w:val="none" w:sz="0" w:space="0" w:color="auto"/>
        <w:right w:val="none" w:sz="0" w:space="0" w:color="auto"/>
      </w:divBdr>
      <w:divsChild>
        <w:div w:id="2062439165">
          <w:marLeft w:val="0"/>
          <w:marRight w:val="0"/>
          <w:marTop w:val="0"/>
          <w:marBottom w:val="0"/>
          <w:divBdr>
            <w:top w:val="none" w:sz="0" w:space="0" w:color="auto"/>
            <w:left w:val="none" w:sz="0" w:space="0" w:color="auto"/>
            <w:bottom w:val="none" w:sz="0" w:space="0" w:color="auto"/>
            <w:right w:val="none" w:sz="0" w:space="0" w:color="auto"/>
          </w:divBdr>
          <w:divsChild>
            <w:div w:id="1939361170">
              <w:marLeft w:val="0"/>
              <w:marRight w:val="0"/>
              <w:marTop w:val="0"/>
              <w:marBottom w:val="0"/>
              <w:divBdr>
                <w:top w:val="none" w:sz="0" w:space="0" w:color="auto"/>
                <w:left w:val="none" w:sz="0" w:space="0" w:color="auto"/>
                <w:bottom w:val="none" w:sz="0" w:space="0" w:color="auto"/>
                <w:right w:val="none" w:sz="0" w:space="0" w:color="auto"/>
              </w:divBdr>
              <w:divsChild>
                <w:div w:id="1977561198">
                  <w:marLeft w:val="0"/>
                  <w:marRight w:val="0"/>
                  <w:marTop w:val="0"/>
                  <w:marBottom w:val="0"/>
                  <w:divBdr>
                    <w:top w:val="none" w:sz="0" w:space="0" w:color="auto"/>
                    <w:left w:val="none" w:sz="0" w:space="0" w:color="auto"/>
                    <w:bottom w:val="none" w:sz="0" w:space="0" w:color="auto"/>
                    <w:right w:val="none" w:sz="0" w:space="0" w:color="auto"/>
                  </w:divBdr>
                  <w:divsChild>
                    <w:div w:id="1630891285">
                      <w:marLeft w:val="0"/>
                      <w:marRight w:val="0"/>
                      <w:marTop w:val="0"/>
                      <w:marBottom w:val="0"/>
                      <w:divBdr>
                        <w:top w:val="none" w:sz="0" w:space="0" w:color="auto"/>
                        <w:left w:val="none" w:sz="0" w:space="0" w:color="auto"/>
                        <w:bottom w:val="none" w:sz="0" w:space="0" w:color="auto"/>
                        <w:right w:val="none" w:sz="0" w:space="0" w:color="auto"/>
                      </w:divBdr>
                      <w:divsChild>
                        <w:div w:id="1153522230">
                          <w:marLeft w:val="0"/>
                          <w:marRight w:val="0"/>
                          <w:marTop w:val="0"/>
                          <w:marBottom w:val="0"/>
                          <w:divBdr>
                            <w:top w:val="none" w:sz="0" w:space="0" w:color="auto"/>
                            <w:left w:val="none" w:sz="0" w:space="0" w:color="auto"/>
                            <w:bottom w:val="none" w:sz="0" w:space="0" w:color="auto"/>
                            <w:right w:val="none" w:sz="0" w:space="0" w:color="auto"/>
                          </w:divBdr>
                          <w:divsChild>
                            <w:div w:id="1421682038">
                              <w:marLeft w:val="0"/>
                              <w:marRight w:val="0"/>
                              <w:marTop w:val="0"/>
                              <w:marBottom w:val="0"/>
                              <w:divBdr>
                                <w:top w:val="none" w:sz="0" w:space="0" w:color="auto"/>
                                <w:left w:val="none" w:sz="0" w:space="0" w:color="auto"/>
                                <w:bottom w:val="none" w:sz="0" w:space="0" w:color="auto"/>
                                <w:right w:val="none" w:sz="0" w:space="0" w:color="auto"/>
                              </w:divBdr>
                              <w:divsChild>
                                <w:div w:id="214514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7204390">
      <w:bodyDiv w:val="1"/>
      <w:marLeft w:val="0"/>
      <w:marRight w:val="0"/>
      <w:marTop w:val="0"/>
      <w:marBottom w:val="0"/>
      <w:divBdr>
        <w:top w:val="none" w:sz="0" w:space="0" w:color="auto"/>
        <w:left w:val="none" w:sz="0" w:space="0" w:color="auto"/>
        <w:bottom w:val="none" w:sz="0" w:space="0" w:color="auto"/>
        <w:right w:val="none" w:sz="0" w:space="0" w:color="auto"/>
      </w:divBdr>
    </w:div>
    <w:div w:id="1958222300">
      <w:bodyDiv w:val="1"/>
      <w:marLeft w:val="0"/>
      <w:marRight w:val="0"/>
      <w:marTop w:val="0"/>
      <w:marBottom w:val="0"/>
      <w:divBdr>
        <w:top w:val="none" w:sz="0" w:space="0" w:color="auto"/>
        <w:left w:val="none" w:sz="0" w:space="0" w:color="auto"/>
        <w:bottom w:val="none" w:sz="0" w:space="0" w:color="auto"/>
        <w:right w:val="none" w:sz="0" w:space="0" w:color="auto"/>
      </w:divBdr>
      <w:divsChild>
        <w:div w:id="214464984">
          <w:marLeft w:val="0"/>
          <w:marRight w:val="0"/>
          <w:marTop w:val="0"/>
          <w:marBottom w:val="0"/>
          <w:divBdr>
            <w:top w:val="none" w:sz="0" w:space="0" w:color="auto"/>
            <w:left w:val="none" w:sz="0" w:space="0" w:color="auto"/>
            <w:bottom w:val="none" w:sz="0" w:space="0" w:color="auto"/>
            <w:right w:val="none" w:sz="0" w:space="0" w:color="auto"/>
          </w:divBdr>
          <w:divsChild>
            <w:div w:id="290091583">
              <w:marLeft w:val="0"/>
              <w:marRight w:val="0"/>
              <w:marTop w:val="0"/>
              <w:marBottom w:val="0"/>
              <w:divBdr>
                <w:top w:val="none" w:sz="0" w:space="0" w:color="auto"/>
                <w:left w:val="none" w:sz="0" w:space="0" w:color="auto"/>
                <w:bottom w:val="none" w:sz="0" w:space="0" w:color="auto"/>
                <w:right w:val="none" w:sz="0" w:space="0" w:color="auto"/>
              </w:divBdr>
              <w:divsChild>
                <w:div w:id="655108032">
                  <w:marLeft w:val="0"/>
                  <w:marRight w:val="0"/>
                  <w:marTop w:val="0"/>
                  <w:marBottom w:val="0"/>
                  <w:divBdr>
                    <w:top w:val="none" w:sz="0" w:space="0" w:color="auto"/>
                    <w:left w:val="none" w:sz="0" w:space="0" w:color="auto"/>
                    <w:bottom w:val="none" w:sz="0" w:space="0" w:color="auto"/>
                    <w:right w:val="none" w:sz="0" w:space="0" w:color="auto"/>
                  </w:divBdr>
                  <w:divsChild>
                    <w:div w:id="435636153">
                      <w:marLeft w:val="0"/>
                      <w:marRight w:val="0"/>
                      <w:marTop w:val="0"/>
                      <w:marBottom w:val="0"/>
                      <w:divBdr>
                        <w:top w:val="none" w:sz="0" w:space="0" w:color="auto"/>
                        <w:left w:val="none" w:sz="0" w:space="0" w:color="auto"/>
                        <w:bottom w:val="none" w:sz="0" w:space="0" w:color="auto"/>
                        <w:right w:val="none" w:sz="0" w:space="0" w:color="auto"/>
                      </w:divBdr>
                      <w:divsChild>
                        <w:div w:id="1782214274">
                          <w:marLeft w:val="0"/>
                          <w:marRight w:val="0"/>
                          <w:marTop w:val="0"/>
                          <w:marBottom w:val="0"/>
                          <w:divBdr>
                            <w:top w:val="none" w:sz="0" w:space="0" w:color="auto"/>
                            <w:left w:val="none" w:sz="0" w:space="0" w:color="auto"/>
                            <w:bottom w:val="none" w:sz="0" w:space="0" w:color="auto"/>
                            <w:right w:val="none" w:sz="0" w:space="0" w:color="auto"/>
                          </w:divBdr>
                          <w:divsChild>
                            <w:div w:id="1270158050">
                              <w:marLeft w:val="0"/>
                              <w:marRight w:val="0"/>
                              <w:marTop w:val="0"/>
                              <w:marBottom w:val="0"/>
                              <w:divBdr>
                                <w:top w:val="none" w:sz="0" w:space="0" w:color="auto"/>
                                <w:left w:val="none" w:sz="0" w:space="0" w:color="auto"/>
                                <w:bottom w:val="none" w:sz="0" w:space="0" w:color="auto"/>
                                <w:right w:val="none" w:sz="0" w:space="0" w:color="auto"/>
                              </w:divBdr>
                              <w:divsChild>
                                <w:div w:id="52652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6787413">
      <w:bodyDiv w:val="1"/>
      <w:marLeft w:val="0"/>
      <w:marRight w:val="0"/>
      <w:marTop w:val="0"/>
      <w:marBottom w:val="0"/>
      <w:divBdr>
        <w:top w:val="none" w:sz="0" w:space="0" w:color="auto"/>
        <w:left w:val="none" w:sz="0" w:space="0" w:color="auto"/>
        <w:bottom w:val="none" w:sz="0" w:space="0" w:color="auto"/>
        <w:right w:val="none" w:sz="0" w:space="0" w:color="auto"/>
      </w:divBdr>
    </w:div>
    <w:div w:id="2100298078">
      <w:bodyDiv w:val="1"/>
      <w:marLeft w:val="0"/>
      <w:marRight w:val="0"/>
      <w:marTop w:val="0"/>
      <w:marBottom w:val="0"/>
      <w:divBdr>
        <w:top w:val="none" w:sz="0" w:space="0" w:color="auto"/>
        <w:left w:val="none" w:sz="0" w:space="0" w:color="auto"/>
        <w:bottom w:val="none" w:sz="0" w:space="0" w:color="auto"/>
        <w:right w:val="none" w:sz="0" w:space="0" w:color="auto"/>
      </w:divBdr>
      <w:divsChild>
        <w:div w:id="1951400089">
          <w:marLeft w:val="0"/>
          <w:marRight w:val="0"/>
          <w:marTop w:val="0"/>
          <w:marBottom w:val="0"/>
          <w:divBdr>
            <w:top w:val="none" w:sz="0" w:space="0" w:color="auto"/>
            <w:left w:val="none" w:sz="0" w:space="0" w:color="auto"/>
            <w:bottom w:val="none" w:sz="0" w:space="0" w:color="auto"/>
            <w:right w:val="none" w:sz="0" w:space="0" w:color="auto"/>
          </w:divBdr>
          <w:divsChild>
            <w:div w:id="1009142262">
              <w:marLeft w:val="0"/>
              <w:marRight w:val="0"/>
              <w:marTop w:val="0"/>
              <w:marBottom w:val="0"/>
              <w:divBdr>
                <w:top w:val="none" w:sz="0" w:space="0" w:color="auto"/>
                <w:left w:val="none" w:sz="0" w:space="0" w:color="auto"/>
                <w:bottom w:val="none" w:sz="0" w:space="0" w:color="auto"/>
                <w:right w:val="none" w:sz="0" w:space="0" w:color="auto"/>
              </w:divBdr>
              <w:divsChild>
                <w:div w:id="1255625091">
                  <w:marLeft w:val="0"/>
                  <w:marRight w:val="0"/>
                  <w:marTop w:val="0"/>
                  <w:marBottom w:val="0"/>
                  <w:divBdr>
                    <w:top w:val="none" w:sz="0" w:space="0" w:color="auto"/>
                    <w:left w:val="none" w:sz="0" w:space="0" w:color="auto"/>
                    <w:bottom w:val="none" w:sz="0" w:space="0" w:color="auto"/>
                    <w:right w:val="none" w:sz="0" w:space="0" w:color="auto"/>
                  </w:divBdr>
                  <w:divsChild>
                    <w:div w:id="1574927564">
                      <w:marLeft w:val="0"/>
                      <w:marRight w:val="0"/>
                      <w:marTop w:val="0"/>
                      <w:marBottom w:val="0"/>
                      <w:divBdr>
                        <w:top w:val="none" w:sz="0" w:space="0" w:color="auto"/>
                        <w:left w:val="none" w:sz="0" w:space="0" w:color="auto"/>
                        <w:bottom w:val="none" w:sz="0" w:space="0" w:color="auto"/>
                        <w:right w:val="none" w:sz="0" w:space="0" w:color="auto"/>
                      </w:divBdr>
                      <w:divsChild>
                        <w:div w:id="938877853">
                          <w:marLeft w:val="0"/>
                          <w:marRight w:val="0"/>
                          <w:marTop w:val="0"/>
                          <w:marBottom w:val="0"/>
                          <w:divBdr>
                            <w:top w:val="none" w:sz="0" w:space="0" w:color="auto"/>
                            <w:left w:val="none" w:sz="0" w:space="0" w:color="auto"/>
                            <w:bottom w:val="none" w:sz="0" w:space="0" w:color="auto"/>
                            <w:right w:val="none" w:sz="0" w:space="0" w:color="auto"/>
                          </w:divBdr>
                          <w:divsChild>
                            <w:div w:id="1148086104">
                              <w:marLeft w:val="0"/>
                              <w:marRight w:val="0"/>
                              <w:marTop w:val="0"/>
                              <w:marBottom w:val="0"/>
                              <w:divBdr>
                                <w:top w:val="none" w:sz="0" w:space="0" w:color="auto"/>
                                <w:left w:val="none" w:sz="0" w:space="0" w:color="auto"/>
                                <w:bottom w:val="none" w:sz="0" w:space="0" w:color="auto"/>
                                <w:right w:val="none" w:sz="0" w:space="0" w:color="auto"/>
                              </w:divBdr>
                              <w:divsChild>
                                <w:div w:id="19778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2510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clinicaltrials.gov/study/NCT01322490?utm_source=chatgpt.com" TargetMode="Externa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doi.org/10.1016/j.molcel.2025.09.007"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i.org/10.1038/nrc3380"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oi.org/10.1200/JCO.18.02031" TargetMode="External"/><Relationship Id="rId23" Type="http://schemas.openxmlformats.org/officeDocument/2006/relationships/header" Target="header6.xml"/><Relationship Id="rId10" Type="http://schemas.openxmlformats.org/officeDocument/2006/relationships/header" Target="header2.xml"/><Relationship Id="rId19" Type="http://schemas.openxmlformats.org/officeDocument/2006/relationships/hyperlink" Target="https://clinicaltrials.gov/study/NCT04747002?utm_source=chatgpt.com"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2050"/>
    <customShpInfo spid="_x0000_s2049"/>
    <customShpInfo spid="_x0000_s2054"/>
    <customShpInfo spid="_x0000_s2053"/>
    <customShpInfo spid="_x0000_s2052"/>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FF04BD-19A9-42D7-9C40-720527147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352</TotalTime>
  <Pages>34</Pages>
  <Words>15176</Words>
  <Characters>86507</Characters>
  <Application>Microsoft Office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101481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62</cp:revision>
  <cp:lastPrinted>1999-07-06T11:00:00Z</cp:lastPrinted>
  <dcterms:created xsi:type="dcterms:W3CDTF">2014-10-25T14:34:00Z</dcterms:created>
  <dcterms:modified xsi:type="dcterms:W3CDTF">2026-03-18T08:02:00Z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2057-12.2.0.23197</vt:lpwstr>
  </property>
  <property fmtid="{D5CDD505-2E9C-101B-9397-08002B2CF9AE}" pid="3" name="ICV">
    <vt:lpwstr>9FBA6FB350B3499AB6E3EBF79E0FDF1C_13</vt:lpwstr>
  </property>
  <property fmtid="{D5CDD505-2E9C-101B-9397-08002B2CF9AE}" pid="4" name="GrammarlyDocumentId">
    <vt:lpwstr>0ed2afb2-c6df-4fe7-a9b7-5e4a5a163ffe</vt:lpwstr>
  </property>
</Properties>
</file>