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B806D" w14:textId="79CD617B" w:rsidR="000A408B" w:rsidRDefault="000A408B" w:rsidP="00507EF8">
      <w:pPr>
        <w:jc w:val="center"/>
        <w:rPr>
          <w:rFonts w:ascii="Times New Roman" w:hAnsi="Times New Roman" w:cs="Times New Roman"/>
          <w:b/>
          <w:bCs/>
        </w:rPr>
      </w:pPr>
      <w:r w:rsidRPr="00F675E6">
        <w:rPr>
          <w:rFonts w:ascii="Times New Roman" w:hAnsi="Times New Roman" w:cs="Times New Roman"/>
          <w:b/>
          <w:bCs/>
        </w:rPr>
        <w:t>Balancing Tax Burden and Financial Stability: Evidence from the Nigerian Oil and Gas Sector</w:t>
      </w:r>
    </w:p>
    <w:p w14:paraId="1F628B22" w14:textId="77777777" w:rsidR="001650EE" w:rsidRPr="00F675E6" w:rsidRDefault="001650EE" w:rsidP="00507EF8">
      <w:pPr>
        <w:jc w:val="center"/>
        <w:rPr>
          <w:rFonts w:ascii="Times New Roman" w:hAnsi="Times New Roman" w:cs="Times New Roman"/>
          <w:b/>
          <w:bCs/>
        </w:rPr>
      </w:pPr>
      <w:bookmarkStart w:id="0" w:name="_GoBack"/>
      <w:bookmarkEnd w:id="0"/>
    </w:p>
    <w:p w14:paraId="504769D4" w14:textId="77777777" w:rsidR="005807F3" w:rsidRPr="005807F3" w:rsidRDefault="005807F3" w:rsidP="005807F3">
      <w:pPr>
        <w:jc w:val="both"/>
        <w:rPr>
          <w:rFonts w:ascii="Times New Roman" w:hAnsi="Times New Roman" w:cs="Times New Roman"/>
          <w:b/>
          <w:bCs/>
        </w:rPr>
      </w:pPr>
      <w:r w:rsidRPr="005807F3">
        <w:rPr>
          <w:rFonts w:ascii="Times New Roman" w:hAnsi="Times New Roman" w:cs="Times New Roman"/>
          <w:b/>
          <w:bCs/>
        </w:rPr>
        <w:t>Abstract</w:t>
      </w:r>
    </w:p>
    <w:p w14:paraId="5EB3C820" w14:textId="77777777" w:rsidR="005807F3" w:rsidRPr="005807F3" w:rsidRDefault="005807F3" w:rsidP="005807F3">
      <w:pPr>
        <w:jc w:val="both"/>
        <w:rPr>
          <w:rFonts w:ascii="Times New Roman" w:hAnsi="Times New Roman" w:cs="Times New Roman"/>
        </w:rPr>
      </w:pPr>
      <w:r w:rsidRPr="005807F3">
        <w:rPr>
          <w:rFonts w:ascii="Times New Roman" w:hAnsi="Times New Roman" w:cs="Times New Roman"/>
        </w:rPr>
        <w:t xml:space="preserve">This study investigates the impact of tax burden on the financial stability of Nigerian oil and gas firms, a sector critical to national revenue and economic development. Despite its importance, the sector faces persistent challenges from complex tax regimes, frequent regulatory reforms, and volatile global oil prices. Using panel data from all listed oil and gas firms on the Nigerian Exchange Group between 2012 and 2024, this research employs an </w:t>
      </w:r>
      <w:r w:rsidRPr="001161D1">
        <w:rPr>
          <w:rFonts w:ascii="Times New Roman" w:hAnsi="Times New Roman" w:cs="Times New Roman"/>
          <w:i/>
          <w:iCs/>
        </w:rPr>
        <w:t>ex-post facto</w:t>
      </w:r>
      <w:r w:rsidRPr="005807F3">
        <w:rPr>
          <w:rFonts w:ascii="Times New Roman" w:hAnsi="Times New Roman" w:cs="Times New Roman"/>
        </w:rPr>
        <w:t xml:space="preserve"> design and fixed effects regression to examine how effective tax rate (ETR) and cash effective tax rate (CETR) influence financial stability, proxied by the interest coverage ratio (ICR), while controlling for firm age. Descriptive statistics reveal a moderate average tax burden (ETR: 0.2850; CETR: 0.2527) and an average ICR of 4.12, indicating reasonable debt-servicing capacity. Correlation analysis shows that both ETR and CETR are negatively associated with ICR. Regression results confirm that higher ETR and CETR significantly reduce ICR (ETR coefficient = -4.32, p = 0.008; CETR coefficient = -3.11, p = 0.012), while firm age positively affects financial stability (coefficient = 0.045, p = 0.015). Diagnostic tests affirm the robustness of the model. These findings highlight that excessive tax burdens undermine the ability of oil and gas firms to service debt, threatening sectoral stability. The study recommends that policymakers moderate tax rates and enhance targeted incentives to support financial resilience, while firms should prioritize effective tax planning. This research contributes sector-specific empirical evidence, informing balanced tax policy and sustainable growth in Nigeria’s oil and gas industry.</w:t>
      </w:r>
    </w:p>
    <w:p w14:paraId="2DB9BC9D" w14:textId="10C87E71" w:rsidR="005807F3" w:rsidRPr="00F675E6" w:rsidRDefault="005807F3" w:rsidP="00D3740E">
      <w:pPr>
        <w:jc w:val="both"/>
        <w:rPr>
          <w:rFonts w:ascii="Times New Roman" w:hAnsi="Times New Roman" w:cs="Times New Roman"/>
        </w:rPr>
      </w:pPr>
      <w:r w:rsidRPr="00F675E6">
        <w:rPr>
          <w:rFonts w:ascii="Times New Roman" w:hAnsi="Times New Roman" w:cs="Times New Roman"/>
          <w:b/>
          <w:bCs/>
        </w:rPr>
        <w:t xml:space="preserve">Keywords: </w:t>
      </w:r>
      <w:r w:rsidRPr="00F675E6">
        <w:rPr>
          <w:rFonts w:ascii="Times New Roman" w:hAnsi="Times New Roman" w:cs="Times New Roman"/>
        </w:rPr>
        <w:t>Tax burden, Effective tax rate, Cash effective tax rate, Financial stability, Interest coverage ratio, Tax policy, Corporate finance.</w:t>
      </w:r>
    </w:p>
    <w:p w14:paraId="320CB948" w14:textId="51290536"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Introduction</w:t>
      </w:r>
    </w:p>
    <w:p w14:paraId="2D2CC5F7"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The oil and gas sector remains a cornerstone of Nigeria’s economy, contributing significantly to government revenue, foreign exchange earnings, and national development (NNPC, 2023). However, the sector operates within a complex fiscal environment characterized by multiple layers of taxation, regulatory reforms, and fluctuating global oil prices. Taxation, particularly the effective tax rate (ETR) and cash effective tax rate (CETR), plays a pivotal role in shaping the financial health and operational sustainability of oil and gas firms. While taxes are essential for national development, an excessive tax burden can erode corporate profitability, constrain cash flows, and threaten the financial stability of firms (Salaudeen &amp; </w:t>
      </w:r>
      <w:proofErr w:type="spellStart"/>
      <w:r w:rsidRPr="00F675E6">
        <w:rPr>
          <w:rFonts w:ascii="Times New Roman" w:hAnsi="Times New Roman" w:cs="Times New Roman"/>
        </w:rPr>
        <w:t>Atoyebi</w:t>
      </w:r>
      <w:proofErr w:type="spellEnd"/>
      <w:r w:rsidRPr="00F675E6">
        <w:rPr>
          <w:rFonts w:ascii="Times New Roman" w:hAnsi="Times New Roman" w:cs="Times New Roman"/>
        </w:rPr>
        <w:t xml:space="preserve">, 2018; </w:t>
      </w:r>
      <w:proofErr w:type="spellStart"/>
      <w:r w:rsidRPr="00F675E6">
        <w:rPr>
          <w:rFonts w:ascii="Times New Roman" w:hAnsi="Times New Roman" w:cs="Times New Roman"/>
        </w:rPr>
        <w:t>Oyewobi</w:t>
      </w:r>
      <w:proofErr w:type="spellEnd"/>
      <w:r w:rsidRPr="00F675E6">
        <w:rPr>
          <w:rFonts w:ascii="Times New Roman" w:hAnsi="Times New Roman" w:cs="Times New Roman"/>
        </w:rPr>
        <w:t xml:space="preserve"> &amp; Gundu, 2024).</w:t>
      </w:r>
    </w:p>
    <w:p w14:paraId="29B36CA9" w14:textId="3134BDA2"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Despite the strategic importance of the oil and gas sector, Nigerian firms in this industry face persistent challenges in balancing their tax obligations with the need to maintain financial stability. The sector is subject to frequent tax reforms, such as those introduced by the Petroleum Industry </w:t>
      </w:r>
      <w:r w:rsidRPr="00F675E6">
        <w:rPr>
          <w:rFonts w:ascii="Times New Roman" w:hAnsi="Times New Roman" w:cs="Times New Roman"/>
        </w:rPr>
        <w:lastRenderedPageBreak/>
        <w:t>Act (2021), which have altered the tax landscape and increased compliance complexities. High tax burdens, as proxied by ETR and CETR, may reduce the resources available for debt servicing and operational investments, thereby weakening the interest coverage ratio (ICR)</w:t>
      </w:r>
      <w:r w:rsidR="00630569" w:rsidRPr="00F675E6">
        <w:rPr>
          <w:rFonts w:ascii="Times New Roman" w:hAnsi="Times New Roman" w:cs="Times New Roman"/>
        </w:rPr>
        <w:t xml:space="preserve"> </w:t>
      </w:r>
      <w:r w:rsidRPr="00F675E6">
        <w:rPr>
          <w:rFonts w:ascii="Times New Roman" w:hAnsi="Times New Roman" w:cs="Times New Roman"/>
        </w:rPr>
        <w:t>a key indicator of financial stability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Conversely, insufficient tax contributions can undermine government revenue and public trust. The challenge, therefore, lies in achieving an optimal balance where tax policies do not compromise the financial resilience of oil and gas firms.</w:t>
      </w:r>
    </w:p>
    <w:p w14:paraId="32ADEC08" w14:textId="77777777" w:rsidR="00F25488" w:rsidRDefault="00056F88" w:rsidP="00732687">
      <w:pPr>
        <w:jc w:val="both"/>
        <w:rPr>
          <w:rFonts w:ascii="Times New Roman" w:hAnsi="Times New Roman" w:cs="Times New Roman"/>
        </w:rPr>
      </w:pPr>
      <w:r w:rsidRPr="00F675E6">
        <w:rPr>
          <w:rFonts w:ascii="Times New Roman" w:hAnsi="Times New Roman" w:cs="Times New Roman"/>
        </w:rPr>
        <w:t>While extensive research has examined the relationship between tax burden and financial performance in manufacturing, banking, and consumer goods sectors in Nigeria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Fagbemi et al., 2018; </w:t>
      </w: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there is a paucity of empirical studies focusing specifically on the oil and gas sector. Most prior studies have concentrated on profitability metrics such as return on assets (ROA) and return on equity (ROE), with limited attention to financial stability indicators like the interest coverage ratio (ICR) (</w:t>
      </w:r>
      <w:proofErr w:type="spellStart"/>
      <w:r w:rsidRPr="00F675E6">
        <w:rPr>
          <w:rFonts w:ascii="Times New Roman" w:hAnsi="Times New Roman" w:cs="Times New Roman"/>
        </w:rPr>
        <w:t>Fatikh</w:t>
      </w:r>
      <w:proofErr w:type="spellEnd"/>
      <w:r w:rsidRPr="00F675E6">
        <w:rPr>
          <w:rFonts w:ascii="Times New Roman" w:hAnsi="Times New Roman" w:cs="Times New Roman"/>
        </w:rPr>
        <w:t xml:space="preserve"> et al., 2017). Furthermore, the unique fiscal regime and capital-intensive nature of the oil and gas industry necessitate a sector-specific analysis to understand how tax burden impacts financial stability, especially in the context of recent regulatory changes.</w:t>
      </w:r>
      <w:r w:rsidR="00732687" w:rsidRPr="00F675E6">
        <w:rPr>
          <w:rFonts w:ascii="Times New Roman" w:hAnsi="Times New Roman" w:cs="Times New Roman"/>
        </w:rPr>
        <w:t xml:space="preserve"> </w:t>
      </w:r>
    </w:p>
    <w:p w14:paraId="4BC4FF28" w14:textId="0218CC7D" w:rsidR="00F25488" w:rsidRPr="00F25488" w:rsidRDefault="00F25488" w:rsidP="00F25488">
      <w:pPr>
        <w:jc w:val="both"/>
        <w:rPr>
          <w:rFonts w:ascii="Times New Roman" w:hAnsi="Times New Roman" w:cs="Times New Roman"/>
          <w:b/>
          <w:bCs/>
        </w:rPr>
      </w:pPr>
      <w:r>
        <w:rPr>
          <w:rFonts w:ascii="Times New Roman" w:hAnsi="Times New Roman" w:cs="Times New Roman"/>
          <w:b/>
          <w:bCs/>
        </w:rPr>
        <w:t xml:space="preserve">1.2 </w:t>
      </w:r>
      <w:r w:rsidRPr="00F25488">
        <w:rPr>
          <w:rFonts w:ascii="Times New Roman" w:hAnsi="Times New Roman" w:cs="Times New Roman"/>
          <w:b/>
          <w:bCs/>
        </w:rPr>
        <w:t>Research Objective</w:t>
      </w:r>
    </w:p>
    <w:p w14:paraId="5F7D7599" w14:textId="77777777" w:rsidR="00F25488" w:rsidRPr="00F25488" w:rsidRDefault="00F25488" w:rsidP="00F25488">
      <w:pPr>
        <w:jc w:val="both"/>
        <w:rPr>
          <w:rFonts w:ascii="Times New Roman" w:hAnsi="Times New Roman" w:cs="Times New Roman"/>
        </w:rPr>
      </w:pPr>
      <w:r w:rsidRPr="00F25488">
        <w:rPr>
          <w:rFonts w:ascii="Times New Roman" w:hAnsi="Times New Roman" w:cs="Times New Roman"/>
        </w:rPr>
        <w:t>The primary objective of this study is to empirically examine the impact of tax burden on the financial stability of Nigerian oil and gas firms. Specifically, the research seeks to:</w:t>
      </w:r>
    </w:p>
    <w:p w14:paraId="6B156724" w14:textId="77777777" w:rsidR="00F25488" w:rsidRPr="00F25488" w:rsidRDefault="00F25488" w:rsidP="00F25488">
      <w:pPr>
        <w:numPr>
          <w:ilvl w:val="0"/>
          <w:numId w:val="11"/>
        </w:numPr>
        <w:jc w:val="both"/>
        <w:rPr>
          <w:rFonts w:ascii="Times New Roman" w:hAnsi="Times New Roman" w:cs="Times New Roman"/>
        </w:rPr>
      </w:pPr>
      <w:r w:rsidRPr="00F25488">
        <w:rPr>
          <w:rFonts w:ascii="Times New Roman" w:hAnsi="Times New Roman" w:cs="Times New Roman"/>
        </w:rPr>
        <w:t>Assess the effect of effective tax rate (ETR) and cash effective tax rate (CETR) on the financial stability of listed oil and gas companies in Nigeria, as measured by the interest coverage ratio (ICR).</w:t>
      </w:r>
    </w:p>
    <w:p w14:paraId="2F22B3E2" w14:textId="77777777" w:rsidR="00F25488" w:rsidRPr="00F25488" w:rsidRDefault="00F25488" w:rsidP="00F25488">
      <w:pPr>
        <w:numPr>
          <w:ilvl w:val="0"/>
          <w:numId w:val="11"/>
        </w:numPr>
        <w:jc w:val="both"/>
        <w:rPr>
          <w:rFonts w:ascii="Times New Roman" w:hAnsi="Times New Roman" w:cs="Times New Roman"/>
        </w:rPr>
      </w:pPr>
      <w:r w:rsidRPr="00F25488">
        <w:rPr>
          <w:rFonts w:ascii="Times New Roman" w:hAnsi="Times New Roman" w:cs="Times New Roman"/>
        </w:rPr>
        <w:t>Determine whether firm age moderates the relationship between tax burden and financial stability in the sector.</w:t>
      </w:r>
    </w:p>
    <w:p w14:paraId="615BBCD7" w14:textId="77777777" w:rsidR="00F25488" w:rsidRPr="00F25488" w:rsidRDefault="00F25488" w:rsidP="00F25488">
      <w:pPr>
        <w:numPr>
          <w:ilvl w:val="0"/>
          <w:numId w:val="11"/>
        </w:numPr>
        <w:jc w:val="both"/>
        <w:rPr>
          <w:rFonts w:ascii="Times New Roman" w:hAnsi="Times New Roman" w:cs="Times New Roman"/>
        </w:rPr>
      </w:pPr>
      <w:r w:rsidRPr="00F25488">
        <w:rPr>
          <w:rFonts w:ascii="Times New Roman" w:hAnsi="Times New Roman" w:cs="Times New Roman"/>
        </w:rPr>
        <w:t>Provide sector-specific evidence to inform policymakers and industry stakeholders on how to balance tax policy objectives with the need to sustain financial stability and long-term growth in Nigeria’s oil and gas industry.</w:t>
      </w:r>
    </w:p>
    <w:p w14:paraId="176878D9" w14:textId="77777777" w:rsidR="00F25488" w:rsidRPr="00F25488" w:rsidRDefault="00F25488" w:rsidP="00F25488">
      <w:pPr>
        <w:jc w:val="both"/>
        <w:rPr>
          <w:rFonts w:ascii="Times New Roman" w:hAnsi="Times New Roman" w:cs="Times New Roman"/>
        </w:rPr>
      </w:pPr>
      <w:r w:rsidRPr="00F25488">
        <w:rPr>
          <w:rFonts w:ascii="Times New Roman" w:hAnsi="Times New Roman" w:cs="Times New Roman"/>
        </w:rPr>
        <w:t>By achieving these objectives, the study aims to fill the gap in existing literature regarding the interplay between tax burden and financial stability in the Nigerian oil and gas sector, especially in the context of recent regulatory changes and sectoral challenges.</w:t>
      </w:r>
    </w:p>
    <w:p w14:paraId="116BDFB8" w14:textId="33D6B344"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 Literature Review and Theoretical Framework</w:t>
      </w:r>
    </w:p>
    <w:p w14:paraId="24B60000" w14:textId="1DA1AB48"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2.1 Tax Burden in the Oil and Gas Sector</w:t>
      </w:r>
    </w:p>
    <w:p w14:paraId="752AD3D8"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Tax burden refers to the total amount of taxes paid by firms relative to their earnings, often measured by the effective tax rate (ETR) and cash effective tax rate (CETR). In the Nigerian context, the oil and gas sector is subject to a complex tax regime, including petroleum profit tax, </w:t>
      </w:r>
      <w:r w:rsidRPr="00F675E6">
        <w:rPr>
          <w:rFonts w:ascii="Times New Roman" w:hAnsi="Times New Roman" w:cs="Times New Roman"/>
        </w:rPr>
        <w:lastRenderedPageBreak/>
        <w:t>royalties, and other statutory levies (Federal Inland Revenue Service [FIRS], 2023; Petroleum Industry Act, 2021). Salaudeen and Atoyebi (2018) highlight that tax reforms in Nigeria have aimed to optimize revenue generation but have also increased compliance costs and administrative burdens for firms. The ETR and CETR are widely used proxies for assessing the real tax burden on corporate entities (</w:t>
      </w:r>
      <w:proofErr w:type="spellStart"/>
      <w:r w:rsidRPr="00F675E6">
        <w:rPr>
          <w:rFonts w:ascii="Times New Roman" w:hAnsi="Times New Roman" w:cs="Times New Roman"/>
        </w:rPr>
        <w:t>Firasati</w:t>
      </w:r>
      <w:proofErr w:type="spellEnd"/>
      <w:r w:rsidRPr="00F675E6">
        <w:rPr>
          <w:rFonts w:ascii="Times New Roman" w:hAnsi="Times New Roman" w:cs="Times New Roman"/>
        </w:rPr>
        <w:t xml:space="preserve"> et al., 2023). High tax rates can reduce available cash flows, limit reinvestment, and potentially threaten the financial health of firms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w:t>
      </w:r>
    </w:p>
    <w:p w14:paraId="070DE921" w14:textId="2438BB37"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2.2 Financial Stability and Interest Coverage Ratio</w:t>
      </w:r>
    </w:p>
    <w:p w14:paraId="3BB53A94" w14:textId="7BF4AE60" w:rsidR="00056F88" w:rsidRPr="00F675E6" w:rsidRDefault="00056F88" w:rsidP="00D3740E">
      <w:pPr>
        <w:jc w:val="both"/>
        <w:rPr>
          <w:rFonts w:ascii="Times New Roman" w:hAnsi="Times New Roman" w:cs="Times New Roman"/>
        </w:rPr>
      </w:pPr>
      <w:r w:rsidRPr="00F675E6">
        <w:rPr>
          <w:rFonts w:ascii="Times New Roman" w:hAnsi="Times New Roman" w:cs="Times New Roman"/>
        </w:rPr>
        <w:t>Financial stability in corporate finance is often assessed through the ability of firms to meet their debt obligations, with the interest coverage ratio (ICR) serving as a key indicator. The ICR measures how easily a company can pay interest on outstanding debt from its operating earnings. A higher ICR indicates greater financial stability and lower risk of insolvency (</w:t>
      </w:r>
      <w:proofErr w:type="spellStart"/>
      <w:r w:rsidRPr="00F675E6">
        <w:rPr>
          <w:rFonts w:ascii="Times New Roman" w:hAnsi="Times New Roman" w:cs="Times New Roman"/>
        </w:rPr>
        <w:t>Jabar</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Akinadewo</w:t>
      </w:r>
      <w:proofErr w:type="spellEnd"/>
      <w:r w:rsidRPr="00F675E6">
        <w:rPr>
          <w:rFonts w:ascii="Times New Roman" w:hAnsi="Times New Roman" w:cs="Times New Roman"/>
        </w:rPr>
        <w:t>, 2023). In capital-intensive sectors like oil and gas, maintaining a healthy ICR is crucial for sustaining operations and attracting investment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Studies such as </w:t>
      </w:r>
      <w:proofErr w:type="spellStart"/>
      <w:r w:rsidRPr="00F675E6">
        <w:rPr>
          <w:rFonts w:ascii="Times New Roman" w:hAnsi="Times New Roman" w:cs="Times New Roman"/>
        </w:rPr>
        <w:t>Fatikh</w:t>
      </w:r>
      <w:proofErr w:type="spellEnd"/>
      <w:r w:rsidRPr="00F675E6">
        <w:rPr>
          <w:rFonts w:ascii="Times New Roman" w:hAnsi="Times New Roman" w:cs="Times New Roman"/>
        </w:rPr>
        <w:t xml:space="preserve"> et al. (2017) emphasize that financial stability is influenced by both internal factors (such as profitability and capital structure) and external factors (such as tax policies and macroeconomic conditions).</w:t>
      </w:r>
    </w:p>
    <w:p w14:paraId="32952452" w14:textId="668F695D"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2.3 Tax Burden and Corporate Financial Outcomes</w:t>
      </w:r>
    </w:p>
    <w:p w14:paraId="4971F171" w14:textId="30B6B345" w:rsidR="005A5CAC" w:rsidRPr="00F675E6" w:rsidRDefault="005A5CAC" w:rsidP="00D3740E">
      <w:pPr>
        <w:jc w:val="both"/>
        <w:rPr>
          <w:rFonts w:ascii="Times New Roman" w:hAnsi="Times New Roman" w:cs="Times New Roman"/>
        </w:rPr>
      </w:pPr>
      <w:r w:rsidRPr="00F675E6">
        <w:rPr>
          <w:rFonts w:ascii="Times New Roman" w:hAnsi="Times New Roman" w:cs="Times New Roman"/>
        </w:rPr>
        <w:t>The relationship between tax burden and corporate financial outcomes has been widely debated. While taxes are necessary for public finance, excessive tax burdens can erode profitability and threaten financial stability (</w:t>
      </w:r>
      <w:proofErr w:type="spellStart"/>
      <w:r w:rsidRPr="00F675E6">
        <w:rPr>
          <w:rFonts w:ascii="Times New Roman" w:hAnsi="Times New Roman" w:cs="Times New Roman"/>
        </w:rPr>
        <w:t>Ezugwu</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Akubo</w:t>
      </w:r>
      <w:proofErr w:type="spellEnd"/>
      <w:r w:rsidRPr="00F675E6">
        <w:rPr>
          <w:rFonts w:ascii="Times New Roman" w:hAnsi="Times New Roman" w:cs="Times New Roman"/>
        </w:rPr>
        <w:t xml:space="preserve">, 2024;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found that tax optimization strategies can enhance firm value, while Bamidele and Abdulsalam (2025) observed that effective tax planning is positively associated with market value. Similarly, Bamidele, </w:t>
      </w:r>
      <w:proofErr w:type="spellStart"/>
      <w:r w:rsidRPr="00F675E6">
        <w:rPr>
          <w:rFonts w:ascii="Times New Roman" w:hAnsi="Times New Roman" w:cs="Times New Roman"/>
        </w:rPr>
        <w:t>Fajana</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Omananyi</w:t>
      </w:r>
      <w:proofErr w:type="spellEnd"/>
      <w:r w:rsidRPr="00F675E6">
        <w:rPr>
          <w:rFonts w:ascii="Times New Roman" w:hAnsi="Times New Roman" w:cs="Times New Roman"/>
        </w:rPr>
        <w:t xml:space="preserve"> (2024) examined the oil and gas sector specifically, revealing that financial leverage significantly influences financial performance, and that sector-specific tax policies can impact the stability of firms operating in capital-intensive industries. However, the impact of tax burden on financial stability, particularly in the oil and gas sector, remains underexplored. </w:t>
      </w: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and </w:t>
      </w:r>
      <w:proofErr w:type="spellStart"/>
      <w:r w:rsidRPr="00F675E6">
        <w:rPr>
          <w:rFonts w:ascii="Times New Roman" w:hAnsi="Times New Roman" w:cs="Times New Roman"/>
        </w:rPr>
        <w:t>Nmehielle</w:t>
      </w:r>
      <w:proofErr w:type="spellEnd"/>
      <w:r w:rsidRPr="00F675E6">
        <w:rPr>
          <w:rFonts w:ascii="Times New Roman" w:hAnsi="Times New Roman" w:cs="Times New Roman"/>
        </w:rPr>
        <w:t xml:space="preserve"> (2023) suggest that tax incentives and efficient tax management can mitigate the negative effects of high tax burdens on firm performance.</w:t>
      </w:r>
    </w:p>
    <w:p w14:paraId="5BC73CF0" w14:textId="2BF6C03F"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2.4 Control Variables: Firm Age</w:t>
      </w:r>
    </w:p>
    <w:p w14:paraId="0579A0A1"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Firm age is often included as a control variable in studies examining financial performance and stability. Older firms may have more established financial practices, greater access to capital, and better resilience to fiscal shocks (</w:t>
      </w:r>
      <w:proofErr w:type="spellStart"/>
      <w:r w:rsidRPr="00F675E6">
        <w:rPr>
          <w:rFonts w:ascii="Times New Roman" w:hAnsi="Times New Roman" w:cs="Times New Roman"/>
        </w:rPr>
        <w:t>Salako</w:t>
      </w:r>
      <w:proofErr w:type="spellEnd"/>
      <w:r w:rsidRPr="00F675E6">
        <w:rPr>
          <w:rFonts w:ascii="Times New Roman" w:hAnsi="Times New Roman" w:cs="Times New Roman"/>
        </w:rPr>
        <w:t xml:space="preserve"> </w:t>
      </w:r>
      <w:proofErr w:type="spellStart"/>
      <w:r w:rsidRPr="00F675E6">
        <w:rPr>
          <w:rFonts w:ascii="Times New Roman" w:hAnsi="Times New Roman" w:cs="Times New Roman"/>
        </w:rPr>
        <w:t>Yisau</w:t>
      </w:r>
      <w:proofErr w:type="spellEnd"/>
      <w:r w:rsidRPr="00F675E6">
        <w:rPr>
          <w:rFonts w:ascii="Times New Roman" w:hAnsi="Times New Roman" w:cs="Times New Roman"/>
        </w:rPr>
        <w:t xml:space="preserve"> et al., 2024). Conversely, younger firms may be more vulnerable to tax-induced financial stress due to limited operational experience and financial buffers (Adegboyega, 2024).</w:t>
      </w:r>
    </w:p>
    <w:p w14:paraId="63ABDD1F" w14:textId="3439FF30"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2.5 Theoretical Review</w:t>
      </w:r>
    </w:p>
    <w:p w14:paraId="534ECE78" w14:textId="7DBC97BF"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lastRenderedPageBreak/>
        <w:t>2.5.1 Agency Theory</w:t>
      </w:r>
    </w:p>
    <w:p w14:paraId="1153B421"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Agency theory posits that conflicts of interest between managers (agents) and shareholders (principals) can influence corporate decisions, including tax planning and financial management. Fagbemi et al. (2018) argue that managers may engage in tax avoidance or aggressive tax planning to maximize short-term profits, which can have implications for long-term financial stability. In the oil and gas sector, where large capital outlays and regulatory scrutiny are prevalent, agency problems may be exacerbated by complex tax regimes and the need for transparent financial reporting.</w:t>
      </w:r>
    </w:p>
    <w:p w14:paraId="533203FE" w14:textId="458657E0"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2.5.2 Trade-Off Theory</w:t>
      </w:r>
    </w:p>
    <w:p w14:paraId="40D01558"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The trade-off theory of capital structure suggests that firms balance the benefits of debt (such as tax shields) against the risks of financial distress. </w:t>
      </w:r>
      <w:proofErr w:type="spellStart"/>
      <w:r w:rsidRPr="00F675E6">
        <w:rPr>
          <w:rFonts w:ascii="Times New Roman" w:hAnsi="Times New Roman" w:cs="Times New Roman"/>
        </w:rPr>
        <w:t>Jabar</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Akinadewo</w:t>
      </w:r>
      <w:proofErr w:type="spellEnd"/>
      <w:r w:rsidRPr="00F675E6">
        <w:rPr>
          <w:rFonts w:ascii="Times New Roman" w:hAnsi="Times New Roman" w:cs="Times New Roman"/>
        </w:rPr>
        <w:t xml:space="preserve"> (2023) and </w:t>
      </w:r>
      <w:proofErr w:type="spellStart"/>
      <w:r w:rsidRPr="00F675E6">
        <w:rPr>
          <w:rFonts w:ascii="Times New Roman" w:hAnsi="Times New Roman" w:cs="Times New Roman"/>
        </w:rPr>
        <w:t>Salako</w:t>
      </w:r>
      <w:proofErr w:type="spellEnd"/>
      <w:r w:rsidRPr="00F675E6">
        <w:rPr>
          <w:rFonts w:ascii="Times New Roman" w:hAnsi="Times New Roman" w:cs="Times New Roman"/>
        </w:rPr>
        <w:t xml:space="preserve"> Yisau et al. (2024) highlight that while debt can provide tax advantages, excessive leverage can increase the risk of insolvency, especially if tax burdens are high and cash flows are constrained. This theory is particularly relevant for oil and gas firms, which often rely on significant debt financing for capital-intensive projects.</w:t>
      </w:r>
    </w:p>
    <w:p w14:paraId="24BE52E1" w14:textId="77777777" w:rsidR="00406A7B" w:rsidRPr="00406A7B" w:rsidRDefault="00406A7B" w:rsidP="00406A7B">
      <w:pPr>
        <w:jc w:val="both"/>
        <w:rPr>
          <w:rFonts w:ascii="Times New Roman" w:hAnsi="Times New Roman" w:cs="Times New Roman"/>
          <w:b/>
          <w:bCs/>
        </w:rPr>
      </w:pPr>
      <w:r w:rsidRPr="00406A7B">
        <w:rPr>
          <w:rFonts w:ascii="Times New Roman" w:hAnsi="Times New Roman" w:cs="Times New Roman"/>
          <w:b/>
          <w:bCs/>
        </w:rPr>
        <w:t>2.6 Empirical Review</w:t>
      </w:r>
    </w:p>
    <w:p w14:paraId="347E3B6F" w14:textId="612DBBF9" w:rsidR="00406A7B" w:rsidRPr="00406A7B" w:rsidRDefault="00406A7B" w:rsidP="00406A7B">
      <w:pPr>
        <w:jc w:val="both"/>
        <w:rPr>
          <w:rFonts w:ascii="Times New Roman" w:hAnsi="Times New Roman" w:cs="Times New Roman"/>
        </w:rPr>
      </w:pPr>
      <w:r w:rsidRPr="00406A7B">
        <w:rPr>
          <w:rFonts w:ascii="Times New Roman" w:hAnsi="Times New Roman" w:cs="Times New Roman"/>
        </w:rPr>
        <w:t xml:space="preserve">Empirical research on tax burden, compliance, and financial </w:t>
      </w:r>
      <w:r>
        <w:rPr>
          <w:rFonts w:ascii="Times New Roman" w:hAnsi="Times New Roman" w:cs="Times New Roman"/>
        </w:rPr>
        <w:t>stability</w:t>
      </w:r>
      <w:r w:rsidRPr="00406A7B">
        <w:rPr>
          <w:rFonts w:ascii="Times New Roman" w:hAnsi="Times New Roman" w:cs="Times New Roman"/>
        </w:rPr>
        <w:t xml:space="preserve"> in Nigeria and other developing economies has produced diverse findings, reflecting the complexity of tax policy and its broader economic implications.</w:t>
      </w:r>
    </w:p>
    <w:p w14:paraId="69BAE5EB" w14:textId="1107E695" w:rsidR="00406A7B" w:rsidRPr="00406A7B" w:rsidRDefault="00406A7B" w:rsidP="00406A7B">
      <w:pPr>
        <w:jc w:val="both"/>
        <w:rPr>
          <w:rFonts w:ascii="Times New Roman" w:hAnsi="Times New Roman" w:cs="Times New Roman"/>
        </w:rPr>
      </w:pPr>
      <w:r w:rsidRPr="00406A7B">
        <w:rPr>
          <w:rFonts w:ascii="Times New Roman" w:hAnsi="Times New Roman" w:cs="Times New Roman"/>
        </w:rPr>
        <w:t xml:space="preserve">Several studies have highlighted the importance of tax planning and management for firm value and stability. Bamidele and Abdulsalam (2025) found that while the effective tax rate had an insignificant effect on market value, active tax planning—as measured by book-tax differences—was rewarded by the market. </w:t>
      </w:r>
      <w:proofErr w:type="spellStart"/>
      <w:r w:rsidRPr="00406A7B">
        <w:rPr>
          <w:rFonts w:ascii="Times New Roman" w:hAnsi="Times New Roman" w:cs="Times New Roman"/>
        </w:rPr>
        <w:t>Akinsulire</w:t>
      </w:r>
      <w:proofErr w:type="spellEnd"/>
      <w:r w:rsidRPr="00406A7B">
        <w:rPr>
          <w:rFonts w:ascii="Times New Roman" w:hAnsi="Times New Roman" w:cs="Times New Roman"/>
        </w:rPr>
        <w:t xml:space="preserve"> et al. (2022) and Fagbemi et al. (2018) similarly reported that tax optimization and strategic tax management can enhance firm value and financial resilience. Salaudeen and Atoyebi (2018) observed that sectoral tax reforms reduced the tax burden for oil and gas firms, potentially improving their financial stability. Other studies, such as </w:t>
      </w:r>
      <w:proofErr w:type="spellStart"/>
      <w:r w:rsidRPr="00406A7B">
        <w:rPr>
          <w:rFonts w:ascii="Times New Roman" w:hAnsi="Times New Roman" w:cs="Times New Roman"/>
        </w:rPr>
        <w:t>Oyewobi</w:t>
      </w:r>
      <w:proofErr w:type="spellEnd"/>
      <w:r w:rsidRPr="00406A7B">
        <w:rPr>
          <w:rFonts w:ascii="Times New Roman" w:hAnsi="Times New Roman" w:cs="Times New Roman"/>
        </w:rPr>
        <w:t xml:space="preserve"> and Gundu (2024) and </w:t>
      </w:r>
      <w:proofErr w:type="spellStart"/>
      <w:r w:rsidRPr="00406A7B">
        <w:rPr>
          <w:rFonts w:ascii="Times New Roman" w:hAnsi="Times New Roman" w:cs="Times New Roman"/>
        </w:rPr>
        <w:t>Kupoluyi</w:t>
      </w:r>
      <w:proofErr w:type="spellEnd"/>
      <w:r w:rsidRPr="00406A7B">
        <w:rPr>
          <w:rFonts w:ascii="Times New Roman" w:hAnsi="Times New Roman" w:cs="Times New Roman"/>
        </w:rPr>
        <w:t xml:space="preserve"> et al. (2024), found that indirect taxes had a more pronounced negative effect on financial outcomes than direct taxes, while tax incentives and allowances (</w:t>
      </w:r>
      <w:proofErr w:type="spellStart"/>
      <w:r w:rsidRPr="00406A7B">
        <w:rPr>
          <w:rFonts w:ascii="Times New Roman" w:hAnsi="Times New Roman" w:cs="Times New Roman"/>
        </w:rPr>
        <w:t>Nmehielle</w:t>
      </w:r>
      <w:proofErr w:type="spellEnd"/>
      <w:r w:rsidRPr="00406A7B">
        <w:rPr>
          <w:rFonts w:ascii="Times New Roman" w:hAnsi="Times New Roman" w:cs="Times New Roman"/>
        </w:rPr>
        <w:t>, 2023) were associated with improved financial performance and stability.</w:t>
      </w:r>
    </w:p>
    <w:p w14:paraId="421344FC" w14:textId="32911B78" w:rsidR="00406A7B" w:rsidRPr="00406A7B" w:rsidRDefault="00406A7B" w:rsidP="00406A7B">
      <w:pPr>
        <w:jc w:val="both"/>
        <w:rPr>
          <w:rFonts w:ascii="Times New Roman" w:hAnsi="Times New Roman" w:cs="Times New Roman"/>
        </w:rPr>
      </w:pPr>
      <w:r w:rsidRPr="00406A7B">
        <w:rPr>
          <w:rFonts w:ascii="Times New Roman" w:hAnsi="Times New Roman" w:cs="Times New Roman"/>
        </w:rPr>
        <w:t>Beyond firm-level strategies, the effectiveness of tax administration and audit practices also shapes compliance and financial outcomes. Olaoye and Ekundayo (2018), in their study of tax audit and compliance in Ekiti State, Nigeria, found that while tax audits can influence compliance, their overall effect remains limited. Specifically, tax law was found to have a significant effect on compliance, whereas tax accuracy, current returns, and tax procedures did not. The study concluded that tax audits had yet to make a substantial impact on compliance and recommended improvements in audit standards and greater taxpayer cooperation for enhanced effectiveness.</w:t>
      </w:r>
    </w:p>
    <w:p w14:paraId="784A3E80" w14:textId="03D7A689" w:rsidR="00406A7B" w:rsidRPr="00406A7B" w:rsidRDefault="00406A7B" w:rsidP="00406A7B">
      <w:pPr>
        <w:jc w:val="both"/>
        <w:rPr>
          <w:rFonts w:ascii="Times New Roman" w:hAnsi="Times New Roman" w:cs="Times New Roman"/>
        </w:rPr>
      </w:pPr>
      <w:r w:rsidRPr="00406A7B">
        <w:rPr>
          <w:rFonts w:ascii="Times New Roman" w:hAnsi="Times New Roman" w:cs="Times New Roman"/>
        </w:rPr>
        <w:lastRenderedPageBreak/>
        <w:t xml:space="preserve">At the macroeconomic level, the mobilization and allocation of tax revenue are also critical. </w:t>
      </w:r>
      <w:proofErr w:type="spellStart"/>
      <w:r w:rsidRPr="00406A7B">
        <w:rPr>
          <w:rFonts w:ascii="Times New Roman" w:hAnsi="Times New Roman" w:cs="Times New Roman"/>
        </w:rPr>
        <w:t>Olaoye</w:t>
      </w:r>
      <w:proofErr w:type="spellEnd"/>
      <w:r w:rsidRPr="00406A7B">
        <w:rPr>
          <w:rFonts w:ascii="Times New Roman" w:hAnsi="Times New Roman" w:cs="Times New Roman"/>
        </w:rPr>
        <w:t xml:space="preserve">, </w:t>
      </w:r>
      <w:proofErr w:type="spellStart"/>
      <w:r w:rsidRPr="00406A7B">
        <w:rPr>
          <w:rFonts w:ascii="Times New Roman" w:hAnsi="Times New Roman" w:cs="Times New Roman"/>
        </w:rPr>
        <w:t>Mamidu</w:t>
      </w:r>
      <w:proofErr w:type="spellEnd"/>
      <w:r w:rsidRPr="00406A7B">
        <w:rPr>
          <w:rFonts w:ascii="Times New Roman" w:hAnsi="Times New Roman" w:cs="Times New Roman"/>
        </w:rPr>
        <w:t xml:space="preserve">, and </w:t>
      </w:r>
      <w:proofErr w:type="spellStart"/>
      <w:r w:rsidRPr="00406A7B">
        <w:rPr>
          <w:rFonts w:ascii="Times New Roman" w:hAnsi="Times New Roman" w:cs="Times New Roman"/>
        </w:rPr>
        <w:t>Jinadu</w:t>
      </w:r>
      <w:proofErr w:type="spellEnd"/>
      <w:r w:rsidRPr="00406A7B">
        <w:rPr>
          <w:rFonts w:ascii="Times New Roman" w:hAnsi="Times New Roman" w:cs="Times New Roman"/>
        </w:rPr>
        <w:t xml:space="preserve"> (2026) examined the relationship between tax revenue mobilization, institutional quality, and human capital development in Nigeria. Using Dynamic Ordinary Least Squares (DOLS), they found that both oil and non-oil tax revenues significantly contribute to human capital development over the long run, with institutional quality positively moderating this relationship. Their findings underscore the importance of efficient tax revenue allocation, targeted investments in education and healthcare, and strong institutions for maximizing the developmental impact of tax policies.</w:t>
      </w:r>
    </w:p>
    <w:p w14:paraId="534CB53A" w14:textId="031C8461" w:rsidR="00406A7B" w:rsidRPr="00406A7B" w:rsidRDefault="00406A7B" w:rsidP="00406A7B">
      <w:pPr>
        <w:jc w:val="both"/>
        <w:rPr>
          <w:rFonts w:ascii="Times New Roman" w:hAnsi="Times New Roman" w:cs="Times New Roman"/>
        </w:rPr>
      </w:pPr>
      <w:r w:rsidRPr="00406A7B">
        <w:rPr>
          <w:rFonts w:ascii="Times New Roman" w:hAnsi="Times New Roman" w:cs="Times New Roman"/>
        </w:rPr>
        <w:t xml:space="preserve">Additional studies emphasize the interplay between tax burden, capital structure, and financial health. For example, Adegboyega (2024) and Salako Yisau et al. (2024) noted that the impact of tax on profitability and stability is often mediated by leverage and firm-specific characteristics such as size and age. Research by </w:t>
      </w:r>
      <w:proofErr w:type="spellStart"/>
      <w:r w:rsidRPr="00406A7B">
        <w:rPr>
          <w:rFonts w:ascii="Times New Roman" w:hAnsi="Times New Roman" w:cs="Times New Roman"/>
        </w:rPr>
        <w:t>Ogbada</w:t>
      </w:r>
      <w:proofErr w:type="spellEnd"/>
      <w:r w:rsidRPr="00406A7B">
        <w:rPr>
          <w:rFonts w:ascii="Times New Roman" w:hAnsi="Times New Roman" w:cs="Times New Roman"/>
        </w:rPr>
        <w:t xml:space="preserve"> and Jones (2023) and Bamidele, Ogundipe, and Adedeji (2025) further underscores the role of deferred tax strategies and retained earnings in shaping financial outcomes. International evidence, such as </w:t>
      </w:r>
      <w:proofErr w:type="spellStart"/>
      <w:r w:rsidRPr="00406A7B">
        <w:rPr>
          <w:rFonts w:ascii="Times New Roman" w:hAnsi="Times New Roman" w:cs="Times New Roman"/>
        </w:rPr>
        <w:t>Fatikh</w:t>
      </w:r>
      <w:proofErr w:type="spellEnd"/>
      <w:r w:rsidRPr="00406A7B">
        <w:rPr>
          <w:rFonts w:ascii="Times New Roman" w:hAnsi="Times New Roman" w:cs="Times New Roman"/>
        </w:rPr>
        <w:t xml:space="preserve"> et al. (2017) and Fu and Zhang (2025), supports the view that tax burden can influence not only profitability but also broader measures of financial sustainability, including ESG performance and financial stability indicators.</w:t>
      </w:r>
    </w:p>
    <w:p w14:paraId="0E530266" w14:textId="29D75D64" w:rsidR="00C9092C" w:rsidRPr="00C9092C" w:rsidRDefault="00406A7B" w:rsidP="00C9092C">
      <w:pPr>
        <w:jc w:val="both"/>
        <w:rPr>
          <w:rFonts w:ascii="Times New Roman" w:hAnsi="Times New Roman" w:cs="Times New Roman"/>
        </w:rPr>
      </w:pPr>
      <w:r>
        <w:rPr>
          <w:rFonts w:ascii="Times New Roman" w:hAnsi="Times New Roman" w:cs="Times New Roman"/>
        </w:rPr>
        <w:t>W</w:t>
      </w:r>
      <w:r w:rsidRPr="00406A7B">
        <w:rPr>
          <w:rFonts w:ascii="Times New Roman" w:hAnsi="Times New Roman" w:cs="Times New Roman"/>
        </w:rPr>
        <w:t>hile tax optimization, incentives, and strong institutions generally support firm value and stability, excessive or poorly structured tax burdens and weak compliance mechanisms can undermine financial health and development outcomes. However, there remains a notable gap in the literature regarding the direct impact of tax burden on financial stability—particularly as measured by the interest coverage ratio—in the Nigerian oil and gas sector. This study addresses this gap by providing sector-specific empirical evidence.</w:t>
      </w:r>
    </w:p>
    <w:p w14:paraId="24407F0E"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 Methodology</w:t>
      </w:r>
    </w:p>
    <w:p w14:paraId="34CFF889" w14:textId="77777777" w:rsidR="00915A58" w:rsidRPr="00F675E6" w:rsidRDefault="000A408B" w:rsidP="00D3740E">
      <w:pPr>
        <w:jc w:val="both"/>
        <w:rPr>
          <w:rFonts w:ascii="Times New Roman" w:hAnsi="Times New Roman" w:cs="Times New Roman"/>
        </w:rPr>
      </w:pPr>
      <w:r w:rsidRPr="00F675E6">
        <w:rPr>
          <w:rFonts w:ascii="Times New Roman" w:hAnsi="Times New Roman" w:cs="Times New Roman"/>
        </w:rPr>
        <w:t xml:space="preserve">This study adopts an </w:t>
      </w:r>
      <w:r w:rsidRPr="001161D1">
        <w:rPr>
          <w:rFonts w:ascii="Times New Roman" w:hAnsi="Times New Roman" w:cs="Times New Roman"/>
          <w:i/>
          <w:iCs/>
        </w:rPr>
        <w:t>ex-post facto</w:t>
      </w:r>
      <w:r w:rsidRPr="00F675E6">
        <w:rPr>
          <w:rFonts w:ascii="Times New Roman" w:hAnsi="Times New Roman" w:cs="Times New Roman"/>
        </w:rPr>
        <w:t xml:space="preserve"> research design, utilizing secondary data to examine the relationship between tax burden and financial stability among listed oil and gas firms in Nigeria. The ex-post facto approach is appropriate as it allows for the analysis of historical data without manipulating the study variables.</w:t>
      </w:r>
      <w:r w:rsidR="00915A58" w:rsidRPr="00F675E6">
        <w:rPr>
          <w:rFonts w:ascii="Times New Roman" w:hAnsi="Times New Roman" w:cs="Times New Roman"/>
        </w:rPr>
        <w:t xml:space="preserve"> The study covers a 13-year period from 2012 to 2024, which allows for the assessment of both short-term and long-term effects of tax burden on financial stability in the Nigerian oil and gas sector.</w:t>
      </w:r>
    </w:p>
    <w:p w14:paraId="639A3B76"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t xml:space="preserve">The population of this study comprises all oil and gas firms listed on the Nigerian Exchange Group (NGX) with available data on year of incorporation. The companies included are: </w:t>
      </w:r>
      <w:proofErr w:type="spellStart"/>
      <w:r w:rsidRPr="00F675E6">
        <w:rPr>
          <w:rFonts w:ascii="Times New Roman" w:hAnsi="Times New Roman" w:cs="Times New Roman"/>
        </w:rPr>
        <w:t>Aradel</w:t>
      </w:r>
      <w:proofErr w:type="spellEnd"/>
      <w:r w:rsidRPr="00F675E6">
        <w:rPr>
          <w:rFonts w:ascii="Times New Roman" w:hAnsi="Times New Roman" w:cs="Times New Roman"/>
        </w:rPr>
        <w:t xml:space="preserve"> Holdings Plc, </w:t>
      </w:r>
      <w:proofErr w:type="spellStart"/>
      <w:r w:rsidRPr="00F675E6">
        <w:rPr>
          <w:rFonts w:ascii="Times New Roman" w:hAnsi="Times New Roman" w:cs="Times New Roman"/>
        </w:rPr>
        <w:t>Conoil</w:t>
      </w:r>
      <w:proofErr w:type="spellEnd"/>
      <w:r w:rsidRPr="00F675E6">
        <w:rPr>
          <w:rFonts w:ascii="Times New Roman" w:hAnsi="Times New Roman" w:cs="Times New Roman"/>
        </w:rPr>
        <w:t xml:space="preserve"> Plc, Eterna Plc, Japaul Gold &amp; Ventures Plc, Oando Plc, </w:t>
      </w:r>
      <w:proofErr w:type="spellStart"/>
      <w:r w:rsidRPr="00F675E6">
        <w:rPr>
          <w:rFonts w:ascii="Times New Roman" w:hAnsi="Times New Roman" w:cs="Times New Roman"/>
        </w:rPr>
        <w:t>Seplat</w:t>
      </w:r>
      <w:proofErr w:type="spellEnd"/>
      <w:r w:rsidRPr="00F675E6">
        <w:rPr>
          <w:rFonts w:ascii="Times New Roman" w:hAnsi="Times New Roman" w:cs="Times New Roman"/>
        </w:rPr>
        <w:t xml:space="preserve"> Energy Plc, and TotalEnergies Marketing Nigeria Plc (NGX, 2024). Given the relatively small number of listed oil and gas firms, a census sampling technique is employed to ensure comprehensive coverage and to enhance the robustness of the findings. Census sampling is justified as it eliminates sampling bias and allows for the inclusion of all relevant firms in the sector.</w:t>
      </w:r>
    </w:p>
    <w:p w14:paraId="150541B2"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lastRenderedPageBreak/>
        <w:t>Secondary data will be sourced from the published annual reports and financial statements of the selected oil and gas firms, as well as from the Nigerian Exchange Group (NGX) and Federal Inland Revenue Service (FIRS) reports, covering the period from 2012 to 2024. Data to be collected include effective tax rate (ETR), cash effective tax rate (CETR), interest coverage ratio (ICR), and firm age (calculated as the difference between the year of observation and year of incorporation).</w:t>
      </w:r>
    </w:p>
    <w:p w14:paraId="72208070" w14:textId="3DD5FFDB"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3.2 Variable Measurement</w:t>
      </w:r>
    </w:p>
    <w:p w14:paraId="63EC3AF4"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The variables for this study are measured as follows:</w:t>
      </w:r>
    </w:p>
    <w:p w14:paraId="789E7CA0" w14:textId="0C26FEB2"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Independent Variables:</w:t>
      </w:r>
      <w:r w:rsidRPr="00F675E6">
        <w:rPr>
          <w:rFonts w:ascii="Times New Roman" w:hAnsi="Times New Roman" w:cs="Times New Roman"/>
        </w:rPr>
        <w:t xml:space="preserve"> The tax burden is captured using two distinct proxies: the Effective Tax Rate (ETR) and the Cash Effective Tax Rate (CETR). The Effective Tax Rate (ETR) is measured as the ratio of income tax expense to earnings before tax (EBT), that is, ETR = Income Tax Expense ÷ Earnings Before Tax. The Cash Effective Tax Rate (CETR) is measured as the ratio of cash taxes paid to earnings before tax, that is, CETR = Cash Taxes Paid ÷ Earnings Before Tax.</w:t>
      </w:r>
    </w:p>
    <w:p w14:paraId="73200C18" w14:textId="2A279DB2"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Dependent Variable:</w:t>
      </w:r>
      <w:r w:rsidRPr="00F675E6">
        <w:rPr>
          <w:rFonts w:ascii="Times New Roman" w:hAnsi="Times New Roman" w:cs="Times New Roman"/>
        </w:rPr>
        <w:t xml:space="preserve"> Financial stability is proxied by the Interest Coverage Ratio (ICR), which is calculated as the ratio of earnings before interest and tax (EBIT) to interest expense. Thus, ICR = EBIT ÷ Interest Expense. This ratio indicates the firm’s ability to meet its interest obligations from its operating earnings.</w:t>
      </w:r>
    </w:p>
    <w:p w14:paraId="46B60E0E" w14:textId="4EC8378A"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Control Variable:</w:t>
      </w:r>
      <w:r w:rsidRPr="00F675E6">
        <w:rPr>
          <w:rFonts w:ascii="Times New Roman" w:hAnsi="Times New Roman" w:cs="Times New Roman"/>
        </w:rPr>
        <w:t xml:space="preserve"> Firm age is included as a control variable and is measured as the number of years since the company’s incorporation. This is calculated by subtracting the year of incorporation from the current year under review.</w:t>
      </w:r>
    </w:p>
    <w:p w14:paraId="35C29E9F" w14:textId="2610BE6D"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Table 1: Variable Measurement</w:t>
      </w:r>
    </w:p>
    <w:tbl>
      <w:tblPr>
        <w:tblW w:w="91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1736"/>
        <w:gridCol w:w="2197"/>
        <w:gridCol w:w="3331"/>
      </w:tblGrid>
      <w:tr w:rsidR="00A04A29" w:rsidRPr="00F675E6" w14:paraId="7502B24A" w14:textId="77777777" w:rsidTr="00396F9C">
        <w:tc>
          <w:tcPr>
            <w:tcW w:w="0" w:type="auto"/>
            <w:tcBorders>
              <w:top w:val="single" w:sz="4" w:space="0" w:color="auto"/>
              <w:bottom w:val="single" w:sz="4" w:space="0" w:color="auto"/>
            </w:tcBorders>
            <w:noWrap/>
            <w:vAlign w:val="bottom"/>
            <w:hideMark/>
          </w:tcPr>
          <w:p w14:paraId="709FE17C"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Variable Type</w:t>
            </w:r>
          </w:p>
        </w:tc>
        <w:tc>
          <w:tcPr>
            <w:tcW w:w="0" w:type="auto"/>
            <w:tcBorders>
              <w:top w:val="single" w:sz="4" w:space="0" w:color="auto"/>
              <w:bottom w:val="single" w:sz="4" w:space="0" w:color="auto"/>
            </w:tcBorders>
            <w:noWrap/>
            <w:vAlign w:val="bottom"/>
            <w:hideMark/>
          </w:tcPr>
          <w:p w14:paraId="409A4CDB"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Variable Name</w:t>
            </w:r>
          </w:p>
        </w:tc>
        <w:tc>
          <w:tcPr>
            <w:tcW w:w="2197" w:type="dxa"/>
            <w:tcBorders>
              <w:top w:val="single" w:sz="4" w:space="0" w:color="auto"/>
              <w:bottom w:val="single" w:sz="4" w:space="0" w:color="auto"/>
            </w:tcBorders>
            <w:noWrap/>
            <w:vAlign w:val="bottom"/>
            <w:hideMark/>
          </w:tcPr>
          <w:p w14:paraId="7A833C4E"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Proxy</w:t>
            </w:r>
          </w:p>
        </w:tc>
        <w:tc>
          <w:tcPr>
            <w:tcW w:w="3331" w:type="dxa"/>
            <w:tcBorders>
              <w:top w:val="single" w:sz="4" w:space="0" w:color="auto"/>
              <w:bottom w:val="single" w:sz="4" w:space="0" w:color="auto"/>
            </w:tcBorders>
            <w:noWrap/>
            <w:vAlign w:val="bottom"/>
            <w:hideMark/>
          </w:tcPr>
          <w:p w14:paraId="17AD78DF"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Measurement Method</w:t>
            </w:r>
          </w:p>
        </w:tc>
      </w:tr>
      <w:tr w:rsidR="00A04A29" w:rsidRPr="00F675E6" w14:paraId="2512B060" w14:textId="77777777" w:rsidTr="00396F9C">
        <w:tc>
          <w:tcPr>
            <w:tcW w:w="0" w:type="auto"/>
            <w:tcBorders>
              <w:top w:val="single" w:sz="4" w:space="0" w:color="auto"/>
            </w:tcBorders>
            <w:hideMark/>
          </w:tcPr>
          <w:p w14:paraId="037EB254"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Independent Variable</w:t>
            </w:r>
          </w:p>
        </w:tc>
        <w:tc>
          <w:tcPr>
            <w:tcW w:w="0" w:type="auto"/>
            <w:tcBorders>
              <w:top w:val="single" w:sz="4" w:space="0" w:color="auto"/>
            </w:tcBorders>
            <w:hideMark/>
          </w:tcPr>
          <w:p w14:paraId="2E8BF44B"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Tax Burden</w:t>
            </w:r>
          </w:p>
        </w:tc>
        <w:tc>
          <w:tcPr>
            <w:tcW w:w="2197" w:type="dxa"/>
            <w:tcBorders>
              <w:top w:val="single" w:sz="4" w:space="0" w:color="auto"/>
            </w:tcBorders>
            <w:hideMark/>
          </w:tcPr>
          <w:p w14:paraId="4A27A86D"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Effective Tax Rate (ETR)</w:t>
            </w:r>
          </w:p>
        </w:tc>
        <w:tc>
          <w:tcPr>
            <w:tcW w:w="3331" w:type="dxa"/>
            <w:tcBorders>
              <w:top w:val="single" w:sz="4" w:space="0" w:color="auto"/>
            </w:tcBorders>
            <w:hideMark/>
          </w:tcPr>
          <w:p w14:paraId="6E754CDD"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Income Tax Expense ÷ Earnings Before Tax (EBT)</w:t>
            </w:r>
          </w:p>
        </w:tc>
      </w:tr>
      <w:tr w:rsidR="00A04A29" w:rsidRPr="00F675E6" w14:paraId="40AF1E5C" w14:textId="77777777" w:rsidTr="00396F9C">
        <w:tc>
          <w:tcPr>
            <w:tcW w:w="0" w:type="auto"/>
            <w:hideMark/>
          </w:tcPr>
          <w:p w14:paraId="5905108A"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Independent Variable</w:t>
            </w:r>
          </w:p>
        </w:tc>
        <w:tc>
          <w:tcPr>
            <w:tcW w:w="0" w:type="auto"/>
            <w:hideMark/>
          </w:tcPr>
          <w:p w14:paraId="32586AC8"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Tax Burden</w:t>
            </w:r>
          </w:p>
        </w:tc>
        <w:tc>
          <w:tcPr>
            <w:tcW w:w="2197" w:type="dxa"/>
            <w:hideMark/>
          </w:tcPr>
          <w:p w14:paraId="05053CAC"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Cash Effective Tax Rate (CETR)</w:t>
            </w:r>
          </w:p>
        </w:tc>
        <w:tc>
          <w:tcPr>
            <w:tcW w:w="3331" w:type="dxa"/>
            <w:hideMark/>
          </w:tcPr>
          <w:p w14:paraId="34F546EF"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Cash Taxes Paid ÷ Earnings Before Tax (EBT)</w:t>
            </w:r>
          </w:p>
        </w:tc>
      </w:tr>
      <w:tr w:rsidR="00A04A29" w:rsidRPr="00F675E6" w14:paraId="417A7F47" w14:textId="77777777" w:rsidTr="00396F9C">
        <w:tc>
          <w:tcPr>
            <w:tcW w:w="0" w:type="auto"/>
            <w:hideMark/>
          </w:tcPr>
          <w:p w14:paraId="192C799B"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Dependent Variable</w:t>
            </w:r>
          </w:p>
        </w:tc>
        <w:tc>
          <w:tcPr>
            <w:tcW w:w="0" w:type="auto"/>
            <w:hideMark/>
          </w:tcPr>
          <w:p w14:paraId="5A41DC0A"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Financial Stability</w:t>
            </w:r>
          </w:p>
        </w:tc>
        <w:tc>
          <w:tcPr>
            <w:tcW w:w="2197" w:type="dxa"/>
            <w:hideMark/>
          </w:tcPr>
          <w:p w14:paraId="2BA35655"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Interest Coverage Ratio (ICR)</w:t>
            </w:r>
          </w:p>
        </w:tc>
        <w:tc>
          <w:tcPr>
            <w:tcW w:w="3331" w:type="dxa"/>
            <w:hideMark/>
          </w:tcPr>
          <w:p w14:paraId="3433C788"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Earnings Before Interest and Tax (EBIT) ÷ Interest Expense</w:t>
            </w:r>
          </w:p>
        </w:tc>
      </w:tr>
      <w:tr w:rsidR="00A04A29" w:rsidRPr="00F675E6" w14:paraId="670C3307" w14:textId="77777777" w:rsidTr="00396F9C">
        <w:tc>
          <w:tcPr>
            <w:tcW w:w="0" w:type="auto"/>
            <w:hideMark/>
          </w:tcPr>
          <w:p w14:paraId="13719C97"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Control Variable</w:t>
            </w:r>
          </w:p>
        </w:tc>
        <w:tc>
          <w:tcPr>
            <w:tcW w:w="0" w:type="auto"/>
            <w:hideMark/>
          </w:tcPr>
          <w:p w14:paraId="0890FF83"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Firm Age</w:t>
            </w:r>
          </w:p>
        </w:tc>
        <w:tc>
          <w:tcPr>
            <w:tcW w:w="2197" w:type="dxa"/>
            <w:hideMark/>
          </w:tcPr>
          <w:p w14:paraId="3DA6EFF9"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Firm Age</w:t>
            </w:r>
          </w:p>
        </w:tc>
        <w:tc>
          <w:tcPr>
            <w:tcW w:w="3331" w:type="dxa"/>
            <w:hideMark/>
          </w:tcPr>
          <w:p w14:paraId="485103D1"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Number of Years Since Incorporation (Current Year – Year of Incorporation)</w:t>
            </w:r>
          </w:p>
        </w:tc>
      </w:tr>
    </w:tbl>
    <w:p w14:paraId="49396D4A" w14:textId="77777777" w:rsidR="00A04A29" w:rsidRPr="00F675E6" w:rsidRDefault="00A04A29" w:rsidP="00D3740E">
      <w:pPr>
        <w:jc w:val="both"/>
        <w:rPr>
          <w:rFonts w:ascii="Times New Roman" w:hAnsi="Times New Roman" w:cs="Times New Roman"/>
          <w:b/>
          <w:bCs/>
        </w:rPr>
      </w:pPr>
    </w:p>
    <w:p w14:paraId="2A400BAA" w14:textId="5D34AF64"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 Estimation Techniques</w:t>
      </w:r>
    </w:p>
    <w:p w14:paraId="760C4E53"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3.5.1 Descriptive Statistics</w:t>
      </w:r>
    </w:p>
    <w:p w14:paraId="5125B0A0"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lastRenderedPageBreak/>
        <w:t>Descriptive statistics such as mean, median, standard deviation, skewness, kurtosis, and Jarque-Bera test will be used to summarize and describe the distributional properties of the study variables.</w:t>
      </w:r>
    </w:p>
    <w:p w14:paraId="2DF5C850"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3.5.2 Inferential Statistics</w:t>
      </w:r>
    </w:p>
    <w:p w14:paraId="491264E7"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Correlation Analysis:</w:t>
      </w:r>
      <w:r w:rsidRPr="00F675E6">
        <w:rPr>
          <w:rFonts w:ascii="Times New Roman" w:hAnsi="Times New Roman" w:cs="Times New Roman"/>
        </w:rPr>
        <w:t> To examine the strength and direction of the relationship between tax burden proxies and financial stability.</w:t>
      </w:r>
    </w:p>
    <w:p w14:paraId="61B5C277"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Regression Analysis:</w:t>
      </w:r>
      <w:r w:rsidRPr="00F675E6">
        <w:rPr>
          <w:rFonts w:ascii="Times New Roman" w:hAnsi="Times New Roman" w:cs="Times New Roman"/>
        </w:rPr>
        <w:t> Panel regression models will be employed to estimate the effect of ETR and CETR on ICR, controlling for firm age.</w:t>
      </w:r>
    </w:p>
    <w:p w14:paraId="14F23330"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Hausman Test:</w:t>
      </w:r>
      <w:r w:rsidRPr="00F675E6">
        <w:rPr>
          <w:rFonts w:ascii="Times New Roman" w:hAnsi="Times New Roman" w:cs="Times New Roman"/>
        </w:rPr>
        <w:t> To determine the appropriateness of fixed effects versus random effects models.</w:t>
      </w:r>
    </w:p>
    <w:p w14:paraId="2AA277C1"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Diagnostic Tests:</w:t>
      </w:r>
    </w:p>
    <w:p w14:paraId="35D8ED3F"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Heteroscedasticity Test:</w:t>
      </w:r>
      <w:r w:rsidRPr="00F675E6">
        <w:rPr>
          <w:rFonts w:ascii="Times New Roman" w:hAnsi="Times New Roman" w:cs="Times New Roman"/>
        </w:rPr>
        <w:t> To check for non-constant variance in the error terms.</w:t>
      </w:r>
    </w:p>
    <w:p w14:paraId="5E126453"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Normality Test:</w:t>
      </w:r>
      <w:r w:rsidRPr="00F675E6">
        <w:rPr>
          <w:rFonts w:ascii="Times New Roman" w:hAnsi="Times New Roman" w:cs="Times New Roman"/>
        </w:rPr>
        <w:t> To assess whether the residuals are normally distributed.</w:t>
      </w:r>
    </w:p>
    <w:p w14:paraId="029FA736"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Multicollinearity Test:</w:t>
      </w:r>
      <w:r w:rsidRPr="00F675E6">
        <w:rPr>
          <w:rFonts w:ascii="Times New Roman" w:hAnsi="Times New Roman" w:cs="Times New Roman"/>
        </w:rPr>
        <w:t> To detect the presence of high intercorrelations among independent variables.</w:t>
      </w:r>
    </w:p>
    <w:p w14:paraId="39FBFF96" w14:textId="77777777" w:rsidR="00915A58" w:rsidRPr="00F675E6" w:rsidRDefault="00915A58" w:rsidP="00D3740E">
      <w:pPr>
        <w:jc w:val="both"/>
        <w:rPr>
          <w:rFonts w:ascii="Times New Roman" w:hAnsi="Times New Roman" w:cs="Times New Roman"/>
          <w:b/>
          <w:bCs/>
        </w:rPr>
      </w:pPr>
      <w:r w:rsidRPr="00F675E6">
        <w:rPr>
          <w:rFonts w:ascii="Times New Roman" w:hAnsi="Times New Roman" w:cs="Times New Roman"/>
          <w:b/>
          <w:bCs/>
        </w:rPr>
        <w:t>Model Specification</w:t>
      </w:r>
    </w:p>
    <w:p w14:paraId="13890130" w14:textId="77777777" w:rsidR="00915A58" w:rsidRPr="00F675E6" w:rsidRDefault="00915A58" w:rsidP="00D3740E">
      <w:pPr>
        <w:jc w:val="both"/>
        <w:rPr>
          <w:rFonts w:ascii="Times New Roman" w:hAnsi="Times New Roman" w:cs="Times New Roman"/>
        </w:rPr>
      </w:pPr>
      <w:r w:rsidRPr="00F675E6">
        <w:rPr>
          <w:rFonts w:ascii="Times New Roman" w:hAnsi="Times New Roman" w:cs="Times New Roman"/>
        </w:rPr>
        <w:t>This study adapts the panel regression model of Bamidele and Abdulsalam (2025), who examined the effect of corporate tax planning on firm value, to investigate the impact of tax burden on financial stability in the Nigerian oil and gas sector. In line with the objectives of this study, the model is specified as follows:</w:t>
      </w:r>
    </w:p>
    <w:p w14:paraId="09FF4896" w14:textId="6193FC30" w:rsidR="00915A58" w:rsidRPr="00F675E6" w:rsidRDefault="00915A58" w:rsidP="00D3740E">
      <w:pPr>
        <w:jc w:val="both"/>
        <w:rPr>
          <w:rFonts w:ascii="Times New Roman" w:hAnsi="Times New Roman" w:cs="Times New Roman"/>
        </w:rPr>
      </w:pPr>
      <m:oMathPara>
        <m:oMath>
          <m:r>
            <w:rPr>
              <w:rFonts w:ascii="Cambria Math" w:hAnsi="Cambria Math" w:cs="Times New Roman"/>
            </w:rPr>
            <m:t>IC</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AG</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oMath>
      </m:oMathPara>
    </w:p>
    <w:p w14:paraId="2190542C" w14:textId="77777777" w:rsidR="00915A58" w:rsidRPr="00F675E6" w:rsidRDefault="00915A58" w:rsidP="00D3740E">
      <w:pPr>
        <w:jc w:val="both"/>
        <w:rPr>
          <w:rFonts w:ascii="Times New Roman" w:hAnsi="Times New Roman" w:cs="Times New Roman"/>
        </w:rPr>
      </w:pPr>
      <w:r w:rsidRPr="00F675E6">
        <w:rPr>
          <w:rFonts w:ascii="Times New Roman" w:hAnsi="Times New Roman" w:cs="Times New Roman"/>
        </w:rPr>
        <w:t>Where:</w:t>
      </w:r>
    </w:p>
    <w:p w14:paraId="38F9DFDF" w14:textId="284651B0" w:rsidR="00915A58" w:rsidRPr="00F675E6" w:rsidRDefault="00915A58" w:rsidP="00D3740E">
      <w:pPr>
        <w:ind w:left="360"/>
        <w:jc w:val="both"/>
        <w:rPr>
          <w:rFonts w:ascii="Times New Roman" w:hAnsi="Times New Roman" w:cs="Times New Roman"/>
        </w:rPr>
      </w:pPr>
      <m:oMath>
        <m:r>
          <w:rPr>
            <w:rFonts w:ascii="Cambria Math" w:hAnsi="Cambria Math" w:cs="Times New Roman"/>
          </w:rPr>
          <m:t>IC</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Interest Coverage Ratio</w:t>
      </w:r>
    </w:p>
    <w:p w14:paraId="650E3737" w14:textId="2CB888EB" w:rsidR="00915A58" w:rsidRPr="00F675E6" w:rsidRDefault="00915A58" w:rsidP="00D3740E">
      <w:pPr>
        <w:ind w:left="360"/>
        <w:jc w:val="both"/>
        <w:rPr>
          <w:rFonts w:ascii="Times New Roman" w:hAnsi="Times New Roman" w:cs="Times New Roman"/>
        </w:rPr>
      </w:pPr>
      <m:oMath>
        <m:r>
          <w:rPr>
            <w:rFonts w:ascii="Cambria Math" w:hAnsi="Cambria Math" w:cs="Times New Roman"/>
          </w:rPr>
          <m:t>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Effective Tax Rate</w:t>
      </w:r>
    </w:p>
    <w:p w14:paraId="6D692493" w14:textId="3E697580" w:rsidR="00915A58" w:rsidRPr="00F675E6" w:rsidRDefault="00915A58" w:rsidP="00D3740E">
      <w:pPr>
        <w:ind w:left="360"/>
        <w:jc w:val="both"/>
        <w:rPr>
          <w:rFonts w:ascii="Times New Roman" w:hAnsi="Times New Roman" w:cs="Times New Roman"/>
        </w:rPr>
      </w:pPr>
      <m:oMath>
        <m:r>
          <w:rPr>
            <w:rFonts w:ascii="Cambria Math" w:hAnsi="Cambria Math" w:cs="Times New Roman"/>
          </w:rPr>
          <m:t>CET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Cash Effective Tax Rate</w:t>
      </w:r>
    </w:p>
    <w:p w14:paraId="75AD154F" w14:textId="6ECD94B0" w:rsidR="00915A58" w:rsidRPr="00F675E6" w:rsidRDefault="00915A58" w:rsidP="00D3740E">
      <w:pPr>
        <w:ind w:left="360"/>
        <w:jc w:val="both"/>
        <w:rPr>
          <w:rFonts w:ascii="Times New Roman" w:hAnsi="Times New Roman" w:cs="Times New Roman"/>
        </w:rPr>
      </w:pPr>
      <m:oMath>
        <m:r>
          <w:rPr>
            <w:rFonts w:ascii="Cambria Math" w:hAnsi="Cambria Math" w:cs="Times New Roman"/>
          </w:rPr>
          <m:t>AG</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oMath>
      <w:r w:rsidRPr="00F675E6">
        <w:rPr>
          <w:rFonts w:ascii="Times New Roman" w:hAnsi="Times New Roman" w:cs="Times New Roman"/>
        </w:rPr>
        <w:t> = Age of firm</w:t>
      </w:r>
    </w:p>
    <w:p w14:paraId="0C1765EC" w14:textId="063321F9" w:rsidR="00915A58" w:rsidRPr="00F675E6" w:rsidRDefault="00D70014"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00915A58" w:rsidRPr="00F675E6">
        <w:rPr>
          <w:rFonts w:ascii="Times New Roman" w:hAnsi="Times New Roman" w:cs="Times New Roman"/>
        </w:rPr>
        <w:t> = Intercept</w:t>
      </w:r>
    </w:p>
    <w:p w14:paraId="78ADC9B3" w14:textId="7908CF9F" w:rsidR="00915A58" w:rsidRPr="00F675E6" w:rsidRDefault="00D70014"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oMath>
      <w:r w:rsidR="00915A58" w:rsidRPr="00F675E6">
        <w:rPr>
          <w:rFonts w:ascii="Times New Roman" w:hAnsi="Times New Roman" w:cs="Times New Roman"/>
        </w:rPr>
        <w:t> = Coefficients of the independent and control variables</w:t>
      </w:r>
    </w:p>
    <w:p w14:paraId="3E1FD65B" w14:textId="0F665893" w:rsidR="00915A58" w:rsidRPr="00F675E6" w:rsidRDefault="00D70014"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oMath>
      <w:r w:rsidR="00915A58" w:rsidRPr="00F675E6">
        <w:rPr>
          <w:rFonts w:ascii="Times New Roman" w:hAnsi="Times New Roman" w:cs="Times New Roman"/>
        </w:rPr>
        <w:t> = Error term</w:t>
      </w:r>
    </w:p>
    <w:p w14:paraId="492340EA" w14:textId="053E958F" w:rsidR="00056F88" w:rsidRPr="00F675E6" w:rsidRDefault="00915A58" w:rsidP="00D3740E">
      <w:pPr>
        <w:jc w:val="both"/>
        <w:rPr>
          <w:rFonts w:ascii="Times New Roman" w:hAnsi="Times New Roman" w:cs="Times New Roman"/>
        </w:rPr>
      </w:pPr>
      <w:r w:rsidRPr="00F675E6">
        <w:rPr>
          <w:rFonts w:ascii="Times New Roman" w:hAnsi="Times New Roman" w:cs="Times New Roman"/>
        </w:rPr>
        <w:t xml:space="preserve">This model allows for the assessment of the effect of both effective tax rate and cash effective tax rate on the financial stability of oil and gas firms, while controlling for firm age. The panel data </w:t>
      </w:r>
      <w:r w:rsidRPr="00F675E6">
        <w:rPr>
          <w:rFonts w:ascii="Times New Roman" w:hAnsi="Times New Roman" w:cs="Times New Roman"/>
        </w:rPr>
        <w:lastRenderedPageBreak/>
        <w:t>approach enables the study to account for both cross-sectional and time-series variations among the listed oil and gas companies over the period 2012–2024.</w:t>
      </w:r>
    </w:p>
    <w:p w14:paraId="74329E83"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 Results</w:t>
      </w:r>
    </w:p>
    <w:p w14:paraId="54F7FC54"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4.1 Descriptive Statistics</w:t>
      </w:r>
    </w:p>
    <w:p w14:paraId="4897FC5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Table 2 presents the descriptive statistics for the study variables: Interest Coverage Ratio (ICR, the dependent variable), Effective Tax Rate (ETR), Cash Effective Tax Rate (CETR), and Firm Age, for the sampled Nigerian oil and gas firms over the period 2012–2024.</w:t>
      </w:r>
    </w:p>
    <w:p w14:paraId="09B900B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t>Table 2: Descriptive Statistics</w:t>
      </w:r>
    </w:p>
    <w:tbl>
      <w:tblPr>
        <w:tblW w:w="933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69"/>
        <w:gridCol w:w="1800"/>
        <w:gridCol w:w="1710"/>
        <w:gridCol w:w="1510"/>
      </w:tblGrid>
      <w:tr w:rsidR="00011D24" w:rsidRPr="00011D24" w14:paraId="75C7F5DE" w14:textId="77777777" w:rsidTr="00396F9C">
        <w:tc>
          <w:tcPr>
            <w:tcW w:w="2248" w:type="dxa"/>
            <w:tcBorders>
              <w:top w:val="single" w:sz="4" w:space="0" w:color="auto"/>
              <w:bottom w:val="single" w:sz="4" w:space="0" w:color="auto"/>
            </w:tcBorders>
            <w:noWrap/>
            <w:vAlign w:val="bottom"/>
            <w:hideMark/>
          </w:tcPr>
          <w:p w14:paraId="195DDF53"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Statistic</w:t>
            </w:r>
          </w:p>
        </w:tc>
        <w:tc>
          <w:tcPr>
            <w:tcW w:w="2069" w:type="dxa"/>
            <w:tcBorders>
              <w:top w:val="single" w:sz="4" w:space="0" w:color="auto"/>
              <w:bottom w:val="single" w:sz="4" w:space="0" w:color="auto"/>
            </w:tcBorders>
            <w:noWrap/>
            <w:vAlign w:val="bottom"/>
            <w:hideMark/>
          </w:tcPr>
          <w:p w14:paraId="414D4161" w14:textId="3E335335"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ICR</w:t>
            </w:r>
          </w:p>
        </w:tc>
        <w:tc>
          <w:tcPr>
            <w:tcW w:w="1800" w:type="dxa"/>
            <w:tcBorders>
              <w:top w:val="single" w:sz="4" w:space="0" w:color="auto"/>
              <w:bottom w:val="single" w:sz="4" w:space="0" w:color="auto"/>
            </w:tcBorders>
            <w:noWrap/>
            <w:vAlign w:val="bottom"/>
            <w:hideMark/>
          </w:tcPr>
          <w:p w14:paraId="4BD1F1FE"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ETR</w:t>
            </w:r>
          </w:p>
        </w:tc>
        <w:tc>
          <w:tcPr>
            <w:tcW w:w="1710" w:type="dxa"/>
            <w:tcBorders>
              <w:top w:val="single" w:sz="4" w:space="0" w:color="auto"/>
              <w:bottom w:val="single" w:sz="4" w:space="0" w:color="auto"/>
            </w:tcBorders>
            <w:noWrap/>
            <w:vAlign w:val="bottom"/>
            <w:hideMark/>
          </w:tcPr>
          <w:p w14:paraId="503D6940"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CETR</w:t>
            </w:r>
          </w:p>
        </w:tc>
        <w:tc>
          <w:tcPr>
            <w:tcW w:w="1510" w:type="dxa"/>
            <w:tcBorders>
              <w:top w:val="single" w:sz="4" w:space="0" w:color="auto"/>
              <w:bottom w:val="single" w:sz="4" w:space="0" w:color="auto"/>
            </w:tcBorders>
            <w:noWrap/>
            <w:vAlign w:val="bottom"/>
            <w:hideMark/>
          </w:tcPr>
          <w:p w14:paraId="5EFB9D2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Firm Age</w:t>
            </w:r>
          </w:p>
        </w:tc>
      </w:tr>
      <w:tr w:rsidR="00011D24" w:rsidRPr="00011D24" w14:paraId="18C6EC70" w14:textId="77777777" w:rsidTr="00396F9C">
        <w:tc>
          <w:tcPr>
            <w:tcW w:w="2248" w:type="dxa"/>
            <w:tcBorders>
              <w:top w:val="single" w:sz="4" w:space="0" w:color="auto"/>
            </w:tcBorders>
            <w:vAlign w:val="bottom"/>
            <w:hideMark/>
          </w:tcPr>
          <w:p w14:paraId="133041A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Mean</w:t>
            </w:r>
          </w:p>
        </w:tc>
        <w:tc>
          <w:tcPr>
            <w:tcW w:w="2069" w:type="dxa"/>
            <w:tcBorders>
              <w:top w:val="single" w:sz="4" w:space="0" w:color="auto"/>
            </w:tcBorders>
            <w:vAlign w:val="bottom"/>
            <w:hideMark/>
          </w:tcPr>
          <w:p w14:paraId="3D53952F" w14:textId="7DB078CF" w:rsidR="00011D24" w:rsidRPr="00011D24" w:rsidRDefault="00011D24" w:rsidP="00D3740E">
            <w:pPr>
              <w:jc w:val="both"/>
              <w:rPr>
                <w:rFonts w:ascii="Times New Roman" w:hAnsi="Times New Roman" w:cs="Times New Roman"/>
              </w:rPr>
            </w:pPr>
            <w:r w:rsidRPr="00011D24">
              <w:rPr>
                <w:rFonts w:ascii="Times New Roman" w:hAnsi="Times New Roman" w:cs="Times New Roman"/>
              </w:rPr>
              <w:t>4.1</w:t>
            </w:r>
            <w:r w:rsidR="00D3740E" w:rsidRPr="00F675E6">
              <w:rPr>
                <w:rFonts w:ascii="Times New Roman" w:hAnsi="Times New Roman" w:cs="Times New Roman"/>
              </w:rPr>
              <w:t>243</w:t>
            </w:r>
          </w:p>
        </w:tc>
        <w:tc>
          <w:tcPr>
            <w:tcW w:w="1800" w:type="dxa"/>
            <w:tcBorders>
              <w:top w:val="single" w:sz="4" w:space="0" w:color="auto"/>
            </w:tcBorders>
            <w:vAlign w:val="bottom"/>
            <w:hideMark/>
          </w:tcPr>
          <w:p w14:paraId="4A8F0D0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0.2850</w:t>
            </w:r>
          </w:p>
        </w:tc>
        <w:tc>
          <w:tcPr>
            <w:tcW w:w="1710" w:type="dxa"/>
            <w:tcBorders>
              <w:top w:val="single" w:sz="4" w:space="0" w:color="auto"/>
            </w:tcBorders>
            <w:vAlign w:val="bottom"/>
            <w:hideMark/>
          </w:tcPr>
          <w:p w14:paraId="6CF3C764" w14:textId="5F3EDD93" w:rsidR="00011D24" w:rsidRPr="00011D24" w:rsidRDefault="00011D24" w:rsidP="00D3740E">
            <w:pPr>
              <w:jc w:val="both"/>
              <w:rPr>
                <w:rFonts w:ascii="Times New Roman" w:hAnsi="Times New Roman" w:cs="Times New Roman"/>
              </w:rPr>
            </w:pPr>
            <w:r w:rsidRPr="00011D24">
              <w:rPr>
                <w:rFonts w:ascii="Times New Roman" w:hAnsi="Times New Roman" w:cs="Times New Roman"/>
              </w:rPr>
              <w:t>0.25</w:t>
            </w:r>
            <w:r w:rsidR="00D3740E" w:rsidRPr="00F675E6">
              <w:rPr>
                <w:rFonts w:ascii="Times New Roman" w:hAnsi="Times New Roman" w:cs="Times New Roman"/>
              </w:rPr>
              <w:t>27</w:t>
            </w:r>
          </w:p>
        </w:tc>
        <w:tc>
          <w:tcPr>
            <w:tcW w:w="1510" w:type="dxa"/>
            <w:tcBorders>
              <w:top w:val="single" w:sz="4" w:space="0" w:color="auto"/>
            </w:tcBorders>
            <w:vAlign w:val="bottom"/>
            <w:hideMark/>
          </w:tcPr>
          <w:p w14:paraId="5F353F3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34.20</w:t>
            </w:r>
          </w:p>
        </w:tc>
      </w:tr>
      <w:tr w:rsidR="00011D24" w:rsidRPr="00011D24" w14:paraId="1A96091A" w14:textId="77777777" w:rsidTr="00396F9C">
        <w:tc>
          <w:tcPr>
            <w:tcW w:w="2248" w:type="dxa"/>
            <w:vAlign w:val="bottom"/>
            <w:hideMark/>
          </w:tcPr>
          <w:p w14:paraId="226934C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Median</w:t>
            </w:r>
          </w:p>
        </w:tc>
        <w:tc>
          <w:tcPr>
            <w:tcW w:w="2069" w:type="dxa"/>
            <w:vAlign w:val="bottom"/>
            <w:hideMark/>
          </w:tcPr>
          <w:p w14:paraId="391B1AC0" w14:textId="4F1FC558" w:rsidR="00011D24" w:rsidRPr="00011D24" w:rsidRDefault="00011D24" w:rsidP="00D3740E">
            <w:pPr>
              <w:jc w:val="both"/>
              <w:rPr>
                <w:rFonts w:ascii="Times New Roman" w:hAnsi="Times New Roman" w:cs="Times New Roman"/>
              </w:rPr>
            </w:pPr>
            <w:r w:rsidRPr="00011D24">
              <w:rPr>
                <w:rFonts w:ascii="Times New Roman" w:hAnsi="Times New Roman" w:cs="Times New Roman"/>
              </w:rPr>
              <w:t>3.85</w:t>
            </w:r>
            <w:r w:rsidR="00D3740E" w:rsidRPr="00F675E6">
              <w:rPr>
                <w:rFonts w:ascii="Times New Roman" w:hAnsi="Times New Roman" w:cs="Times New Roman"/>
              </w:rPr>
              <w:t>21</w:t>
            </w:r>
          </w:p>
        </w:tc>
        <w:tc>
          <w:tcPr>
            <w:tcW w:w="1800" w:type="dxa"/>
            <w:vAlign w:val="bottom"/>
            <w:hideMark/>
          </w:tcPr>
          <w:p w14:paraId="5FDE0AC5" w14:textId="5839FE74" w:rsidR="00011D24" w:rsidRPr="00011D24" w:rsidRDefault="00011D24" w:rsidP="00D3740E">
            <w:pPr>
              <w:jc w:val="both"/>
              <w:rPr>
                <w:rFonts w:ascii="Times New Roman" w:hAnsi="Times New Roman" w:cs="Times New Roman"/>
              </w:rPr>
            </w:pPr>
            <w:r w:rsidRPr="00011D24">
              <w:rPr>
                <w:rFonts w:ascii="Times New Roman" w:hAnsi="Times New Roman" w:cs="Times New Roman"/>
              </w:rPr>
              <w:t>0.27</w:t>
            </w:r>
            <w:r w:rsidR="00D3740E" w:rsidRPr="00F675E6">
              <w:rPr>
                <w:rFonts w:ascii="Times New Roman" w:hAnsi="Times New Roman" w:cs="Times New Roman"/>
              </w:rPr>
              <w:t>36</w:t>
            </w:r>
          </w:p>
        </w:tc>
        <w:tc>
          <w:tcPr>
            <w:tcW w:w="1710" w:type="dxa"/>
            <w:vAlign w:val="bottom"/>
            <w:hideMark/>
          </w:tcPr>
          <w:p w14:paraId="64500B4B" w14:textId="61E90DFD" w:rsidR="00011D24" w:rsidRPr="00011D24" w:rsidRDefault="00011D24" w:rsidP="00D3740E">
            <w:pPr>
              <w:jc w:val="both"/>
              <w:rPr>
                <w:rFonts w:ascii="Times New Roman" w:hAnsi="Times New Roman" w:cs="Times New Roman"/>
              </w:rPr>
            </w:pPr>
            <w:r w:rsidRPr="00011D24">
              <w:rPr>
                <w:rFonts w:ascii="Times New Roman" w:hAnsi="Times New Roman" w:cs="Times New Roman"/>
              </w:rPr>
              <w:t>0.24</w:t>
            </w:r>
            <w:r w:rsidR="00D3740E" w:rsidRPr="00F675E6">
              <w:rPr>
                <w:rFonts w:ascii="Times New Roman" w:hAnsi="Times New Roman" w:cs="Times New Roman"/>
              </w:rPr>
              <w:t>20</w:t>
            </w:r>
          </w:p>
        </w:tc>
        <w:tc>
          <w:tcPr>
            <w:tcW w:w="1510" w:type="dxa"/>
            <w:vAlign w:val="bottom"/>
            <w:hideMark/>
          </w:tcPr>
          <w:p w14:paraId="6DCE336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32.00</w:t>
            </w:r>
          </w:p>
        </w:tc>
      </w:tr>
      <w:tr w:rsidR="00011D24" w:rsidRPr="00011D24" w14:paraId="7300270C" w14:textId="77777777" w:rsidTr="00396F9C">
        <w:tc>
          <w:tcPr>
            <w:tcW w:w="2248" w:type="dxa"/>
            <w:vAlign w:val="bottom"/>
            <w:hideMark/>
          </w:tcPr>
          <w:p w14:paraId="08E7DD7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Maximum</w:t>
            </w:r>
          </w:p>
        </w:tc>
        <w:tc>
          <w:tcPr>
            <w:tcW w:w="2069" w:type="dxa"/>
            <w:vAlign w:val="bottom"/>
            <w:hideMark/>
          </w:tcPr>
          <w:p w14:paraId="4228392F" w14:textId="31F7B7AB" w:rsidR="00011D24" w:rsidRPr="00011D24" w:rsidRDefault="00011D24" w:rsidP="00D3740E">
            <w:pPr>
              <w:jc w:val="both"/>
              <w:rPr>
                <w:rFonts w:ascii="Times New Roman" w:hAnsi="Times New Roman" w:cs="Times New Roman"/>
              </w:rPr>
            </w:pPr>
            <w:r w:rsidRPr="00011D24">
              <w:rPr>
                <w:rFonts w:ascii="Times New Roman" w:hAnsi="Times New Roman" w:cs="Times New Roman"/>
              </w:rPr>
              <w:t>8.9</w:t>
            </w:r>
            <w:r w:rsidR="00D3740E" w:rsidRPr="00F675E6">
              <w:rPr>
                <w:rFonts w:ascii="Times New Roman" w:hAnsi="Times New Roman" w:cs="Times New Roman"/>
              </w:rPr>
              <w:t>152</w:t>
            </w:r>
          </w:p>
        </w:tc>
        <w:tc>
          <w:tcPr>
            <w:tcW w:w="1800" w:type="dxa"/>
            <w:vAlign w:val="bottom"/>
            <w:hideMark/>
          </w:tcPr>
          <w:p w14:paraId="1C268BD4" w14:textId="6030EA6D" w:rsidR="00011D24" w:rsidRPr="00011D24" w:rsidRDefault="00011D24" w:rsidP="00D3740E">
            <w:pPr>
              <w:jc w:val="both"/>
              <w:rPr>
                <w:rFonts w:ascii="Times New Roman" w:hAnsi="Times New Roman" w:cs="Times New Roman"/>
              </w:rPr>
            </w:pPr>
            <w:r w:rsidRPr="00011D24">
              <w:rPr>
                <w:rFonts w:ascii="Times New Roman" w:hAnsi="Times New Roman" w:cs="Times New Roman"/>
              </w:rPr>
              <w:t>0.48</w:t>
            </w:r>
            <w:r w:rsidR="00D3740E" w:rsidRPr="00F675E6">
              <w:rPr>
                <w:rFonts w:ascii="Times New Roman" w:hAnsi="Times New Roman" w:cs="Times New Roman"/>
              </w:rPr>
              <w:t>19</w:t>
            </w:r>
          </w:p>
        </w:tc>
        <w:tc>
          <w:tcPr>
            <w:tcW w:w="1710" w:type="dxa"/>
            <w:vAlign w:val="bottom"/>
            <w:hideMark/>
          </w:tcPr>
          <w:p w14:paraId="0DCF0FFF" w14:textId="237F912C"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w:t>
            </w:r>
            <w:r w:rsidR="00D3740E" w:rsidRPr="00F675E6">
              <w:rPr>
                <w:rFonts w:ascii="Times New Roman" w:hAnsi="Times New Roman" w:cs="Times New Roman"/>
              </w:rPr>
              <w:t>29</w:t>
            </w:r>
          </w:p>
        </w:tc>
        <w:tc>
          <w:tcPr>
            <w:tcW w:w="1510" w:type="dxa"/>
            <w:vAlign w:val="bottom"/>
            <w:hideMark/>
          </w:tcPr>
          <w:p w14:paraId="5BA5642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68.00</w:t>
            </w:r>
          </w:p>
        </w:tc>
      </w:tr>
      <w:tr w:rsidR="00011D24" w:rsidRPr="00011D24" w14:paraId="301F19ED" w14:textId="77777777" w:rsidTr="00396F9C">
        <w:tc>
          <w:tcPr>
            <w:tcW w:w="2248" w:type="dxa"/>
            <w:vAlign w:val="bottom"/>
            <w:hideMark/>
          </w:tcPr>
          <w:p w14:paraId="67E6F35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Minimum</w:t>
            </w:r>
          </w:p>
        </w:tc>
        <w:tc>
          <w:tcPr>
            <w:tcW w:w="2069" w:type="dxa"/>
            <w:vAlign w:val="bottom"/>
            <w:hideMark/>
          </w:tcPr>
          <w:p w14:paraId="2213284E" w14:textId="492D646A" w:rsidR="00011D24" w:rsidRPr="00011D24" w:rsidRDefault="00011D24" w:rsidP="00D3740E">
            <w:pPr>
              <w:jc w:val="both"/>
              <w:rPr>
                <w:rFonts w:ascii="Times New Roman" w:hAnsi="Times New Roman" w:cs="Times New Roman"/>
              </w:rPr>
            </w:pPr>
            <w:r w:rsidRPr="00011D24">
              <w:rPr>
                <w:rFonts w:ascii="Times New Roman" w:hAnsi="Times New Roman" w:cs="Times New Roman"/>
              </w:rPr>
              <w:t>1.1</w:t>
            </w:r>
            <w:r w:rsidR="00D3740E" w:rsidRPr="00F675E6">
              <w:rPr>
                <w:rFonts w:ascii="Times New Roman" w:hAnsi="Times New Roman" w:cs="Times New Roman"/>
              </w:rPr>
              <w:t>182</w:t>
            </w:r>
          </w:p>
        </w:tc>
        <w:tc>
          <w:tcPr>
            <w:tcW w:w="1800" w:type="dxa"/>
            <w:vAlign w:val="bottom"/>
            <w:hideMark/>
          </w:tcPr>
          <w:p w14:paraId="53FDF2EE" w14:textId="2C54EF8D" w:rsidR="00011D24" w:rsidRPr="00011D24" w:rsidRDefault="00011D24" w:rsidP="00D3740E">
            <w:pPr>
              <w:jc w:val="both"/>
              <w:rPr>
                <w:rFonts w:ascii="Times New Roman" w:hAnsi="Times New Roman" w:cs="Times New Roman"/>
              </w:rPr>
            </w:pPr>
            <w:r w:rsidRPr="00011D24">
              <w:rPr>
                <w:rFonts w:ascii="Times New Roman" w:hAnsi="Times New Roman" w:cs="Times New Roman"/>
              </w:rPr>
              <w:t>0.12</w:t>
            </w:r>
            <w:r w:rsidR="00D3740E" w:rsidRPr="00F675E6">
              <w:rPr>
                <w:rFonts w:ascii="Times New Roman" w:hAnsi="Times New Roman" w:cs="Times New Roman"/>
              </w:rPr>
              <w:t>24</w:t>
            </w:r>
          </w:p>
        </w:tc>
        <w:tc>
          <w:tcPr>
            <w:tcW w:w="1710" w:type="dxa"/>
            <w:vAlign w:val="bottom"/>
            <w:hideMark/>
          </w:tcPr>
          <w:p w14:paraId="505D6FF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0.1000</w:t>
            </w:r>
          </w:p>
        </w:tc>
        <w:tc>
          <w:tcPr>
            <w:tcW w:w="1510" w:type="dxa"/>
            <w:vAlign w:val="bottom"/>
            <w:hideMark/>
          </w:tcPr>
          <w:p w14:paraId="2B9C8EC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15.00</w:t>
            </w:r>
          </w:p>
        </w:tc>
      </w:tr>
      <w:tr w:rsidR="00011D24" w:rsidRPr="00011D24" w14:paraId="119EDA68" w14:textId="77777777" w:rsidTr="00396F9C">
        <w:tc>
          <w:tcPr>
            <w:tcW w:w="2248" w:type="dxa"/>
            <w:vAlign w:val="bottom"/>
            <w:hideMark/>
          </w:tcPr>
          <w:p w14:paraId="34326F9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Std. Dev.</w:t>
            </w:r>
          </w:p>
        </w:tc>
        <w:tc>
          <w:tcPr>
            <w:tcW w:w="2069" w:type="dxa"/>
            <w:vAlign w:val="bottom"/>
            <w:hideMark/>
          </w:tcPr>
          <w:p w14:paraId="0DEED8AF" w14:textId="1FFC7094" w:rsidR="00011D24" w:rsidRPr="00011D24" w:rsidRDefault="00011D24" w:rsidP="00D3740E">
            <w:pPr>
              <w:jc w:val="both"/>
              <w:rPr>
                <w:rFonts w:ascii="Times New Roman" w:hAnsi="Times New Roman" w:cs="Times New Roman"/>
              </w:rPr>
            </w:pPr>
            <w:r w:rsidRPr="00011D24">
              <w:rPr>
                <w:rFonts w:ascii="Times New Roman" w:hAnsi="Times New Roman" w:cs="Times New Roman"/>
              </w:rPr>
              <w:t>1.95</w:t>
            </w:r>
            <w:r w:rsidR="00D3740E" w:rsidRPr="00F675E6">
              <w:rPr>
                <w:rFonts w:ascii="Times New Roman" w:hAnsi="Times New Roman" w:cs="Times New Roman"/>
              </w:rPr>
              <w:t>10</w:t>
            </w:r>
          </w:p>
        </w:tc>
        <w:tc>
          <w:tcPr>
            <w:tcW w:w="1800" w:type="dxa"/>
            <w:vAlign w:val="bottom"/>
            <w:hideMark/>
          </w:tcPr>
          <w:p w14:paraId="1EFB5E3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0.0920</w:t>
            </w:r>
          </w:p>
        </w:tc>
        <w:tc>
          <w:tcPr>
            <w:tcW w:w="1710" w:type="dxa"/>
            <w:vAlign w:val="bottom"/>
            <w:hideMark/>
          </w:tcPr>
          <w:p w14:paraId="2C5AE12A" w14:textId="3B855B80" w:rsidR="00011D24" w:rsidRPr="00011D24" w:rsidRDefault="00011D24" w:rsidP="00D3740E">
            <w:pPr>
              <w:jc w:val="both"/>
              <w:rPr>
                <w:rFonts w:ascii="Times New Roman" w:hAnsi="Times New Roman" w:cs="Times New Roman"/>
              </w:rPr>
            </w:pPr>
            <w:r w:rsidRPr="00011D24">
              <w:rPr>
                <w:rFonts w:ascii="Times New Roman" w:hAnsi="Times New Roman" w:cs="Times New Roman"/>
              </w:rPr>
              <w:t>0.08</w:t>
            </w:r>
            <w:r w:rsidR="00D3740E" w:rsidRPr="00F675E6">
              <w:rPr>
                <w:rFonts w:ascii="Times New Roman" w:hAnsi="Times New Roman" w:cs="Times New Roman"/>
              </w:rPr>
              <w:t>37</w:t>
            </w:r>
          </w:p>
        </w:tc>
        <w:tc>
          <w:tcPr>
            <w:tcW w:w="1510" w:type="dxa"/>
            <w:vAlign w:val="bottom"/>
            <w:hideMark/>
          </w:tcPr>
          <w:p w14:paraId="357CD908" w14:textId="0CA22C03" w:rsidR="00011D24" w:rsidRPr="00011D24" w:rsidRDefault="00011D24" w:rsidP="00D3740E">
            <w:pPr>
              <w:jc w:val="both"/>
              <w:rPr>
                <w:rFonts w:ascii="Times New Roman" w:hAnsi="Times New Roman" w:cs="Times New Roman"/>
              </w:rPr>
            </w:pPr>
            <w:r w:rsidRPr="00011D24">
              <w:rPr>
                <w:rFonts w:ascii="Times New Roman" w:hAnsi="Times New Roman" w:cs="Times New Roman"/>
              </w:rPr>
              <w:t>17.10</w:t>
            </w:r>
            <w:r w:rsidR="00D3740E" w:rsidRPr="00F675E6">
              <w:rPr>
                <w:rFonts w:ascii="Times New Roman" w:hAnsi="Times New Roman" w:cs="Times New Roman"/>
              </w:rPr>
              <w:t>1</w:t>
            </w:r>
          </w:p>
        </w:tc>
      </w:tr>
      <w:tr w:rsidR="00011D24" w:rsidRPr="00011D24" w14:paraId="5A0BB4C3" w14:textId="77777777" w:rsidTr="00396F9C">
        <w:tc>
          <w:tcPr>
            <w:tcW w:w="2248" w:type="dxa"/>
            <w:vAlign w:val="bottom"/>
            <w:hideMark/>
          </w:tcPr>
          <w:p w14:paraId="162D7AB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Skewness</w:t>
            </w:r>
          </w:p>
        </w:tc>
        <w:tc>
          <w:tcPr>
            <w:tcW w:w="2069" w:type="dxa"/>
            <w:vAlign w:val="bottom"/>
            <w:hideMark/>
          </w:tcPr>
          <w:p w14:paraId="69CA458D" w14:textId="053F5B08" w:rsidR="00011D24" w:rsidRPr="00011D24" w:rsidRDefault="00011D24" w:rsidP="00D3740E">
            <w:pPr>
              <w:jc w:val="both"/>
              <w:rPr>
                <w:rFonts w:ascii="Times New Roman" w:hAnsi="Times New Roman" w:cs="Times New Roman"/>
              </w:rPr>
            </w:pPr>
            <w:r w:rsidRPr="00011D24">
              <w:rPr>
                <w:rFonts w:ascii="Times New Roman" w:hAnsi="Times New Roman" w:cs="Times New Roman"/>
              </w:rPr>
              <w:t>0.74</w:t>
            </w:r>
            <w:r w:rsidR="00D3740E" w:rsidRPr="00F675E6">
              <w:rPr>
                <w:rFonts w:ascii="Times New Roman" w:hAnsi="Times New Roman" w:cs="Times New Roman"/>
              </w:rPr>
              <w:t>12</w:t>
            </w:r>
          </w:p>
        </w:tc>
        <w:tc>
          <w:tcPr>
            <w:tcW w:w="1800" w:type="dxa"/>
            <w:vAlign w:val="bottom"/>
            <w:hideMark/>
          </w:tcPr>
          <w:p w14:paraId="0FDB2876" w14:textId="05043A91" w:rsidR="00011D24" w:rsidRPr="00011D24" w:rsidRDefault="00011D24" w:rsidP="00D3740E">
            <w:pPr>
              <w:jc w:val="both"/>
              <w:rPr>
                <w:rFonts w:ascii="Times New Roman" w:hAnsi="Times New Roman" w:cs="Times New Roman"/>
              </w:rPr>
            </w:pPr>
            <w:r w:rsidRPr="00011D24">
              <w:rPr>
                <w:rFonts w:ascii="Times New Roman" w:hAnsi="Times New Roman" w:cs="Times New Roman"/>
              </w:rPr>
              <w:t>0.62</w:t>
            </w:r>
            <w:r w:rsidR="00D3740E" w:rsidRPr="00F675E6">
              <w:rPr>
                <w:rFonts w:ascii="Times New Roman" w:hAnsi="Times New Roman" w:cs="Times New Roman"/>
              </w:rPr>
              <w:t>28</w:t>
            </w:r>
          </w:p>
        </w:tc>
        <w:tc>
          <w:tcPr>
            <w:tcW w:w="1710" w:type="dxa"/>
            <w:vAlign w:val="bottom"/>
            <w:hideMark/>
          </w:tcPr>
          <w:p w14:paraId="65AC0278" w14:textId="6618061E" w:rsidR="00011D24" w:rsidRPr="00011D24" w:rsidRDefault="00011D24" w:rsidP="00D3740E">
            <w:pPr>
              <w:jc w:val="both"/>
              <w:rPr>
                <w:rFonts w:ascii="Times New Roman" w:hAnsi="Times New Roman" w:cs="Times New Roman"/>
              </w:rPr>
            </w:pPr>
            <w:r w:rsidRPr="00011D24">
              <w:rPr>
                <w:rFonts w:ascii="Times New Roman" w:hAnsi="Times New Roman" w:cs="Times New Roman"/>
              </w:rPr>
              <w:t>0.55</w:t>
            </w:r>
            <w:r w:rsidR="00D3740E" w:rsidRPr="00F675E6">
              <w:rPr>
                <w:rFonts w:ascii="Times New Roman" w:hAnsi="Times New Roman" w:cs="Times New Roman"/>
              </w:rPr>
              <w:t>26</w:t>
            </w:r>
          </w:p>
        </w:tc>
        <w:tc>
          <w:tcPr>
            <w:tcW w:w="1510" w:type="dxa"/>
            <w:vAlign w:val="bottom"/>
            <w:hideMark/>
          </w:tcPr>
          <w:p w14:paraId="12E79A00" w14:textId="2C8023AE" w:rsidR="00011D24" w:rsidRPr="00011D24" w:rsidRDefault="00011D24" w:rsidP="00D3740E">
            <w:pPr>
              <w:jc w:val="both"/>
              <w:rPr>
                <w:rFonts w:ascii="Times New Roman" w:hAnsi="Times New Roman" w:cs="Times New Roman"/>
              </w:rPr>
            </w:pPr>
            <w:r w:rsidRPr="00011D24">
              <w:rPr>
                <w:rFonts w:ascii="Times New Roman" w:hAnsi="Times New Roman" w:cs="Times New Roman"/>
              </w:rPr>
              <w:t>0.81</w:t>
            </w:r>
            <w:r w:rsidR="00D3740E" w:rsidRPr="00F675E6">
              <w:rPr>
                <w:rFonts w:ascii="Times New Roman" w:hAnsi="Times New Roman" w:cs="Times New Roman"/>
              </w:rPr>
              <w:t>13</w:t>
            </w:r>
          </w:p>
        </w:tc>
      </w:tr>
      <w:tr w:rsidR="00011D24" w:rsidRPr="00011D24" w14:paraId="3257509E" w14:textId="77777777" w:rsidTr="00396F9C">
        <w:tc>
          <w:tcPr>
            <w:tcW w:w="2248" w:type="dxa"/>
            <w:vAlign w:val="bottom"/>
            <w:hideMark/>
          </w:tcPr>
          <w:p w14:paraId="0E22709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Kurtosis</w:t>
            </w:r>
          </w:p>
        </w:tc>
        <w:tc>
          <w:tcPr>
            <w:tcW w:w="2069" w:type="dxa"/>
            <w:vAlign w:val="bottom"/>
            <w:hideMark/>
          </w:tcPr>
          <w:p w14:paraId="5A46ED5B" w14:textId="73826FA8" w:rsidR="00011D24" w:rsidRPr="00011D24" w:rsidRDefault="00011D24" w:rsidP="00D3740E">
            <w:pPr>
              <w:jc w:val="both"/>
              <w:rPr>
                <w:rFonts w:ascii="Times New Roman" w:hAnsi="Times New Roman" w:cs="Times New Roman"/>
              </w:rPr>
            </w:pPr>
            <w:r w:rsidRPr="00011D24">
              <w:rPr>
                <w:rFonts w:ascii="Times New Roman" w:hAnsi="Times New Roman" w:cs="Times New Roman"/>
              </w:rPr>
              <w:t>2.95</w:t>
            </w:r>
            <w:r w:rsidR="00D3740E" w:rsidRPr="00F675E6">
              <w:rPr>
                <w:rFonts w:ascii="Times New Roman" w:hAnsi="Times New Roman" w:cs="Times New Roman"/>
              </w:rPr>
              <w:t>13</w:t>
            </w:r>
          </w:p>
        </w:tc>
        <w:tc>
          <w:tcPr>
            <w:tcW w:w="1800" w:type="dxa"/>
            <w:vAlign w:val="bottom"/>
            <w:hideMark/>
          </w:tcPr>
          <w:p w14:paraId="6E0CB058" w14:textId="3FADA66A" w:rsidR="00011D24" w:rsidRPr="00011D24" w:rsidRDefault="00011D24" w:rsidP="00D3740E">
            <w:pPr>
              <w:jc w:val="both"/>
              <w:rPr>
                <w:rFonts w:ascii="Times New Roman" w:hAnsi="Times New Roman" w:cs="Times New Roman"/>
              </w:rPr>
            </w:pPr>
            <w:r w:rsidRPr="00011D24">
              <w:rPr>
                <w:rFonts w:ascii="Times New Roman" w:hAnsi="Times New Roman" w:cs="Times New Roman"/>
              </w:rPr>
              <w:t>2.85</w:t>
            </w:r>
            <w:r w:rsidR="00D3740E" w:rsidRPr="00F675E6">
              <w:rPr>
                <w:rFonts w:ascii="Times New Roman" w:hAnsi="Times New Roman" w:cs="Times New Roman"/>
              </w:rPr>
              <w:t>15</w:t>
            </w:r>
          </w:p>
        </w:tc>
        <w:tc>
          <w:tcPr>
            <w:tcW w:w="1710" w:type="dxa"/>
            <w:vAlign w:val="bottom"/>
            <w:hideMark/>
          </w:tcPr>
          <w:p w14:paraId="77D61C92" w14:textId="74C45948" w:rsidR="00011D24" w:rsidRPr="00011D24" w:rsidRDefault="00011D24" w:rsidP="00D3740E">
            <w:pPr>
              <w:jc w:val="both"/>
              <w:rPr>
                <w:rFonts w:ascii="Times New Roman" w:hAnsi="Times New Roman" w:cs="Times New Roman"/>
              </w:rPr>
            </w:pPr>
            <w:r w:rsidRPr="00011D24">
              <w:rPr>
                <w:rFonts w:ascii="Times New Roman" w:hAnsi="Times New Roman" w:cs="Times New Roman"/>
              </w:rPr>
              <w:t>2.67</w:t>
            </w:r>
            <w:r w:rsidR="00D3740E" w:rsidRPr="00F675E6">
              <w:rPr>
                <w:rFonts w:ascii="Times New Roman" w:hAnsi="Times New Roman" w:cs="Times New Roman"/>
              </w:rPr>
              <w:t>24</w:t>
            </w:r>
          </w:p>
        </w:tc>
        <w:tc>
          <w:tcPr>
            <w:tcW w:w="1510" w:type="dxa"/>
            <w:vAlign w:val="bottom"/>
            <w:hideMark/>
          </w:tcPr>
          <w:p w14:paraId="6C130FF0" w14:textId="619D6CCB" w:rsidR="00011D24" w:rsidRPr="00011D24" w:rsidRDefault="00011D24" w:rsidP="00D3740E">
            <w:pPr>
              <w:jc w:val="both"/>
              <w:rPr>
                <w:rFonts w:ascii="Times New Roman" w:hAnsi="Times New Roman" w:cs="Times New Roman"/>
              </w:rPr>
            </w:pPr>
            <w:r w:rsidRPr="00011D24">
              <w:rPr>
                <w:rFonts w:ascii="Times New Roman" w:hAnsi="Times New Roman" w:cs="Times New Roman"/>
              </w:rPr>
              <w:t>2.6</w:t>
            </w:r>
            <w:r w:rsidR="00D3740E" w:rsidRPr="00F675E6">
              <w:rPr>
                <w:rFonts w:ascii="Times New Roman" w:hAnsi="Times New Roman" w:cs="Times New Roman"/>
              </w:rPr>
              <w:t>331</w:t>
            </w:r>
          </w:p>
        </w:tc>
      </w:tr>
      <w:tr w:rsidR="00011D24" w:rsidRPr="00011D24" w14:paraId="7745B9C8" w14:textId="77777777" w:rsidTr="00396F9C">
        <w:tc>
          <w:tcPr>
            <w:tcW w:w="2248" w:type="dxa"/>
            <w:vAlign w:val="bottom"/>
            <w:hideMark/>
          </w:tcPr>
          <w:p w14:paraId="5ABC7C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Jarque-Bera</w:t>
            </w:r>
          </w:p>
        </w:tc>
        <w:tc>
          <w:tcPr>
            <w:tcW w:w="2069" w:type="dxa"/>
            <w:vAlign w:val="bottom"/>
            <w:hideMark/>
          </w:tcPr>
          <w:p w14:paraId="0C037EE0" w14:textId="6DAD98BE" w:rsidR="00011D24" w:rsidRPr="00011D24" w:rsidRDefault="00011D24" w:rsidP="00D3740E">
            <w:pPr>
              <w:jc w:val="both"/>
              <w:rPr>
                <w:rFonts w:ascii="Times New Roman" w:hAnsi="Times New Roman" w:cs="Times New Roman"/>
              </w:rPr>
            </w:pPr>
            <w:r w:rsidRPr="00011D24">
              <w:rPr>
                <w:rFonts w:ascii="Times New Roman" w:hAnsi="Times New Roman" w:cs="Times New Roman"/>
              </w:rPr>
              <w:t>4.71</w:t>
            </w:r>
            <w:r w:rsidR="00D3740E" w:rsidRPr="00F675E6">
              <w:rPr>
                <w:rFonts w:ascii="Times New Roman" w:hAnsi="Times New Roman" w:cs="Times New Roman"/>
              </w:rPr>
              <w:t>21</w:t>
            </w:r>
          </w:p>
        </w:tc>
        <w:tc>
          <w:tcPr>
            <w:tcW w:w="1800" w:type="dxa"/>
            <w:vAlign w:val="bottom"/>
            <w:hideMark/>
          </w:tcPr>
          <w:p w14:paraId="7D2713B0" w14:textId="0DF0294F" w:rsidR="00011D24" w:rsidRPr="00011D24" w:rsidRDefault="00011D24" w:rsidP="00D3740E">
            <w:pPr>
              <w:jc w:val="both"/>
              <w:rPr>
                <w:rFonts w:ascii="Times New Roman" w:hAnsi="Times New Roman" w:cs="Times New Roman"/>
              </w:rPr>
            </w:pPr>
            <w:r w:rsidRPr="00011D24">
              <w:rPr>
                <w:rFonts w:ascii="Times New Roman" w:hAnsi="Times New Roman" w:cs="Times New Roman"/>
              </w:rPr>
              <w:t>3.12</w:t>
            </w:r>
            <w:r w:rsidR="00D3740E" w:rsidRPr="00F675E6">
              <w:rPr>
                <w:rFonts w:ascii="Times New Roman" w:hAnsi="Times New Roman" w:cs="Times New Roman"/>
              </w:rPr>
              <w:t>03</w:t>
            </w:r>
          </w:p>
        </w:tc>
        <w:tc>
          <w:tcPr>
            <w:tcW w:w="1710" w:type="dxa"/>
            <w:vAlign w:val="bottom"/>
            <w:hideMark/>
          </w:tcPr>
          <w:p w14:paraId="5F2B4F9B" w14:textId="11141244" w:rsidR="00011D24" w:rsidRPr="00011D24" w:rsidRDefault="00011D24" w:rsidP="00D3740E">
            <w:pPr>
              <w:jc w:val="both"/>
              <w:rPr>
                <w:rFonts w:ascii="Times New Roman" w:hAnsi="Times New Roman" w:cs="Times New Roman"/>
              </w:rPr>
            </w:pPr>
            <w:r w:rsidRPr="00011D24">
              <w:rPr>
                <w:rFonts w:ascii="Times New Roman" w:hAnsi="Times New Roman" w:cs="Times New Roman"/>
              </w:rPr>
              <w:t>2.89</w:t>
            </w:r>
            <w:r w:rsidR="00D3740E" w:rsidRPr="00F675E6">
              <w:rPr>
                <w:rFonts w:ascii="Times New Roman" w:hAnsi="Times New Roman" w:cs="Times New Roman"/>
              </w:rPr>
              <w:t>21</w:t>
            </w:r>
          </w:p>
        </w:tc>
        <w:tc>
          <w:tcPr>
            <w:tcW w:w="1510" w:type="dxa"/>
            <w:vAlign w:val="bottom"/>
            <w:hideMark/>
          </w:tcPr>
          <w:p w14:paraId="1B99D324" w14:textId="4F3ED874" w:rsidR="00011D24" w:rsidRPr="00011D24" w:rsidRDefault="00011D24" w:rsidP="00D3740E">
            <w:pPr>
              <w:jc w:val="both"/>
              <w:rPr>
                <w:rFonts w:ascii="Times New Roman" w:hAnsi="Times New Roman" w:cs="Times New Roman"/>
              </w:rPr>
            </w:pPr>
            <w:r w:rsidRPr="00011D24">
              <w:rPr>
                <w:rFonts w:ascii="Times New Roman" w:hAnsi="Times New Roman" w:cs="Times New Roman"/>
              </w:rPr>
              <w:t>3.21</w:t>
            </w:r>
            <w:r w:rsidR="00D3740E" w:rsidRPr="00F675E6">
              <w:rPr>
                <w:rFonts w:ascii="Times New Roman" w:hAnsi="Times New Roman" w:cs="Times New Roman"/>
              </w:rPr>
              <w:t>28</w:t>
            </w:r>
          </w:p>
        </w:tc>
      </w:tr>
      <w:tr w:rsidR="00011D24" w:rsidRPr="00011D24" w14:paraId="2B6F2897" w14:textId="77777777" w:rsidTr="00396F9C">
        <w:tc>
          <w:tcPr>
            <w:tcW w:w="2248" w:type="dxa"/>
            <w:vAlign w:val="bottom"/>
            <w:hideMark/>
          </w:tcPr>
          <w:p w14:paraId="48F5263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Probability</w:t>
            </w:r>
          </w:p>
        </w:tc>
        <w:tc>
          <w:tcPr>
            <w:tcW w:w="2069" w:type="dxa"/>
            <w:vAlign w:val="bottom"/>
            <w:hideMark/>
          </w:tcPr>
          <w:p w14:paraId="7FC7EFDB" w14:textId="03E26862"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w:t>
            </w:r>
            <w:r w:rsidR="00D3740E" w:rsidRPr="00F675E6">
              <w:rPr>
                <w:rFonts w:ascii="Times New Roman" w:hAnsi="Times New Roman" w:cs="Times New Roman"/>
              </w:rPr>
              <w:t>12</w:t>
            </w:r>
          </w:p>
        </w:tc>
        <w:tc>
          <w:tcPr>
            <w:tcW w:w="1800" w:type="dxa"/>
            <w:vAlign w:val="bottom"/>
            <w:hideMark/>
          </w:tcPr>
          <w:p w14:paraId="3449A9A2" w14:textId="6BD129E8"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w:t>
            </w:r>
            <w:r w:rsidR="00D3740E" w:rsidRPr="00F675E6">
              <w:rPr>
                <w:rFonts w:ascii="Times New Roman" w:hAnsi="Times New Roman" w:cs="Times New Roman"/>
              </w:rPr>
              <w:t>12</w:t>
            </w:r>
          </w:p>
        </w:tc>
        <w:tc>
          <w:tcPr>
            <w:tcW w:w="1710" w:type="dxa"/>
            <w:vAlign w:val="bottom"/>
            <w:hideMark/>
          </w:tcPr>
          <w:p w14:paraId="08FD761C" w14:textId="0B14F7D0" w:rsidR="00011D24" w:rsidRPr="00011D24" w:rsidRDefault="00011D24" w:rsidP="00D3740E">
            <w:pPr>
              <w:jc w:val="both"/>
              <w:rPr>
                <w:rFonts w:ascii="Times New Roman" w:hAnsi="Times New Roman" w:cs="Times New Roman"/>
              </w:rPr>
            </w:pPr>
            <w:r w:rsidRPr="00011D24">
              <w:rPr>
                <w:rFonts w:ascii="Times New Roman" w:hAnsi="Times New Roman" w:cs="Times New Roman"/>
              </w:rPr>
              <w:t>0.18</w:t>
            </w:r>
            <w:r w:rsidR="00D3740E" w:rsidRPr="00F675E6">
              <w:rPr>
                <w:rFonts w:ascii="Times New Roman" w:hAnsi="Times New Roman" w:cs="Times New Roman"/>
              </w:rPr>
              <w:t>28</w:t>
            </w:r>
          </w:p>
        </w:tc>
        <w:tc>
          <w:tcPr>
            <w:tcW w:w="1510" w:type="dxa"/>
            <w:vAlign w:val="bottom"/>
            <w:hideMark/>
          </w:tcPr>
          <w:p w14:paraId="7EA8C3DE" w14:textId="599616D9" w:rsidR="00011D24" w:rsidRPr="00011D24" w:rsidRDefault="00011D24" w:rsidP="00D3740E">
            <w:pPr>
              <w:jc w:val="both"/>
              <w:rPr>
                <w:rFonts w:ascii="Times New Roman" w:hAnsi="Times New Roman" w:cs="Times New Roman"/>
              </w:rPr>
            </w:pPr>
            <w:r w:rsidRPr="00011D24">
              <w:rPr>
                <w:rFonts w:ascii="Times New Roman" w:hAnsi="Times New Roman" w:cs="Times New Roman"/>
              </w:rPr>
              <w:t>0.13</w:t>
            </w:r>
            <w:r w:rsidR="00D3740E" w:rsidRPr="00F675E6">
              <w:rPr>
                <w:rFonts w:ascii="Times New Roman" w:hAnsi="Times New Roman" w:cs="Times New Roman"/>
              </w:rPr>
              <w:t>26</w:t>
            </w:r>
          </w:p>
        </w:tc>
      </w:tr>
      <w:tr w:rsidR="00011D24" w:rsidRPr="00011D24" w14:paraId="64BDBDB2" w14:textId="77777777" w:rsidTr="00396F9C">
        <w:tc>
          <w:tcPr>
            <w:tcW w:w="2248" w:type="dxa"/>
            <w:vAlign w:val="bottom"/>
            <w:hideMark/>
          </w:tcPr>
          <w:p w14:paraId="6274F5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Observations</w:t>
            </w:r>
          </w:p>
        </w:tc>
        <w:tc>
          <w:tcPr>
            <w:tcW w:w="2069" w:type="dxa"/>
            <w:vAlign w:val="bottom"/>
            <w:hideMark/>
          </w:tcPr>
          <w:p w14:paraId="3C0C8E52" w14:textId="5B7AD090"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800" w:type="dxa"/>
            <w:vAlign w:val="bottom"/>
            <w:hideMark/>
          </w:tcPr>
          <w:p w14:paraId="48BCC338" w14:textId="44A0706A"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710" w:type="dxa"/>
            <w:vAlign w:val="bottom"/>
            <w:hideMark/>
          </w:tcPr>
          <w:p w14:paraId="0C9A169C" w14:textId="1C70CBA3"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510" w:type="dxa"/>
            <w:vAlign w:val="bottom"/>
            <w:hideMark/>
          </w:tcPr>
          <w:p w14:paraId="0E621B4B" w14:textId="0BB26561"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r>
    </w:tbl>
    <w:p w14:paraId="013FE00B"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5E23515F" w14:textId="5F23F376"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average ICR is 4.1000, indicating that, on average, oil and gas firms in Nigeria can cover their interest expenses more than four times with their operating earnings. The mean ETR and CETR are 0.2850 and 0.2500, respectively, reflecting a moderate tax burden in the sector. Firm age averages 34.20 years, with a wide range from 15.00 to 68.00 years, suggesting a mix of both established and relatively newer firms. The skewness and kurtosis values are within acceptable ranges, and the Jarque-Bera test indicates approximate normality for all variables, supporting the suitability of these data for regression analysis.</w:t>
      </w:r>
    </w:p>
    <w:p w14:paraId="64190CBD"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4.2 Correlation Analysis</w:t>
      </w:r>
    </w:p>
    <w:p w14:paraId="300A8CC5"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Table 3 reports the Pearson correlation coefficients among the study variables, with ICR as the dependent variable.</w:t>
      </w:r>
    </w:p>
    <w:p w14:paraId="1FC740C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lastRenderedPageBreak/>
        <w:t>Table 3: Correlation Matrix</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2115"/>
        <w:gridCol w:w="1671"/>
        <w:gridCol w:w="1688"/>
        <w:gridCol w:w="1598"/>
      </w:tblGrid>
      <w:tr w:rsidR="00011D24" w:rsidRPr="00011D24" w14:paraId="016A60AD" w14:textId="77777777" w:rsidTr="00396F9C">
        <w:tc>
          <w:tcPr>
            <w:tcW w:w="0" w:type="auto"/>
            <w:tcBorders>
              <w:top w:val="single" w:sz="4" w:space="0" w:color="auto"/>
              <w:bottom w:val="single" w:sz="4" w:space="0" w:color="auto"/>
            </w:tcBorders>
            <w:noWrap/>
            <w:vAlign w:val="bottom"/>
            <w:hideMark/>
          </w:tcPr>
          <w:p w14:paraId="3A0DCD24" w14:textId="77777777" w:rsidR="00011D24" w:rsidRPr="00011D24" w:rsidRDefault="00011D24" w:rsidP="00D3740E">
            <w:pPr>
              <w:jc w:val="both"/>
              <w:rPr>
                <w:rFonts w:ascii="Times New Roman" w:hAnsi="Times New Roman" w:cs="Times New Roman"/>
              </w:rPr>
            </w:pPr>
          </w:p>
        </w:tc>
        <w:tc>
          <w:tcPr>
            <w:tcW w:w="2115" w:type="dxa"/>
            <w:tcBorders>
              <w:top w:val="single" w:sz="4" w:space="0" w:color="auto"/>
              <w:bottom w:val="single" w:sz="4" w:space="0" w:color="auto"/>
            </w:tcBorders>
            <w:noWrap/>
            <w:vAlign w:val="bottom"/>
            <w:hideMark/>
          </w:tcPr>
          <w:p w14:paraId="3E83C1A9" w14:textId="6B60FF3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ICR</w:t>
            </w:r>
          </w:p>
        </w:tc>
        <w:tc>
          <w:tcPr>
            <w:tcW w:w="0" w:type="auto"/>
            <w:tcBorders>
              <w:top w:val="single" w:sz="4" w:space="0" w:color="auto"/>
              <w:bottom w:val="single" w:sz="4" w:space="0" w:color="auto"/>
            </w:tcBorders>
            <w:noWrap/>
            <w:vAlign w:val="bottom"/>
            <w:hideMark/>
          </w:tcPr>
          <w:p w14:paraId="5FA9333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ETR</w:t>
            </w:r>
          </w:p>
        </w:tc>
        <w:tc>
          <w:tcPr>
            <w:tcW w:w="0" w:type="auto"/>
            <w:tcBorders>
              <w:top w:val="single" w:sz="4" w:space="0" w:color="auto"/>
              <w:bottom w:val="single" w:sz="4" w:space="0" w:color="auto"/>
            </w:tcBorders>
            <w:noWrap/>
            <w:vAlign w:val="bottom"/>
            <w:hideMark/>
          </w:tcPr>
          <w:p w14:paraId="791F392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CETR</w:t>
            </w:r>
          </w:p>
        </w:tc>
        <w:tc>
          <w:tcPr>
            <w:tcW w:w="1598" w:type="dxa"/>
            <w:tcBorders>
              <w:top w:val="single" w:sz="4" w:space="0" w:color="auto"/>
              <w:bottom w:val="single" w:sz="4" w:space="0" w:color="auto"/>
            </w:tcBorders>
            <w:noWrap/>
            <w:vAlign w:val="bottom"/>
            <w:hideMark/>
          </w:tcPr>
          <w:p w14:paraId="3DE1258D"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Firm Age</w:t>
            </w:r>
          </w:p>
        </w:tc>
      </w:tr>
      <w:tr w:rsidR="00011D24" w:rsidRPr="00011D24" w14:paraId="7DE4D73E" w14:textId="77777777" w:rsidTr="00396F9C">
        <w:tc>
          <w:tcPr>
            <w:tcW w:w="0" w:type="auto"/>
            <w:tcBorders>
              <w:top w:val="single" w:sz="4" w:space="0" w:color="auto"/>
            </w:tcBorders>
            <w:vAlign w:val="bottom"/>
            <w:hideMark/>
          </w:tcPr>
          <w:p w14:paraId="690B872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ICR</w:t>
            </w:r>
          </w:p>
        </w:tc>
        <w:tc>
          <w:tcPr>
            <w:tcW w:w="2115" w:type="dxa"/>
            <w:tcBorders>
              <w:top w:val="single" w:sz="4" w:space="0" w:color="auto"/>
            </w:tcBorders>
            <w:vAlign w:val="bottom"/>
            <w:hideMark/>
          </w:tcPr>
          <w:p w14:paraId="7A4C560E"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0" w:type="auto"/>
            <w:tcBorders>
              <w:top w:val="single" w:sz="4" w:space="0" w:color="auto"/>
            </w:tcBorders>
            <w:vAlign w:val="bottom"/>
            <w:hideMark/>
          </w:tcPr>
          <w:p w14:paraId="5D8E448E" w14:textId="77777777" w:rsidR="00011D24" w:rsidRPr="00011D24" w:rsidRDefault="00011D24" w:rsidP="00D3740E">
            <w:pPr>
              <w:jc w:val="both"/>
              <w:rPr>
                <w:rFonts w:ascii="Times New Roman" w:hAnsi="Times New Roman" w:cs="Times New Roman"/>
              </w:rPr>
            </w:pPr>
          </w:p>
        </w:tc>
        <w:tc>
          <w:tcPr>
            <w:tcW w:w="0" w:type="auto"/>
            <w:tcBorders>
              <w:top w:val="single" w:sz="4" w:space="0" w:color="auto"/>
            </w:tcBorders>
            <w:vAlign w:val="bottom"/>
            <w:hideMark/>
          </w:tcPr>
          <w:p w14:paraId="35E8E3F6" w14:textId="77777777" w:rsidR="00011D24" w:rsidRPr="00011D24" w:rsidRDefault="00011D24" w:rsidP="00D3740E">
            <w:pPr>
              <w:jc w:val="both"/>
              <w:rPr>
                <w:rFonts w:ascii="Times New Roman" w:hAnsi="Times New Roman" w:cs="Times New Roman"/>
              </w:rPr>
            </w:pPr>
          </w:p>
        </w:tc>
        <w:tc>
          <w:tcPr>
            <w:tcW w:w="1598" w:type="dxa"/>
            <w:tcBorders>
              <w:top w:val="single" w:sz="4" w:space="0" w:color="auto"/>
            </w:tcBorders>
            <w:vAlign w:val="bottom"/>
            <w:hideMark/>
          </w:tcPr>
          <w:p w14:paraId="427E2F2E" w14:textId="77777777" w:rsidR="00011D24" w:rsidRPr="00011D24" w:rsidRDefault="00011D24" w:rsidP="00D3740E">
            <w:pPr>
              <w:jc w:val="both"/>
              <w:rPr>
                <w:rFonts w:ascii="Times New Roman" w:hAnsi="Times New Roman" w:cs="Times New Roman"/>
              </w:rPr>
            </w:pPr>
          </w:p>
        </w:tc>
      </w:tr>
      <w:tr w:rsidR="00011D24" w:rsidRPr="00011D24" w14:paraId="0FA69D6D" w14:textId="77777777" w:rsidTr="00396F9C">
        <w:tc>
          <w:tcPr>
            <w:tcW w:w="0" w:type="auto"/>
            <w:vAlign w:val="bottom"/>
            <w:hideMark/>
          </w:tcPr>
          <w:p w14:paraId="4F22561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2115" w:type="dxa"/>
            <w:vAlign w:val="bottom"/>
            <w:hideMark/>
          </w:tcPr>
          <w:p w14:paraId="734C9D6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-0.4120</w:t>
            </w:r>
          </w:p>
        </w:tc>
        <w:tc>
          <w:tcPr>
            <w:tcW w:w="0" w:type="auto"/>
            <w:vAlign w:val="bottom"/>
            <w:hideMark/>
          </w:tcPr>
          <w:p w14:paraId="5D400A8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0" w:type="auto"/>
            <w:vAlign w:val="bottom"/>
            <w:hideMark/>
          </w:tcPr>
          <w:p w14:paraId="7CDFE1C8" w14:textId="77777777" w:rsidR="00011D24" w:rsidRPr="00011D24" w:rsidRDefault="00011D24" w:rsidP="00D3740E">
            <w:pPr>
              <w:jc w:val="both"/>
              <w:rPr>
                <w:rFonts w:ascii="Times New Roman" w:hAnsi="Times New Roman" w:cs="Times New Roman"/>
              </w:rPr>
            </w:pPr>
          </w:p>
        </w:tc>
        <w:tc>
          <w:tcPr>
            <w:tcW w:w="1598" w:type="dxa"/>
            <w:vAlign w:val="bottom"/>
            <w:hideMark/>
          </w:tcPr>
          <w:p w14:paraId="33E5BD94" w14:textId="77777777" w:rsidR="00011D24" w:rsidRPr="00011D24" w:rsidRDefault="00011D24" w:rsidP="00D3740E">
            <w:pPr>
              <w:jc w:val="both"/>
              <w:rPr>
                <w:rFonts w:ascii="Times New Roman" w:hAnsi="Times New Roman" w:cs="Times New Roman"/>
              </w:rPr>
            </w:pPr>
          </w:p>
        </w:tc>
      </w:tr>
      <w:tr w:rsidR="00011D24" w:rsidRPr="00011D24" w14:paraId="525F0FD7" w14:textId="77777777" w:rsidTr="00396F9C">
        <w:tc>
          <w:tcPr>
            <w:tcW w:w="0" w:type="auto"/>
            <w:vAlign w:val="bottom"/>
            <w:hideMark/>
          </w:tcPr>
          <w:p w14:paraId="05F21D1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2115" w:type="dxa"/>
            <w:vAlign w:val="bottom"/>
            <w:hideMark/>
          </w:tcPr>
          <w:p w14:paraId="3452C1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-0.3850</w:t>
            </w:r>
          </w:p>
        </w:tc>
        <w:tc>
          <w:tcPr>
            <w:tcW w:w="0" w:type="auto"/>
            <w:vAlign w:val="bottom"/>
            <w:hideMark/>
          </w:tcPr>
          <w:p w14:paraId="65D892B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0.7120</w:t>
            </w:r>
          </w:p>
        </w:tc>
        <w:tc>
          <w:tcPr>
            <w:tcW w:w="0" w:type="auto"/>
            <w:vAlign w:val="bottom"/>
            <w:hideMark/>
          </w:tcPr>
          <w:p w14:paraId="40817BC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1598" w:type="dxa"/>
            <w:vAlign w:val="bottom"/>
            <w:hideMark/>
          </w:tcPr>
          <w:p w14:paraId="42766074" w14:textId="77777777" w:rsidR="00011D24" w:rsidRPr="00011D24" w:rsidRDefault="00011D24" w:rsidP="00D3740E">
            <w:pPr>
              <w:jc w:val="both"/>
              <w:rPr>
                <w:rFonts w:ascii="Times New Roman" w:hAnsi="Times New Roman" w:cs="Times New Roman"/>
              </w:rPr>
            </w:pPr>
          </w:p>
        </w:tc>
      </w:tr>
      <w:tr w:rsidR="00011D24" w:rsidRPr="00011D24" w14:paraId="2820FAAF" w14:textId="77777777" w:rsidTr="00396F9C">
        <w:tc>
          <w:tcPr>
            <w:tcW w:w="0" w:type="auto"/>
            <w:vAlign w:val="bottom"/>
            <w:hideMark/>
          </w:tcPr>
          <w:p w14:paraId="23EF92C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 Age</w:t>
            </w:r>
          </w:p>
        </w:tc>
        <w:tc>
          <w:tcPr>
            <w:tcW w:w="2115" w:type="dxa"/>
            <w:vAlign w:val="bottom"/>
            <w:hideMark/>
          </w:tcPr>
          <w:p w14:paraId="38DFD1A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0.2100</w:t>
            </w:r>
          </w:p>
        </w:tc>
        <w:tc>
          <w:tcPr>
            <w:tcW w:w="0" w:type="auto"/>
            <w:vAlign w:val="bottom"/>
            <w:hideMark/>
          </w:tcPr>
          <w:p w14:paraId="7D7B1EA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0.1050</w:t>
            </w:r>
          </w:p>
        </w:tc>
        <w:tc>
          <w:tcPr>
            <w:tcW w:w="0" w:type="auto"/>
            <w:vAlign w:val="bottom"/>
            <w:hideMark/>
          </w:tcPr>
          <w:p w14:paraId="7753D9D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0.0980</w:t>
            </w:r>
          </w:p>
        </w:tc>
        <w:tc>
          <w:tcPr>
            <w:tcW w:w="1598" w:type="dxa"/>
            <w:vAlign w:val="bottom"/>
            <w:hideMark/>
          </w:tcPr>
          <w:p w14:paraId="66D8D99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r>
    </w:tbl>
    <w:p w14:paraId="0BCC44CB"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143DCA38" w14:textId="434010AB" w:rsidR="00011D24" w:rsidRPr="00011D24" w:rsidRDefault="00011D24" w:rsidP="00D3740E">
      <w:pPr>
        <w:jc w:val="both"/>
        <w:rPr>
          <w:rFonts w:ascii="Times New Roman" w:hAnsi="Times New Roman" w:cs="Times New Roman"/>
        </w:rPr>
      </w:pPr>
      <w:r w:rsidRPr="00011D24">
        <w:rPr>
          <w:rFonts w:ascii="Times New Roman" w:hAnsi="Times New Roman" w:cs="Times New Roman"/>
        </w:rPr>
        <w:t>Both ETR and CETR are negatively correlated with ICR, suggesting that higher tax burdens are associated with lower financial stability. The strong positive correlation between ETR and CETR is expected, as both are measures of tax burden. Firm age is positively correlated with ICR, indicating that older firms tend to have greater financial stability. These preliminary findings provide justification for the subsequent regression analysis.</w:t>
      </w:r>
    </w:p>
    <w:p w14:paraId="4B0AC8CA"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4.3 Regression Results</w:t>
      </w:r>
    </w:p>
    <w:p w14:paraId="77C5CD1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Panel regression analysis was conducted to examine the effect of ETR and CETR on ICR, controlling for firm age. The Hausman test indicated that the fixed effects model is appropriate for the data.</w:t>
      </w:r>
    </w:p>
    <w:p w14:paraId="7A58DD4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t>Table 4: Panel Regression Results (Dependent Variable: ICR)</w:t>
      </w:r>
    </w:p>
    <w:tbl>
      <w:tblPr>
        <w:tblW w:w="934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7"/>
        <w:gridCol w:w="1710"/>
        <w:gridCol w:w="1710"/>
        <w:gridCol w:w="1620"/>
        <w:gridCol w:w="1606"/>
      </w:tblGrid>
      <w:tr w:rsidR="00011D24" w:rsidRPr="00F675E6" w14:paraId="588BA374" w14:textId="77777777" w:rsidTr="00396F9C">
        <w:tc>
          <w:tcPr>
            <w:tcW w:w="2697" w:type="dxa"/>
            <w:tcBorders>
              <w:top w:val="single" w:sz="4" w:space="0" w:color="auto"/>
              <w:bottom w:val="single" w:sz="4" w:space="0" w:color="auto"/>
            </w:tcBorders>
            <w:noWrap/>
            <w:vAlign w:val="bottom"/>
            <w:hideMark/>
          </w:tcPr>
          <w:p w14:paraId="3E2E511A"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Variable</w:t>
            </w:r>
          </w:p>
        </w:tc>
        <w:tc>
          <w:tcPr>
            <w:tcW w:w="1710" w:type="dxa"/>
            <w:tcBorders>
              <w:top w:val="single" w:sz="4" w:space="0" w:color="auto"/>
              <w:bottom w:val="single" w:sz="4" w:space="0" w:color="auto"/>
            </w:tcBorders>
            <w:noWrap/>
            <w:vAlign w:val="bottom"/>
            <w:hideMark/>
          </w:tcPr>
          <w:p w14:paraId="11EA179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Coefficient</w:t>
            </w:r>
          </w:p>
        </w:tc>
        <w:tc>
          <w:tcPr>
            <w:tcW w:w="1710" w:type="dxa"/>
            <w:tcBorders>
              <w:top w:val="single" w:sz="4" w:space="0" w:color="auto"/>
              <w:bottom w:val="single" w:sz="4" w:space="0" w:color="auto"/>
            </w:tcBorders>
            <w:noWrap/>
            <w:vAlign w:val="bottom"/>
            <w:hideMark/>
          </w:tcPr>
          <w:p w14:paraId="5C9861E2"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Std. Error</w:t>
            </w:r>
          </w:p>
        </w:tc>
        <w:tc>
          <w:tcPr>
            <w:tcW w:w="1620" w:type="dxa"/>
            <w:tcBorders>
              <w:top w:val="single" w:sz="4" w:space="0" w:color="auto"/>
              <w:bottom w:val="single" w:sz="4" w:space="0" w:color="auto"/>
            </w:tcBorders>
            <w:noWrap/>
            <w:vAlign w:val="bottom"/>
            <w:hideMark/>
          </w:tcPr>
          <w:p w14:paraId="5CF00D5E"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t-Statistic</w:t>
            </w:r>
          </w:p>
        </w:tc>
        <w:tc>
          <w:tcPr>
            <w:tcW w:w="0" w:type="auto"/>
            <w:tcBorders>
              <w:top w:val="single" w:sz="4" w:space="0" w:color="auto"/>
              <w:bottom w:val="single" w:sz="4" w:space="0" w:color="auto"/>
            </w:tcBorders>
            <w:noWrap/>
            <w:vAlign w:val="bottom"/>
            <w:hideMark/>
          </w:tcPr>
          <w:p w14:paraId="003DA91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Prob.</w:t>
            </w:r>
          </w:p>
        </w:tc>
      </w:tr>
      <w:tr w:rsidR="00011D24" w:rsidRPr="00F675E6" w14:paraId="1365A493" w14:textId="77777777" w:rsidTr="00396F9C">
        <w:tc>
          <w:tcPr>
            <w:tcW w:w="2697" w:type="dxa"/>
            <w:tcBorders>
              <w:top w:val="single" w:sz="4" w:space="0" w:color="auto"/>
            </w:tcBorders>
            <w:vAlign w:val="bottom"/>
            <w:hideMark/>
          </w:tcPr>
          <w:p w14:paraId="000A6E6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w:t>
            </w:r>
          </w:p>
        </w:tc>
        <w:tc>
          <w:tcPr>
            <w:tcW w:w="1710" w:type="dxa"/>
            <w:tcBorders>
              <w:top w:val="single" w:sz="4" w:space="0" w:color="auto"/>
            </w:tcBorders>
            <w:vAlign w:val="bottom"/>
            <w:hideMark/>
          </w:tcPr>
          <w:p w14:paraId="2B3A8F2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6.2100</w:t>
            </w:r>
          </w:p>
        </w:tc>
        <w:tc>
          <w:tcPr>
            <w:tcW w:w="1710" w:type="dxa"/>
            <w:tcBorders>
              <w:top w:val="single" w:sz="4" w:space="0" w:color="auto"/>
            </w:tcBorders>
            <w:vAlign w:val="bottom"/>
            <w:hideMark/>
          </w:tcPr>
          <w:p w14:paraId="0091CEC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1.1200</w:t>
            </w:r>
          </w:p>
        </w:tc>
        <w:tc>
          <w:tcPr>
            <w:tcW w:w="1620" w:type="dxa"/>
            <w:tcBorders>
              <w:top w:val="single" w:sz="4" w:space="0" w:color="auto"/>
            </w:tcBorders>
            <w:vAlign w:val="bottom"/>
            <w:hideMark/>
          </w:tcPr>
          <w:p w14:paraId="74B6EEC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5.5400</w:t>
            </w:r>
          </w:p>
        </w:tc>
        <w:tc>
          <w:tcPr>
            <w:tcW w:w="0" w:type="auto"/>
            <w:tcBorders>
              <w:top w:val="single" w:sz="4" w:space="0" w:color="auto"/>
            </w:tcBorders>
            <w:vAlign w:val="bottom"/>
            <w:hideMark/>
          </w:tcPr>
          <w:p w14:paraId="28F3288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0.0000</w:t>
            </w:r>
          </w:p>
        </w:tc>
      </w:tr>
      <w:tr w:rsidR="00011D24" w:rsidRPr="00F675E6" w14:paraId="371A7A72" w14:textId="77777777" w:rsidTr="00396F9C">
        <w:tc>
          <w:tcPr>
            <w:tcW w:w="2697" w:type="dxa"/>
            <w:vAlign w:val="bottom"/>
            <w:hideMark/>
          </w:tcPr>
          <w:p w14:paraId="3D67485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1710" w:type="dxa"/>
            <w:vAlign w:val="bottom"/>
            <w:hideMark/>
          </w:tcPr>
          <w:p w14:paraId="3E4FCAA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-4.3200</w:t>
            </w:r>
          </w:p>
        </w:tc>
        <w:tc>
          <w:tcPr>
            <w:tcW w:w="1710" w:type="dxa"/>
            <w:vAlign w:val="bottom"/>
            <w:hideMark/>
          </w:tcPr>
          <w:p w14:paraId="161E9C0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1.5800</w:t>
            </w:r>
          </w:p>
        </w:tc>
        <w:tc>
          <w:tcPr>
            <w:tcW w:w="1620" w:type="dxa"/>
            <w:vAlign w:val="bottom"/>
            <w:hideMark/>
          </w:tcPr>
          <w:p w14:paraId="2F554C5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-2.7300</w:t>
            </w:r>
          </w:p>
        </w:tc>
        <w:tc>
          <w:tcPr>
            <w:tcW w:w="0" w:type="auto"/>
            <w:vAlign w:val="bottom"/>
            <w:hideMark/>
          </w:tcPr>
          <w:p w14:paraId="765F0A4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0.0080</w:t>
            </w:r>
          </w:p>
        </w:tc>
      </w:tr>
      <w:tr w:rsidR="00011D24" w:rsidRPr="00F675E6" w14:paraId="4CE1BD40" w14:textId="77777777" w:rsidTr="00396F9C">
        <w:tc>
          <w:tcPr>
            <w:tcW w:w="2697" w:type="dxa"/>
            <w:vAlign w:val="bottom"/>
            <w:hideMark/>
          </w:tcPr>
          <w:p w14:paraId="0DD83ED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1710" w:type="dxa"/>
            <w:vAlign w:val="bottom"/>
            <w:hideMark/>
          </w:tcPr>
          <w:p w14:paraId="3BF0306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-3.1050</w:t>
            </w:r>
          </w:p>
        </w:tc>
        <w:tc>
          <w:tcPr>
            <w:tcW w:w="1710" w:type="dxa"/>
            <w:vAlign w:val="bottom"/>
            <w:hideMark/>
          </w:tcPr>
          <w:p w14:paraId="087E896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1.2100</w:t>
            </w:r>
          </w:p>
        </w:tc>
        <w:tc>
          <w:tcPr>
            <w:tcW w:w="1620" w:type="dxa"/>
            <w:vAlign w:val="bottom"/>
            <w:hideMark/>
          </w:tcPr>
          <w:p w14:paraId="796A436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-2.5700</w:t>
            </w:r>
          </w:p>
        </w:tc>
        <w:tc>
          <w:tcPr>
            <w:tcW w:w="0" w:type="auto"/>
            <w:vAlign w:val="bottom"/>
            <w:hideMark/>
          </w:tcPr>
          <w:p w14:paraId="7CA7CF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0.0120</w:t>
            </w:r>
          </w:p>
        </w:tc>
      </w:tr>
      <w:tr w:rsidR="00011D24" w:rsidRPr="00F675E6" w14:paraId="757ADDA7" w14:textId="77777777" w:rsidTr="00396F9C">
        <w:tc>
          <w:tcPr>
            <w:tcW w:w="2697" w:type="dxa"/>
            <w:vAlign w:val="bottom"/>
            <w:hideMark/>
          </w:tcPr>
          <w:p w14:paraId="0B26129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FIRM_AGE</w:t>
            </w:r>
          </w:p>
        </w:tc>
        <w:tc>
          <w:tcPr>
            <w:tcW w:w="1710" w:type="dxa"/>
            <w:vAlign w:val="bottom"/>
            <w:hideMark/>
          </w:tcPr>
          <w:p w14:paraId="4EA442F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0.0450</w:t>
            </w:r>
          </w:p>
        </w:tc>
        <w:tc>
          <w:tcPr>
            <w:tcW w:w="1710" w:type="dxa"/>
            <w:vAlign w:val="bottom"/>
            <w:hideMark/>
          </w:tcPr>
          <w:p w14:paraId="0EA9A6D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0.0180</w:t>
            </w:r>
          </w:p>
        </w:tc>
        <w:tc>
          <w:tcPr>
            <w:tcW w:w="1620" w:type="dxa"/>
            <w:vAlign w:val="bottom"/>
            <w:hideMark/>
          </w:tcPr>
          <w:p w14:paraId="1D7361C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2.5000</w:t>
            </w:r>
          </w:p>
        </w:tc>
        <w:tc>
          <w:tcPr>
            <w:tcW w:w="0" w:type="auto"/>
            <w:vAlign w:val="bottom"/>
            <w:hideMark/>
          </w:tcPr>
          <w:p w14:paraId="6E7ABB9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0.0150</w:t>
            </w:r>
          </w:p>
        </w:tc>
      </w:tr>
      <w:tr w:rsidR="00011D24" w:rsidRPr="00F675E6" w14:paraId="09B64AEB" w14:textId="77777777" w:rsidTr="00396F9C">
        <w:tc>
          <w:tcPr>
            <w:tcW w:w="2697" w:type="dxa"/>
            <w:vAlign w:val="bottom"/>
            <w:hideMark/>
          </w:tcPr>
          <w:p w14:paraId="0596353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R-squared</w:t>
            </w:r>
          </w:p>
        </w:tc>
        <w:tc>
          <w:tcPr>
            <w:tcW w:w="1710" w:type="dxa"/>
            <w:vAlign w:val="bottom"/>
            <w:hideMark/>
          </w:tcPr>
          <w:p w14:paraId="6E839DC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0.4100</w:t>
            </w:r>
          </w:p>
        </w:tc>
        <w:tc>
          <w:tcPr>
            <w:tcW w:w="1710" w:type="dxa"/>
            <w:vAlign w:val="bottom"/>
            <w:hideMark/>
          </w:tcPr>
          <w:p w14:paraId="4A4984C2" w14:textId="77777777" w:rsidR="00011D24" w:rsidRPr="00011D24" w:rsidRDefault="00011D24" w:rsidP="00D3740E">
            <w:pPr>
              <w:jc w:val="both"/>
              <w:rPr>
                <w:rFonts w:ascii="Times New Roman" w:hAnsi="Times New Roman" w:cs="Times New Roman"/>
              </w:rPr>
            </w:pPr>
          </w:p>
        </w:tc>
        <w:tc>
          <w:tcPr>
            <w:tcW w:w="1620" w:type="dxa"/>
            <w:vAlign w:val="bottom"/>
            <w:hideMark/>
          </w:tcPr>
          <w:p w14:paraId="0176E4D1" w14:textId="77777777" w:rsidR="00011D24" w:rsidRPr="00011D24" w:rsidRDefault="00011D24" w:rsidP="00D3740E">
            <w:pPr>
              <w:jc w:val="both"/>
              <w:rPr>
                <w:rFonts w:ascii="Times New Roman" w:hAnsi="Times New Roman" w:cs="Times New Roman"/>
              </w:rPr>
            </w:pPr>
          </w:p>
        </w:tc>
        <w:tc>
          <w:tcPr>
            <w:tcW w:w="0" w:type="auto"/>
            <w:vAlign w:val="bottom"/>
            <w:hideMark/>
          </w:tcPr>
          <w:p w14:paraId="4934CD56" w14:textId="77777777" w:rsidR="00011D24" w:rsidRPr="00011D24" w:rsidRDefault="00011D24" w:rsidP="00D3740E">
            <w:pPr>
              <w:jc w:val="both"/>
              <w:rPr>
                <w:rFonts w:ascii="Times New Roman" w:hAnsi="Times New Roman" w:cs="Times New Roman"/>
              </w:rPr>
            </w:pPr>
          </w:p>
        </w:tc>
      </w:tr>
      <w:tr w:rsidR="00011D24" w:rsidRPr="00F675E6" w14:paraId="6ED9B401" w14:textId="77777777" w:rsidTr="00396F9C">
        <w:tc>
          <w:tcPr>
            <w:tcW w:w="2697" w:type="dxa"/>
            <w:vAlign w:val="bottom"/>
            <w:hideMark/>
          </w:tcPr>
          <w:p w14:paraId="3164BCD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F-statistic</w:t>
            </w:r>
          </w:p>
        </w:tc>
        <w:tc>
          <w:tcPr>
            <w:tcW w:w="1710" w:type="dxa"/>
            <w:vAlign w:val="bottom"/>
            <w:hideMark/>
          </w:tcPr>
          <w:p w14:paraId="00AC4E2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7.8200</w:t>
            </w:r>
          </w:p>
        </w:tc>
        <w:tc>
          <w:tcPr>
            <w:tcW w:w="1710" w:type="dxa"/>
            <w:vAlign w:val="bottom"/>
            <w:hideMark/>
          </w:tcPr>
          <w:p w14:paraId="6D4013A6" w14:textId="77777777" w:rsidR="00011D24" w:rsidRPr="00011D24" w:rsidRDefault="00011D24" w:rsidP="00D3740E">
            <w:pPr>
              <w:jc w:val="both"/>
              <w:rPr>
                <w:rFonts w:ascii="Times New Roman" w:hAnsi="Times New Roman" w:cs="Times New Roman"/>
              </w:rPr>
            </w:pPr>
          </w:p>
        </w:tc>
        <w:tc>
          <w:tcPr>
            <w:tcW w:w="1620" w:type="dxa"/>
            <w:vAlign w:val="bottom"/>
            <w:hideMark/>
          </w:tcPr>
          <w:p w14:paraId="4E3EB872" w14:textId="77777777" w:rsidR="00011D24" w:rsidRPr="00011D24" w:rsidRDefault="00011D24" w:rsidP="00D3740E">
            <w:pPr>
              <w:jc w:val="both"/>
              <w:rPr>
                <w:rFonts w:ascii="Times New Roman" w:hAnsi="Times New Roman" w:cs="Times New Roman"/>
              </w:rPr>
            </w:pPr>
          </w:p>
        </w:tc>
        <w:tc>
          <w:tcPr>
            <w:tcW w:w="0" w:type="auto"/>
            <w:vAlign w:val="bottom"/>
            <w:hideMark/>
          </w:tcPr>
          <w:p w14:paraId="5736DD6E" w14:textId="7F976B91" w:rsidR="00011D24" w:rsidRPr="00011D24" w:rsidRDefault="00011D24" w:rsidP="00D3740E">
            <w:pPr>
              <w:jc w:val="both"/>
              <w:rPr>
                <w:rFonts w:ascii="Times New Roman" w:hAnsi="Times New Roman" w:cs="Times New Roman"/>
              </w:rPr>
            </w:pPr>
          </w:p>
        </w:tc>
      </w:tr>
      <w:tr w:rsidR="00430D1A" w:rsidRPr="00F675E6" w14:paraId="1A2ADE58" w14:textId="77777777" w:rsidTr="00396F9C">
        <w:tc>
          <w:tcPr>
            <w:tcW w:w="2697" w:type="dxa"/>
            <w:vAlign w:val="bottom"/>
          </w:tcPr>
          <w:p w14:paraId="1093A23B" w14:textId="74449E12" w:rsidR="00430D1A" w:rsidRPr="00F675E6" w:rsidRDefault="00396F9C" w:rsidP="00D3740E">
            <w:pPr>
              <w:jc w:val="both"/>
              <w:rPr>
                <w:rFonts w:ascii="Times New Roman" w:hAnsi="Times New Roman" w:cs="Times New Roman"/>
              </w:rPr>
            </w:pPr>
            <w:r>
              <w:rPr>
                <w:rFonts w:ascii="Times New Roman" w:hAnsi="Times New Roman" w:cs="Times New Roman"/>
              </w:rPr>
              <w:t>Prob</w:t>
            </w:r>
            <w:r w:rsidR="00AA78C1">
              <w:rPr>
                <w:rFonts w:ascii="Times New Roman" w:hAnsi="Times New Roman" w:cs="Times New Roman"/>
              </w:rPr>
              <w:t xml:space="preserve"> (F-statistic)</w:t>
            </w:r>
          </w:p>
        </w:tc>
        <w:tc>
          <w:tcPr>
            <w:tcW w:w="1710" w:type="dxa"/>
            <w:vAlign w:val="bottom"/>
          </w:tcPr>
          <w:p w14:paraId="0AC37266" w14:textId="3BB8EAB4" w:rsidR="00430D1A" w:rsidRPr="00F675E6" w:rsidRDefault="00430D1A" w:rsidP="00D3740E">
            <w:pPr>
              <w:jc w:val="both"/>
              <w:rPr>
                <w:rFonts w:ascii="Times New Roman" w:hAnsi="Times New Roman" w:cs="Times New Roman"/>
              </w:rPr>
            </w:pPr>
            <w:r w:rsidRPr="00F675E6">
              <w:rPr>
                <w:rFonts w:ascii="Times New Roman" w:hAnsi="Times New Roman" w:cs="Times New Roman"/>
              </w:rPr>
              <w:t>0.0000</w:t>
            </w:r>
          </w:p>
        </w:tc>
        <w:tc>
          <w:tcPr>
            <w:tcW w:w="1710" w:type="dxa"/>
            <w:vAlign w:val="bottom"/>
          </w:tcPr>
          <w:p w14:paraId="0708790B" w14:textId="77777777" w:rsidR="00430D1A" w:rsidRPr="00F675E6" w:rsidRDefault="00430D1A" w:rsidP="00D3740E">
            <w:pPr>
              <w:jc w:val="both"/>
              <w:rPr>
                <w:rFonts w:ascii="Times New Roman" w:hAnsi="Times New Roman" w:cs="Times New Roman"/>
              </w:rPr>
            </w:pPr>
          </w:p>
        </w:tc>
        <w:tc>
          <w:tcPr>
            <w:tcW w:w="1620" w:type="dxa"/>
            <w:vAlign w:val="bottom"/>
          </w:tcPr>
          <w:p w14:paraId="6B184122" w14:textId="77777777" w:rsidR="00430D1A" w:rsidRPr="00F675E6" w:rsidRDefault="00430D1A" w:rsidP="00D3740E">
            <w:pPr>
              <w:jc w:val="both"/>
              <w:rPr>
                <w:rFonts w:ascii="Times New Roman" w:hAnsi="Times New Roman" w:cs="Times New Roman"/>
              </w:rPr>
            </w:pPr>
          </w:p>
        </w:tc>
        <w:tc>
          <w:tcPr>
            <w:tcW w:w="0" w:type="auto"/>
            <w:vAlign w:val="bottom"/>
          </w:tcPr>
          <w:p w14:paraId="1C87A0A7" w14:textId="77777777" w:rsidR="00430D1A" w:rsidRPr="00F675E6" w:rsidRDefault="00430D1A" w:rsidP="00D3740E">
            <w:pPr>
              <w:jc w:val="both"/>
              <w:rPr>
                <w:rFonts w:ascii="Times New Roman" w:hAnsi="Times New Roman" w:cs="Times New Roman"/>
              </w:rPr>
            </w:pPr>
          </w:p>
        </w:tc>
      </w:tr>
      <w:tr w:rsidR="00011D24" w:rsidRPr="00F675E6" w14:paraId="2B832C5F" w14:textId="77777777" w:rsidTr="00396F9C">
        <w:tc>
          <w:tcPr>
            <w:tcW w:w="2697" w:type="dxa"/>
            <w:vAlign w:val="bottom"/>
          </w:tcPr>
          <w:p w14:paraId="73D9CB5C" w14:textId="2DD5F313" w:rsidR="00011D24" w:rsidRPr="00F675E6" w:rsidRDefault="00011D24" w:rsidP="00D3740E">
            <w:pPr>
              <w:jc w:val="both"/>
              <w:rPr>
                <w:rFonts w:ascii="Times New Roman" w:hAnsi="Times New Roman" w:cs="Times New Roman"/>
              </w:rPr>
            </w:pPr>
            <w:r w:rsidRPr="00F675E6">
              <w:rPr>
                <w:rFonts w:ascii="Times New Roman" w:hAnsi="Times New Roman" w:cs="Times New Roman"/>
              </w:rPr>
              <w:t>Durbin Waston</w:t>
            </w:r>
          </w:p>
        </w:tc>
        <w:tc>
          <w:tcPr>
            <w:tcW w:w="1710" w:type="dxa"/>
            <w:vAlign w:val="bottom"/>
          </w:tcPr>
          <w:p w14:paraId="055B7A04" w14:textId="71AB8A41" w:rsidR="00011D24" w:rsidRPr="00F675E6" w:rsidRDefault="00AA78C1" w:rsidP="00D3740E">
            <w:pPr>
              <w:jc w:val="both"/>
              <w:rPr>
                <w:rFonts w:ascii="Times New Roman" w:hAnsi="Times New Roman" w:cs="Times New Roman"/>
              </w:rPr>
            </w:pPr>
            <w:r>
              <w:rPr>
                <w:rFonts w:ascii="Times New Roman" w:hAnsi="Times New Roman" w:cs="Times New Roman"/>
              </w:rPr>
              <w:t>1.8256</w:t>
            </w:r>
          </w:p>
        </w:tc>
        <w:tc>
          <w:tcPr>
            <w:tcW w:w="1710" w:type="dxa"/>
            <w:vAlign w:val="bottom"/>
          </w:tcPr>
          <w:p w14:paraId="2164AD04" w14:textId="77777777" w:rsidR="00011D24" w:rsidRPr="00F675E6" w:rsidRDefault="00011D24" w:rsidP="00D3740E">
            <w:pPr>
              <w:jc w:val="both"/>
              <w:rPr>
                <w:rFonts w:ascii="Times New Roman" w:hAnsi="Times New Roman" w:cs="Times New Roman"/>
              </w:rPr>
            </w:pPr>
          </w:p>
        </w:tc>
        <w:tc>
          <w:tcPr>
            <w:tcW w:w="1620" w:type="dxa"/>
            <w:vAlign w:val="bottom"/>
          </w:tcPr>
          <w:p w14:paraId="2E4E49D2" w14:textId="77777777" w:rsidR="00011D24" w:rsidRPr="00F675E6" w:rsidRDefault="00011D24" w:rsidP="00D3740E">
            <w:pPr>
              <w:jc w:val="both"/>
              <w:rPr>
                <w:rFonts w:ascii="Times New Roman" w:hAnsi="Times New Roman" w:cs="Times New Roman"/>
              </w:rPr>
            </w:pPr>
          </w:p>
        </w:tc>
        <w:tc>
          <w:tcPr>
            <w:tcW w:w="0" w:type="auto"/>
            <w:vAlign w:val="bottom"/>
          </w:tcPr>
          <w:p w14:paraId="0C72CF30" w14:textId="77777777" w:rsidR="00011D24" w:rsidRPr="00F675E6" w:rsidRDefault="00011D24" w:rsidP="00D3740E">
            <w:pPr>
              <w:jc w:val="both"/>
              <w:rPr>
                <w:rFonts w:ascii="Times New Roman" w:hAnsi="Times New Roman" w:cs="Times New Roman"/>
              </w:rPr>
            </w:pPr>
          </w:p>
        </w:tc>
      </w:tr>
    </w:tbl>
    <w:p w14:paraId="6295A720"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6CB9A3F6" w14:textId="41833BB0" w:rsidR="00011D24" w:rsidRPr="00011D24" w:rsidRDefault="00011D24" w:rsidP="00D3740E">
      <w:pPr>
        <w:jc w:val="both"/>
        <w:rPr>
          <w:rFonts w:ascii="Times New Roman" w:hAnsi="Times New Roman" w:cs="Times New Roman"/>
        </w:rPr>
      </w:pPr>
      <w:r w:rsidRPr="00011D24">
        <w:rPr>
          <w:rFonts w:ascii="Times New Roman" w:hAnsi="Times New Roman" w:cs="Times New Roman"/>
        </w:rPr>
        <w:lastRenderedPageBreak/>
        <w:t>The regression results reveal that both ETR and CETR have statistically significant negative effects on ICR, the dependent variable. Specifically, a one-unit increase in ETR leads to a 4.3200 unit decrease in ICR (p = 0.0080), while a one-unit increase in CETR results in a 3.1050 unit decrease in ICR (p = 0.0120). This indicates that higher tax burdens, whether measured by accounting or cash basis, significantly reduce the ability of oil and gas firms to meet their interest obligations from operating earnings, thereby weakening their financial stability. The positive and significant coefficient for firm age suggests that older firms are more financially stable, likely due to accumulated experience and established financial practices. The R-squared value of 0.4100 indicates that the model explains 41% of the variation in ICR, which is substantial for firm-level panel data.</w:t>
      </w:r>
    </w:p>
    <w:p w14:paraId="44E325A6"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4.4 Diagnostic Tests</w:t>
      </w:r>
    </w:p>
    <w:p w14:paraId="59281FC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4.4.1 Hausman Test</w:t>
      </w:r>
    </w:p>
    <w:p w14:paraId="73570FC5" w14:textId="79422BA1"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Table 5: Hausman Test Result</w:t>
      </w:r>
    </w:p>
    <w:tbl>
      <w:tblPr>
        <w:tblW w:w="944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37"/>
        <w:gridCol w:w="1530"/>
        <w:gridCol w:w="1350"/>
        <w:gridCol w:w="4230"/>
      </w:tblGrid>
      <w:tr w:rsidR="00011D24" w:rsidRPr="00011D24" w14:paraId="4746F17A" w14:textId="77777777" w:rsidTr="00396F9C">
        <w:tc>
          <w:tcPr>
            <w:tcW w:w="2337" w:type="dxa"/>
            <w:tcBorders>
              <w:top w:val="single" w:sz="4" w:space="0" w:color="auto"/>
              <w:bottom w:val="single" w:sz="4" w:space="0" w:color="auto"/>
            </w:tcBorders>
            <w:noWrap/>
            <w:vAlign w:val="bottom"/>
            <w:hideMark/>
          </w:tcPr>
          <w:p w14:paraId="6E04DE8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1530" w:type="dxa"/>
            <w:tcBorders>
              <w:top w:val="single" w:sz="4" w:space="0" w:color="auto"/>
              <w:bottom w:val="single" w:sz="4" w:space="0" w:color="auto"/>
            </w:tcBorders>
            <w:noWrap/>
            <w:vAlign w:val="bottom"/>
            <w:hideMark/>
          </w:tcPr>
          <w:p w14:paraId="4BDA5C9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1350" w:type="dxa"/>
            <w:tcBorders>
              <w:top w:val="single" w:sz="4" w:space="0" w:color="auto"/>
              <w:bottom w:val="single" w:sz="4" w:space="0" w:color="auto"/>
            </w:tcBorders>
            <w:noWrap/>
            <w:vAlign w:val="bottom"/>
            <w:hideMark/>
          </w:tcPr>
          <w:p w14:paraId="131E6AC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4230" w:type="dxa"/>
            <w:tcBorders>
              <w:top w:val="single" w:sz="4" w:space="0" w:color="auto"/>
              <w:bottom w:val="single" w:sz="4" w:space="0" w:color="auto"/>
            </w:tcBorders>
            <w:noWrap/>
            <w:vAlign w:val="bottom"/>
            <w:hideMark/>
          </w:tcPr>
          <w:p w14:paraId="10F2A23E" w14:textId="4A8FC524"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w:t>
            </w:r>
          </w:p>
        </w:tc>
      </w:tr>
      <w:tr w:rsidR="00011D24" w:rsidRPr="00011D24" w14:paraId="5862C945" w14:textId="77777777" w:rsidTr="00396F9C">
        <w:tc>
          <w:tcPr>
            <w:tcW w:w="2337" w:type="dxa"/>
            <w:tcBorders>
              <w:top w:val="single" w:sz="4" w:space="0" w:color="auto"/>
            </w:tcBorders>
            <w:vAlign w:val="bottom"/>
            <w:hideMark/>
          </w:tcPr>
          <w:p w14:paraId="07AA9DB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Hausman Test</w:t>
            </w:r>
          </w:p>
        </w:tc>
        <w:tc>
          <w:tcPr>
            <w:tcW w:w="1530" w:type="dxa"/>
            <w:tcBorders>
              <w:top w:val="single" w:sz="4" w:space="0" w:color="auto"/>
            </w:tcBorders>
            <w:vAlign w:val="bottom"/>
            <w:hideMark/>
          </w:tcPr>
          <w:p w14:paraId="3770C7B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8.3200</w:t>
            </w:r>
          </w:p>
        </w:tc>
        <w:tc>
          <w:tcPr>
            <w:tcW w:w="1350" w:type="dxa"/>
            <w:tcBorders>
              <w:top w:val="single" w:sz="4" w:space="0" w:color="auto"/>
            </w:tcBorders>
            <w:vAlign w:val="bottom"/>
            <w:hideMark/>
          </w:tcPr>
          <w:p w14:paraId="7CA9F88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0.0390</w:t>
            </w:r>
          </w:p>
        </w:tc>
        <w:tc>
          <w:tcPr>
            <w:tcW w:w="4230" w:type="dxa"/>
            <w:tcBorders>
              <w:top w:val="single" w:sz="4" w:space="0" w:color="auto"/>
            </w:tcBorders>
            <w:vAlign w:val="bottom"/>
            <w:hideMark/>
          </w:tcPr>
          <w:p w14:paraId="1FB0B02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Fixed effects model is preferred; controls for firm effects.</w:t>
            </w:r>
          </w:p>
        </w:tc>
      </w:tr>
    </w:tbl>
    <w:p w14:paraId="452AC045"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2E7FF927" w14:textId="3743F56A"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Hausman test statistic of 8.3200 (p = 0.0390) indicates that the fixed effects model is statistically preferred over the random effects model. This result confirms the appropriateness of controlling for unobserved heterogeneity across firms, which is essential for panel data analysis and ensures that the estimated coefficients are not biased by omitted firm-specific factors.</w:t>
      </w:r>
    </w:p>
    <w:p w14:paraId="7E861FE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4.4.2 Breusch-Pagan Test for Heteroscedasticity</w:t>
      </w:r>
    </w:p>
    <w:p w14:paraId="7A8235AE" w14:textId="740FD448"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Table </w:t>
      </w:r>
      <w:r w:rsidRPr="00F675E6">
        <w:rPr>
          <w:rFonts w:ascii="Times New Roman" w:hAnsi="Times New Roman" w:cs="Times New Roman"/>
        </w:rPr>
        <w:t>6</w:t>
      </w:r>
      <w:r w:rsidRPr="00011D24">
        <w:rPr>
          <w:rFonts w:ascii="Times New Roman" w:hAnsi="Times New Roman" w:cs="Times New Roman"/>
        </w:rPr>
        <w:t>: Breusch-Pagan Test Result</w:t>
      </w:r>
    </w:p>
    <w:tbl>
      <w:tblPr>
        <w:tblW w:w="944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507"/>
        <w:gridCol w:w="1350"/>
        <w:gridCol w:w="4230"/>
      </w:tblGrid>
      <w:tr w:rsidR="00011D24" w:rsidRPr="00011D24" w14:paraId="2E28BA62" w14:textId="77777777" w:rsidTr="00396F9C">
        <w:tc>
          <w:tcPr>
            <w:tcW w:w="0" w:type="auto"/>
            <w:tcBorders>
              <w:top w:val="single" w:sz="4" w:space="0" w:color="auto"/>
              <w:bottom w:val="single" w:sz="4" w:space="0" w:color="auto"/>
            </w:tcBorders>
            <w:noWrap/>
            <w:vAlign w:val="bottom"/>
            <w:hideMark/>
          </w:tcPr>
          <w:p w14:paraId="70525BE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1507" w:type="dxa"/>
            <w:tcBorders>
              <w:top w:val="single" w:sz="4" w:space="0" w:color="auto"/>
              <w:bottom w:val="single" w:sz="4" w:space="0" w:color="auto"/>
            </w:tcBorders>
            <w:noWrap/>
            <w:vAlign w:val="bottom"/>
            <w:hideMark/>
          </w:tcPr>
          <w:p w14:paraId="229CAB5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1350" w:type="dxa"/>
            <w:tcBorders>
              <w:top w:val="single" w:sz="4" w:space="0" w:color="auto"/>
              <w:bottom w:val="single" w:sz="4" w:space="0" w:color="auto"/>
            </w:tcBorders>
            <w:noWrap/>
            <w:vAlign w:val="bottom"/>
            <w:hideMark/>
          </w:tcPr>
          <w:p w14:paraId="6F65531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4230" w:type="dxa"/>
            <w:tcBorders>
              <w:top w:val="single" w:sz="4" w:space="0" w:color="auto"/>
              <w:bottom w:val="single" w:sz="4" w:space="0" w:color="auto"/>
            </w:tcBorders>
            <w:noWrap/>
            <w:vAlign w:val="bottom"/>
            <w:hideMark/>
          </w:tcPr>
          <w:p w14:paraId="1D324FB6" w14:textId="59B5D829"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w:t>
            </w:r>
          </w:p>
        </w:tc>
      </w:tr>
      <w:tr w:rsidR="00011D24" w:rsidRPr="00011D24" w14:paraId="56D9DE66" w14:textId="77777777" w:rsidTr="00396F9C">
        <w:tc>
          <w:tcPr>
            <w:tcW w:w="0" w:type="auto"/>
            <w:tcBorders>
              <w:top w:val="single" w:sz="4" w:space="0" w:color="auto"/>
            </w:tcBorders>
            <w:vAlign w:val="bottom"/>
            <w:hideMark/>
          </w:tcPr>
          <w:p w14:paraId="6B82FD1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Breusch-Pagan Test</w:t>
            </w:r>
          </w:p>
        </w:tc>
        <w:tc>
          <w:tcPr>
            <w:tcW w:w="1507" w:type="dxa"/>
            <w:tcBorders>
              <w:top w:val="single" w:sz="4" w:space="0" w:color="auto"/>
            </w:tcBorders>
            <w:vAlign w:val="bottom"/>
            <w:hideMark/>
          </w:tcPr>
          <w:p w14:paraId="1B34641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1.2100</w:t>
            </w:r>
          </w:p>
        </w:tc>
        <w:tc>
          <w:tcPr>
            <w:tcW w:w="1350" w:type="dxa"/>
            <w:tcBorders>
              <w:top w:val="single" w:sz="4" w:space="0" w:color="auto"/>
            </w:tcBorders>
            <w:vAlign w:val="bottom"/>
            <w:hideMark/>
          </w:tcPr>
          <w:p w14:paraId="43F0FF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0.2700</w:t>
            </w:r>
          </w:p>
        </w:tc>
        <w:tc>
          <w:tcPr>
            <w:tcW w:w="4230" w:type="dxa"/>
            <w:tcBorders>
              <w:top w:val="single" w:sz="4" w:space="0" w:color="auto"/>
            </w:tcBorders>
            <w:vAlign w:val="bottom"/>
            <w:hideMark/>
          </w:tcPr>
          <w:p w14:paraId="0F980A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No evidence of heteroscedasticity; residual variance is constant.</w:t>
            </w:r>
          </w:p>
        </w:tc>
      </w:tr>
    </w:tbl>
    <w:p w14:paraId="0A5EB9C8"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7F35CFB5" w14:textId="45A29C9B"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Breusch-Pagan test statistic of 1.2100 (p = 0.2700) suggests that the null hypothesis of homoscedasticity cannot be rejected. This means the variance of the residuals is constant across observations, indicating that the model does not suffer from heteroscedasticity. As a result, the standard errors of the regression coefficients are reliable.</w:t>
      </w:r>
    </w:p>
    <w:p w14:paraId="7B42FDC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4.4.3 Jarque-Bera Test for Normality</w:t>
      </w:r>
    </w:p>
    <w:p w14:paraId="540F7265" w14:textId="6C39BDB4" w:rsidR="00011D24" w:rsidRPr="00011D24" w:rsidRDefault="00011D24" w:rsidP="00D3740E">
      <w:pPr>
        <w:jc w:val="both"/>
        <w:rPr>
          <w:rFonts w:ascii="Times New Roman" w:hAnsi="Times New Roman" w:cs="Times New Roman"/>
        </w:rPr>
      </w:pPr>
      <w:r w:rsidRPr="00011D24">
        <w:rPr>
          <w:rFonts w:ascii="Times New Roman" w:hAnsi="Times New Roman" w:cs="Times New Roman"/>
        </w:rPr>
        <w:lastRenderedPageBreak/>
        <w:t xml:space="preserve">Table </w:t>
      </w:r>
      <w:r w:rsidRPr="00F675E6">
        <w:rPr>
          <w:rFonts w:ascii="Times New Roman" w:hAnsi="Times New Roman" w:cs="Times New Roman"/>
        </w:rPr>
        <w:t>7</w:t>
      </w:r>
      <w:r w:rsidRPr="00011D24">
        <w:rPr>
          <w:rFonts w:ascii="Times New Roman" w:hAnsi="Times New Roman" w:cs="Times New Roman"/>
        </w:rPr>
        <w:t>: Jarque-Bera Test Result</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4"/>
        <w:gridCol w:w="1060"/>
        <w:gridCol w:w="989"/>
        <w:gridCol w:w="5144"/>
      </w:tblGrid>
      <w:tr w:rsidR="00011D24" w:rsidRPr="00011D24" w14:paraId="63A39821" w14:textId="77777777" w:rsidTr="00396F9C">
        <w:tc>
          <w:tcPr>
            <w:tcW w:w="0" w:type="auto"/>
            <w:tcBorders>
              <w:top w:val="single" w:sz="4" w:space="0" w:color="auto"/>
              <w:bottom w:val="single" w:sz="4" w:space="0" w:color="auto"/>
            </w:tcBorders>
            <w:noWrap/>
            <w:vAlign w:val="bottom"/>
            <w:hideMark/>
          </w:tcPr>
          <w:p w14:paraId="6FA46D1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0" w:type="auto"/>
            <w:tcBorders>
              <w:top w:val="single" w:sz="4" w:space="0" w:color="auto"/>
              <w:bottom w:val="single" w:sz="4" w:space="0" w:color="auto"/>
            </w:tcBorders>
            <w:noWrap/>
            <w:vAlign w:val="bottom"/>
            <w:hideMark/>
          </w:tcPr>
          <w:p w14:paraId="11FB35B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0" w:type="auto"/>
            <w:tcBorders>
              <w:top w:val="single" w:sz="4" w:space="0" w:color="auto"/>
              <w:bottom w:val="single" w:sz="4" w:space="0" w:color="auto"/>
            </w:tcBorders>
            <w:noWrap/>
            <w:vAlign w:val="bottom"/>
            <w:hideMark/>
          </w:tcPr>
          <w:p w14:paraId="6D47DC2E"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5144" w:type="dxa"/>
            <w:tcBorders>
              <w:top w:val="single" w:sz="4" w:space="0" w:color="auto"/>
              <w:bottom w:val="single" w:sz="4" w:space="0" w:color="auto"/>
            </w:tcBorders>
            <w:noWrap/>
            <w:vAlign w:val="bottom"/>
            <w:hideMark/>
          </w:tcPr>
          <w:p w14:paraId="78D6CDD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Decision/Interpretation</w:t>
            </w:r>
          </w:p>
        </w:tc>
      </w:tr>
      <w:tr w:rsidR="00011D24" w:rsidRPr="00011D24" w14:paraId="653825F2" w14:textId="77777777" w:rsidTr="00396F9C">
        <w:tc>
          <w:tcPr>
            <w:tcW w:w="0" w:type="auto"/>
            <w:tcBorders>
              <w:top w:val="single" w:sz="4" w:space="0" w:color="auto"/>
            </w:tcBorders>
            <w:vAlign w:val="bottom"/>
            <w:hideMark/>
          </w:tcPr>
          <w:p w14:paraId="161020E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Jarque-Bera Test</w:t>
            </w:r>
          </w:p>
        </w:tc>
        <w:tc>
          <w:tcPr>
            <w:tcW w:w="0" w:type="auto"/>
            <w:tcBorders>
              <w:top w:val="single" w:sz="4" w:space="0" w:color="auto"/>
            </w:tcBorders>
            <w:vAlign w:val="bottom"/>
            <w:hideMark/>
          </w:tcPr>
          <w:p w14:paraId="03CAFB8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2.9800</w:t>
            </w:r>
          </w:p>
        </w:tc>
        <w:tc>
          <w:tcPr>
            <w:tcW w:w="0" w:type="auto"/>
            <w:tcBorders>
              <w:top w:val="single" w:sz="4" w:space="0" w:color="auto"/>
            </w:tcBorders>
            <w:vAlign w:val="bottom"/>
            <w:hideMark/>
          </w:tcPr>
          <w:p w14:paraId="1D1F8FE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0.2100</w:t>
            </w:r>
          </w:p>
        </w:tc>
        <w:tc>
          <w:tcPr>
            <w:tcW w:w="5144" w:type="dxa"/>
            <w:tcBorders>
              <w:top w:val="single" w:sz="4" w:space="0" w:color="auto"/>
            </w:tcBorders>
            <w:vAlign w:val="bottom"/>
            <w:hideMark/>
          </w:tcPr>
          <w:p w14:paraId="5EE07D6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Residuals are normally distributed; supports valid inference.</w:t>
            </w:r>
          </w:p>
        </w:tc>
      </w:tr>
    </w:tbl>
    <w:p w14:paraId="70858FCD"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4F16E3E1" w14:textId="0780BAA9"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Jarque-Bera test statistic of 2.9800 (p = 0.2100) indicates that the residuals from the regression are normally distributed. This supports the validity of statistical inference, including the use of t- and F-tests for hypothesis testing in the regression analysis.</w:t>
      </w:r>
    </w:p>
    <w:p w14:paraId="3C30FFF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4.4.4 Variance Inflation Factor (VIF) for Multicollinearity</w:t>
      </w:r>
    </w:p>
    <w:p w14:paraId="3ED8564F" w14:textId="28E76705"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Table </w:t>
      </w:r>
      <w:r w:rsidRPr="00F675E6">
        <w:rPr>
          <w:rFonts w:ascii="Times New Roman" w:hAnsi="Times New Roman" w:cs="Times New Roman"/>
        </w:rPr>
        <w:t>8</w:t>
      </w:r>
      <w:r w:rsidRPr="00011D24">
        <w:rPr>
          <w:rFonts w:ascii="Times New Roman" w:hAnsi="Times New Roman" w:cs="Times New Roman"/>
        </w:rPr>
        <w:t>: Variance Inflation Factor (VIF) Results</w:t>
      </w:r>
    </w:p>
    <w:tbl>
      <w:tblPr>
        <w:tblW w:w="48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27"/>
        <w:gridCol w:w="1530"/>
      </w:tblGrid>
      <w:tr w:rsidR="00011D24" w:rsidRPr="00011D24" w14:paraId="410F1C17" w14:textId="77777777" w:rsidTr="00F1136B">
        <w:tc>
          <w:tcPr>
            <w:tcW w:w="3327" w:type="dxa"/>
            <w:tcBorders>
              <w:top w:val="single" w:sz="4" w:space="0" w:color="auto"/>
              <w:bottom w:val="single" w:sz="4" w:space="0" w:color="auto"/>
            </w:tcBorders>
            <w:noWrap/>
            <w:vAlign w:val="bottom"/>
            <w:hideMark/>
          </w:tcPr>
          <w:p w14:paraId="0C73FBA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Variable</w:t>
            </w:r>
          </w:p>
        </w:tc>
        <w:tc>
          <w:tcPr>
            <w:tcW w:w="1530" w:type="dxa"/>
            <w:tcBorders>
              <w:top w:val="single" w:sz="4" w:space="0" w:color="auto"/>
              <w:bottom w:val="single" w:sz="4" w:space="0" w:color="auto"/>
            </w:tcBorders>
            <w:noWrap/>
            <w:vAlign w:val="bottom"/>
            <w:hideMark/>
          </w:tcPr>
          <w:p w14:paraId="5889FF2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VIF Value</w:t>
            </w:r>
          </w:p>
        </w:tc>
      </w:tr>
      <w:tr w:rsidR="00011D24" w:rsidRPr="00011D24" w14:paraId="3190DF8A" w14:textId="77777777" w:rsidTr="00F1136B">
        <w:tc>
          <w:tcPr>
            <w:tcW w:w="3327" w:type="dxa"/>
            <w:tcBorders>
              <w:top w:val="single" w:sz="4" w:space="0" w:color="auto"/>
            </w:tcBorders>
            <w:vAlign w:val="bottom"/>
            <w:hideMark/>
          </w:tcPr>
          <w:p w14:paraId="7BB587C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1530" w:type="dxa"/>
            <w:tcBorders>
              <w:top w:val="single" w:sz="4" w:space="0" w:color="auto"/>
            </w:tcBorders>
            <w:vAlign w:val="bottom"/>
            <w:hideMark/>
          </w:tcPr>
          <w:p w14:paraId="7E26CCE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1.6500</w:t>
            </w:r>
          </w:p>
        </w:tc>
      </w:tr>
      <w:tr w:rsidR="00011D24" w:rsidRPr="00011D24" w14:paraId="54925A21" w14:textId="77777777" w:rsidTr="00F1136B">
        <w:tc>
          <w:tcPr>
            <w:tcW w:w="3327" w:type="dxa"/>
            <w:vAlign w:val="bottom"/>
            <w:hideMark/>
          </w:tcPr>
          <w:p w14:paraId="1DDC8E9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1530" w:type="dxa"/>
            <w:vAlign w:val="bottom"/>
            <w:hideMark/>
          </w:tcPr>
          <w:p w14:paraId="31563DE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1.5900</w:t>
            </w:r>
          </w:p>
        </w:tc>
      </w:tr>
      <w:tr w:rsidR="00011D24" w:rsidRPr="00011D24" w14:paraId="3A020509" w14:textId="77777777" w:rsidTr="00F1136B">
        <w:tc>
          <w:tcPr>
            <w:tcW w:w="3327" w:type="dxa"/>
            <w:vAlign w:val="bottom"/>
            <w:hideMark/>
          </w:tcPr>
          <w:p w14:paraId="0D98843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FIRM_AGE</w:t>
            </w:r>
          </w:p>
        </w:tc>
        <w:tc>
          <w:tcPr>
            <w:tcW w:w="1530" w:type="dxa"/>
            <w:vAlign w:val="bottom"/>
            <w:hideMark/>
          </w:tcPr>
          <w:p w14:paraId="2F1454B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1.1200</w:t>
            </w:r>
          </w:p>
        </w:tc>
      </w:tr>
    </w:tbl>
    <w:p w14:paraId="1334DDA7" w14:textId="77777777" w:rsidR="00F1136B" w:rsidRDefault="00F1136B"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4C5AD724" w14:textId="7CB6FDD5" w:rsidR="00011D24" w:rsidRPr="00011D24" w:rsidRDefault="00011D24" w:rsidP="00D3740E">
      <w:pPr>
        <w:jc w:val="both"/>
        <w:rPr>
          <w:rFonts w:ascii="Times New Roman" w:hAnsi="Times New Roman" w:cs="Times New Roman"/>
        </w:rPr>
      </w:pPr>
      <w:r w:rsidRPr="00011D24">
        <w:rPr>
          <w:rFonts w:ascii="Times New Roman" w:hAnsi="Times New Roman" w:cs="Times New Roman"/>
        </w:rPr>
        <w:t>All VIF values are below the commonly accepted threshold of 2.0000, indicating no multicollinearity among the independent variables. This ensures that the estimated regression coefficients are stable and that the independent variables are not excessively correlated with each other.</w:t>
      </w:r>
    </w:p>
    <w:p w14:paraId="53FC5951" w14:textId="3F87029F"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results of these diagnostic tests collectively confirm that the regression model is well-specified, robust, and reliable. The model is free from issues of omitted variable bias, heteroscedasticity, non-normality, and multicollinearity, thereby supporting the credibility of the empirical findings and their implications for policy and practice in the Nigerian oil and gas sector.</w:t>
      </w:r>
    </w:p>
    <w:p w14:paraId="287A4E75" w14:textId="034AA476"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diagnostic tests</w:t>
      </w:r>
      <w:r w:rsidR="00D3740E" w:rsidRPr="00F675E6">
        <w:rPr>
          <w:rFonts w:ascii="Times New Roman" w:hAnsi="Times New Roman" w:cs="Times New Roman"/>
        </w:rPr>
        <w:t xml:space="preserve"> also</w:t>
      </w:r>
      <w:r w:rsidRPr="00011D24">
        <w:rPr>
          <w:rFonts w:ascii="Times New Roman" w:hAnsi="Times New Roman" w:cs="Times New Roman"/>
        </w:rPr>
        <w:t xml:space="preserve"> </w:t>
      </w:r>
      <w:r w:rsidR="00D3740E" w:rsidRPr="00F675E6">
        <w:rPr>
          <w:rFonts w:ascii="Times New Roman" w:hAnsi="Times New Roman" w:cs="Times New Roman"/>
        </w:rPr>
        <w:t>affirm</w:t>
      </w:r>
      <w:r w:rsidRPr="00011D24">
        <w:rPr>
          <w:rFonts w:ascii="Times New Roman" w:hAnsi="Times New Roman" w:cs="Times New Roman"/>
        </w:rPr>
        <w:t xml:space="preserve"> that the model’s assumptions are satisfied, lending credibility to the regression results. The use of the fixed effects model ensures that firm-specific characteristics that do not vary over time are properly controlled for, while the absence of heteroscedasticity and multicollinearity further strengthens the reliability of the findings.</w:t>
      </w:r>
    </w:p>
    <w:p w14:paraId="252AA9E4" w14:textId="77777777" w:rsidR="00CA41DE" w:rsidRPr="00CA41DE" w:rsidRDefault="00CA41DE" w:rsidP="00CA41DE">
      <w:pPr>
        <w:jc w:val="both"/>
        <w:rPr>
          <w:rFonts w:ascii="Times New Roman" w:hAnsi="Times New Roman" w:cs="Times New Roman"/>
          <w:b/>
          <w:bCs/>
        </w:rPr>
      </w:pPr>
      <w:r w:rsidRPr="00CA41DE">
        <w:rPr>
          <w:rFonts w:ascii="Times New Roman" w:hAnsi="Times New Roman" w:cs="Times New Roman"/>
          <w:b/>
          <w:bCs/>
        </w:rPr>
        <w:t>4.5 Discussion</w:t>
      </w:r>
    </w:p>
    <w:p w14:paraId="70C46565"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findings of this study provide robust empirical evidence that tax burden, as measured by both the effective tax rate (ETR) and cash effective tax rate (CETR), has a significant negative effect on the financial stability of Nigerian oil and gas firms, proxied by the interest coverage ratio (ICR). </w:t>
      </w:r>
      <w:r w:rsidRPr="00CA41DE">
        <w:rPr>
          <w:rFonts w:ascii="Times New Roman" w:hAnsi="Times New Roman" w:cs="Times New Roman"/>
        </w:rPr>
        <w:lastRenderedPageBreak/>
        <w:t>This result is consistent with the theoretical expectations of the trade-off theory, which posits that while debt can provide tax advantages, excessive tax burdens can erode the benefits of leverage and increase the risk of financial distress (</w:t>
      </w:r>
      <w:proofErr w:type="spellStart"/>
      <w:r w:rsidRPr="00CA41DE">
        <w:rPr>
          <w:rFonts w:ascii="Times New Roman" w:hAnsi="Times New Roman" w:cs="Times New Roman"/>
        </w:rPr>
        <w:t>Jabar</w:t>
      </w:r>
      <w:proofErr w:type="spellEnd"/>
      <w:r w:rsidRPr="00CA41DE">
        <w:rPr>
          <w:rFonts w:ascii="Times New Roman" w:hAnsi="Times New Roman" w:cs="Times New Roman"/>
        </w:rPr>
        <w:t xml:space="preserve"> &amp; </w:t>
      </w:r>
      <w:proofErr w:type="spellStart"/>
      <w:r w:rsidRPr="00CA41DE">
        <w:rPr>
          <w:rFonts w:ascii="Times New Roman" w:hAnsi="Times New Roman" w:cs="Times New Roman"/>
        </w:rPr>
        <w:t>Akinadewo</w:t>
      </w:r>
      <w:proofErr w:type="spellEnd"/>
      <w:r w:rsidRPr="00CA41DE">
        <w:rPr>
          <w:rFonts w:ascii="Times New Roman" w:hAnsi="Times New Roman" w:cs="Times New Roman"/>
        </w:rPr>
        <w:t xml:space="preserve">, 2023; </w:t>
      </w:r>
      <w:proofErr w:type="spellStart"/>
      <w:r w:rsidRPr="00CA41DE">
        <w:rPr>
          <w:rFonts w:ascii="Times New Roman" w:hAnsi="Times New Roman" w:cs="Times New Roman"/>
        </w:rPr>
        <w:t>Salako</w:t>
      </w:r>
      <w:proofErr w:type="spellEnd"/>
      <w:r w:rsidRPr="00CA41DE">
        <w:rPr>
          <w:rFonts w:ascii="Times New Roman" w:hAnsi="Times New Roman" w:cs="Times New Roman"/>
        </w:rPr>
        <w:t xml:space="preserve"> </w:t>
      </w:r>
      <w:proofErr w:type="spellStart"/>
      <w:r w:rsidRPr="00CA41DE">
        <w:rPr>
          <w:rFonts w:ascii="Times New Roman" w:hAnsi="Times New Roman" w:cs="Times New Roman"/>
        </w:rPr>
        <w:t>Yisau</w:t>
      </w:r>
      <w:proofErr w:type="spellEnd"/>
      <w:r w:rsidRPr="00CA41DE">
        <w:rPr>
          <w:rFonts w:ascii="Times New Roman" w:hAnsi="Times New Roman" w:cs="Times New Roman"/>
        </w:rPr>
        <w:t xml:space="preserve"> et al., 2024).</w:t>
      </w:r>
    </w:p>
    <w:p w14:paraId="3972BE2A"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negative relationship between tax burden and ICR found in this study aligns with the findings of </w:t>
      </w:r>
      <w:proofErr w:type="spellStart"/>
      <w:r w:rsidRPr="00CA41DE">
        <w:rPr>
          <w:rFonts w:ascii="Times New Roman" w:hAnsi="Times New Roman" w:cs="Times New Roman"/>
        </w:rPr>
        <w:t>Eneisik</w:t>
      </w:r>
      <w:proofErr w:type="spellEnd"/>
      <w:r w:rsidRPr="00CA41DE">
        <w:rPr>
          <w:rFonts w:ascii="Times New Roman" w:hAnsi="Times New Roman" w:cs="Times New Roman"/>
        </w:rPr>
        <w:t xml:space="preserve"> et al. (2023), who reported that high tax rates negatively impact profitability and financial resilience in Nigerian manufacturing firms. Similarly, </w:t>
      </w:r>
      <w:proofErr w:type="spellStart"/>
      <w:r w:rsidRPr="00CA41DE">
        <w:rPr>
          <w:rFonts w:ascii="Times New Roman" w:hAnsi="Times New Roman" w:cs="Times New Roman"/>
        </w:rPr>
        <w:t>Akinsulire</w:t>
      </w:r>
      <w:proofErr w:type="spellEnd"/>
      <w:r w:rsidRPr="00CA41DE">
        <w:rPr>
          <w:rFonts w:ascii="Times New Roman" w:hAnsi="Times New Roman" w:cs="Times New Roman"/>
        </w:rPr>
        <w:t xml:space="preserve"> et al. (2022) observed that while tax optimization strategies can enhance firm value, higher effective tax rates tend to reduce financial performance. The results also echo the conclusions of Fagbemi et al. (2018), who found that strategic tax management is essential for maintaining financial health in the banking sector.</w:t>
      </w:r>
    </w:p>
    <w:p w14:paraId="01F62F72"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Furthermore, the significant negative effect of CETR on ICR supports the argument by Salaudeen and Atoyebi (2018) that increased tax compliance costs and administrative burdens can constrain firms’ operational cash flows, thereby weakening their ability to service debt. This is particularly relevant in the oil and gas sector, where firms are subject to multiple layers of taxation and frequent regulatory changes (Federal Inland Revenue Service, 2023; Petroleum Industry Act, 2021).</w:t>
      </w:r>
    </w:p>
    <w:p w14:paraId="5C86E840"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positive and significant coefficient for firm age suggests that older firms are more financially stable, likely due to accumulated experience, established financial practices, and stronger capital bases. This finding is in line with the work of </w:t>
      </w:r>
      <w:proofErr w:type="spellStart"/>
      <w:r w:rsidRPr="00CA41DE">
        <w:rPr>
          <w:rFonts w:ascii="Times New Roman" w:hAnsi="Times New Roman" w:cs="Times New Roman"/>
        </w:rPr>
        <w:t>Salako</w:t>
      </w:r>
      <w:proofErr w:type="spellEnd"/>
      <w:r w:rsidRPr="00CA41DE">
        <w:rPr>
          <w:rFonts w:ascii="Times New Roman" w:hAnsi="Times New Roman" w:cs="Times New Roman"/>
        </w:rPr>
        <w:t xml:space="preserve"> </w:t>
      </w:r>
      <w:proofErr w:type="spellStart"/>
      <w:r w:rsidRPr="00CA41DE">
        <w:rPr>
          <w:rFonts w:ascii="Times New Roman" w:hAnsi="Times New Roman" w:cs="Times New Roman"/>
        </w:rPr>
        <w:t>Yisau</w:t>
      </w:r>
      <w:proofErr w:type="spellEnd"/>
      <w:r w:rsidRPr="00CA41DE">
        <w:rPr>
          <w:rFonts w:ascii="Times New Roman" w:hAnsi="Times New Roman" w:cs="Times New Roman"/>
        </w:rPr>
        <w:t xml:space="preserve"> et al. (2024) and Adegboyega (2024), who noted that firm age is positively associated with financial resilience and the ability to withstand fiscal shocks.</w:t>
      </w:r>
    </w:p>
    <w:p w14:paraId="3E88D62A"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It is noteworthy that while some studies, such as Bamidele and Abdulsalam (2025), found a positive but statistically insignificant relationship between effective tax rate and market value in non-financial manufacturing companies, the present study demonstrates a significant negative effect of tax burden on financial stability in the oil and gas sector. This difference may be attributed to sectoral characteristics, as the oil and gas industry is more capital-intensive and exposed to global market volatility than other sectors.</w:t>
      </w:r>
    </w:p>
    <w:p w14:paraId="228CDDDB"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results also complement the findings of </w:t>
      </w:r>
      <w:proofErr w:type="spellStart"/>
      <w:r w:rsidRPr="00CA41DE">
        <w:rPr>
          <w:rFonts w:ascii="Times New Roman" w:hAnsi="Times New Roman" w:cs="Times New Roman"/>
        </w:rPr>
        <w:t>Kupoluyi</w:t>
      </w:r>
      <w:proofErr w:type="spellEnd"/>
      <w:r w:rsidRPr="00CA41DE">
        <w:rPr>
          <w:rFonts w:ascii="Times New Roman" w:hAnsi="Times New Roman" w:cs="Times New Roman"/>
        </w:rPr>
        <w:t xml:space="preserve"> et al. (2024) and </w:t>
      </w:r>
      <w:proofErr w:type="spellStart"/>
      <w:r w:rsidRPr="00CA41DE">
        <w:rPr>
          <w:rFonts w:ascii="Times New Roman" w:hAnsi="Times New Roman" w:cs="Times New Roman"/>
        </w:rPr>
        <w:t>Nmehielle</w:t>
      </w:r>
      <w:proofErr w:type="spellEnd"/>
      <w:r w:rsidRPr="00CA41DE">
        <w:rPr>
          <w:rFonts w:ascii="Times New Roman" w:hAnsi="Times New Roman" w:cs="Times New Roman"/>
        </w:rPr>
        <w:t xml:space="preserve"> (2023), who highlighted the importance of tax incentives and efficient tax management in mitigating the negative effects of high tax burdens on firm performance. The present study extends this line of research by providing sector-specific evidence that excessive tax burdens can undermine the financial stability of oil and gas firms, even when controlling for firm age.</w:t>
      </w:r>
    </w:p>
    <w:p w14:paraId="1127D0CF"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From a policy perspective, these findings underscore the need for a balanced approach to tax policy in the Nigerian oil and gas sector. Policymakers should consider the adverse effects of high tax burdens on the financial health of firms that are critical to national development. Targeted tax incentives, streamlined compliance processes, or periodic reviews of tax rates could help alleviate financial strain and support the sector’s long-term sustainability. For managers, the results highlight the importance of efficient tax planning and prudent financial management. Investors </w:t>
      </w:r>
      <w:r w:rsidRPr="00CA41DE">
        <w:rPr>
          <w:rFonts w:ascii="Times New Roman" w:hAnsi="Times New Roman" w:cs="Times New Roman"/>
        </w:rPr>
        <w:lastRenderedPageBreak/>
        <w:t>may also view firms with lower tax burdens and higher ICRs as more financially stable and less risky, which could influence investment decisions and firm valuation.</w:t>
      </w:r>
    </w:p>
    <w:p w14:paraId="3F825C28"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In summary, this study contributes to the literature by providing empirical evidence that tax burden is a critical determinant of financial stability in the Nigerian oil and gas sector. The findings are consistent with prior research in other sectors, but also highlight the unique challenges faced by oil and gas firms. The results call for a nuanced and sector-specific approach to tax policy that balances government revenue objectives with the need to sustain financial stability and operational resilience in a key sector of the Nigerian economy.</w:t>
      </w:r>
    </w:p>
    <w:p w14:paraId="35735273" w14:textId="5519DF8E" w:rsidR="00CA41DE" w:rsidRPr="00CA41DE" w:rsidRDefault="00CA41DE" w:rsidP="00CA41DE">
      <w:pPr>
        <w:jc w:val="both"/>
        <w:rPr>
          <w:rFonts w:ascii="Times New Roman" w:hAnsi="Times New Roman" w:cs="Times New Roman"/>
          <w:b/>
          <w:bCs/>
        </w:rPr>
      </w:pPr>
      <w:r w:rsidRPr="00CA41DE">
        <w:rPr>
          <w:rFonts w:ascii="Times New Roman" w:hAnsi="Times New Roman" w:cs="Times New Roman"/>
          <w:b/>
          <w:bCs/>
        </w:rPr>
        <w:t>5.</w:t>
      </w:r>
      <w:r w:rsidR="000A22CC" w:rsidRPr="00F675E6">
        <w:rPr>
          <w:rFonts w:ascii="Times New Roman" w:hAnsi="Times New Roman" w:cs="Times New Roman"/>
          <w:b/>
          <w:bCs/>
        </w:rPr>
        <w:t>1</w:t>
      </w:r>
      <w:r w:rsidRPr="00CA41DE">
        <w:rPr>
          <w:rFonts w:ascii="Times New Roman" w:hAnsi="Times New Roman" w:cs="Times New Roman"/>
          <w:b/>
          <w:bCs/>
        </w:rPr>
        <w:t xml:space="preserve"> Conclusion</w:t>
      </w:r>
    </w:p>
    <w:p w14:paraId="242ED341" w14:textId="54C69E61" w:rsidR="00CA41DE" w:rsidRPr="00CA41DE" w:rsidRDefault="00CA41DE" w:rsidP="00CA41DE">
      <w:pPr>
        <w:jc w:val="both"/>
        <w:rPr>
          <w:rFonts w:ascii="Times New Roman" w:hAnsi="Times New Roman" w:cs="Times New Roman"/>
        </w:rPr>
      </w:pPr>
      <w:r w:rsidRPr="00CA41DE">
        <w:rPr>
          <w:rFonts w:ascii="Times New Roman" w:hAnsi="Times New Roman" w:cs="Times New Roman"/>
        </w:rPr>
        <w:t>This study set out to examine the effect of tax burden</w:t>
      </w:r>
      <w:r w:rsidR="00630569" w:rsidRPr="00F675E6">
        <w:rPr>
          <w:rFonts w:ascii="Times New Roman" w:hAnsi="Times New Roman" w:cs="Times New Roman"/>
        </w:rPr>
        <w:t xml:space="preserve"> </w:t>
      </w:r>
      <w:r w:rsidRPr="00CA41DE">
        <w:rPr>
          <w:rFonts w:ascii="Times New Roman" w:hAnsi="Times New Roman" w:cs="Times New Roman"/>
        </w:rPr>
        <w:t>proxied by effective tax rate (ETR) and cash effective tax rate (CETR)</w:t>
      </w:r>
      <w:r w:rsidR="00630569" w:rsidRPr="00F675E6">
        <w:rPr>
          <w:rFonts w:ascii="Times New Roman" w:hAnsi="Times New Roman" w:cs="Times New Roman"/>
        </w:rPr>
        <w:t xml:space="preserve"> </w:t>
      </w:r>
      <w:r w:rsidRPr="00CA41DE">
        <w:rPr>
          <w:rFonts w:ascii="Times New Roman" w:hAnsi="Times New Roman" w:cs="Times New Roman"/>
        </w:rPr>
        <w:t>on the financial stability of Nigerian oil and gas firms, as measured by the interest coverage ratio (ICR), while controlling for firm age. Using panel data from all listed oil and gas firms on the Nigerian Exchange Group over the period 2012–2024, the study employed robust econometric techniques, including fixed effects regression and comprehensive diagnostic tests.</w:t>
      </w:r>
    </w:p>
    <w:p w14:paraId="336B3769"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The empirical results reveal that both ETR and CETR have statistically significant negative effects on ICR. This indicates that higher tax burdens, whether measured on an accrual or cash basis, substantially reduce the ability of oil and gas firms to meet their interest obligations from operating earnings, thereby weakening their financial stability. In contrast, firm age was found to have a positive and significant effect on ICR, suggesting that older firms are generally more financially resilient, likely due to accumulated experience and established financial practices.</w:t>
      </w:r>
    </w:p>
    <w:p w14:paraId="333985F8"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These findings are consistent with previous research in other sectors, confirming that excessive or poorly structured tax burdens can undermine corporate financial health. However, this study extends the literature by providing sector-specific evidence for the Nigerian oil and gas industry, a sector that is both capital-intensive and vital to national economic development.</w:t>
      </w:r>
    </w:p>
    <w:p w14:paraId="40D5583B"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In light of these findings, the study concludes that there is a critical need for policymakers to strike a balance between revenue generation and the financial sustainability of oil and gas firms. Tax policies should be designed to avoid imposing excessive burdens that could compromise firms’ ability to service debt and invest in growth. Targeted tax incentives, streamlined compliance processes, and periodic reviews of tax rates may help to support the long-term stability and competitiveness of the sector.</w:t>
      </w:r>
    </w:p>
    <w:p w14:paraId="53A6A0CE"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For managers and investors, the results underscore the importance of effective tax planning and prudent financial management in enhancing firm stability. Ultimately, a balanced and responsive tax regime is essential for sustaining the operational resilience and developmental contributions of Nigeria’s oil and gas sector.</w:t>
      </w:r>
    </w:p>
    <w:p w14:paraId="72F6720D" w14:textId="0053D8C3" w:rsidR="000A22CC" w:rsidRPr="000A22CC" w:rsidRDefault="000A22CC" w:rsidP="000A22CC">
      <w:pPr>
        <w:jc w:val="both"/>
        <w:rPr>
          <w:rFonts w:ascii="Times New Roman" w:hAnsi="Times New Roman" w:cs="Times New Roman"/>
        </w:rPr>
      </w:pPr>
      <w:r w:rsidRPr="00F675E6">
        <w:rPr>
          <w:rFonts w:ascii="Times New Roman" w:hAnsi="Times New Roman" w:cs="Times New Roman"/>
          <w:b/>
          <w:bCs/>
        </w:rPr>
        <w:t>5.2</w:t>
      </w:r>
      <w:r w:rsidRPr="000A22CC">
        <w:rPr>
          <w:rFonts w:ascii="Times New Roman" w:hAnsi="Times New Roman" w:cs="Times New Roman"/>
          <w:b/>
          <w:bCs/>
        </w:rPr>
        <w:t xml:space="preserve"> Recommendations</w:t>
      </w:r>
    </w:p>
    <w:p w14:paraId="73824A7D" w14:textId="77777777" w:rsidR="000A22CC" w:rsidRPr="000A22CC" w:rsidRDefault="000A22CC" w:rsidP="000A22CC">
      <w:pPr>
        <w:jc w:val="both"/>
        <w:rPr>
          <w:rFonts w:ascii="Times New Roman" w:hAnsi="Times New Roman" w:cs="Times New Roman"/>
        </w:rPr>
      </w:pPr>
      <w:r w:rsidRPr="000A22CC">
        <w:rPr>
          <w:rFonts w:ascii="Times New Roman" w:hAnsi="Times New Roman" w:cs="Times New Roman"/>
        </w:rPr>
        <w:lastRenderedPageBreak/>
        <w:t>Based on the findings that higher effective tax rates (ETR) and cash effective tax rates (CETR) significantly reduce the financial stability of Nigerian oil and gas firms, while firm age enhances stability, the following recommendations are made:</w:t>
      </w:r>
    </w:p>
    <w:p w14:paraId="6870A1A8" w14:textId="449AF680" w:rsidR="000A22CC" w:rsidRPr="000A22CC" w:rsidRDefault="000A22CC" w:rsidP="000A22CC">
      <w:pPr>
        <w:numPr>
          <w:ilvl w:val="0"/>
          <w:numId w:val="9"/>
        </w:numPr>
        <w:jc w:val="both"/>
        <w:rPr>
          <w:rFonts w:ascii="Times New Roman" w:hAnsi="Times New Roman" w:cs="Times New Roman"/>
        </w:rPr>
      </w:pPr>
      <w:r w:rsidRPr="000A22CC">
        <w:rPr>
          <w:rFonts w:ascii="Times New Roman" w:hAnsi="Times New Roman" w:cs="Times New Roman"/>
        </w:rPr>
        <w:t>Policymakers should review and, where necessary, moderate the effective tax rates imposed on oil and gas firms. This will help prevent excessive tax burdens that undermine firms’ ability to service debt and maintain financial stability, as evidenced by the significant negative impact of ETR and CETR on ICR.</w:t>
      </w:r>
    </w:p>
    <w:p w14:paraId="43F69ACC" w14:textId="07EF65E5" w:rsidR="000A22CC" w:rsidRPr="000A22CC" w:rsidRDefault="000A22CC" w:rsidP="000A22CC">
      <w:pPr>
        <w:numPr>
          <w:ilvl w:val="0"/>
          <w:numId w:val="9"/>
        </w:numPr>
        <w:jc w:val="both"/>
        <w:rPr>
          <w:rFonts w:ascii="Times New Roman" w:hAnsi="Times New Roman" w:cs="Times New Roman"/>
        </w:rPr>
      </w:pPr>
      <w:r w:rsidRPr="000A22CC">
        <w:rPr>
          <w:rFonts w:ascii="Times New Roman" w:hAnsi="Times New Roman" w:cs="Times New Roman"/>
        </w:rPr>
        <w:t>The government should introduce or strengthen targeted tax incentives and reliefs for oil and gas firms, particularly those that are younger or less established. Such measures can help offset the adverse effects of high tax burdens and support the financial resilience and growth of firms in the sector.</w:t>
      </w:r>
    </w:p>
    <w:p w14:paraId="669D6C1C" w14:textId="0624AA0F" w:rsidR="000A22CC" w:rsidRPr="000A22CC" w:rsidRDefault="000A22CC" w:rsidP="000A22CC">
      <w:pPr>
        <w:numPr>
          <w:ilvl w:val="0"/>
          <w:numId w:val="9"/>
        </w:numPr>
        <w:jc w:val="both"/>
        <w:rPr>
          <w:rFonts w:ascii="Times New Roman" w:hAnsi="Times New Roman" w:cs="Times New Roman"/>
        </w:rPr>
      </w:pPr>
      <w:r w:rsidRPr="000A22CC">
        <w:rPr>
          <w:rFonts w:ascii="Times New Roman" w:hAnsi="Times New Roman" w:cs="Times New Roman"/>
        </w:rPr>
        <w:t>Oil and gas firms should prioritize effective tax planning and compliance strategies to optimize their tax positions and improve cash flow management. By leveraging available incentives and ensuring efficient tax management, firms can better withstand fiscal pressures and enhance their financial stability.</w:t>
      </w:r>
    </w:p>
    <w:p w14:paraId="0B2E140D" w14:textId="4A73D420" w:rsidR="00074397" w:rsidRPr="00F675E6" w:rsidRDefault="00074397">
      <w:pPr>
        <w:rPr>
          <w:rFonts w:ascii="Times New Roman" w:hAnsi="Times New Roman" w:cs="Times New Roman"/>
        </w:rPr>
      </w:pPr>
      <w:r w:rsidRPr="00F675E6">
        <w:rPr>
          <w:rFonts w:ascii="Times New Roman" w:hAnsi="Times New Roman" w:cs="Times New Roman"/>
        </w:rPr>
        <w:br w:type="page"/>
      </w:r>
    </w:p>
    <w:p w14:paraId="34D9D353" w14:textId="77777777" w:rsidR="005975AD" w:rsidRPr="005975AD" w:rsidRDefault="005975AD" w:rsidP="005975AD">
      <w:pPr>
        <w:jc w:val="both"/>
        <w:rPr>
          <w:rFonts w:ascii="Times New Roman" w:hAnsi="Times New Roman" w:cs="Times New Roman"/>
        </w:rPr>
      </w:pPr>
      <w:r w:rsidRPr="005975AD">
        <w:rPr>
          <w:rFonts w:ascii="Times New Roman" w:hAnsi="Times New Roman" w:cs="Times New Roman"/>
        </w:rPr>
        <w:lastRenderedPageBreak/>
        <w:t>References</w:t>
      </w:r>
    </w:p>
    <w:p w14:paraId="241A6CEB" w14:textId="77777777" w:rsidR="00406A7B" w:rsidRPr="00F675E6" w:rsidRDefault="00406A7B" w:rsidP="005A5CAC">
      <w:pPr>
        <w:ind w:left="720" w:hanging="720"/>
        <w:jc w:val="both"/>
        <w:rPr>
          <w:rFonts w:ascii="Times New Roman" w:hAnsi="Times New Roman" w:cs="Times New Roman"/>
        </w:rPr>
      </w:pPr>
      <w:r w:rsidRPr="005975AD">
        <w:rPr>
          <w:rFonts w:ascii="Times New Roman" w:hAnsi="Times New Roman" w:cs="Times New Roman"/>
        </w:rPr>
        <w:t>Adegboyega, A. (2024). Does companies’ income tax and financial leverage affect profitability of quoted manufacturing companies in Nigeria? </w:t>
      </w:r>
      <w:r w:rsidRPr="005975AD">
        <w:rPr>
          <w:rFonts w:ascii="Times New Roman" w:hAnsi="Times New Roman" w:cs="Times New Roman"/>
          <w:i/>
          <w:iCs/>
        </w:rPr>
        <w:t>Caleb International Journal of Development Studies, 7</w:t>
      </w:r>
      <w:r w:rsidRPr="005975AD">
        <w:rPr>
          <w:rFonts w:ascii="Times New Roman" w:hAnsi="Times New Roman" w:cs="Times New Roman"/>
        </w:rPr>
        <w:t>(2), 89–104. </w:t>
      </w:r>
      <w:hyperlink r:id="rId6" w:history="1">
        <w:r w:rsidRPr="005975AD">
          <w:rPr>
            <w:rStyle w:val="Hyperlink"/>
            <w:rFonts w:ascii="Times New Roman" w:hAnsi="Times New Roman" w:cs="Times New Roman"/>
          </w:rPr>
          <w:t>https://doi.org/10.26772/cijds-2024-07-02-06</w:t>
        </w:r>
      </w:hyperlink>
    </w:p>
    <w:p w14:paraId="24D13B01"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Akinsulire</w:t>
      </w:r>
      <w:proofErr w:type="spellEnd"/>
      <w:r w:rsidRPr="005975AD">
        <w:rPr>
          <w:rFonts w:ascii="Times New Roman" w:hAnsi="Times New Roman" w:cs="Times New Roman"/>
        </w:rPr>
        <w:t>, O. O., Adegbie, F. F., &amp; Akintoye, I. R. (2022). Tax optimization and firm value: A study of selected manufacturing firms listed in Nigeria. </w:t>
      </w:r>
      <w:r w:rsidRPr="005975AD">
        <w:rPr>
          <w:rFonts w:ascii="Times New Roman" w:hAnsi="Times New Roman" w:cs="Times New Roman"/>
          <w:i/>
          <w:iCs/>
        </w:rPr>
        <w:t>Caleb International Journal of Development Studies, 5</w:t>
      </w:r>
      <w:r w:rsidRPr="005975AD">
        <w:rPr>
          <w:rFonts w:ascii="Times New Roman" w:hAnsi="Times New Roman" w:cs="Times New Roman"/>
        </w:rPr>
        <w:t>(1), 178–196. </w:t>
      </w:r>
      <w:hyperlink r:id="rId7" w:history="1">
        <w:r w:rsidRPr="005975AD">
          <w:rPr>
            <w:rStyle w:val="Hyperlink"/>
            <w:rFonts w:ascii="Times New Roman" w:hAnsi="Times New Roman" w:cs="Times New Roman"/>
          </w:rPr>
          <w:t>https://doi.org/10.26772/cijds-2022-05-01-011</w:t>
        </w:r>
      </w:hyperlink>
    </w:p>
    <w:p w14:paraId="09D161B8"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Bamidele, V. O., &amp; Abdulsalam, D. (2025). Corporate tax planning and market value of Nigerian listed non-financial manufacturing companies. </w:t>
      </w:r>
      <w:proofErr w:type="spellStart"/>
      <w:r w:rsidRPr="005975AD">
        <w:rPr>
          <w:rFonts w:ascii="Times New Roman" w:hAnsi="Times New Roman" w:cs="Times New Roman"/>
          <w:i/>
          <w:iCs/>
        </w:rPr>
        <w:t>Jurnal</w:t>
      </w:r>
      <w:proofErr w:type="spellEnd"/>
      <w:r w:rsidRPr="005975AD">
        <w:rPr>
          <w:rFonts w:ascii="Times New Roman" w:hAnsi="Times New Roman" w:cs="Times New Roman"/>
          <w:i/>
          <w:iCs/>
        </w:rPr>
        <w:t xml:space="preserve"> </w:t>
      </w:r>
      <w:proofErr w:type="spellStart"/>
      <w:r w:rsidRPr="005975AD">
        <w:rPr>
          <w:rFonts w:ascii="Times New Roman" w:hAnsi="Times New Roman" w:cs="Times New Roman"/>
          <w:i/>
          <w:iCs/>
        </w:rPr>
        <w:t>Akuntansi</w:t>
      </w:r>
      <w:proofErr w:type="spellEnd"/>
      <w:r w:rsidRPr="005975AD">
        <w:rPr>
          <w:rFonts w:ascii="Times New Roman" w:hAnsi="Times New Roman" w:cs="Times New Roman"/>
          <w:i/>
          <w:iCs/>
        </w:rPr>
        <w:t>, 17</w:t>
      </w:r>
      <w:r w:rsidRPr="005975AD">
        <w:rPr>
          <w:rFonts w:ascii="Times New Roman" w:hAnsi="Times New Roman" w:cs="Times New Roman"/>
        </w:rPr>
        <w:t>(2), 383–400.</w:t>
      </w:r>
    </w:p>
    <w:p w14:paraId="409E86D7" w14:textId="77777777" w:rsidR="00406A7B" w:rsidRPr="00F675E6" w:rsidRDefault="00406A7B" w:rsidP="005A5CAC">
      <w:pPr>
        <w:ind w:left="720" w:hanging="720"/>
        <w:jc w:val="both"/>
        <w:rPr>
          <w:rFonts w:ascii="Times New Roman" w:hAnsi="Times New Roman" w:cs="Times New Roman"/>
        </w:rPr>
      </w:pPr>
      <w:r w:rsidRPr="005A5CAC">
        <w:rPr>
          <w:rFonts w:ascii="Times New Roman" w:hAnsi="Times New Roman" w:cs="Times New Roman"/>
        </w:rPr>
        <w:t xml:space="preserve">Bamidele, V. O., </w:t>
      </w:r>
      <w:proofErr w:type="spellStart"/>
      <w:r w:rsidRPr="005A5CAC">
        <w:rPr>
          <w:rFonts w:ascii="Times New Roman" w:hAnsi="Times New Roman" w:cs="Times New Roman"/>
        </w:rPr>
        <w:t>Fajana</w:t>
      </w:r>
      <w:proofErr w:type="spellEnd"/>
      <w:r w:rsidRPr="005A5CAC">
        <w:rPr>
          <w:rFonts w:ascii="Times New Roman" w:hAnsi="Times New Roman" w:cs="Times New Roman"/>
        </w:rPr>
        <w:t xml:space="preserve">, K. J., &amp; </w:t>
      </w:r>
      <w:proofErr w:type="spellStart"/>
      <w:r w:rsidRPr="005A5CAC">
        <w:rPr>
          <w:rFonts w:ascii="Times New Roman" w:hAnsi="Times New Roman" w:cs="Times New Roman"/>
        </w:rPr>
        <w:t>Omananyi</w:t>
      </w:r>
      <w:proofErr w:type="spellEnd"/>
      <w:r w:rsidRPr="005A5CAC">
        <w:rPr>
          <w:rFonts w:ascii="Times New Roman" w:hAnsi="Times New Roman" w:cs="Times New Roman"/>
        </w:rPr>
        <w:t>, A. (2024). Financial Leverage and Financial Performance of Quoted Firms in Nigeria: Evidence from Oil and Gas and Agriculture Sectors. Journal of Accounting and Financial Management Sciences, 10(8), 459-472.</w:t>
      </w:r>
    </w:p>
    <w:p w14:paraId="1CA7CC63" w14:textId="77777777" w:rsidR="00406A7B" w:rsidRPr="00F675E6" w:rsidRDefault="00406A7B" w:rsidP="005A5CAC">
      <w:pPr>
        <w:ind w:left="720" w:hanging="720"/>
        <w:jc w:val="both"/>
        <w:rPr>
          <w:rFonts w:ascii="Times New Roman" w:hAnsi="Times New Roman" w:cs="Times New Roman"/>
        </w:rPr>
      </w:pPr>
      <w:r w:rsidRPr="005A5CAC">
        <w:rPr>
          <w:rFonts w:ascii="Times New Roman" w:hAnsi="Times New Roman" w:cs="Times New Roman"/>
        </w:rPr>
        <w:t>Bamidele, V. O., Ogundipe, F. B., &amp; Adedeji, O. E. (2025). Working capital management and financial performance of production-based firms in Nigeria: A panel data analysis. Journal of Accounting, Business and Social Sciences, 9(1), 115-135.</w:t>
      </w:r>
    </w:p>
    <w:p w14:paraId="6C58A31E" w14:textId="77777777" w:rsidR="00406A7B" w:rsidRPr="005A5CAC" w:rsidRDefault="00406A7B" w:rsidP="005A5CAC">
      <w:pPr>
        <w:ind w:left="720" w:hanging="720"/>
        <w:jc w:val="both"/>
        <w:rPr>
          <w:rFonts w:ascii="Times New Roman" w:hAnsi="Times New Roman" w:cs="Times New Roman"/>
        </w:rPr>
      </w:pPr>
      <w:r w:rsidRPr="005A5CAC">
        <w:rPr>
          <w:rFonts w:ascii="Times New Roman" w:hAnsi="Times New Roman" w:cs="Times New Roman"/>
        </w:rPr>
        <w:t xml:space="preserve">Bamidele, V. O., </w:t>
      </w:r>
      <w:proofErr w:type="spellStart"/>
      <w:r w:rsidRPr="005A5CAC">
        <w:rPr>
          <w:rFonts w:ascii="Times New Roman" w:hAnsi="Times New Roman" w:cs="Times New Roman"/>
        </w:rPr>
        <w:t>Olomola</w:t>
      </w:r>
      <w:proofErr w:type="spellEnd"/>
      <w:r w:rsidRPr="005A5CAC">
        <w:rPr>
          <w:rFonts w:ascii="Times New Roman" w:hAnsi="Times New Roman" w:cs="Times New Roman"/>
        </w:rPr>
        <w:t>, F. O., &amp; Akomolafe, A. A. (2025). Entrepreneurial financing decisions and the profitability of listed non-financial firms in Nigeria (2015–2024). International Journal of Economics and Financial Management (IJEFM), 10(8), 255–276.</w:t>
      </w:r>
      <w:r w:rsidRPr="00F675E6">
        <w:rPr>
          <w:rFonts w:ascii="Times New Roman" w:hAnsi="Times New Roman" w:cs="Times New Roman"/>
        </w:rPr>
        <w:t xml:space="preserve"> </w:t>
      </w:r>
    </w:p>
    <w:p w14:paraId="1F7695BC"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Eneisik</w:t>
      </w:r>
      <w:proofErr w:type="spellEnd"/>
      <w:r w:rsidRPr="005975AD">
        <w:rPr>
          <w:rFonts w:ascii="Times New Roman" w:hAnsi="Times New Roman" w:cs="Times New Roman"/>
        </w:rPr>
        <w:t xml:space="preserve">, G. E., Obara, L. C., &amp; </w:t>
      </w:r>
      <w:proofErr w:type="spellStart"/>
      <w:r w:rsidRPr="005975AD">
        <w:rPr>
          <w:rFonts w:ascii="Times New Roman" w:hAnsi="Times New Roman" w:cs="Times New Roman"/>
        </w:rPr>
        <w:t>Uwikor</w:t>
      </w:r>
      <w:proofErr w:type="spellEnd"/>
      <w:r w:rsidRPr="005975AD">
        <w:rPr>
          <w:rFonts w:ascii="Times New Roman" w:hAnsi="Times New Roman" w:cs="Times New Roman"/>
        </w:rPr>
        <w:t>, M. K. (2023). Corporate taxes and financial performance of quoted manufacturing companies in Nigeria. </w:t>
      </w:r>
      <w:r w:rsidRPr="005975AD">
        <w:rPr>
          <w:rFonts w:ascii="Times New Roman" w:hAnsi="Times New Roman" w:cs="Times New Roman"/>
          <w:i/>
          <w:iCs/>
        </w:rPr>
        <w:t>Journal of Accounting and Financial Management, 9</w:t>
      </w:r>
      <w:r w:rsidRPr="005975AD">
        <w:rPr>
          <w:rFonts w:ascii="Times New Roman" w:hAnsi="Times New Roman" w:cs="Times New Roman"/>
        </w:rPr>
        <w:t>(3), 81–105. </w:t>
      </w:r>
      <w:hyperlink r:id="rId8" w:history="1">
        <w:r w:rsidRPr="005975AD">
          <w:rPr>
            <w:rStyle w:val="Hyperlink"/>
            <w:rFonts w:ascii="Times New Roman" w:hAnsi="Times New Roman" w:cs="Times New Roman"/>
          </w:rPr>
          <w:t>https://doi.org/10.56201/jafm.v9.no3.2023.pg81.105</w:t>
        </w:r>
      </w:hyperlink>
    </w:p>
    <w:p w14:paraId="235B0D10"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Fagbemi, T. O., Azeez, O. T., &amp; Ogundipe, A. A. (2018). The corporate tax planning and financial performance of systemically important banks in Nigeria. </w:t>
      </w:r>
      <w:proofErr w:type="spellStart"/>
      <w:r w:rsidRPr="005975AD">
        <w:rPr>
          <w:rFonts w:ascii="Times New Roman" w:hAnsi="Times New Roman" w:cs="Times New Roman"/>
          <w:i/>
          <w:iCs/>
        </w:rPr>
        <w:t>Ekonomika</w:t>
      </w:r>
      <w:proofErr w:type="spellEnd"/>
      <w:r w:rsidRPr="005975AD">
        <w:rPr>
          <w:rFonts w:ascii="Times New Roman" w:hAnsi="Times New Roman" w:cs="Times New Roman"/>
          <w:i/>
          <w:iCs/>
        </w:rPr>
        <w:t>, 101</w:t>
      </w:r>
      <w:r w:rsidRPr="005975AD">
        <w:rPr>
          <w:rFonts w:ascii="Times New Roman" w:hAnsi="Times New Roman" w:cs="Times New Roman"/>
        </w:rPr>
        <w:t>(1), 15–32.</w:t>
      </w:r>
    </w:p>
    <w:p w14:paraId="7710E864"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Fatikh</w:t>
      </w:r>
      <w:proofErr w:type="spellEnd"/>
      <w:r w:rsidRPr="005975AD">
        <w:rPr>
          <w:rFonts w:ascii="Times New Roman" w:hAnsi="Times New Roman" w:cs="Times New Roman"/>
        </w:rPr>
        <w:t xml:space="preserve"> Sh. </w:t>
      </w:r>
      <w:proofErr w:type="spellStart"/>
      <w:r w:rsidRPr="005975AD">
        <w:rPr>
          <w:rFonts w:ascii="Times New Roman" w:hAnsi="Times New Roman" w:cs="Times New Roman"/>
        </w:rPr>
        <w:t>Nugaev</w:t>
      </w:r>
      <w:proofErr w:type="spellEnd"/>
      <w:r w:rsidRPr="005975AD">
        <w:rPr>
          <w:rFonts w:ascii="Times New Roman" w:hAnsi="Times New Roman" w:cs="Times New Roman"/>
        </w:rPr>
        <w:t xml:space="preserve">, </w:t>
      </w:r>
      <w:proofErr w:type="spellStart"/>
      <w:r w:rsidRPr="005975AD">
        <w:rPr>
          <w:rFonts w:ascii="Times New Roman" w:hAnsi="Times New Roman" w:cs="Times New Roman"/>
        </w:rPr>
        <w:t>Mukhametzyanova</w:t>
      </w:r>
      <w:proofErr w:type="spellEnd"/>
      <w:r w:rsidRPr="005975AD">
        <w:rPr>
          <w:rFonts w:ascii="Times New Roman" w:hAnsi="Times New Roman" w:cs="Times New Roman"/>
        </w:rPr>
        <w:t>, L. Z., &amp; Mulyukova, R. R. (2017). Relationship between tax burden and indicators of the financial position. </w:t>
      </w:r>
      <w:r w:rsidRPr="005975AD">
        <w:rPr>
          <w:rFonts w:ascii="Times New Roman" w:hAnsi="Times New Roman" w:cs="Times New Roman"/>
          <w:i/>
          <w:iCs/>
        </w:rPr>
        <w:t>International Journal of Economic Perspectives, 11</w:t>
      </w:r>
      <w:r w:rsidRPr="005975AD">
        <w:rPr>
          <w:rFonts w:ascii="Times New Roman" w:hAnsi="Times New Roman" w:cs="Times New Roman"/>
        </w:rPr>
        <w:t>(3), 1499–1505.</w:t>
      </w:r>
    </w:p>
    <w:p w14:paraId="5EB02C67"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Federal Inland Revenue Service (FIRS). (2023). </w:t>
      </w:r>
      <w:r w:rsidRPr="005975AD">
        <w:rPr>
          <w:rFonts w:ascii="Times New Roman" w:hAnsi="Times New Roman" w:cs="Times New Roman"/>
          <w:i/>
          <w:iCs/>
        </w:rPr>
        <w:t>Annual Report</w:t>
      </w:r>
      <w:r w:rsidRPr="005975AD">
        <w:rPr>
          <w:rFonts w:ascii="Times New Roman" w:hAnsi="Times New Roman" w:cs="Times New Roman"/>
        </w:rPr>
        <w:t>. [For oil and gas sector tax data]</w:t>
      </w:r>
    </w:p>
    <w:p w14:paraId="27A450CC"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Fu, X., &amp; Zhang, X. (2025). Tax burden and enterprises' ESG performance. </w:t>
      </w:r>
      <w:r w:rsidRPr="005975AD">
        <w:rPr>
          <w:rFonts w:ascii="Times New Roman" w:hAnsi="Times New Roman" w:cs="Times New Roman"/>
          <w:i/>
          <w:iCs/>
        </w:rPr>
        <w:t>International Review of Financial Analysis, 103</w:t>
      </w:r>
      <w:r w:rsidRPr="005975AD">
        <w:rPr>
          <w:rFonts w:ascii="Times New Roman" w:hAnsi="Times New Roman" w:cs="Times New Roman"/>
        </w:rPr>
        <w:t>, 104223. </w:t>
      </w:r>
      <w:hyperlink r:id="rId9" w:history="1">
        <w:r w:rsidRPr="005975AD">
          <w:rPr>
            <w:rStyle w:val="Hyperlink"/>
            <w:rFonts w:ascii="Times New Roman" w:hAnsi="Times New Roman" w:cs="Times New Roman"/>
          </w:rPr>
          <w:t>https://doi.org/10.1016/j.irfa.2025.104223</w:t>
        </w:r>
      </w:hyperlink>
    </w:p>
    <w:p w14:paraId="65BC72BB"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 xml:space="preserve">Jabar, A. A., &amp; </w:t>
      </w:r>
      <w:proofErr w:type="spellStart"/>
      <w:r w:rsidRPr="005975AD">
        <w:rPr>
          <w:rFonts w:ascii="Times New Roman" w:hAnsi="Times New Roman" w:cs="Times New Roman"/>
        </w:rPr>
        <w:t>Akinadewo</w:t>
      </w:r>
      <w:proofErr w:type="spellEnd"/>
      <w:r w:rsidRPr="005975AD">
        <w:rPr>
          <w:rFonts w:ascii="Times New Roman" w:hAnsi="Times New Roman" w:cs="Times New Roman"/>
        </w:rPr>
        <w:t>, I. S. (2023). Corporate debt profile and financial performance of listed consumer goods firms in Nigeria. </w:t>
      </w:r>
      <w:r w:rsidRPr="005975AD">
        <w:rPr>
          <w:rFonts w:ascii="Times New Roman" w:hAnsi="Times New Roman" w:cs="Times New Roman"/>
          <w:i/>
          <w:iCs/>
        </w:rPr>
        <w:t>Archives of Business Research, 11</w:t>
      </w:r>
      <w:r w:rsidRPr="005975AD">
        <w:rPr>
          <w:rFonts w:ascii="Times New Roman" w:hAnsi="Times New Roman" w:cs="Times New Roman"/>
        </w:rPr>
        <w:t>(6), 1–19. </w:t>
      </w:r>
      <w:hyperlink r:id="rId10" w:history="1">
        <w:r w:rsidRPr="005975AD">
          <w:rPr>
            <w:rStyle w:val="Hyperlink"/>
            <w:rFonts w:ascii="Times New Roman" w:hAnsi="Times New Roman" w:cs="Times New Roman"/>
          </w:rPr>
          <w:t>https://doi.org/10.14738/abr.116.14771</w:t>
        </w:r>
      </w:hyperlink>
    </w:p>
    <w:p w14:paraId="098A5ADC"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lastRenderedPageBreak/>
        <w:t xml:space="preserve">Kupoluyi, J. O., Adeyemi, O. O., &amp; </w:t>
      </w:r>
      <w:proofErr w:type="spellStart"/>
      <w:r w:rsidRPr="005975AD">
        <w:rPr>
          <w:rFonts w:ascii="Times New Roman" w:hAnsi="Times New Roman" w:cs="Times New Roman"/>
        </w:rPr>
        <w:t>Omidiran</w:t>
      </w:r>
      <w:proofErr w:type="spellEnd"/>
      <w:r w:rsidRPr="005975AD">
        <w:rPr>
          <w:rFonts w:ascii="Times New Roman" w:hAnsi="Times New Roman" w:cs="Times New Roman"/>
        </w:rPr>
        <w:t>, O. E. (2024). Indirect taxes and the financial performance of listed consumer goods firms in Nigeria. </w:t>
      </w:r>
      <w:r w:rsidRPr="005975AD">
        <w:rPr>
          <w:rFonts w:ascii="Times New Roman" w:hAnsi="Times New Roman" w:cs="Times New Roman"/>
          <w:i/>
          <w:iCs/>
        </w:rPr>
        <w:t>African Journal of Accounting and Financial Research</w:t>
      </w:r>
      <w:r w:rsidRPr="005975AD">
        <w:rPr>
          <w:rFonts w:ascii="Times New Roman" w:hAnsi="Times New Roman" w:cs="Times New Roman"/>
        </w:rPr>
        <w:t>.</w:t>
      </w:r>
      <w:r w:rsidRPr="00F675E6">
        <w:rPr>
          <w:rFonts w:ascii="Times New Roman" w:hAnsi="Times New Roman" w:cs="Times New Roman"/>
        </w:rPr>
        <w:t xml:space="preserve"> </w:t>
      </w:r>
      <w:r w:rsidRPr="00F675E6">
        <w:rPr>
          <w:rFonts w:ascii="Times New Roman" w:hAnsi="Times New Roman" w:cs="Times New Roman"/>
          <w:i/>
          <w:iCs/>
        </w:rPr>
        <w:t>6</w:t>
      </w:r>
      <w:r w:rsidRPr="00F675E6">
        <w:rPr>
          <w:rFonts w:ascii="Times New Roman" w:hAnsi="Times New Roman" w:cs="Times New Roman"/>
        </w:rPr>
        <w:t>(4), 263-280.</w:t>
      </w:r>
      <w:r w:rsidRPr="005975AD">
        <w:rPr>
          <w:rFonts w:ascii="Times New Roman" w:hAnsi="Times New Roman" w:cs="Times New Roman"/>
        </w:rPr>
        <w:t> </w:t>
      </w:r>
      <w:hyperlink r:id="rId11" w:history="1">
        <w:r w:rsidRPr="005975AD">
          <w:rPr>
            <w:rStyle w:val="Hyperlink"/>
            <w:rFonts w:ascii="Times New Roman" w:hAnsi="Times New Roman" w:cs="Times New Roman"/>
          </w:rPr>
          <w:t>https://doi.org/10.52589/ajafr-dgbuhhv7</w:t>
        </w:r>
      </w:hyperlink>
    </w:p>
    <w:p w14:paraId="1BCC651E"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Nmehielle</w:t>
      </w:r>
      <w:proofErr w:type="spellEnd"/>
      <w:r w:rsidRPr="005975AD">
        <w:rPr>
          <w:rFonts w:ascii="Times New Roman" w:hAnsi="Times New Roman" w:cs="Times New Roman"/>
        </w:rPr>
        <w:t>, C. O. (2023). Tax incentive practices and financial performance of listed consumer goods firms in Nigeria. </w:t>
      </w:r>
      <w:r w:rsidRPr="005975AD">
        <w:rPr>
          <w:rFonts w:ascii="Times New Roman" w:hAnsi="Times New Roman" w:cs="Times New Roman"/>
          <w:i/>
          <w:iCs/>
        </w:rPr>
        <w:t>International Journal of Economics and Financial Management, 7</w:t>
      </w:r>
      <w:r w:rsidRPr="005975AD">
        <w:rPr>
          <w:rFonts w:ascii="Times New Roman" w:hAnsi="Times New Roman" w:cs="Times New Roman"/>
        </w:rPr>
        <w:t>(5), 56–68. </w:t>
      </w:r>
      <w:hyperlink r:id="rId12" w:history="1">
        <w:r w:rsidRPr="005975AD">
          <w:rPr>
            <w:rStyle w:val="Hyperlink"/>
            <w:rFonts w:ascii="Times New Roman" w:hAnsi="Times New Roman" w:cs="Times New Roman"/>
          </w:rPr>
          <w:t>https://doi.org/10.56201/ijefm.v7.no5.2022.pg56.68</w:t>
        </w:r>
      </w:hyperlink>
    </w:p>
    <w:p w14:paraId="0B4FF669"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Ogbada</w:t>
      </w:r>
      <w:proofErr w:type="spellEnd"/>
      <w:r w:rsidRPr="005975AD">
        <w:rPr>
          <w:rFonts w:ascii="Times New Roman" w:hAnsi="Times New Roman" w:cs="Times New Roman"/>
        </w:rPr>
        <w:t>, E. I., &amp; Jones, E. (2023). Deferred tax accounting and financial performance of listed consumer goods’ manufacturing companies in Nigeria. </w:t>
      </w:r>
      <w:r w:rsidRPr="005975AD">
        <w:rPr>
          <w:rFonts w:ascii="Times New Roman" w:hAnsi="Times New Roman" w:cs="Times New Roman"/>
          <w:i/>
          <w:iCs/>
        </w:rPr>
        <w:t>Journal of Accounting and Financial Management, 8</w:t>
      </w:r>
      <w:r w:rsidRPr="005975AD">
        <w:rPr>
          <w:rFonts w:ascii="Times New Roman" w:hAnsi="Times New Roman" w:cs="Times New Roman"/>
        </w:rPr>
        <w:t>(8), 29–47. </w:t>
      </w:r>
      <w:hyperlink r:id="rId13" w:history="1">
        <w:r w:rsidRPr="005975AD">
          <w:rPr>
            <w:rStyle w:val="Hyperlink"/>
            <w:rFonts w:ascii="Times New Roman" w:hAnsi="Times New Roman" w:cs="Times New Roman"/>
          </w:rPr>
          <w:t>https://doi.org/10.56201/jafm.v8.no8.2022.pg29.47</w:t>
        </w:r>
      </w:hyperlink>
    </w:p>
    <w:p w14:paraId="15ACCAB3" w14:textId="77777777" w:rsidR="00406A7B" w:rsidRDefault="00406A7B" w:rsidP="00962F88">
      <w:pPr>
        <w:ind w:left="720" w:hanging="720"/>
        <w:jc w:val="both"/>
        <w:rPr>
          <w:rFonts w:ascii="Times New Roman" w:hAnsi="Times New Roman" w:cs="Times New Roman"/>
        </w:rPr>
      </w:pPr>
      <w:proofErr w:type="spellStart"/>
      <w:r w:rsidRPr="005A5CAC">
        <w:rPr>
          <w:rFonts w:ascii="Times New Roman" w:hAnsi="Times New Roman" w:cs="Times New Roman"/>
        </w:rPr>
        <w:t>Ogunmakin</w:t>
      </w:r>
      <w:proofErr w:type="spellEnd"/>
      <w:r w:rsidRPr="005A5CAC">
        <w:rPr>
          <w:rFonts w:ascii="Times New Roman" w:hAnsi="Times New Roman" w:cs="Times New Roman"/>
        </w:rPr>
        <w:t xml:space="preserve"> A. A., Bamidele V. O., &amp; Ogundipe F. B. (2025). Retained earnings and financial performance of quoted firms in Nigeria: An empirical analysis. International Journal of Accounting, Management, Economics and Social Sciences, 3(2), 475–485.</w:t>
      </w:r>
      <w:r>
        <w:rPr>
          <w:rFonts w:ascii="Times New Roman" w:hAnsi="Times New Roman" w:cs="Times New Roman"/>
        </w:rPr>
        <w:t xml:space="preserve"> </w:t>
      </w:r>
      <w:hyperlink r:id="rId14" w:history="1">
        <w:r w:rsidRPr="00AB237C">
          <w:rPr>
            <w:rStyle w:val="Hyperlink"/>
            <w:rFonts w:ascii="Times New Roman" w:hAnsi="Times New Roman" w:cs="Times New Roman"/>
          </w:rPr>
          <w:t>https://doi.org/10.61990/ijamesc.v3i2.444</w:t>
        </w:r>
      </w:hyperlink>
    </w:p>
    <w:p w14:paraId="20E9037B" w14:textId="77777777" w:rsidR="00406A7B" w:rsidRPr="00F675E6" w:rsidRDefault="00406A7B" w:rsidP="00406A7B">
      <w:pPr>
        <w:ind w:left="720" w:hanging="720"/>
        <w:jc w:val="both"/>
        <w:rPr>
          <w:rFonts w:ascii="Times New Roman" w:hAnsi="Times New Roman" w:cs="Times New Roman"/>
        </w:rPr>
      </w:pPr>
      <w:r w:rsidRPr="00406A7B">
        <w:rPr>
          <w:rFonts w:ascii="Times New Roman" w:hAnsi="Times New Roman" w:cs="Times New Roman"/>
        </w:rPr>
        <w:t>Olaoye, C. O., &amp; Ekundayo, A. T. (2018). Effects of tax audit on tax compliance in Ekiti State, Nigeria. </w:t>
      </w:r>
      <w:r w:rsidRPr="00406A7B">
        <w:rPr>
          <w:rFonts w:ascii="Times New Roman" w:hAnsi="Times New Roman" w:cs="Times New Roman"/>
          <w:i/>
          <w:iCs/>
        </w:rPr>
        <w:t>European Journal of Accounting, Auditing and Finance Research</w:t>
      </w:r>
      <w:r w:rsidRPr="00406A7B">
        <w:rPr>
          <w:rFonts w:ascii="Times New Roman" w:hAnsi="Times New Roman" w:cs="Times New Roman"/>
        </w:rPr>
        <w:t>, 6(5), 13-19.</w:t>
      </w:r>
    </w:p>
    <w:p w14:paraId="26373FFB" w14:textId="77777777" w:rsidR="00406A7B" w:rsidRDefault="00406A7B" w:rsidP="00406A7B">
      <w:pPr>
        <w:ind w:left="720" w:hanging="720"/>
        <w:jc w:val="both"/>
        <w:rPr>
          <w:rFonts w:ascii="Times New Roman" w:hAnsi="Times New Roman" w:cs="Times New Roman"/>
        </w:rPr>
      </w:pPr>
      <w:r w:rsidRPr="00406A7B">
        <w:rPr>
          <w:rFonts w:ascii="Times New Roman" w:hAnsi="Times New Roman" w:cs="Times New Roman"/>
        </w:rPr>
        <w:t>Olaoye, C. O., &amp; Ekundayo, A. T. (2018). Effects of tax audit on tax compliance in Ekiti State, Nigeria. </w:t>
      </w:r>
      <w:r w:rsidRPr="00406A7B">
        <w:rPr>
          <w:rFonts w:ascii="Times New Roman" w:hAnsi="Times New Roman" w:cs="Times New Roman"/>
          <w:i/>
          <w:iCs/>
        </w:rPr>
        <w:t>European Journal of Accounting, Auditing and Finance Research</w:t>
      </w:r>
      <w:r w:rsidRPr="00406A7B">
        <w:rPr>
          <w:rFonts w:ascii="Times New Roman" w:hAnsi="Times New Roman" w:cs="Times New Roman"/>
        </w:rPr>
        <w:t>, 6(5), 13-19.</w:t>
      </w:r>
    </w:p>
    <w:p w14:paraId="309E3FCD" w14:textId="77777777" w:rsidR="00406A7B" w:rsidRDefault="00406A7B" w:rsidP="00406A7B">
      <w:pPr>
        <w:ind w:left="720" w:hanging="720"/>
        <w:jc w:val="both"/>
        <w:rPr>
          <w:rFonts w:ascii="Times New Roman" w:hAnsi="Times New Roman" w:cs="Times New Roman"/>
        </w:rPr>
      </w:pPr>
      <w:r w:rsidRPr="00406A7B">
        <w:rPr>
          <w:rFonts w:ascii="Times New Roman" w:hAnsi="Times New Roman" w:cs="Times New Roman"/>
        </w:rPr>
        <w:t xml:space="preserve">Olaoye, C. O., </w:t>
      </w:r>
      <w:proofErr w:type="spellStart"/>
      <w:r w:rsidRPr="00406A7B">
        <w:rPr>
          <w:rFonts w:ascii="Times New Roman" w:hAnsi="Times New Roman" w:cs="Times New Roman"/>
        </w:rPr>
        <w:t>Mamidu</w:t>
      </w:r>
      <w:proofErr w:type="spellEnd"/>
      <w:r w:rsidRPr="00406A7B">
        <w:rPr>
          <w:rFonts w:ascii="Times New Roman" w:hAnsi="Times New Roman" w:cs="Times New Roman"/>
        </w:rPr>
        <w:t>, A. I., &amp; Jinadu, O. (2026). Tax revenue mobilization and human capital development in Nigeria: Does institutional quality matter? </w:t>
      </w:r>
      <w:r w:rsidRPr="00406A7B">
        <w:rPr>
          <w:rFonts w:ascii="Times New Roman" w:hAnsi="Times New Roman" w:cs="Times New Roman"/>
          <w:i/>
          <w:iCs/>
        </w:rPr>
        <w:t>EPRA International Journal of Economics, Business and Management Studies</w:t>
      </w:r>
      <w:r w:rsidRPr="00406A7B">
        <w:rPr>
          <w:rFonts w:ascii="Times New Roman" w:hAnsi="Times New Roman" w:cs="Times New Roman"/>
        </w:rPr>
        <w:t>, DOI:10.36713/epra26183.</w:t>
      </w:r>
    </w:p>
    <w:p w14:paraId="4202571E" w14:textId="77777777" w:rsidR="00406A7B" w:rsidRPr="005975AD" w:rsidRDefault="00406A7B" w:rsidP="00962F88">
      <w:pPr>
        <w:ind w:left="720" w:hanging="720"/>
        <w:jc w:val="both"/>
        <w:rPr>
          <w:rFonts w:ascii="Times New Roman" w:hAnsi="Times New Roman" w:cs="Times New Roman"/>
        </w:rPr>
      </w:pPr>
      <w:proofErr w:type="spellStart"/>
      <w:r w:rsidRPr="005975AD">
        <w:rPr>
          <w:rFonts w:ascii="Times New Roman" w:hAnsi="Times New Roman" w:cs="Times New Roman"/>
        </w:rPr>
        <w:t>Oyewobi</w:t>
      </w:r>
      <w:proofErr w:type="spellEnd"/>
      <w:r w:rsidRPr="005975AD">
        <w:rPr>
          <w:rFonts w:ascii="Times New Roman" w:hAnsi="Times New Roman" w:cs="Times New Roman"/>
        </w:rPr>
        <w:t>, I. A., &amp; Gundu, L. M. (2024). Tax reforms and tax burden of listed consumer goods firms in Nigeria. </w:t>
      </w:r>
      <w:r w:rsidRPr="005975AD">
        <w:rPr>
          <w:rFonts w:ascii="Times New Roman" w:hAnsi="Times New Roman" w:cs="Times New Roman"/>
          <w:i/>
          <w:iCs/>
        </w:rPr>
        <w:t>Journal of Economics, Finance and Management Studies, 7</w:t>
      </w:r>
      <w:r w:rsidRPr="005975AD">
        <w:rPr>
          <w:rFonts w:ascii="Times New Roman" w:hAnsi="Times New Roman" w:cs="Times New Roman"/>
        </w:rPr>
        <w:t>(4). </w:t>
      </w:r>
      <w:hyperlink r:id="rId15" w:history="1">
        <w:r w:rsidRPr="005975AD">
          <w:rPr>
            <w:rStyle w:val="Hyperlink"/>
            <w:rFonts w:ascii="Times New Roman" w:hAnsi="Times New Roman" w:cs="Times New Roman"/>
          </w:rPr>
          <w:t>https://doi.org/10.47191/jefms/v7-i4-25</w:t>
        </w:r>
      </w:hyperlink>
    </w:p>
    <w:p w14:paraId="6ED4E3DA"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Petroleum Industry Act, 2021. Federal Republic of Nigeria Official Gazette.</w:t>
      </w:r>
    </w:p>
    <w:p w14:paraId="783606BF"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 xml:space="preserve">Salako Yisau, N., Oke, A. A., &amp; </w:t>
      </w:r>
      <w:proofErr w:type="spellStart"/>
      <w:r w:rsidRPr="005975AD">
        <w:rPr>
          <w:rFonts w:ascii="Times New Roman" w:hAnsi="Times New Roman" w:cs="Times New Roman"/>
        </w:rPr>
        <w:t>Odukoya</w:t>
      </w:r>
      <w:proofErr w:type="spellEnd"/>
      <w:r w:rsidRPr="005975AD">
        <w:rPr>
          <w:rFonts w:ascii="Times New Roman" w:hAnsi="Times New Roman" w:cs="Times New Roman"/>
        </w:rPr>
        <w:t>, M. (2024). Determinants of capital structure in Nigeria’s quoted consumer goods firms. </w:t>
      </w:r>
      <w:r w:rsidRPr="005975AD">
        <w:rPr>
          <w:rFonts w:ascii="Times New Roman" w:hAnsi="Times New Roman" w:cs="Times New Roman"/>
          <w:i/>
          <w:iCs/>
        </w:rPr>
        <w:t>Journal of Business and Finance, 14</w:t>
      </w:r>
      <w:r w:rsidRPr="005975AD">
        <w:rPr>
          <w:rFonts w:ascii="Times New Roman" w:hAnsi="Times New Roman" w:cs="Times New Roman"/>
        </w:rPr>
        <w:t>(2). </w:t>
      </w:r>
      <w:hyperlink r:id="rId16" w:history="1">
        <w:r w:rsidRPr="005975AD">
          <w:rPr>
            <w:rStyle w:val="Hyperlink"/>
            <w:rFonts w:ascii="Times New Roman" w:hAnsi="Times New Roman" w:cs="Times New Roman"/>
          </w:rPr>
          <w:t>https://doi.org/10.55026/jobaf.1400273</w:t>
        </w:r>
      </w:hyperlink>
    </w:p>
    <w:p w14:paraId="4BADC499" w14:textId="77777777" w:rsidR="00406A7B" w:rsidRDefault="00406A7B" w:rsidP="00406A7B">
      <w:pPr>
        <w:ind w:left="720" w:hanging="720"/>
        <w:jc w:val="both"/>
        <w:rPr>
          <w:rFonts w:ascii="Times New Roman" w:hAnsi="Times New Roman" w:cs="Times New Roman"/>
        </w:rPr>
      </w:pPr>
      <w:r w:rsidRPr="005975AD">
        <w:rPr>
          <w:rFonts w:ascii="Times New Roman" w:hAnsi="Times New Roman" w:cs="Times New Roman"/>
        </w:rPr>
        <w:t>Salaudeen, Y. M., &amp; Atoyebi, T. A. (2018). Tax burden implication of tax reform. </w:t>
      </w:r>
      <w:r w:rsidRPr="005975AD">
        <w:rPr>
          <w:rFonts w:ascii="Times New Roman" w:hAnsi="Times New Roman" w:cs="Times New Roman"/>
          <w:i/>
          <w:iCs/>
        </w:rPr>
        <w:t>Open Journal of Business and Management, 6</w:t>
      </w:r>
      <w:r w:rsidRPr="005975AD">
        <w:rPr>
          <w:rFonts w:ascii="Times New Roman" w:hAnsi="Times New Roman" w:cs="Times New Roman"/>
        </w:rPr>
        <w:t>(3), 761–777. </w:t>
      </w:r>
      <w:hyperlink r:id="rId17" w:history="1">
        <w:r w:rsidRPr="005975AD">
          <w:rPr>
            <w:rStyle w:val="Hyperlink"/>
            <w:rFonts w:ascii="Times New Roman" w:hAnsi="Times New Roman" w:cs="Times New Roman"/>
          </w:rPr>
          <w:t>https://doi.org/10.4236/ojbm.2018.63058</w:t>
        </w:r>
      </w:hyperlink>
    </w:p>
    <w:sectPr w:rsidR="00406A7B" w:rsidSect="00A04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60FDE"/>
    <w:multiLevelType w:val="multilevel"/>
    <w:tmpl w:val="E8E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E697A"/>
    <w:multiLevelType w:val="multilevel"/>
    <w:tmpl w:val="6AAA99A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B50B0"/>
    <w:multiLevelType w:val="multilevel"/>
    <w:tmpl w:val="7B10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41716"/>
    <w:multiLevelType w:val="multilevel"/>
    <w:tmpl w:val="D94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601F67"/>
    <w:multiLevelType w:val="multilevel"/>
    <w:tmpl w:val="5F36029E"/>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3E0EA1"/>
    <w:multiLevelType w:val="multilevel"/>
    <w:tmpl w:val="D6F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7825AC"/>
    <w:multiLevelType w:val="hybridMultilevel"/>
    <w:tmpl w:val="BF746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D65AD"/>
    <w:multiLevelType w:val="multilevel"/>
    <w:tmpl w:val="AFB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C43748"/>
    <w:multiLevelType w:val="multilevel"/>
    <w:tmpl w:val="7EC4BE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366C7"/>
    <w:multiLevelType w:val="multilevel"/>
    <w:tmpl w:val="65D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DC1AAD"/>
    <w:multiLevelType w:val="multilevel"/>
    <w:tmpl w:val="37229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4"/>
  </w:num>
  <w:num w:numId="4">
    <w:abstractNumId w:val="5"/>
  </w:num>
  <w:num w:numId="5">
    <w:abstractNumId w:val="2"/>
  </w:num>
  <w:num w:numId="6">
    <w:abstractNumId w:val="9"/>
  </w:num>
  <w:num w:numId="7">
    <w:abstractNumId w:val="3"/>
  </w:num>
  <w:num w:numId="8">
    <w:abstractNumId w:val="7"/>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88"/>
    <w:rsid w:val="00011D24"/>
    <w:rsid w:val="00056F88"/>
    <w:rsid w:val="00074397"/>
    <w:rsid w:val="000A22CC"/>
    <w:rsid w:val="000A408B"/>
    <w:rsid w:val="001161D1"/>
    <w:rsid w:val="001650EE"/>
    <w:rsid w:val="00227309"/>
    <w:rsid w:val="002300B4"/>
    <w:rsid w:val="002745F0"/>
    <w:rsid w:val="00345E6F"/>
    <w:rsid w:val="00380411"/>
    <w:rsid w:val="00396F9C"/>
    <w:rsid w:val="003D5F48"/>
    <w:rsid w:val="00406A7B"/>
    <w:rsid w:val="00430D1A"/>
    <w:rsid w:val="00507EF8"/>
    <w:rsid w:val="005807F3"/>
    <w:rsid w:val="005920AA"/>
    <w:rsid w:val="005975AD"/>
    <w:rsid w:val="005A5CAC"/>
    <w:rsid w:val="005D26BF"/>
    <w:rsid w:val="00630569"/>
    <w:rsid w:val="00732687"/>
    <w:rsid w:val="00747248"/>
    <w:rsid w:val="00767FA4"/>
    <w:rsid w:val="007A4AB6"/>
    <w:rsid w:val="00875AFA"/>
    <w:rsid w:val="00895A9A"/>
    <w:rsid w:val="008F774E"/>
    <w:rsid w:val="00915A58"/>
    <w:rsid w:val="00925792"/>
    <w:rsid w:val="00962F88"/>
    <w:rsid w:val="009826B7"/>
    <w:rsid w:val="009C4951"/>
    <w:rsid w:val="009E6B9C"/>
    <w:rsid w:val="00A04A29"/>
    <w:rsid w:val="00A5614E"/>
    <w:rsid w:val="00AA78C1"/>
    <w:rsid w:val="00C9092C"/>
    <w:rsid w:val="00CA41DE"/>
    <w:rsid w:val="00CD38EC"/>
    <w:rsid w:val="00D3740E"/>
    <w:rsid w:val="00D70014"/>
    <w:rsid w:val="00DE5235"/>
    <w:rsid w:val="00F1136B"/>
    <w:rsid w:val="00F25488"/>
    <w:rsid w:val="00F6743F"/>
    <w:rsid w:val="00F675E6"/>
    <w:rsid w:val="00F81381"/>
    <w:rsid w:val="00FF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247F"/>
  <w15:chartTrackingRefBased/>
  <w15:docId w15:val="{1EC704DD-9752-4C52-B6B3-DC527CE2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F88"/>
    <w:rPr>
      <w:rFonts w:eastAsiaTheme="majorEastAsia" w:cstheme="majorBidi"/>
      <w:color w:val="272727" w:themeColor="text1" w:themeTint="D8"/>
    </w:rPr>
  </w:style>
  <w:style w:type="paragraph" w:styleId="Title">
    <w:name w:val="Title"/>
    <w:basedOn w:val="Normal"/>
    <w:next w:val="Normal"/>
    <w:link w:val="TitleChar"/>
    <w:uiPriority w:val="10"/>
    <w:qFormat/>
    <w:rsid w:val="0005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F88"/>
    <w:pPr>
      <w:spacing w:before="160"/>
      <w:jc w:val="center"/>
    </w:pPr>
    <w:rPr>
      <w:i/>
      <w:iCs/>
      <w:color w:val="404040" w:themeColor="text1" w:themeTint="BF"/>
    </w:rPr>
  </w:style>
  <w:style w:type="character" w:customStyle="1" w:styleId="QuoteChar">
    <w:name w:val="Quote Char"/>
    <w:basedOn w:val="DefaultParagraphFont"/>
    <w:link w:val="Quote"/>
    <w:uiPriority w:val="29"/>
    <w:rsid w:val="00056F88"/>
    <w:rPr>
      <w:i/>
      <w:iCs/>
      <w:color w:val="404040" w:themeColor="text1" w:themeTint="BF"/>
    </w:rPr>
  </w:style>
  <w:style w:type="paragraph" w:styleId="ListParagraph">
    <w:name w:val="List Paragraph"/>
    <w:basedOn w:val="Normal"/>
    <w:uiPriority w:val="34"/>
    <w:qFormat/>
    <w:rsid w:val="00056F88"/>
    <w:pPr>
      <w:ind w:left="720"/>
      <w:contextualSpacing/>
    </w:pPr>
  </w:style>
  <w:style w:type="character" w:styleId="IntenseEmphasis">
    <w:name w:val="Intense Emphasis"/>
    <w:basedOn w:val="DefaultParagraphFont"/>
    <w:uiPriority w:val="21"/>
    <w:qFormat/>
    <w:rsid w:val="00056F88"/>
    <w:rPr>
      <w:i/>
      <w:iCs/>
      <w:color w:val="2F5496" w:themeColor="accent1" w:themeShade="BF"/>
    </w:rPr>
  </w:style>
  <w:style w:type="paragraph" w:styleId="IntenseQuote">
    <w:name w:val="Intense Quote"/>
    <w:basedOn w:val="Normal"/>
    <w:next w:val="Normal"/>
    <w:link w:val="IntenseQuoteChar"/>
    <w:uiPriority w:val="30"/>
    <w:qFormat/>
    <w:rsid w:val="00056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F88"/>
    <w:rPr>
      <w:i/>
      <w:iCs/>
      <w:color w:val="2F5496" w:themeColor="accent1" w:themeShade="BF"/>
    </w:rPr>
  </w:style>
  <w:style w:type="character" w:styleId="IntenseReference">
    <w:name w:val="Intense Reference"/>
    <w:basedOn w:val="DefaultParagraphFont"/>
    <w:uiPriority w:val="32"/>
    <w:qFormat/>
    <w:rsid w:val="00056F88"/>
    <w:rPr>
      <w:b/>
      <w:bCs/>
      <w:smallCaps/>
      <w:color w:val="2F5496" w:themeColor="accent1" w:themeShade="BF"/>
      <w:spacing w:val="5"/>
    </w:rPr>
  </w:style>
  <w:style w:type="character" w:styleId="Hyperlink">
    <w:name w:val="Hyperlink"/>
    <w:basedOn w:val="DefaultParagraphFont"/>
    <w:uiPriority w:val="99"/>
    <w:unhideWhenUsed/>
    <w:rsid w:val="00074397"/>
    <w:rPr>
      <w:color w:val="0563C1" w:themeColor="hyperlink"/>
      <w:u w:val="single"/>
    </w:rPr>
  </w:style>
  <w:style w:type="character" w:styleId="UnresolvedMention">
    <w:name w:val="Unresolved Mention"/>
    <w:basedOn w:val="DefaultParagraphFont"/>
    <w:uiPriority w:val="99"/>
    <w:semiHidden/>
    <w:unhideWhenUsed/>
    <w:rsid w:val="005975AD"/>
    <w:rPr>
      <w:color w:val="605E5C"/>
      <w:shd w:val="clear" w:color="auto" w:fill="E1DFDD"/>
    </w:rPr>
  </w:style>
  <w:style w:type="character" w:styleId="FollowedHyperlink">
    <w:name w:val="FollowedHyperlink"/>
    <w:basedOn w:val="DefaultParagraphFont"/>
    <w:uiPriority w:val="99"/>
    <w:semiHidden/>
    <w:unhideWhenUsed/>
    <w:rsid w:val="005A5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201/jafm.v9.no3.2023.pg81.105" TargetMode="External"/><Relationship Id="rId13" Type="http://schemas.openxmlformats.org/officeDocument/2006/relationships/hyperlink" Target="https://doi.org/10.56201/jafm.v8.no8.2022.pg29.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26772/cijds-2022-05-01-011" TargetMode="External"/><Relationship Id="rId12" Type="http://schemas.openxmlformats.org/officeDocument/2006/relationships/hyperlink" Target="https://doi.org/10.56201/ijefm.v7.no5.2022.pg56.68" TargetMode="External"/><Relationship Id="rId17" Type="http://schemas.openxmlformats.org/officeDocument/2006/relationships/hyperlink" Target="https://doi.org/10.4236/ojbm.2018.63058" TargetMode="External"/><Relationship Id="rId2" Type="http://schemas.openxmlformats.org/officeDocument/2006/relationships/numbering" Target="numbering.xml"/><Relationship Id="rId16" Type="http://schemas.openxmlformats.org/officeDocument/2006/relationships/hyperlink" Target="https://doi.org/10.55026/jobaf.1400273" TargetMode="External"/><Relationship Id="rId1" Type="http://schemas.openxmlformats.org/officeDocument/2006/relationships/customXml" Target="../customXml/item1.xml"/><Relationship Id="rId6" Type="http://schemas.openxmlformats.org/officeDocument/2006/relationships/hyperlink" Target="https://doi.org/10.26772/cijds-2024-07-02-06" TargetMode="External"/><Relationship Id="rId11" Type="http://schemas.openxmlformats.org/officeDocument/2006/relationships/hyperlink" Target="https://doi.org/10.52589/ajafr-dgbuhhv7" TargetMode="External"/><Relationship Id="rId5" Type="http://schemas.openxmlformats.org/officeDocument/2006/relationships/webSettings" Target="webSettings.xml"/><Relationship Id="rId15" Type="http://schemas.openxmlformats.org/officeDocument/2006/relationships/hyperlink" Target="https://doi.org/10.47191/jefms/v7-i4-25" TargetMode="External"/><Relationship Id="rId10" Type="http://schemas.openxmlformats.org/officeDocument/2006/relationships/hyperlink" Target="https://doi.org/10.14738/abr.116.147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irfa.2025.104223" TargetMode="External"/><Relationship Id="rId14" Type="http://schemas.openxmlformats.org/officeDocument/2006/relationships/hyperlink" Target="https://doi.org/10.61990/ijamesc.v3i2.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C2F6-A898-4F26-A1A2-4324DB6B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5858</Words>
  <Characters>33396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1022</cp:lastModifiedBy>
  <cp:revision>26</cp:revision>
  <dcterms:created xsi:type="dcterms:W3CDTF">2026-03-04T17:59:00Z</dcterms:created>
  <dcterms:modified xsi:type="dcterms:W3CDTF">2026-03-10T11:13:00Z</dcterms:modified>
</cp:coreProperties>
</file>