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C6CA" w14:textId="2A553F4F" w:rsidR="00804E41" w:rsidRPr="00C211D3" w:rsidRDefault="00BC6F5B" w:rsidP="00804E41">
      <w:pPr>
        <w:jc w:val="center"/>
        <w:rPr>
          <w:rFonts w:ascii="Times New Roman" w:hAnsi="Times New Roman" w:cs="Times New Roman"/>
          <w:b/>
          <w:bCs/>
        </w:rPr>
      </w:pPr>
      <w:bookmarkStart w:id="0" w:name="_Toc215492684"/>
      <w:bookmarkStart w:id="1" w:name="_Toc215492768"/>
      <w:r w:rsidRPr="006B4911">
        <w:rPr>
          <w:rFonts w:ascii="Times New Roman" w:hAnsi="Times New Roman" w:cs="Times New Roman"/>
          <w:b/>
          <w:bCs/>
        </w:rPr>
        <w:t>Effects of Budget Credibility and Financial Accountability on Service Delivery: Evidence from Selected Local Government Areas in Ekiti State, Nigeria</w:t>
      </w:r>
    </w:p>
    <w:p w14:paraId="4D1B1E7D" w14:textId="22011D9A" w:rsidR="00804E41" w:rsidRPr="00C211D3" w:rsidRDefault="00804E41" w:rsidP="00804E41">
      <w:pPr>
        <w:spacing w:line="240" w:lineRule="auto"/>
        <w:jc w:val="center"/>
        <w:rPr>
          <w:rFonts w:ascii="Times New Roman" w:hAnsi="Times New Roman" w:cs="Times New Roman"/>
          <w:b/>
          <w:bCs/>
        </w:rPr>
      </w:pPr>
      <w:r w:rsidRPr="00C211D3">
        <w:rPr>
          <w:rFonts w:ascii="Times New Roman" w:hAnsi="Times New Roman" w:cs="Times New Roman"/>
          <w:b/>
          <w:bCs/>
          <w:vertAlign w:val="superscript"/>
        </w:rPr>
        <w:t>1</w:t>
      </w:r>
      <w:r w:rsidRPr="00C211D3">
        <w:rPr>
          <w:rFonts w:ascii="Times New Roman" w:hAnsi="Times New Roman" w:cs="Times New Roman"/>
          <w:b/>
          <w:bCs/>
        </w:rPr>
        <w:t>Bamidele Vincent Olawale</w:t>
      </w:r>
      <w:r w:rsidRPr="00C211D3">
        <w:rPr>
          <w:rFonts w:ascii="Times New Roman" w:hAnsi="Times New Roman" w:cs="Times New Roman"/>
          <w:b/>
          <w:bCs/>
          <w:vertAlign w:val="superscript"/>
        </w:rPr>
        <w:t>*</w:t>
      </w:r>
      <w:r w:rsidRPr="00C211D3">
        <w:rPr>
          <w:rFonts w:ascii="Times New Roman" w:hAnsi="Times New Roman" w:cs="Times New Roman"/>
          <w:b/>
          <w:bCs/>
        </w:rPr>
        <w:t>,</w:t>
      </w:r>
    </w:p>
    <w:p w14:paraId="246D74BC" w14:textId="713696A6" w:rsidR="00804E41" w:rsidRPr="00C211D3" w:rsidRDefault="00804E41" w:rsidP="00804E41">
      <w:pPr>
        <w:spacing w:after="0"/>
        <w:jc w:val="center"/>
        <w:rPr>
          <w:rFonts w:ascii="Times New Roman" w:hAnsi="Times New Roman" w:cs="Times New Roman"/>
          <w:b/>
          <w:bCs/>
        </w:rPr>
      </w:pPr>
      <w:r w:rsidRPr="00C211D3">
        <w:rPr>
          <w:rFonts w:ascii="Times New Roman" w:hAnsi="Times New Roman" w:cs="Times New Roman"/>
          <w:b/>
          <w:bCs/>
          <w:vertAlign w:val="superscript"/>
        </w:rPr>
        <w:t>1</w:t>
      </w:r>
      <w:r w:rsidRPr="00C211D3">
        <w:rPr>
          <w:rFonts w:ascii="Times New Roman" w:hAnsi="Times New Roman" w:cs="Times New Roman"/>
          <w:b/>
          <w:bCs/>
        </w:rPr>
        <w:t>Department of Accounting, Federal College of Education (Technical), Gusau, Zamfara State, Nigeria.</w:t>
      </w:r>
      <w:r w:rsidRPr="00C211D3">
        <w:rPr>
          <w:rFonts w:ascii="Times New Roman" w:hAnsi="Times New Roman" w:cs="Times New Roman"/>
          <w:b/>
          <w:bCs/>
          <w:vertAlign w:val="superscript"/>
        </w:rPr>
        <w:t xml:space="preserve"> </w:t>
      </w:r>
      <w:hyperlink r:id="rId7" w:history="1">
        <w:r w:rsidRPr="00C211D3">
          <w:rPr>
            <w:rStyle w:val="Hyperlink"/>
            <w:rFonts w:ascii="Times New Roman" w:hAnsi="Times New Roman" w:cs="Times New Roman"/>
            <w:b/>
            <w:bCs/>
          </w:rPr>
          <w:t>https://orcid.org/0009-0003-8965-0121</w:t>
        </w:r>
      </w:hyperlink>
    </w:p>
    <w:p w14:paraId="367E66AD" w14:textId="78FC78C5" w:rsidR="00804E41" w:rsidRDefault="00804E41" w:rsidP="000261DD">
      <w:pPr>
        <w:spacing w:after="0"/>
        <w:jc w:val="center"/>
        <w:rPr>
          <w:rFonts w:ascii="Times New Roman" w:hAnsi="Times New Roman" w:cs="Times New Roman"/>
          <w:b/>
          <w:bCs/>
        </w:rPr>
      </w:pPr>
      <w:r w:rsidRPr="00C211D3">
        <w:rPr>
          <w:rFonts w:ascii="Times New Roman" w:hAnsi="Times New Roman" w:cs="Times New Roman"/>
          <w:b/>
          <w:bCs/>
        </w:rPr>
        <w:t xml:space="preserve">Correspondence: </w:t>
      </w:r>
      <w:hyperlink r:id="rId8" w:history="1">
        <w:r w:rsidRPr="00C211D3">
          <w:rPr>
            <w:rStyle w:val="Hyperlink"/>
            <w:rFonts w:ascii="Times New Roman" w:hAnsi="Times New Roman" w:cs="Times New Roman"/>
            <w:b/>
            <w:bCs/>
          </w:rPr>
          <w:t>vincentolawale@gmail.com</w:t>
        </w:r>
      </w:hyperlink>
    </w:p>
    <w:p w14:paraId="32D6CFA1" w14:textId="77777777" w:rsidR="000261DD" w:rsidRPr="000261DD" w:rsidRDefault="000261DD" w:rsidP="000261DD">
      <w:pPr>
        <w:spacing w:after="0"/>
        <w:jc w:val="center"/>
        <w:rPr>
          <w:rFonts w:ascii="Times New Roman" w:hAnsi="Times New Roman" w:cs="Times New Roman"/>
          <w:b/>
          <w:bCs/>
        </w:rPr>
      </w:pPr>
    </w:p>
    <w:p w14:paraId="4DF829B6" w14:textId="18C41C4D" w:rsidR="00804E41" w:rsidRPr="00C211D3" w:rsidRDefault="00804E41" w:rsidP="00804E41">
      <w:pPr>
        <w:spacing w:line="240" w:lineRule="auto"/>
        <w:jc w:val="center"/>
        <w:rPr>
          <w:rFonts w:ascii="Times New Roman" w:hAnsi="Times New Roman" w:cs="Times New Roman"/>
          <w:b/>
          <w:bCs/>
        </w:rPr>
      </w:pPr>
      <w:r w:rsidRPr="00C211D3">
        <w:rPr>
          <w:rFonts w:ascii="Times New Roman" w:hAnsi="Times New Roman" w:cs="Times New Roman"/>
          <w:b/>
          <w:bCs/>
          <w:vertAlign w:val="superscript"/>
        </w:rPr>
        <w:t>2</w:t>
      </w:r>
      <w:r w:rsidRPr="00C211D3">
        <w:rPr>
          <w:rFonts w:ascii="Times New Roman" w:hAnsi="Times New Roman" w:cs="Times New Roman"/>
          <w:b/>
          <w:bCs/>
        </w:rPr>
        <w:t xml:space="preserve">Omodara Busuyi Emmanuel, </w:t>
      </w:r>
    </w:p>
    <w:p w14:paraId="44651B82" w14:textId="6F19C6FE" w:rsidR="00804E41" w:rsidRPr="00C211D3" w:rsidRDefault="00804E41" w:rsidP="00804E41">
      <w:pPr>
        <w:spacing w:line="240" w:lineRule="auto"/>
        <w:jc w:val="center"/>
        <w:rPr>
          <w:rFonts w:ascii="Times New Roman" w:hAnsi="Times New Roman" w:cs="Times New Roman"/>
          <w:b/>
          <w:bCs/>
        </w:rPr>
      </w:pPr>
      <w:r w:rsidRPr="00C211D3">
        <w:rPr>
          <w:rFonts w:ascii="Times New Roman" w:hAnsi="Times New Roman" w:cs="Times New Roman"/>
          <w:b/>
          <w:bCs/>
          <w:vertAlign w:val="superscript"/>
        </w:rPr>
        <w:t>2</w:t>
      </w:r>
      <w:r w:rsidRPr="00C211D3">
        <w:rPr>
          <w:rFonts w:ascii="Times New Roman" w:hAnsi="Times New Roman" w:cs="Times New Roman"/>
          <w:b/>
          <w:bCs/>
        </w:rPr>
        <w:t xml:space="preserve">Department of Accounting and Finance, Ajayi Crowther University, Oyo, Oyo State, Nigeria. </w:t>
      </w:r>
      <w:hyperlink r:id="rId9" w:history="1">
        <w:r w:rsidRPr="00C211D3">
          <w:rPr>
            <w:rStyle w:val="Hyperlink"/>
            <w:rFonts w:ascii="Times New Roman" w:hAnsi="Times New Roman" w:cs="Times New Roman"/>
            <w:b/>
            <w:bCs/>
          </w:rPr>
          <w:t>https://orcid.org/0009-0003-4777-3334</w:t>
        </w:r>
      </w:hyperlink>
    </w:p>
    <w:p w14:paraId="6E8EF136" w14:textId="77777777" w:rsidR="00804E41" w:rsidRPr="00C211D3" w:rsidRDefault="00804E41" w:rsidP="00804E41">
      <w:pPr>
        <w:spacing w:line="240" w:lineRule="auto"/>
        <w:jc w:val="center"/>
        <w:rPr>
          <w:rFonts w:ascii="Times New Roman" w:hAnsi="Times New Roman" w:cs="Times New Roman"/>
          <w:b/>
          <w:bCs/>
          <w:vertAlign w:val="superscript"/>
        </w:rPr>
      </w:pPr>
    </w:p>
    <w:p w14:paraId="780EE786" w14:textId="2A35D73C" w:rsidR="00804E41" w:rsidRPr="00C211D3" w:rsidRDefault="00804E41" w:rsidP="00804E41">
      <w:pPr>
        <w:spacing w:line="240" w:lineRule="auto"/>
        <w:jc w:val="center"/>
        <w:rPr>
          <w:rFonts w:ascii="Times New Roman" w:hAnsi="Times New Roman" w:cs="Times New Roman"/>
          <w:b/>
          <w:bCs/>
        </w:rPr>
      </w:pPr>
      <w:r w:rsidRPr="00C211D3">
        <w:rPr>
          <w:rFonts w:ascii="Times New Roman" w:hAnsi="Times New Roman" w:cs="Times New Roman"/>
          <w:b/>
          <w:bCs/>
          <w:vertAlign w:val="superscript"/>
        </w:rPr>
        <w:t>3</w:t>
      </w:r>
      <w:r w:rsidRPr="00C211D3">
        <w:rPr>
          <w:rFonts w:ascii="Times New Roman" w:hAnsi="Times New Roman" w:cs="Times New Roman"/>
          <w:b/>
          <w:bCs/>
        </w:rPr>
        <w:t>Adeyemi, Olusola Success</w:t>
      </w:r>
    </w:p>
    <w:p w14:paraId="6ED4F670" w14:textId="77777777" w:rsidR="00804E41" w:rsidRPr="00C211D3" w:rsidRDefault="00804E41" w:rsidP="00804E41">
      <w:pPr>
        <w:jc w:val="center"/>
        <w:rPr>
          <w:rFonts w:ascii="Times New Roman" w:hAnsi="Times New Roman" w:cs="Times New Roman"/>
          <w:b/>
          <w:bCs/>
        </w:rPr>
      </w:pPr>
      <w:r w:rsidRPr="00C211D3">
        <w:rPr>
          <w:rFonts w:ascii="Times New Roman" w:hAnsi="Times New Roman" w:cs="Times New Roman"/>
          <w:b/>
          <w:bCs/>
          <w:vertAlign w:val="superscript"/>
        </w:rPr>
        <w:t>3</w:t>
      </w:r>
      <w:r w:rsidRPr="00C211D3">
        <w:rPr>
          <w:rFonts w:ascii="Times New Roman" w:hAnsi="Times New Roman" w:cs="Times New Roman"/>
          <w:b/>
          <w:bCs/>
        </w:rPr>
        <w:t>Department of Accounting, Ekiti State University, Ado Ekiti, Ekiti State, Nigeria.</w:t>
      </w:r>
    </w:p>
    <w:p w14:paraId="1B7688A1" w14:textId="77777777" w:rsidR="008905CB" w:rsidRDefault="008905CB" w:rsidP="008905CB">
      <w:pPr>
        <w:pStyle w:val="Heading2"/>
        <w:rPr>
          <w:rFonts w:ascii="Times New Roman" w:hAnsi="Times New Roman" w:cs="Times New Roman"/>
          <w:b/>
          <w:bCs/>
          <w:color w:val="auto"/>
          <w:sz w:val="24"/>
          <w:szCs w:val="24"/>
        </w:rPr>
      </w:pPr>
      <w:r w:rsidRPr="00C211D3">
        <w:rPr>
          <w:rFonts w:ascii="Times New Roman" w:hAnsi="Times New Roman" w:cs="Times New Roman"/>
          <w:b/>
          <w:bCs/>
          <w:color w:val="auto"/>
          <w:sz w:val="24"/>
          <w:szCs w:val="24"/>
        </w:rPr>
        <w:t>Abstract</w:t>
      </w:r>
      <w:bookmarkEnd w:id="0"/>
      <w:bookmarkEnd w:id="1"/>
    </w:p>
    <w:p w14:paraId="5336F1EB" w14:textId="2A934A22" w:rsidR="000261DD" w:rsidRPr="000261DD" w:rsidRDefault="000261DD" w:rsidP="000261DD">
      <w:pPr>
        <w:jc w:val="both"/>
        <w:rPr>
          <w:rFonts w:ascii="Times New Roman" w:hAnsi="Times New Roman" w:cs="Times New Roman"/>
        </w:rPr>
      </w:pPr>
      <w:r w:rsidRPr="000261DD">
        <w:rPr>
          <w:rFonts w:ascii="Times New Roman" w:hAnsi="Times New Roman" w:cs="Times New Roman"/>
        </w:rPr>
        <w:t>This study investigates the effects of budget credibility and financial accountability on service delivery in selected local government areas of Ekiti State, Nigeria. Budget credibility, defined as the alignment between approved budgets and actual expenditures, and financial accountability, characterized by adherence to financial regulations and transparency, are critical for effective public financial management. Despite the annual preparation of budgets, local governments in Nigeria often face challenges such as over-optimistic revenue projections, political interference, and weak internal controls, resulting in gaps between planned and actual expenditures and ultimately poor service delivery. Using a descriptive survey design, data were collected from 100 administrative and finance-related staff across five local government areas. Descriptive statistics revealed moderate levels of budget credibility (mean = 2.85), financial accountability (mean = 3.12), and service delivery (mean = 2.97). Pearson correlation analysis showed significant positive relationships between budget credibility and financial accountability (r = 0.65, p &lt; 0.01), budget credibility and service delivery (r = 0.58, p &lt; 0.01), and financial accountability and service delivery (r = 0.72, p &lt; 0.01). Multiple regression analysis indicated that both budget credibility (β = 0.354, p &lt; 0.001) and financial accountability (β = 0.498, p &lt; 0.001) are significant predictors of service delivery, with financial accountability exerting a stronger influence. The model explained approximately 62% of the variance in service delivery (Adjusted R² = 0.608). The findings underscore the importance of realistic budgeting and robust accountability mechanisms for improving service delivery at the grassroots level. The study recommends evidence-based budgeting, strengthened internal controls, and continuous capacity building for local government staff to enhance public service outcomes.</w:t>
      </w:r>
    </w:p>
    <w:p w14:paraId="65E821F2" w14:textId="238D602A" w:rsidR="008905CB" w:rsidRPr="00C211D3" w:rsidRDefault="008905CB" w:rsidP="00E55E96">
      <w:pPr>
        <w:jc w:val="both"/>
        <w:rPr>
          <w:rFonts w:ascii="Times New Roman" w:hAnsi="Times New Roman" w:cs="Times New Roman"/>
        </w:rPr>
      </w:pPr>
      <w:r w:rsidRPr="00C211D3">
        <w:rPr>
          <w:rFonts w:ascii="Times New Roman" w:hAnsi="Times New Roman" w:cs="Times New Roman"/>
          <w:b/>
          <w:bCs/>
        </w:rPr>
        <w:t xml:space="preserve">Keywords: </w:t>
      </w:r>
      <w:r w:rsidRPr="00C211D3">
        <w:rPr>
          <w:rFonts w:ascii="Times New Roman" w:hAnsi="Times New Roman" w:cs="Times New Roman"/>
        </w:rPr>
        <w:t>Budget Credibility, Financial Accountability, Service Delivery, Public Financial Management, Budget Implementation.</w:t>
      </w:r>
    </w:p>
    <w:p w14:paraId="156B2EFD" w14:textId="77777777" w:rsidR="008905CB" w:rsidRPr="00C211D3" w:rsidRDefault="008905CB" w:rsidP="008905CB">
      <w:pPr>
        <w:pStyle w:val="Heading2"/>
        <w:rPr>
          <w:rFonts w:ascii="Times New Roman" w:hAnsi="Times New Roman" w:cs="Times New Roman"/>
          <w:b/>
          <w:bCs/>
          <w:color w:val="auto"/>
          <w:sz w:val="24"/>
          <w:szCs w:val="24"/>
        </w:rPr>
      </w:pPr>
      <w:bookmarkStart w:id="2" w:name="_Toc215492685"/>
      <w:bookmarkStart w:id="3" w:name="_Toc215492769"/>
      <w:r w:rsidRPr="00C211D3">
        <w:rPr>
          <w:rFonts w:ascii="Times New Roman" w:hAnsi="Times New Roman" w:cs="Times New Roman"/>
          <w:b/>
          <w:bCs/>
          <w:color w:val="auto"/>
          <w:sz w:val="24"/>
          <w:szCs w:val="24"/>
        </w:rPr>
        <w:lastRenderedPageBreak/>
        <w:t>1.0 Introduction</w:t>
      </w:r>
      <w:bookmarkEnd w:id="2"/>
      <w:bookmarkEnd w:id="3"/>
    </w:p>
    <w:p w14:paraId="0114EDFB" w14:textId="77777777" w:rsidR="00BC6F5B" w:rsidRPr="00CC0246" w:rsidRDefault="00BC6F5B" w:rsidP="00BC6F5B">
      <w:pPr>
        <w:jc w:val="both"/>
        <w:rPr>
          <w:rFonts w:ascii="Times New Roman" w:hAnsi="Times New Roman" w:cs="Times New Roman"/>
        </w:rPr>
      </w:pPr>
      <w:bookmarkStart w:id="4" w:name="_Toc215492688"/>
      <w:bookmarkStart w:id="5" w:name="_Toc215492772"/>
      <w:r w:rsidRPr="00CC0246">
        <w:rPr>
          <w:rFonts w:ascii="Times New Roman" w:hAnsi="Times New Roman" w:cs="Times New Roman"/>
        </w:rPr>
        <w:t>Budgeting is a fundamental tool in public financial management, serving as a strategic mechanism for resource allocation, planning, and performance evaluation in government institutions (Guillamón, Ríos, &amp; Prijaković, 2024). The credibility of a budge</w:t>
      </w:r>
      <w:r w:rsidRPr="00C211D3">
        <w:rPr>
          <w:rFonts w:ascii="Times New Roman" w:hAnsi="Times New Roman" w:cs="Times New Roman"/>
        </w:rPr>
        <w:t xml:space="preserve"> which is </w:t>
      </w:r>
      <w:r w:rsidRPr="00CC0246">
        <w:rPr>
          <w:rFonts w:ascii="Times New Roman" w:hAnsi="Times New Roman" w:cs="Times New Roman"/>
        </w:rPr>
        <w:t>defined as the extent to which actual revenues and expenditures align with approved budgets</w:t>
      </w:r>
      <w:r w:rsidRPr="00C211D3">
        <w:rPr>
          <w:rFonts w:ascii="Times New Roman" w:hAnsi="Times New Roman" w:cs="Times New Roman"/>
        </w:rPr>
        <w:t xml:space="preserve"> </w:t>
      </w:r>
      <w:r w:rsidRPr="00CC0246">
        <w:rPr>
          <w:rFonts w:ascii="Times New Roman" w:hAnsi="Times New Roman" w:cs="Times New Roman"/>
        </w:rPr>
        <w:t>plays a pivotal role in ensuring that public resources are used efficiently and that government objectives are achieved. Alongside this, financial accountability, which refers to the obligation of government entities to transparently account for and justify their use of public resources, is essential for maintaining public trust and promoting good governance (Bowrey, Smark, &amp; Watts, 2016).</w:t>
      </w:r>
    </w:p>
    <w:p w14:paraId="1AFA5BBA"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t>In Nigeria, local governments represent the closest tier of government to the people and are primarily responsible for the delivery of basic services such as primary healthcare, education, water supply, and infrastructure maintenance (Yaro &amp; Sani, 2019). However, the effectiveness of local governments in fulfilling these responsibilities is often undermined by persistent challenges in budget implementation and financial management. Despite the annual preparation of budgets, there remains a significant gap between approved budgets and actual expenditures at the local government level (Adeyeye &amp; Adeyeye, 2019; Olurankinse &amp; Oloruntoba, 2017). This gap is frequently attributed to factors such as over-optimistic revenue projections, political interference, weak internal controls, and limited transparency in financial processes (Efuntade &amp; Efuntade, 2023; Sule &amp; Mulyanto, 2024).</w:t>
      </w:r>
    </w:p>
    <w:p w14:paraId="119DA220"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t>The consequences of these challenges are evident in Ekiti State, where many local government areas (LGAs) have experienced abandoned or poorly executed projects, delays in the provision of essential services, and widespread dissatisfaction among citizens (Alao, 2017). Such outcomes not only hinder socio-economic development but also erode public confidence in local governance structures. The inability to implement budgets as planned often leads to the misallocation of resources, inefficiencies, and, ultimately, poor service delivery at the grassroots level.</w:t>
      </w:r>
    </w:p>
    <w:p w14:paraId="67616367" w14:textId="64B79060" w:rsidR="00BC6F5B" w:rsidRPr="00CC0246" w:rsidRDefault="00BC6F5B" w:rsidP="00BC6F5B">
      <w:pPr>
        <w:jc w:val="both"/>
        <w:rPr>
          <w:rFonts w:ascii="Times New Roman" w:hAnsi="Times New Roman" w:cs="Times New Roman"/>
        </w:rPr>
      </w:pPr>
      <w:r w:rsidRPr="00CC0246">
        <w:rPr>
          <w:rFonts w:ascii="Times New Roman" w:hAnsi="Times New Roman" w:cs="Times New Roman"/>
        </w:rPr>
        <w:t xml:space="preserve">While the importance of budget credibility and financial accountability in public sector management is well recognized, much of the existing literature in Nigeria has focused on these factors in isolation or within the context of state and federal government operations (Adekunle et al., 2022; Olurankinse &amp; Oloruntoba, 2017). Studies have highlighted the role of credible budgeting in promoting fiscal discipline and the significance of financial accountability in curbing corruption and ensuring the effective use of public funds (Musiega, Nyawira, &amp; Tsofa, 2023; Mirzaev, 2024). However, there is </w:t>
      </w:r>
      <w:r w:rsidR="004755A1" w:rsidRPr="004755A1">
        <w:rPr>
          <w:rFonts w:ascii="Times New Roman" w:eastAsia="Arial Unicode MS" w:hAnsi="Times New Roman" w:cs="Times New Roman"/>
          <w:lang w:val="en-GB"/>
        </w:rPr>
        <w:t>insufficient evidence</w:t>
      </w:r>
      <w:r w:rsidRPr="00CC0246">
        <w:rPr>
          <w:rFonts w:ascii="Times New Roman" w:hAnsi="Times New Roman" w:cs="Times New Roman"/>
        </w:rPr>
        <w:t xml:space="preserve"> empirical research that examines the combined effects of budget credibility and financial accountability on service delivery outcomes at the local government level, particularly within Ekiti State. This gap is significant, as local governments are uniquely positioned to impact the daily lives of citizens, and understanding the interplay between these financial management practices is crucial for improving governance and development outcomes.</w:t>
      </w:r>
    </w:p>
    <w:p w14:paraId="2A27FB38" w14:textId="763EBBCC" w:rsidR="00BC6F5B" w:rsidRPr="00CC0246" w:rsidRDefault="00BC6F5B" w:rsidP="000D1BF4">
      <w:pPr>
        <w:jc w:val="both"/>
        <w:rPr>
          <w:rFonts w:ascii="Times New Roman" w:hAnsi="Times New Roman" w:cs="Times New Roman"/>
        </w:rPr>
      </w:pPr>
      <w:r w:rsidRPr="00CC0246">
        <w:rPr>
          <w:rFonts w:ascii="Times New Roman" w:hAnsi="Times New Roman" w:cs="Times New Roman"/>
        </w:rPr>
        <w:lastRenderedPageBreak/>
        <w:t>Moreover, the mediating or reinforcing role that financial accountability may play in the relationship between budget credibility and service delivery has not been sufficiently explored in the Nigerian context. As highlighted by Piatti-Fünfkirchen and Schneider (2018), credible budgets and strong accountability mechanisms are both necessary to ensure that public funds are translated into tangible improvements in service delivery. Without a clear understanding of how these factors interact, efforts to reform public financial management at the local government level may fall short of achieving their intended impact.</w:t>
      </w:r>
      <w:r w:rsidR="000D1BF4" w:rsidRPr="00C211D3">
        <w:rPr>
          <w:rFonts w:ascii="Times New Roman" w:hAnsi="Times New Roman" w:cs="Times New Roman"/>
        </w:rPr>
        <w:t xml:space="preserve"> </w:t>
      </w:r>
      <w:r w:rsidRPr="00CC0246">
        <w:rPr>
          <w:rFonts w:ascii="Times New Roman" w:hAnsi="Times New Roman" w:cs="Times New Roman"/>
        </w:rPr>
        <w:t>In response to this gap, the present study aims to examine the effects of budget credibility and financial accountability on service delivery in selected local government areas of Ekiti State, Nigeria. Specifically, the study seeks to</w:t>
      </w:r>
      <w:r w:rsidR="000D1BF4" w:rsidRPr="00C211D3">
        <w:rPr>
          <w:rFonts w:ascii="Times New Roman" w:hAnsi="Times New Roman" w:cs="Times New Roman"/>
        </w:rPr>
        <w:t xml:space="preserve"> d</w:t>
      </w:r>
      <w:r w:rsidRPr="00CC0246">
        <w:rPr>
          <w:rFonts w:ascii="Times New Roman" w:hAnsi="Times New Roman" w:cs="Times New Roman"/>
        </w:rPr>
        <w:t>etermine the extent to which budget credibility and financial accountability jointly predict service delivery outcomes.</w:t>
      </w:r>
    </w:p>
    <w:p w14:paraId="35EB7343" w14:textId="19276212" w:rsidR="004D5B79" w:rsidRPr="0084247E" w:rsidRDefault="004D5B79" w:rsidP="00BC6F5B">
      <w:pPr>
        <w:jc w:val="both"/>
        <w:rPr>
          <w:rFonts w:ascii="Times New Roman" w:hAnsi="Times New Roman" w:cs="Times New Roman"/>
        </w:rPr>
      </w:pPr>
      <w:r w:rsidRPr="0084247E">
        <w:rPr>
          <w:rFonts w:ascii="Times New Roman" w:hAnsi="Times New Roman" w:cs="Times New Roman"/>
        </w:rPr>
        <w:t>By addressing these objectives, this study contributes to the growing body of knowledge on public financial management in Nigeria and provides evidence-based insights that can inform policy reforms, strengthen accountability mechanisms, and enhance the capacity of local governments to deliver essential services.</w:t>
      </w:r>
      <w:r w:rsidR="0084247E" w:rsidRPr="0084247E">
        <w:rPr>
          <w:rFonts w:ascii="Times New Roman" w:hAnsi="Times New Roman" w:cs="Times New Roman"/>
        </w:rPr>
        <w:t xml:space="preserve"> In line with the objectives of this study, the following hypotheses are proposed:</w:t>
      </w:r>
    </w:p>
    <w:p w14:paraId="776849A3" w14:textId="77777777" w:rsidR="0084247E" w:rsidRDefault="0084247E" w:rsidP="0084247E">
      <w:pPr>
        <w:pStyle w:val="ListParagraph"/>
        <w:numPr>
          <w:ilvl w:val="0"/>
          <w:numId w:val="5"/>
        </w:numPr>
        <w:jc w:val="both"/>
        <w:rPr>
          <w:rFonts w:ascii="Times New Roman" w:hAnsi="Times New Roman" w:cs="Times New Roman"/>
        </w:rPr>
      </w:pPr>
      <w:r w:rsidRPr="0084247E">
        <w:rPr>
          <w:rFonts w:ascii="Times New Roman" w:hAnsi="Times New Roman" w:cs="Times New Roman"/>
        </w:rPr>
        <w:t>Budget credibility has no significant effect on service delivery in selected local government areas of Ekiti State.</w:t>
      </w:r>
    </w:p>
    <w:p w14:paraId="6180EE1D" w14:textId="77777777" w:rsidR="0084247E" w:rsidRDefault="0084247E" w:rsidP="0084247E">
      <w:pPr>
        <w:pStyle w:val="ListParagraph"/>
        <w:numPr>
          <w:ilvl w:val="0"/>
          <w:numId w:val="5"/>
        </w:numPr>
        <w:jc w:val="both"/>
        <w:rPr>
          <w:rFonts w:ascii="Times New Roman" w:hAnsi="Times New Roman" w:cs="Times New Roman"/>
        </w:rPr>
      </w:pPr>
      <w:r w:rsidRPr="0084247E">
        <w:rPr>
          <w:rFonts w:ascii="Times New Roman" w:hAnsi="Times New Roman" w:cs="Times New Roman"/>
        </w:rPr>
        <w:t>Financial accountability has no significant effect on service delivery in selected local government areas of Ekiti State.</w:t>
      </w:r>
    </w:p>
    <w:p w14:paraId="6C68CD94" w14:textId="02A14AF9" w:rsidR="0084247E" w:rsidRDefault="0084247E" w:rsidP="00BC6F5B">
      <w:pPr>
        <w:pStyle w:val="ListParagraph"/>
        <w:numPr>
          <w:ilvl w:val="0"/>
          <w:numId w:val="5"/>
        </w:numPr>
        <w:jc w:val="both"/>
        <w:rPr>
          <w:rFonts w:ascii="Times New Roman" w:hAnsi="Times New Roman" w:cs="Times New Roman"/>
        </w:rPr>
      </w:pPr>
      <w:r w:rsidRPr="0084247E">
        <w:rPr>
          <w:rFonts w:ascii="Times New Roman" w:hAnsi="Times New Roman" w:cs="Times New Roman"/>
        </w:rPr>
        <w:t>Budget credibility and financial accountability do not jointly have a significant effect on service delivery in selected local government areas of Ekiti State.</w:t>
      </w:r>
    </w:p>
    <w:p w14:paraId="4A816FC1" w14:textId="3A145A2A" w:rsidR="0084247E" w:rsidRPr="0084247E" w:rsidRDefault="0084247E" w:rsidP="0084247E">
      <w:pPr>
        <w:jc w:val="both"/>
        <w:rPr>
          <w:rFonts w:ascii="Times New Roman" w:hAnsi="Times New Roman" w:cs="Times New Roman"/>
        </w:rPr>
      </w:pPr>
      <w:r w:rsidRPr="00CC0246">
        <w:rPr>
          <w:rFonts w:ascii="Times New Roman" w:hAnsi="Times New Roman" w:cs="Times New Roman"/>
        </w:rPr>
        <w:t>Ultimately, the findings are expected to support the development of more effective strategies for improving governance and promoting sustainable socio-economic development at the grassroots level.</w:t>
      </w:r>
    </w:p>
    <w:p w14:paraId="528EC501" w14:textId="763A064C" w:rsidR="008905CB" w:rsidRPr="00C211D3" w:rsidRDefault="008905CB" w:rsidP="008905CB">
      <w:pPr>
        <w:pStyle w:val="Heading2"/>
        <w:rPr>
          <w:rFonts w:ascii="Times New Roman" w:hAnsi="Times New Roman" w:cs="Times New Roman"/>
          <w:b/>
          <w:bCs/>
          <w:color w:val="auto"/>
          <w:sz w:val="24"/>
          <w:szCs w:val="24"/>
        </w:rPr>
      </w:pPr>
      <w:r w:rsidRPr="00C211D3">
        <w:rPr>
          <w:rFonts w:ascii="Times New Roman" w:hAnsi="Times New Roman" w:cs="Times New Roman"/>
          <w:b/>
          <w:bCs/>
          <w:color w:val="auto"/>
          <w:sz w:val="24"/>
          <w:szCs w:val="24"/>
        </w:rPr>
        <w:t>2.0 Review of Literature</w:t>
      </w:r>
      <w:bookmarkEnd w:id="4"/>
      <w:bookmarkEnd w:id="5"/>
      <w:r w:rsidR="00804E41" w:rsidRPr="00C211D3">
        <w:rPr>
          <w:rFonts w:ascii="Times New Roman" w:hAnsi="Times New Roman" w:cs="Times New Roman"/>
          <w:b/>
          <w:bCs/>
          <w:color w:val="auto"/>
          <w:sz w:val="24"/>
          <w:szCs w:val="24"/>
        </w:rPr>
        <w:t xml:space="preserve"> and Theoretical Foundation </w:t>
      </w:r>
    </w:p>
    <w:p w14:paraId="4A28959F" w14:textId="77777777" w:rsidR="008905CB" w:rsidRPr="00C211D3" w:rsidRDefault="008905CB" w:rsidP="008905CB">
      <w:pPr>
        <w:pStyle w:val="Heading2"/>
        <w:rPr>
          <w:rFonts w:ascii="Times New Roman" w:hAnsi="Times New Roman" w:cs="Times New Roman"/>
          <w:b/>
          <w:bCs/>
          <w:color w:val="auto"/>
          <w:sz w:val="24"/>
          <w:szCs w:val="24"/>
        </w:rPr>
      </w:pPr>
      <w:bookmarkStart w:id="6" w:name="_Toc215492689"/>
      <w:bookmarkStart w:id="7" w:name="_Toc215492773"/>
      <w:r w:rsidRPr="00C211D3">
        <w:rPr>
          <w:rFonts w:ascii="Times New Roman" w:hAnsi="Times New Roman" w:cs="Times New Roman"/>
          <w:b/>
          <w:bCs/>
          <w:color w:val="auto"/>
          <w:sz w:val="24"/>
          <w:szCs w:val="24"/>
        </w:rPr>
        <w:t>2.1 Conceptual Review</w:t>
      </w:r>
      <w:bookmarkEnd w:id="6"/>
      <w:bookmarkEnd w:id="7"/>
    </w:p>
    <w:p w14:paraId="1200E1EF" w14:textId="77777777" w:rsidR="008905CB" w:rsidRPr="00C211D3" w:rsidRDefault="008905CB" w:rsidP="008905CB">
      <w:pPr>
        <w:pStyle w:val="Heading2"/>
        <w:rPr>
          <w:rFonts w:ascii="Times New Roman" w:hAnsi="Times New Roman" w:cs="Times New Roman"/>
          <w:b/>
          <w:bCs/>
          <w:color w:val="auto"/>
          <w:sz w:val="24"/>
          <w:szCs w:val="24"/>
        </w:rPr>
      </w:pPr>
      <w:bookmarkStart w:id="8" w:name="_Toc215492690"/>
      <w:bookmarkStart w:id="9" w:name="_Toc215492774"/>
      <w:r w:rsidRPr="00C211D3">
        <w:rPr>
          <w:rFonts w:ascii="Times New Roman" w:hAnsi="Times New Roman" w:cs="Times New Roman"/>
          <w:b/>
          <w:bCs/>
          <w:color w:val="auto"/>
          <w:sz w:val="24"/>
          <w:szCs w:val="24"/>
        </w:rPr>
        <w:t>2.1.1 Concept of Budget Credibility</w:t>
      </w:r>
      <w:bookmarkEnd w:id="8"/>
      <w:bookmarkEnd w:id="9"/>
    </w:p>
    <w:p w14:paraId="46E85A4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Budget credibility basically refers to the degree to which actual government revenues and expenditures conform to the approved budget. It reflects the realism embedded in the revenue forecasts, the accuracy of expenditure plans, and the effectiveness of mechanisms for budget execution. A credible budget is one that is realistic, transparent, and adhered to during implementation-that is, a reliable tool in fiscal planning and control.</w:t>
      </w:r>
    </w:p>
    <w:p w14:paraId="5ADB2D9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Guillamón, Ríos, and Prijaković (2024) say that transparency and accountability help to increase budget credibility while reducing fiscal uncertainty and enhancing public trust. Budget transparency in processes keeps both the government financial activities under observation by the stakeholders; therefore, it deters deviations and mismanagement. Low budget credibility causes </w:t>
      </w:r>
      <w:r w:rsidRPr="00C211D3">
        <w:rPr>
          <w:rFonts w:ascii="Times New Roman" w:hAnsi="Times New Roman" w:cs="Times New Roman"/>
        </w:rPr>
        <w:lastRenderedPageBreak/>
        <w:t>fiscal unpredictability and results in adverse impacts on the delivery of services and weakened public confidence in the government (Hribernik, Bratić, &amp; Prijaković, 2025).</w:t>
      </w:r>
    </w:p>
    <w:p w14:paraId="257068E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the Nigerian context, a number of factors commonly compromise budget credibility. Over-optimistic revenue projections, often inspired by political pressures to present favorable fiscal positions, result in unrealistic budgets that are difficult to execute. Political interference distorts the priorities of the budget, with funds sometimes allocated to politically inspired projects rather than projects that have been identified in response to community needs. Poor institutional capacity in terms of inadequate financial management systems and poor human resource capacities also hampers effective budget execution. These contribute toward budget overruns or under-execution, disrupting service delivery and fiscal discipline.</w:t>
      </w:r>
    </w:p>
    <w:p w14:paraId="6475FDA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Furthermore, budget credibility is worsened by a lack of timely and accurate mechanisms for budget monitoring and reporting. In the absence of systematic oversight, variances from approved budgets are not checked to ensure that public resources are used efficiently and not wasted (Musiega, Nyawira, &amp; Tsofa, 2023). Therefore, improving budget credibility will not only involve realistic budgeting but also strong mechanisms for monitoring and enforcement.</w:t>
      </w:r>
    </w:p>
    <w:p w14:paraId="1D8FBF70" w14:textId="77777777" w:rsidR="008905CB" w:rsidRPr="00C211D3" w:rsidRDefault="008905CB" w:rsidP="008905CB">
      <w:pPr>
        <w:pStyle w:val="Heading2"/>
        <w:rPr>
          <w:rFonts w:ascii="Times New Roman" w:hAnsi="Times New Roman" w:cs="Times New Roman"/>
          <w:b/>
          <w:bCs/>
          <w:color w:val="auto"/>
          <w:sz w:val="24"/>
          <w:szCs w:val="24"/>
        </w:rPr>
      </w:pPr>
      <w:bookmarkStart w:id="10" w:name="_Toc215492691"/>
      <w:bookmarkStart w:id="11" w:name="_Toc215492775"/>
      <w:r w:rsidRPr="00C211D3">
        <w:rPr>
          <w:rFonts w:ascii="Times New Roman" w:hAnsi="Times New Roman" w:cs="Times New Roman"/>
          <w:b/>
          <w:bCs/>
          <w:color w:val="auto"/>
          <w:sz w:val="24"/>
          <w:szCs w:val="24"/>
        </w:rPr>
        <w:t>2.1.2 Accountability in Local Government</w:t>
      </w:r>
      <w:bookmarkEnd w:id="10"/>
      <w:bookmarkEnd w:id="11"/>
    </w:p>
    <w:p w14:paraId="2EAFFD2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Financial accountability is "the requirement or obligation that government entities account, explain, and take responsibility for their use of public resources" (Bowrey, Smark, &amp; Watts, 2016). It is the compliance of government agencies with financial regulations, transparency in the reporting of the same, and accountability with regard to audit queries. Effective mechanisms of financial accountability ensure that public monies are well spent on serving their intended purposes, hence a reduction in corruption and misappropriation practices and eventual reduction in wastage. Thus, Mirzaev states that "effective financial accountability mechanisms ensure that public funds are used efficiently and put to their intended purpose, thereby reducing corruption, misappropriation, and wastage" (2024).</w:t>
      </w:r>
    </w:p>
    <w:p w14:paraId="308EEC3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addition, local governments are very crucial in ensuring accountability in the management of finance, since they control huge sums of money allocated for development at the grassroots level. Unfortunately, financial accountability is usually weak in Nigeria's local governments due to weaknesses in internal controls, poor record-keeping, and ineffective oversight by the respective supervisory institutions of the government (Ekperi &amp; Anokwu, 2023). Where financial governance structures are weak, there is a tendency for financial mismanagement, and this negatively impacts efficiency in public spending.</w:t>
      </w:r>
    </w:p>
    <w:p w14:paraId="76083B1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Reforms like TSA have contributed to accountability through centralization of government revenues and reduced leakages. The TSA system promotes transparency in that it consolidates all cash resources of the government into a single account. This benefits cash management and reduces unauthorized use of cash. Nevertheless, some of the issues persist due to resistance to </w:t>
      </w:r>
      <w:r w:rsidRPr="00C211D3">
        <w:rPr>
          <w:rFonts w:ascii="Times New Roman" w:hAnsi="Times New Roman" w:cs="Times New Roman"/>
        </w:rPr>
        <w:lastRenderedPageBreak/>
        <w:t>change, weak capacity levels in staff at local government levels, and poor enforcement of financial regulations (Ekperi &amp; Anokwu, 2023).</w:t>
      </w:r>
    </w:p>
    <w:p w14:paraId="34D0B887" w14:textId="77777777" w:rsidR="008905CB" w:rsidRDefault="008905CB" w:rsidP="008905CB">
      <w:pPr>
        <w:jc w:val="both"/>
        <w:rPr>
          <w:rFonts w:ascii="Times New Roman" w:hAnsi="Times New Roman" w:cs="Times New Roman"/>
        </w:rPr>
      </w:pPr>
      <w:r w:rsidRPr="00C211D3">
        <w:rPr>
          <w:rFonts w:ascii="Times New Roman" w:hAnsi="Times New Roman" w:cs="Times New Roman"/>
        </w:rPr>
        <w:t>Furthermore, financial accountability is related to the quality of financial reporting and audit processes. Timely and accurate financial reports provide a basis on which stakeholders may measure the performance of governments and consequently hold officials accountable. In fact, delayed or incomplete financial disclosures have remained the nemesis of many local governments in Nigeria, weakening accountability mechanisms (Adeyeye &amp; Adeyeye, 2019). In this regard, promoting financial accountability needs capacity building, institutional reforms, and increased stakeholder participation.</w:t>
      </w:r>
    </w:p>
    <w:p w14:paraId="0AD5B068" w14:textId="501B49BE" w:rsidR="002A1729" w:rsidRPr="00C211D3" w:rsidRDefault="002A1729" w:rsidP="008905CB">
      <w:pPr>
        <w:jc w:val="both"/>
        <w:rPr>
          <w:rFonts w:ascii="Times New Roman" w:hAnsi="Times New Roman" w:cs="Times New Roman"/>
        </w:rPr>
      </w:pPr>
      <w:r w:rsidRPr="002A1729">
        <w:rPr>
          <w:rFonts w:ascii="Times New Roman" w:hAnsi="Times New Roman" w:cs="Times New Roman"/>
        </w:rPr>
        <w:t>Internal control systems and ethical conduct are critical for ensuring financial accountability in public sector organizations (Adeyiola, Bamidele, &amp; Ogundipe, 2026). The principles of justice, fairness, and equity further underpin the need for transparent and credible budgeting processes (Bamidele &amp; Abdulsalam, 2025). Empirical evidence from Ekiti State demonstrates that robust internal controls positively influence financial performance, a finding that is relevant for local government financial management (Abdulsalam, Bamidele, &amp; Fajana, 2024). Additionally, effective auditing practices have been shown to enhance organizational performance in local governments, reinforcing the importance of accountability mechanisms for improved service delivery (Abdusalam &amp; Bamidele, 2019).</w:t>
      </w:r>
    </w:p>
    <w:p w14:paraId="4643E996" w14:textId="77777777" w:rsidR="008905CB" w:rsidRPr="00C211D3" w:rsidRDefault="008905CB" w:rsidP="008905CB">
      <w:pPr>
        <w:pStyle w:val="Heading2"/>
        <w:rPr>
          <w:rFonts w:ascii="Times New Roman" w:hAnsi="Times New Roman" w:cs="Times New Roman"/>
          <w:b/>
          <w:bCs/>
          <w:color w:val="auto"/>
          <w:sz w:val="24"/>
          <w:szCs w:val="24"/>
        </w:rPr>
      </w:pPr>
      <w:bookmarkStart w:id="12" w:name="_Toc215492692"/>
      <w:bookmarkStart w:id="13" w:name="_Toc215492776"/>
      <w:r w:rsidRPr="00C211D3">
        <w:rPr>
          <w:rFonts w:ascii="Times New Roman" w:hAnsi="Times New Roman" w:cs="Times New Roman"/>
          <w:b/>
          <w:bCs/>
          <w:color w:val="auto"/>
          <w:sz w:val="24"/>
          <w:szCs w:val="24"/>
        </w:rPr>
        <w:t>2.1.3 Service Delivery at the Local Government Level</w:t>
      </w:r>
      <w:bookmarkEnd w:id="12"/>
      <w:bookmarkEnd w:id="13"/>
    </w:p>
    <w:p w14:paraId="3664F177"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Service delivery encompasses the core aspects of development, such as healthcare, education, water supply, sanitation, and maintenance of infrastructure. According to Piatti-Fünfkirchen &amp; Schneider, 2018, the availability and efficient utilization of the financial allocation through the budget will determine quality, timeliness, and accessibility to such services.</w:t>
      </w:r>
    </w:p>
    <w:p w14:paraId="59903121"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Yaro and Sani (2019) relate that poor budget implementation translates into delay and low-quality service delivery, thereby crippling the well-being of citizens and eroding confidence in government institutions. Where budgets are not credible, projects and programs usually intended are underfinanced or abandoned, leading to a deficiency in service delivery. This is more severe in local governments, where resource constraints and governance challenges are most severe.</w:t>
      </w:r>
    </w:p>
    <w:p w14:paraId="0BB9A319"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Empirical evidence indicates that credible budgeting tends to be associated with improved service delivery since resources are both available and used as intended by Musiega, Nyawira, &amp; Tsofa (2023), and Chiwawa &amp; Uwizeyimana (2024). For instance, improved budget credibility and financial governance have been associated with significant improvement in the health and education outcomes in Kenya and South Africa. Budgetary deviations and poor financial management, on the other hand, contribute to inefficiencies and failures in the delivery of services as noted by Bombo (2025).</w:t>
      </w:r>
    </w:p>
    <w:p w14:paraId="6BB29CF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The link between budget credibility and service delivery is critical in Nigeria due to the country's developmental challenges. It is expected that local governments would constitute the frontline </w:t>
      </w:r>
      <w:r w:rsidRPr="00C211D3">
        <w:rPr>
          <w:rFonts w:ascii="Times New Roman" w:hAnsi="Times New Roman" w:cs="Times New Roman"/>
        </w:rPr>
        <w:lastRenderedPageBreak/>
        <w:t>providers of basic services; yet, in many communities, there is poor access to clean water, healthcare, and education because of budgetary shortfalls and mismanagement. These problems require more than just budget credibility; they would need increased financial accountability and institutional capacity to transform budgetary allocations into actual service deliverables.</w:t>
      </w:r>
    </w:p>
    <w:p w14:paraId="3E3CBA59" w14:textId="77777777" w:rsidR="008905CB" w:rsidRPr="00C211D3" w:rsidRDefault="008905CB" w:rsidP="008905CB">
      <w:pPr>
        <w:pStyle w:val="Heading2"/>
        <w:rPr>
          <w:rFonts w:ascii="Times New Roman" w:hAnsi="Times New Roman" w:cs="Times New Roman"/>
          <w:b/>
          <w:bCs/>
          <w:color w:val="auto"/>
          <w:sz w:val="24"/>
          <w:szCs w:val="24"/>
        </w:rPr>
      </w:pPr>
      <w:bookmarkStart w:id="14" w:name="_Toc215492693"/>
      <w:bookmarkStart w:id="15" w:name="_Toc215492777"/>
      <w:r w:rsidRPr="00C211D3">
        <w:rPr>
          <w:rFonts w:ascii="Times New Roman" w:hAnsi="Times New Roman" w:cs="Times New Roman"/>
          <w:b/>
          <w:bCs/>
          <w:color w:val="auto"/>
          <w:sz w:val="24"/>
          <w:szCs w:val="24"/>
        </w:rPr>
        <w:t>2.2 Theoretical Review</w:t>
      </w:r>
      <w:bookmarkEnd w:id="14"/>
      <w:bookmarkEnd w:id="15"/>
    </w:p>
    <w:p w14:paraId="3AC5C3A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This study is grounded in two theories that essentially explain the dynamics of budget credibility, financial accountability, and consequently service delivery in public financial management: Fiscal Illusion Theory and Principal-Agent Theory.</w:t>
      </w:r>
    </w:p>
    <w:p w14:paraId="4FF06112" w14:textId="77777777" w:rsidR="008905CB" w:rsidRPr="00C211D3" w:rsidRDefault="008905CB" w:rsidP="008905CB">
      <w:pPr>
        <w:pStyle w:val="Heading2"/>
        <w:rPr>
          <w:rFonts w:ascii="Times New Roman" w:hAnsi="Times New Roman" w:cs="Times New Roman"/>
          <w:b/>
          <w:bCs/>
          <w:color w:val="auto"/>
          <w:sz w:val="24"/>
          <w:szCs w:val="24"/>
        </w:rPr>
      </w:pPr>
      <w:bookmarkStart w:id="16" w:name="_Toc215492694"/>
      <w:bookmarkStart w:id="17" w:name="_Toc215492778"/>
      <w:r w:rsidRPr="00C211D3">
        <w:rPr>
          <w:rFonts w:ascii="Times New Roman" w:hAnsi="Times New Roman" w:cs="Times New Roman"/>
          <w:b/>
          <w:bCs/>
          <w:color w:val="auto"/>
          <w:sz w:val="24"/>
          <w:szCs w:val="24"/>
        </w:rPr>
        <w:t>2.2.1 Fiscal Illusion Theory</w:t>
      </w:r>
      <w:bookmarkEnd w:id="16"/>
      <w:bookmarkEnd w:id="17"/>
    </w:p>
    <w:p w14:paraId="53C8C33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First put forward by Buchanan (1967), the Fiscal Illusion Theory provides a theoretical framework that helps explain why a government's production of budgets is not credible or realistic. Fiscal illusion is a situation wherein there is a misperception of the real cost of government services by taxpayers and citizens because of complicated fiscal arrangements, lack of transparency, or misleading information about the budget. This can result in overestimation of revenues or underestimating expenditures, thus yielding unrealistic budget forecasts and poor fiscal discipline.</w:t>
      </w:r>
    </w:p>
    <w:p w14:paraId="57F6AA8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Fiscal illusion arises in local governments when revenue projections by budget planners and political actors are highly optimistic, or expenditure needs are underestimated as a way of currying favor with the populace or to avoid scrutiny by the public. This leads to the observed difference between approved budgets and actual financial performance, thus undermining the credibility of budgets. According to the theory, citizens will not be able to hold government officials accountable when fiscal illusion is high, hence weakening financial accountability, and subsequently impairing service delivery.</w:t>
      </w:r>
    </w:p>
    <w:p w14:paraId="2CF85C0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Fiscal illusion theory puts great emphasis on budgeting processes grounded in transparency and the proper dissemination of information. On the contrary, fiscal illusion can be reduced if budgeting is clear, realistic, and transparent, which, in turn, may increase credibility, accountability in financial matters, and the delivery of public services.</w:t>
      </w:r>
    </w:p>
    <w:p w14:paraId="4EEE41DE" w14:textId="77777777" w:rsidR="008905CB" w:rsidRPr="00C211D3" w:rsidRDefault="008905CB" w:rsidP="008905CB">
      <w:pPr>
        <w:pStyle w:val="Heading2"/>
        <w:rPr>
          <w:rFonts w:ascii="Times New Roman" w:hAnsi="Times New Roman" w:cs="Times New Roman"/>
          <w:b/>
          <w:bCs/>
          <w:color w:val="auto"/>
          <w:sz w:val="24"/>
          <w:szCs w:val="24"/>
        </w:rPr>
      </w:pPr>
      <w:bookmarkStart w:id="18" w:name="_Toc215492695"/>
      <w:bookmarkStart w:id="19" w:name="_Toc215492779"/>
      <w:r w:rsidRPr="00C211D3">
        <w:rPr>
          <w:rFonts w:ascii="Times New Roman" w:hAnsi="Times New Roman" w:cs="Times New Roman"/>
          <w:b/>
          <w:bCs/>
          <w:color w:val="auto"/>
          <w:sz w:val="24"/>
          <w:szCs w:val="24"/>
        </w:rPr>
        <w:t>2.2.2 Principal-Agent Theory</w:t>
      </w:r>
      <w:bookmarkEnd w:id="18"/>
      <w:bookmarkEnd w:id="19"/>
    </w:p>
    <w:p w14:paraId="2561C1A2"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This theory is widely used to explain public administration, financial management, and the relationship between principals and their agents. The former would comprise the citizens, taxpayers, and higher levels of government, while the latter comprises public officials or local government administrators (Bowrey, Smark, &amp; Watts, 2016). In this theory, the principals delegate the authority to agents for managing public resources and delivering services on their behalf. However, because of information asymmetry and the divergence in interests, agents do not always act in the best interest of the principals.</w:t>
      </w:r>
    </w:p>
    <w:p w14:paraId="324E317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This theory is relevant to budget credibility and financial accountability, in that the agents, who are usually the local government officials, prepare and execute the budgets, while principals, who </w:t>
      </w:r>
      <w:r w:rsidRPr="00C211D3">
        <w:rPr>
          <w:rFonts w:ascii="Times New Roman" w:hAnsi="Times New Roman" w:cs="Times New Roman"/>
        </w:rPr>
        <w:lastRenderedPageBreak/>
        <w:t>are usually the citizens and other oversight bodies, would need accurate reporting and compliance to ensure the resources are utilized for their intended purposes. Where agents have no incentives or weak monitoring, they may engage in budget manipulation, misappropriation, and poor management of funds, leading to serious diversions from approved budgets and poorer service delivery (Ekperi &amp; Anokwu, 2023).</w:t>
      </w:r>
    </w:p>
    <w:p w14:paraId="7CCCF60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Principal-agent theory emphasizes that accountability mechanisms such as audits, transparency initiatives, and participatory budgeting are needed to align the interests of agents with those of principals. Stronger mechanisms ensure more realistic and implemented budgets, enhancing budget credibility, while better service delivery results from the responsible use of public funds.</w:t>
      </w:r>
    </w:p>
    <w:p w14:paraId="5E083DAB" w14:textId="77777777" w:rsidR="008905CB" w:rsidRPr="00C211D3" w:rsidRDefault="008905CB" w:rsidP="008905CB">
      <w:pPr>
        <w:jc w:val="both"/>
        <w:rPr>
          <w:rFonts w:ascii="Times New Roman" w:hAnsi="Times New Roman" w:cs="Times New Roman"/>
          <w:b/>
          <w:bCs/>
        </w:rPr>
      </w:pPr>
      <w:r w:rsidRPr="00C211D3">
        <w:rPr>
          <w:rFonts w:ascii="Times New Roman" w:hAnsi="Times New Roman" w:cs="Times New Roman"/>
          <w:b/>
          <w:bCs/>
        </w:rPr>
        <w:t>Relevance to the Study</w:t>
      </w:r>
    </w:p>
    <w:p w14:paraId="7D32A727"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Both Fiscal Illusion Theory and Principal-Agent Theory have critical insights to contribute toward the challenges of budget credibility and financial accountability within a local government. Fiscal Illusion Theory explains why unrealistic budgets arise and how they distort public perceptions and accountability, while Principal-Agent Theory accentuates the governance structures and incentive problems in ways which impact on budget implementation and service delivery.</w:t>
      </w:r>
    </w:p>
    <w:p w14:paraId="1B4381C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Through the application of these theories, this study aims to understand how improved budget credibility through transparency, realistic forecasting, and measures for strengthened accountability can ensure better service delivery outcomes in selected local governments of Ekiti State.</w:t>
      </w:r>
    </w:p>
    <w:p w14:paraId="07D7480E" w14:textId="77777777" w:rsidR="008905CB" w:rsidRPr="00C211D3" w:rsidRDefault="008905CB" w:rsidP="008905CB">
      <w:pPr>
        <w:pStyle w:val="Heading2"/>
        <w:rPr>
          <w:rFonts w:ascii="Times New Roman" w:hAnsi="Times New Roman" w:cs="Times New Roman"/>
          <w:b/>
          <w:bCs/>
          <w:color w:val="auto"/>
          <w:sz w:val="24"/>
          <w:szCs w:val="24"/>
        </w:rPr>
      </w:pPr>
      <w:bookmarkStart w:id="20" w:name="_Toc215492696"/>
      <w:bookmarkStart w:id="21" w:name="_Toc215492780"/>
      <w:r w:rsidRPr="00C211D3">
        <w:rPr>
          <w:rFonts w:ascii="Times New Roman" w:hAnsi="Times New Roman" w:cs="Times New Roman"/>
          <w:b/>
          <w:bCs/>
          <w:color w:val="auto"/>
          <w:sz w:val="24"/>
          <w:szCs w:val="24"/>
        </w:rPr>
        <w:t>2.3 Empirical Review</w:t>
      </w:r>
      <w:bookmarkEnd w:id="20"/>
      <w:bookmarkEnd w:id="21"/>
    </w:p>
    <w:p w14:paraId="68F3E580" w14:textId="77777777" w:rsidR="008905CB" w:rsidRPr="00C211D3" w:rsidRDefault="008905CB" w:rsidP="00E55E96">
      <w:pPr>
        <w:pStyle w:val="Heading2"/>
        <w:jc w:val="both"/>
        <w:rPr>
          <w:rFonts w:ascii="Times New Roman" w:hAnsi="Times New Roman" w:cs="Times New Roman"/>
          <w:b/>
          <w:bCs/>
          <w:color w:val="auto"/>
          <w:sz w:val="24"/>
          <w:szCs w:val="24"/>
        </w:rPr>
      </w:pPr>
      <w:bookmarkStart w:id="22" w:name="_Toc215492697"/>
      <w:bookmarkStart w:id="23" w:name="_Toc215492781"/>
      <w:r w:rsidRPr="00C211D3">
        <w:rPr>
          <w:rFonts w:ascii="Times New Roman" w:hAnsi="Times New Roman" w:cs="Times New Roman"/>
          <w:b/>
          <w:bCs/>
          <w:color w:val="auto"/>
          <w:sz w:val="24"/>
          <w:szCs w:val="24"/>
        </w:rPr>
        <w:t>2.3.1 Empirical Studies on the Relationship between Budget Credibility and Financial Accountability</w:t>
      </w:r>
      <w:bookmarkEnd w:id="22"/>
      <w:bookmarkEnd w:id="23"/>
    </w:p>
    <w:p w14:paraId="6FB843F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Musungu, Oseno, and Rutto (2023) undertook a survey of 120 public secondary schools in Khwisero Sub County through questionnaires and interviews with the schools' administrators. Using descriptive and inferential statistics, the authors reported that creditworthy budgeting processes increase finance accountability due to observed transparency and adherence to the necessary financial procedures. The study noted that where budget estimates were realistic, the schools enjoyed better financial controls which led to curbing the misuse of finances and enhanced financial governance.</w:t>
      </w:r>
    </w:p>
    <w:p w14:paraId="0B14BDEB"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Chiwawa and Uwizeyimana (2024) adopted a mixed-method approach with 150 financial officers and managers in eThekwini Metropolitan Municipality, South Africa. Using surveys and document analysis, the results indicated that strict adherence to approved budgets strengthens financial governance and compliance. Regression analysis further revealed that budget credibility positively correlates with sustainable service delivery; thus, credible budgeting is crucial for enhancing financial accountability.</w:t>
      </w:r>
    </w:p>
    <w:p w14:paraId="35C689A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lastRenderedPageBreak/>
        <w:t>Bowrey, Smark, and Watts (2016) examined fiscal accountability in the senior governments of Canada by relying on secondary data from government financial reports and Senate estimates. This quantitative analysis found that effective oversight and lower fiscal risks are facilitated only when budgets are credible. The time-series data ranged from 2010 to 2013, and the findings showed that fiscal accountability improves when the budget is realistic and was adhered to, thus reinforcing the association between budget credibility and accountability.</w:t>
      </w:r>
    </w:p>
    <w:p w14:paraId="1C9BCF1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Mirzaev (2024) used a qualitative case study approach that targeted public sector organizations in Eastern Europe. In that study, the interviews and document reviews from 50 organizations pointed out that, through budgetary control mechanisms, corruption is checked, thereby preventing money from being misused. Instead, he asserted that budget credibility forms the operational basis for such controls; unrealistic budgets undermine financial accountability and create new avenues for fiscal mismanagement.</w:t>
      </w:r>
    </w:p>
    <w:p w14:paraId="2064962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Igbokwe-Ibeto et al. (2016) carried out a survey of 200 public finance officers across Nigerian federal and state ministries. Through descriptive statistics and correlation analysis, the study established that the TSA system enhances the credibility of budget execution through the centralization of cash management. The TSA promotes transparency and accountability in the management of government finances, blocking leakages and unauthorized spending, hence positively impacting PFM.</w:t>
      </w:r>
    </w:p>
    <w:p w14:paraId="4DE00B4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Adekunle et al. (2022) conducted a survey among 180 government officials from different ministries in Nigeria using structured questionnaires. Through regression analysis, the authors proved that credible budgeting processes are vital in enforcing fiscal discipline and financial accountability. It was found that fiscal indiscipline is reduced to a greater extent when budgets are realistic and adhered to.</w:t>
      </w:r>
    </w:p>
    <w:p w14:paraId="271CE7A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Ekperi and Anokwu (2023) administered their questionnaires to 120 public servants in local governments of Nigeria and conducted interviews with some selected staff. The research study utilized descriptive and inferential statistics in testing perceptions of the Treasury Single Account, TSA. The findings revealed that good budgeting with strong centre controlled financial controls increases accountability in the public sector through enhanced transparency and reduction in financial mismanagement.</w:t>
      </w:r>
    </w:p>
    <w:p w14:paraId="1AF0A5A0" w14:textId="77777777" w:rsidR="008905CB" w:rsidRPr="00C211D3" w:rsidRDefault="008905CB" w:rsidP="008905CB">
      <w:pPr>
        <w:pStyle w:val="Heading2"/>
        <w:rPr>
          <w:rFonts w:ascii="Times New Roman" w:hAnsi="Times New Roman" w:cs="Times New Roman"/>
          <w:b/>
          <w:bCs/>
          <w:color w:val="auto"/>
          <w:sz w:val="24"/>
          <w:szCs w:val="24"/>
        </w:rPr>
      </w:pPr>
      <w:bookmarkStart w:id="24" w:name="_Toc215492698"/>
      <w:bookmarkStart w:id="25" w:name="_Toc215492782"/>
      <w:r w:rsidRPr="00C211D3">
        <w:rPr>
          <w:rFonts w:ascii="Times New Roman" w:hAnsi="Times New Roman" w:cs="Times New Roman"/>
          <w:b/>
          <w:bCs/>
          <w:color w:val="auto"/>
          <w:sz w:val="24"/>
          <w:szCs w:val="24"/>
        </w:rPr>
        <w:t>2.3.2 Empirical Studies on the Impact of Budget Credibility on Service Delivery Outcomes</w:t>
      </w:r>
      <w:bookmarkEnd w:id="24"/>
      <w:bookmarkEnd w:id="25"/>
    </w:p>
    <w:p w14:paraId="1D0EB36F"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Piatti-Fünfkirchen and Schneider (2018) carried out a comparative study of health service delivery in Tanzania and Zambia using mixed methods. In the process, they surveyed 200 health administrators and analyzed budget documents. From this, it was established that credible budgets ensure timely and sufficient resource allocation, which directly reflects on health service delivery outcomes. Regression analysis confirmed a positive relationship between budget credibility and quality of service.</w:t>
      </w:r>
    </w:p>
    <w:p w14:paraId="580667A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lastRenderedPageBreak/>
        <w:t>In 2019, Yaro and Sani administered questionnaires to and interviewed 150 local government officials in Nigeria. The descriptive and correlation analyses conducted in this study demonstrated that a lack of credibility of the budget results in delays and low-quality services delivered, which negatively impact the welfare of citizens. The findings highlighted realistic budgeting that would enhance service delivery effectiveness.</w:t>
      </w:r>
    </w:p>
    <w:p w14:paraId="08C3C365"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Musiega, Nyawira, and Tsofa (2023) sampled 180 health system managers in Kenyan counties by using structured questionnaires. The regression analysis revealed that the practices of budget monitoring and accountability positively influence health system efficiency. Budget credibility was found to be an important determinant in ensuring the effective use of resources to support improved outcomes in service delivery.</w:t>
      </w:r>
    </w:p>
    <w:p w14:paraId="592BBCF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Bombo (2025) presented a case study of public projects in Tanzania, where 50 projects were assessed based on data relating to budget execution. Descriptive statistics and project performance indicators showed that credible budget implementation is critical to successful project completion and increased service delivery. Delays and cost overruns, on the other hand, were related to poor budget credibility.</w:t>
      </w:r>
    </w:p>
    <w:p w14:paraId="7DFDA10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Chiwawa and Uwizeyimana (2024) conducted a questionnaire survey supported by interviews of 150 local government officials in South Africa. The study adapted regression analysis showing that increased financial governance coupled with believable budgeting results in sustainable and effective service delivery. This means that the credibility of the budget determines the performance of a local government.</w:t>
      </w:r>
    </w:p>
    <w:p w14:paraId="06168992"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Alao (2017) adopted a qualitative approach, where he interviewed 40 public sector managers in Nigeria. The study ascertained that budget credibility has a critical impact on the quality and timeliness of public services. Poor budget implementation was related to inadequate service delivery, and thus, a more realistic and credible budget.</w:t>
      </w:r>
    </w:p>
    <w:p w14:paraId="29A8503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Andesia and Ghabon 2025 distributed questionnaires to 100 county government officials in Bungoma, Kenya. Using descriptive and inferential statistics, the study established that effective budget absorption, a proxy for budget credibility, significantly enhances service delivery outcomes. The study recommended strengthening budget monitoring to enhance service delivery.</w:t>
      </w:r>
    </w:p>
    <w:p w14:paraId="391A7EAA" w14:textId="77777777" w:rsidR="008905CB" w:rsidRPr="00C211D3" w:rsidRDefault="008905CB" w:rsidP="008905CB">
      <w:pPr>
        <w:pStyle w:val="Heading2"/>
        <w:rPr>
          <w:rFonts w:ascii="Times New Roman" w:hAnsi="Times New Roman" w:cs="Times New Roman"/>
          <w:b/>
          <w:bCs/>
          <w:color w:val="auto"/>
          <w:sz w:val="24"/>
          <w:szCs w:val="24"/>
        </w:rPr>
      </w:pPr>
      <w:bookmarkStart w:id="26" w:name="_Toc215492699"/>
      <w:bookmarkStart w:id="27" w:name="_Toc215492783"/>
      <w:r w:rsidRPr="00C211D3">
        <w:rPr>
          <w:rFonts w:ascii="Times New Roman" w:hAnsi="Times New Roman" w:cs="Times New Roman"/>
          <w:b/>
          <w:bCs/>
          <w:color w:val="auto"/>
          <w:sz w:val="24"/>
          <w:szCs w:val="24"/>
        </w:rPr>
        <w:lastRenderedPageBreak/>
        <w:t>3.0 Methodology</w:t>
      </w:r>
      <w:bookmarkEnd w:id="26"/>
      <w:bookmarkEnd w:id="27"/>
    </w:p>
    <w:p w14:paraId="2F9B4013" w14:textId="47A317BA" w:rsidR="006A3FC4" w:rsidRDefault="006A3FC4" w:rsidP="006A3FC4">
      <w:pPr>
        <w:pStyle w:val="Heading2"/>
        <w:jc w:val="both"/>
        <w:rPr>
          <w:rFonts w:ascii="Times New Roman" w:eastAsiaTheme="minorHAnsi" w:hAnsi="Times New Roman" w:cs="Times New Roman"/>
          <w:color w:val="auto"/>
          <w:sz w:val="24"/>
          <w:szCs w:val="24"/>
        </w:rPr>
      </w:pPr>
      <w:bookmarkStart w:id="28" w:name="_Toc215492700"/>
      <w:bookmarkStart w:id="29" w:name="_Toc215492784"/>
      <w:r w:rsidRPr="006A3FC4">
        <w:rPr>
          <w:rFonts w:ascii="Times New Roman" w:eastAsiaTheme="minorHAnsi" w:hAnsi="Times New Roman" w:cs="Times New Roman"/>
          <w:color w:val="auto"/>
          <w:sz w:val="24"/>
          <w:szCs w:val="24"/>
        </w:rPr>
        <w:t>This study adopts a descriptive survey design, which is suitable for collecting data on perceptions and experiences relating to budget credibility, financial accountability, and service delivery from local government staff. This approach facilitates the gathering of both quantitative and qualitative insights into the research problem. The population comprises administrative and finance-related personnel from five selected Local Government Areas (LGAs) in Ekiti State</w:t>
      </w:r>
      <w:r>
        <w:rPr>
          <w:rFonts w:ascii="Times New Roman" w:eastAsiaTheme="minorHAnsi" w:hAnsi="Times New Roman" w:cs="Times New Roman"/>
          <w:color w:val="auto"/>
          <w:sz w:val="24"/>
          <w:szCs w:val="24"/>
        </w:rPr>
        <w:t xml:space="preserve"> </w:t>
      </w:r>
      <w:r w:rsidRPr="006A3FC4">
        <w:rPr>
          <w:rFonts w:ascii="Times New Roman" w:eastAsiaTheme="minorHAnsi" w:hAnsi="Times New Roman" w:cs="Times New Roman"/>
          <w:color w:val="auto"/>
          <w:sz w:val="24"/>
          <w:szCs w:val="24"/>
        </w:rPr>
        <w:t>namely Ado, Moba, Ikere, Oye, and Ido-Osi</w:t>
      </w:r>
      <w:r>
        <w:rPr>
          <w:rFonts w:ascii="Times New Roman" w:eastAsiaTheme="minorHAnsi" w:hAnsi="Times New Roman" w:cs="Times New Roman"/>
          <w:color w:val="auto"/>
          <w:sz w:val="24"/>
          <w:szCs w:val="24"/>
        </w:rPr>
        <w:t xml:space="preserve"> </w:t>
      </w:r>
      <w:r w:rsidRPr="006A3FC4">
        <w:rPr>
          <w:rFonts w:ascii="Times New Roman" w:eastAsiaTheme="minorHAnsi" w:hAnsi="Times New Roman" w:cs="Times New Roman"/>
          <w:color w:val="auto"/>
          <w:sz w:val="24"/>
          <w:szCs w:val="24"/>
        </w:rPr>
        <w:t>totaling approximately 350 staff within various departments such as Finance and Accounts, Budget and Planning, Works, Administration, and Internal Audit (Ekiti State Local Government Service Commission, 2024). A sample size of 100 respondents was used for this study, with 20 staff members selected from each LGA, a number deemed adequate for a survey study and robust statistical analysis (Andesia &amp; Ghabon, 2025). In selecting participants, purposive sampling was adopted to target staff directly involved in budgeting, financial reporting, expenditure control, and service delivery, while proportionate sampling across relevant departments in each LGA ensured that each segment was adequately represented, thereby enhancing the reliability and validity of the findings (Musiega, Nyawira, &amp; Tsofa, 2023).</w:t>
      </w:r>
    </w:p>
    <w:p w14:paraId="0B3B420A" w14:textId="733767EF" w:rsidR="008905CB" w:rsidRPr="00C211D3" w:rsidRDefault="008905CB" w:rsidP="008905CB">
      <w:pPr>
        <w:pStyle w:val="Heading2"/>
        <w:rPr>
          <w:rFonts w:ascii="Times New Roman" w:hAnsi="Times New Roman" w:cs="Times New Roman"/>
          <w:b/>
          <w:bCs/>
          <w:color w:val="auto"/>
          <w:sz w:val="24"/>
          <w:szCs w:val="24"/>
        </w:rPr>
      </w:pPr>
      <w:r w:rsidRPr="00C211D3">
        <w:rPr>
          <w:rFonts w:ascii="Times New Roman" w:hAnsi="Times New Roman" w:cs="Times New Roman"/>
          <w:b/>
          <w:bCs/>
          <w:color w:val="auto"/>
          <w:sz w:val="24"/>
          <w:szCs w:val="24"/>
        </w:rPr>
        <w:t>3.1 Research Instrument</w:t>
      </w:r>
      <w:bookmarkEnd w:id="28"/>
      <w:bookmarkEnd w:id="29"/>
    </w:p>
    <w:p w14:paraId="7B612DB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main tool of data collection in the study is a structured questionnaire targeting the respondents' perceptions and experiences with regard to budget credibility, financial accountability, and service delivery in the selected local governments. The questionnaire consists of four sections:</w:t>
      </w:r>
    </w:p>
    <w:p w14:paraId="5A235BCF" w14:textId="322FA415"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A covers demographic information such as: age, gender, department, and years of service;</w:t>
      </w:r>
    </w:p>
    <w:p w14:paraId="1985F323" w14:textId="3ED15071"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B covers budget credibility, encompassing items on deviations between approved budgets and actual expenditures, timeliness of budget releases, and challenges in budget implementation.</w:t>
      </w:r>
    </w:p>
    <w:p w14:paraId="42CD3E83" w14:textId="6B605144" w:rsidR="008905CB" w:rsidRPr="00C211D3" w:rsidRDefault="008905CB" w:rsidP="008905CB">
      <w:pPr>
        <w:jc w:val="both"/>
        <w:rPr>
          <w:rFonts w:ascii="Times New Roman" w:hAnsi="Times New Roman" w:cs="Times New Roman"/>
        </w:rPr>
      </w:pPr>
      <w:r w:rsidRPr="00C211D3">
        <w:rPr>
          <w:rFonts w:ascii="Times New Roman" w:hAnsi="Times New Roman" w:cs="Times New Roman"/>
        </w:rPr>
        <w:t>Segment C assesses financial accountability through questions on adherence to financial regulations, transparency in reporting, and responsiveness to audit findings;</w:t>
      </w:r>
    </w:p>
    <w:p w14:paraId="56E3F54A" w14:textId="39294D12"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D assesses service delivery outcomes based on the quality, sufficiency, and timeliness of the services provided to the community.</w:t>
      </w:r>
    </w:p>
    <w:p w14:paraId="0245FF9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questionnaire utilizes a 4-point Likert scale ranging from “Strongly Disagree” to “Strongly Agree” to quantify the views of the respondents. This instrument was pre-tested with a small group of local government staff outside the sample to ensure that clarity, reliability, and validity were maintained before full administration.</w:t>
      </w:r>
    </w:p>
    <w:p w14:paraId="526ADFF4" w14:textId="77777777" w:rsidR="008905CB" w:rsidRPr="00C211D3" w:rsidRDefault="008905CB" w:rsidP="008905CB">
      <w:pPr>
        <w:pStyle w:val="Heading2"/>
        <w:rPr>
          <w:rFonts w:ascii="Times New Roman" w:hAnsi="Times New Roman" w:cs="Times New Roman"/>
          <w:b/>
          <w:bCs/>
          <w:color w:val="auto"/>
          <w:sz w:val="24"/>
          <w:szCs w:val="24"/>
        </w:rPr>
      </w:pPr>
      <w:bookmarkStart w:id="30" w:name="_Toc215492701"/>
      <w:bookmarkStart w:id="31" w:name="_Toc215492785"/>
      <w:r w:rsidRPr="00C211D3">
        <w:rPr>
          <w:rFonts w:ascii="Times New Roman" w:hAnsi="Times New Roman" w:cs="Times New Roman"/>
          <w:b/>
          <w:bCs/>
          <w:color w:val="auto"/>
          <w:sz w:val="24"/>
          <w:szCs w:val="24"/>
        </w:rPr>
        <w:t>3.2 Data Analysis Technique</w:t>
      </w:r>
      <w:bookmarkEnd w:id="30"/>
      <w:bookmarkEnd w:id="31"/>
    </w:p>
    <w:p w14:paraId="691E71E7" w14:textId="2189CFC9"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Data from questionnaires will be analyzed using the Statistical Package for the Social Sciences, SPSS. Frequencies, percentage distributions, means, and standard deviation will be used to summarize respondents' demographic data and perceptions about budget credibility, financial accountability, and service delivery. Inferential statistics will include the Pearson correlation analysis in testing the strength and direction of association between budget credibility, financial </w:t>
      </w:r>
      <w:r w:rsidRPr="00C211D3">
        <w:rPr>
          <w:rFonts w:ascii="Times New Roman" w:hAnsi="Times New Roman" w:cs="Times New Roman"/>
        </w:rPr>
        <w:lastRenderedPageBreak/>
        <w:t>accountability, and service delivery. Additionally, multiple regression analysis will be used to test the influence of budget credibility and financial accountability on service delivery performance. Diagnostic tests, including the Variance Inflation Factor, VIF, will be conducted to ensure that there is no multicollinearity among the independent variables, hence guaranteeing the strength of the regression model. The significance level for interpreting results is set at 5% (p &lt; 0.05).</w:t>
      </w:r>
    </w:p>
    <w:p w14:paraId="500488BA" w14:textId="77777777" w:rsidR="008905CB" w:rsidRPr="00C211D3" w:rsidRDefault="008905CB" w:rsidP="008905CB">
      <w:pPr>
        <w:pStyle w:val="Heading2"/>
        <w:rPr>
          <w:rFonts w:ascii="Times New Roman" w:hAnsi="Times New Roman" w:cs="Times New Roman"/>
          <w:b/>
          <w:bCs/>
          <w:color w:val="auto"/>
          <w:sz w:val="24"/>
          <w:szCs w:val="24"/>
        </w:rPr>
      </w:pPr>
      <w:bookmarkStart w:id="32" w:name="_Toc215492702"/>
      <w:bookmarkStart w:id="33" w:name="_Toc215492786"/>
      <w:r w:rsidRPr="00C211D3">
        <w:rPr>
          <w:rFonts w:ascii="Times New Roman" w:hAnsi="Times New Roman" w:cs="Times New Roman"/>
          <w:b/>
          <w:bCs/>
          <w:color w:val="auto"/>
          <w:sz w:val="24"/>
          <w:szCs w:val="24"/>
        </w:rPr>
        <w:t>4.0 Results and Analysis</w:t>
      </w:r>
      <w:bookmarkEnd w:id="32"/>
      <w:bookmarkEnd w:id="33"/>
    </w:p>
    <w:p w14:paraId="58FE314B" w14:textId="77777777" w:rsidR="008905CB" w:rsidRPr="00C211D3" w:rsidRDefault="008905CB" w:rsidP="008905CB">
      <w:pPr>
        <w:pStyle w:val="Heading2"/>
        <w:rPr>
          <w:rFonts w:ascii="Times New Roman" w:hAnsi="Times New Roman" w:cs="Times New Roman"/>
          <w:b/>
          <w:bCs/>
          <w:color w:val="auto"/>
          <w:sz w:val="24"/>
          <w:szCs w:val="24"/>
        </w:rPr>
      </w:pPr>
      <w:bookmarkStart w:id="34" w:name="_Toc215492703"/>
      <w:bookmarkStart w:id="35" w:name="_Toc215492787"/>
      <w:r w:rsidRPr="00C211D3">
        <w:rPr>
          <w:rFonts w:ascii="Times New Roman" w:hAnsi="Times New Roman" w:cs="Times New Roman"/>
          <w:b/>
          <w:bCs/>
          <w:color w:val="auto"/>
          <w:sz w:val="24"/>
          <w:szCs w:val="24"/>
        </w:rPr>
        <w:t>4.1 Descriptive Statistics</w:t>
      </w:r>
      <w:bookmarkEnd w:id="34"/>
      <w:bookmarkEnd w:id="35"/>
    </w:p>
    <w:p w14:paraId="2AB5EF67" w14:textId="3EF51AA0"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descriptive statistics provide an overview of respondents’ demographic characteristics and their perceptions of budget credibility, financial accountability, and service delivery in the selected local governments in Ekiti State. The data were analyzed using SPSS, and the results are presented in Table 1.</w:t>
      </w:r>
    </w:p>
    <w:p w14:paraId="20ADFE23"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1: Descriptive Statistics of Key Variables</w:t>
      </w:r>
    </w:p>
    <w:tbl>
      <w:tblPr>
        <w:tblW w:w="962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641"/>
        <w:gridCol w:w="1015"/>
        <w:gridCol w:w="1545"/>
        <w:gridCol w:w="1739"/>
        <w:gridCol w:w="1180"/>
      </w:tblGrid>
      <w:tr w:rsidR="008905CB" w:rsidRPr="00C211D3" w14:paraId="175351BC" w14:textId="77777777" w:rsidTr="008F06EA">
        <w:trPr>
          <w:tblHeader/>
        </w:trPr>
        <w:tc>
          <w:tcPr>
            <w:tcW w:w="3505" w:type="dxa"/>
            <w:tcBorders>
              <w:top w:val="single" w:sz="4" w:space="0" w:color="auto"/>
              <w:bottom w:val="single" w:sz="4" w:space="0" w:color="auto"/>
            </w:tcBorders>
            <w:noWrap/>
            <w:vAlign w:val="bottom"/>
            <w:hideMark/>
          </w:tcPr>
          <w:p w14:paraId="4DFB55A3"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3E112EA6"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N</w:t>
            </w:r>
          </w:p>
        </w:tc>
        <w:tc>
          <w:tcPr>
            <w:tcW w:w="0" w:type="auto"/>
            <w:tcBorders>
              <w:top w:val="single" w:sz="4" w:space="0" w:color="auto"/>
              <w:bottom w:val="single" w:sz="4" w:space="0" w:color="auto"/>
            </w:tcBorders>
            <w:noWrap/>
            <w:vAlign w:val="bottom"/>
            <w:hideMark/>
          </w:tcPr>
          <w:p w14:paraId="34376761"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Mean</w:t>
            </w:r>
          </w:p>
        </w:tc>
        <w:tc>
          <w:tcPr>
            <w:tcW w:w="1545" w:type="dxa"/>
            <w:tcBorders>
              <w:top w:val="single" w:sz="4" w:space="0" w:color="auto"/>
              <w:bottom w:val="single" w:sz="4" w:space="0" w:color="auto"/>
            </w:tcBorders>
            <w:noWrap/>
            <w:vAlign w:val="bottom"/>
            <w:hideMark/>
          </w:tcPr>
          <w:p w14:paraId="4C85BC3E"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Deviation</w:t>
            </w:r>
          </w:p>
        </w:tc>
        <w:tc>
          <w:tcPr>
            <w:tcW w:w="0" w:type="auto"/>
            <w:tcBorders>
              <w:top w:val="single" w:sz="4" w:space="0" w:color="auto"/>
              <w:bottom w:val="single" w:sz="4" w:space="0" w:color="auto"/>
            </w:tcBorders>
            <w:noWrap/>
            <w:vAlign w:val="bottom"/>
            <w:hideMark/>
          </w:tcPr>
          <w:p w14:paraId="419385B8"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Minimum</w:t>
            </w:r>
          </w:p>
        </w:tc>
        <w:tc>
          <w:tcPr>
            <w:tcW w:w="1180" w:type="dxa"/>
            <w:tcBorders>
              <w:top w:val="single" w:sz="4" w:space="0" w:color="auto"/>
              <w:bottom w:val="single" w:sz="4" w:space="0" w:color="auto"/>
            </w:tcBorders>
            <w:noWrap/>
            <w:vAlign w:val="bottom"/>
            <w:hideMark/>
          </w:tcPr>
          <w:p w14:paraId="537DAC99"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Maximum</w:t>
            </w:r>
          </w:p>
        </w:tc>
      </w:tr>
      <w:tr w:rsidR="008905CB" w:rsidRPr="00C211D3" w14:paraId="54D1E15C" w14:textId="77777777" w:rsidTr="008F06EA">
        <w:tc>
          <w:tcPr>
            <w:tcW w:w="3505" w:type="dxa"/>
            <w:tcBorders>
              <w:top w:val="single" w:sz="4" w:space="0" w:color="auto"/>
            </w:tcBorders>
            <w:vAlign w:val="bottom"/>
            <w:hideMark/>
          </w:tcPr>
          <w:p w14:paraId="72735F3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Budget Credibility</w:t>
            </w:r>
          </w:p>
        </w:tc>
        <w:tc>
          <w:tcPr>
            <w:tcW w:w="0" w:type="auto"/>
            <w:tcBorders>
              <w:top w:val="single" w:sz="4" w:space="0" w:color="auto"/>
            </w:tcBorders>
            <w:vAlign w:val="bottom"/>
            <w:hideMark/>
          </w:tcPr>
          <w:p w14:paraId="4F1839C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tcBorders>
              <w:top w:val="single" w:sz="4" w:space="0" w:color="auto"/>
            </w:tcBorders>
            <w:vAlign w:val="bottom"/>
            <w:hideMark/>
          </w:tcPr>
          <w:p w14:paraId="6F6DC36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2.85</w:t>
            </w:r>
          </w:p>
        </w:tc>
        <w:tc>
          <w:tcPr>
            <w:tcW w:w="1545" w:type="dxa"/>
            <w:tcBorders>
              <w:top w:val="single" w:sz="4" w:space="0" w:color="auto"/>
            </w:tcBorders>
            <w:vAlign w:val="bottom"/>
            <w:hideMark/>
          </w:tcPr>
          <w:p w14:paraId="60EF7D5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0.78</w:t>
            </w:r>
          </w:p>
        </w:tc>
        <w:tc>
          <w:tcPr>
            <w:tcW w:w="0" w:type="auto"/>
            <w:tcBorders>
              <w:top w:val="single" w:sz="4" w:space="0" w:color="auto"/>
            </w:tcBorders>
            <w:vAlign w:val="bottom"/>
            <w:hideMark/>
          </w:tcPr>
          <w:p w14:paraId="5EA89B4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tcBorders>
              <w:top w:val="single" w:sz="4" w:space="0" w:color="auto"/>
            </w:tcBorders>
            <w:vAlign w:val="bottom"/>
            <w:hideMark/>
          </w:tcPr>
          <w:p w14:paraId="05597B0A"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r w:rsidR="008905CB" w:rsidRPr="00C211D3" w14:paraId="32C3DB60" w14:textId="77777777" w:rsidTr="008F06EA">
        <w:tc>
          <w:tcPr>
            <w:tcW w:w="3505" w:type="dxa"/>
            <w:vAlign w:val="bottom"/>
            <w:hideMark/>
          </w:tcPr>
          <w:p w14:paraId="12BF5F2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Financial Accountability</w:t>
            </w:r>
          </w:p>
        </w:tc>
        <w:tc>
          <w:tcPr>
            <w:tcW w:w="0" w:type="auto"/>
            <w:vAlign w:val="bottom"/>
            <w:hideMark/>
          </w:tcPr>
          <w:p w14:paraId="52B19DF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vAlign w:val="bottom"/>
            <w:hideMark/>
          </w:tcPr>
          <w:p w14:paraId="0305642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3.12</w:t>
            </w:r>
          </w:p>
        </w:tc>
        <w:tc>
          <w:tcPr>
            <w:tcW w:w="1545" w:type="dxa"/>
            <w:vAlign w:val="bottom"/>
            <w:hideMark/>
          </w:tcPr>
          <w:p w14:paraId="00DEC1D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0.65</w:t>
            </w:r>
          </w:p>
        </w:tc>
        <w:tc>
          <w:tcPr>
            <w:tcW w:w="0" w:type="auto"/>
            <w:vAlign w:val="bottom"/>
            <w:hideMark/>
          </w:tcPr>
          <w:p w14:paraId="7CC03BDC"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vAlign w:val="bottom"/>
            <w:hideMark/>
          </w:tcPr>
          <w:p w14:paraId="75C5726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r w:rsidR="008905CB" w:rsidRPr="00C211D3" w14:paraId="094F5FF4" w14:textId="77777777" w:rsidTr="008F06EA">
        <w:tc>
          <w:tcPr>
            <w:tcW w:w="3505" w:type="dxa"/>
            <w:vAlign w:val="bottom"/>
            <w:hideMark/>
          </w:tcPr>
          <w:p w14:paraId="1EC3BDA1"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Service Delivery</w:t>
            </w:r>
          </w:p>
        </w:tc>
        <w:tc>
          <w:tcPr>
            <w:tcW w:w="0" w:type="auto"/>
            <w:vAlign w:val="bottom"/>
            <w:hideMark/>
          </w:tcPr>
          <w:p w14:paraId="564E957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vAlign w:val="bottom"/>
            <w:hideMark/>
          </w:tcPr>
          <w:p w14:paraId="1FC8D71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2.97</w:t>
            </w:r>
          </w:p>
        </w:tc>
        <w:tc>
          <w:tcPr>
            <w:tcW w:w="1545" w:type="dxa"/>
            <w:vAlign w:val="bottom"/>
            <w:hideMark/>
          </w:tcPr>
          <w:p w14:paraId="76F1480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0.72</w:t>
            </w:r>
          </w:p>
        </w:tc>
        <w:tc>
          <w:tcPr>
            <w:tcW w:w="0" w:type="auto"/>
            <w:vAlign w:val="bottom"/>
            <w:hideMark/>
          </w:tcPr>
          <w:p w14:paraId="216616BB"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vAlign w:val="bottom"/>
            <w:hideMark/>
          </w:tcPr>
          <w:p w14:paraId="6482CF1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bl>
    <w:p w14:paraId="4520C8C4" w14:textId="77777777" w:rsidR="008905CB" w:rsidRPr="00C211D3" w:rsidRDefault="008905CB" w:rsidP="008905CB">
      <w:pPr>
        <w:rPr>
          <w:rFonts w:ascii="Times New Roman" w:hAnsi="Times New Roman" w:cs="Times New Roman"/>
          <w:b/>
          <w:bCs/>
          <w:i/>
          <w:iCs/>
        </w:rPr>
      </w:pPr>
      <w:r w:rsidRPr="00C211D3">
        <w:rPr>
          <w:rFonts w:ascii="Times New Roman" w:hAnsi="Times New Roman" w:cs="Times New Roman"/>
          <w:b/>
          <w:bCs/>
          <w:i/>
          <w:iCs/>
        </w:rPr>
        <w:t>Source: SPSS Output, 2025</w:t>
      </w:r>
    </w:p>
    <w:p w14:paraId="15C2D8B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the analysis above, Budget Credibility with the mean score of 2.85 (on a 4-point Likert scale) indicates a moderate perception of budget credibility among respondents. This suggests that while some budgets are implemented as approved, there are noticeable deviations and challenges in budget execution within the selected LGAs. The standard deviation of 0.78 shows moderate variability in responses, indicating differing experiences or perceptions among staff.</w:t>
      </w:r>
    </w:p>
    <w:p w14:paraId="6F012305"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Financial Accountability also showed a mean of 3.12, respondents generally perceive financial accountability practices to be somewhat effective in their local governments. This higher mean relative to budget credibility suggests that despite some budget implementation issues, mechanisms for financial reporting, compliance, and audit responsiveness are relatively stronger. The standard deviation of 0.65 indicates a fairly consistent perception across respondents.</w:t>
      </w:r>
    </w:p>
    <w:p w14:paraId="19A973A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Alos, Service Delivery with the mean score of 2.97 reflects a moderate level of satisfaction with service delivery outcomes. This suggests that service delivery is neither poor nor excellent but falls somewhere in between, likely influenced by the level of budget credibility and financial accountability. The standard deviation of 0.72 indicates some variation in perceptions, possibly due to differences in service quality across departments or LGAs.</w:t>
      </w:r>
    </w:p>
    <w:p w14:paraId="14C6727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lastRenderedPageBreak/>
        <w:t>The descriptive statistics reveal that while financial accountability is perceived as relatively stronger, budget credibility and service delivery outcomes require improvement to meet the expectations of local government staff and the communities they serve.</w:t>
      </w:r>
    </w:p>
    <w:p w14:paraId="1C21D377" w14:textId="77777777" w:rsidR="008905CB" w:rsidRPr="00C211D3" w:rsidRDefault="008905CB" w:rsidP="008905CB">
      <w:pPr>
        <w:pStyle w:val="Heading2"/>
        <w:rPr>
          <w:rFonts w:ascii="Times New Roman" w:hAnsi="Times New Roman" w:cs="Times New Roman"/>
          <w:b/>
          <w:bCs/>
          <w:color w:val="auto"/>
          <w:sz w:val="24"/>
          <w:szCs w:val="24"/>
        </w:rPr>
      </w:pPr>
      <w:bookmarkStart w:id="36" w:name="_Toc215492704"/>
      <w:bookmarkStart w:id="37" w:name="_Toc215492788"/>
      <w:r w:rsidRPr="00C211D3">
        <w:rPr>
          <w:rFonts w:ascii="Times New Roman" w:hAnsi="Times New Roman" w:cs="Times New Roman"/>
          <w:b/>
          <w:bCs/>
          <w:color w:val="auto"/>
          <w:sz w:val="24"/>
          <w:szCs w:val="24"/>
        </w:rPr>
        <w:t>4.2 Inferential Statistics</w:t>
      </w:r>
      <w:bookmarkEnd w:id="36"/>
      <w:bookmarkEnd w:id="37"/>
    </w:p>
    <w:p w14:paraId="58BA315A" w14:textId="77777777" w:rsidR="008905CB" w:rsidRPr="00C211D3" w:rsidRDefault="008905CB" w:rsidP="008905CB">
      <w:pPr>
        <w:pStyle w:val="Heading2"/>
        <w:rPr>
          <w:rFonts w:ascii="Times New Roman" w:hAnsi="Times New Roman" w:cs="Times New Roman"/>
          <w:b/>
          <w:bCs/>
          <w:color w:val="auto"/>
          <w:sz w:val="24"/>
          <w:szCs w:val="24"/>
        </w:rPr>
      </w:pPr>
      <w:bookmarkStart w:id="38" w:name="_Toc215492705"/>
      <w:bookmarkStart w:id="39" w:name="_Toc215492789"/>
      <w:r w:rsidRPr="00C211D3">
        <w:rPr>
          <w:rFonts w:ascii="Times New Roman" w:hAnsi="Times New Roman" w:cs="Times New Roman"/>
          <w:b/>
          <w:bCs/>
          <w:color w:val="auto"/>
          <w:sz w:val="24"/>
          <w:szCs w:val="24"/>
        </w:rPr>
        <w:t>4.2.1 Pearson Correlation Analysis</w:t>
      </w:r>
      <w:bookmarkEnd w:id="38"/>
      <w:bookmarkEnd w:id="39"/>
    </w:p>
    <w:p w14:paraId="7A04419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Pearson correlation analysis was conducted to examine the relationships between budget credibility, financial accountability, and service delivery in the selected local governments in Ekiti State. The results are presented in Table 2.</w:t>
      </w:r>
    </w:p>
    <w:p w14:paraId="487CC4AD"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Table 2: Pearson Correlation Matrix</w:t>
      </w:r>
    </w:p>
    <w:tbl>
      <w:tblPr>
        <w:tblW w:w="962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07"/>
        <w:gridCol w:w="2160"/>
        <w:gridCol w:w="1679"/>
        <w:gridCol w:w="1381"/>
      </w:tblGrid>
      <w:tr w:rsidR="00E2798A" w:rsidRPr="00E2798A" w14:paraId="18342A60" w14:textId="77777777" w:rsidTr="000D1BF4">
        <w:tc>
          <w:tcPr>
            <w:tcW w:w="4407" w:type="dxa"/>
            <w:tcBorders>
              <w:top w:val="single" w:sz="4" w:space="0" w:color="auto"/>
              <w:bottom w:val="single" w:sz="4" w:space="0" w:color="auto"/>
            </w:tcBorders>
            <w:noWrap/>
            <w:vAlign w:val="bottom"/>
            <w:hideMark/>
          </w:tcPr>
          <w:p w14:paraId="7591FC55"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Variables</w:t>
            </w:r>
          </w:p>
        </w:tc>
        <w:tc>
          <w:tcPr>
            <w:tcW w:w="2160" w:type="dxa"/>
            <w:tcBorders>
              <w:top w:val="single" w:sz="4" w:space="0" w:color="auto"/>
              <w:bottom w:val="single" w:sz="4" w:space="0" w:color="auto"/>
            </w:tcBorders>
            <w:noWrap/>
            <w:vAlign w:val="bottom"/>
            <w:hideMark/>
          </w:tcPr>
          <w:p w14:paraId="7C8A40C3"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1</w:t>
            </w:r>
          </w:p>
        </w:tc>
        <w:tc>
          <w:tcPr>
            <w:tcW w:w="0" w:type="auto"/>
            <w:tcBorders>
              <w:top w:val="single" w:sz="4" w:space="0" w:color="auto"/>
              <w:bottom w:val="single" w:sz="4" w:space="0" w:color="auto"/>
            </w:tcBorders>
            <w:noWrap/>
            <w:vAlign w:val="bottom"/>
            <w:hideMark/>
          </w:tcPr>
          <w:p w14:paraId="5EE36AA8"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2</w:t>
            </w:r>
          </w:p>
        </w:tc>
        <w:tc>
          <w:tcPr>
            <w:tcW w:w="1381" w:type="dxa"/>
            <w:tcBorders>
              <w:top w:val="single" w:sz="4" w:space="0" w:color="auto"/>
              <w:bottom w:val="single" w:sz="4" w:space="0" w:color="auto"/>
            </w:tcBorders>
            <w:noWrap/>
            <w:vAlign w:val="bottom"/>
            <w:hideMark/>
          </w:tcPr>
          <w:p w14:paraId="557F8593"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3</w:t>
            </w:r>
          </w:p>
        </w:tc>
      </w:tr>
      <w:tr w:rsidR="00E2798A" w:rsidRPr="00E2798A" w14:paraId="4CC68F3A" w14:textId="77777777" w:rsidTr="000D1BF4">
        <w:tc>
          <w:tcPr>
            <w:tcW w:w="4407" w:type="dxa"/>
            <w:tcBorders>
              <w:top w:val="single" w:sz="4" w:space="0" w:color="auto"/>
            </w:tcBorders>
            <w:vAlign w:val="bottom"/>
            <w:hideMark/>
          </w:tcPr>
          <w:p w14:paraId="244A73C7"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 Service Delivery</w:t>
            </w:r>
          </w:p>
        </w:tc>
        <w:tc>
          <w:tcPr>
            <w:tcW w:w="2160" w:type="dxa"/>
            <w:tcBorders>
              <w:top w:val="single" w:sz="4" w:space="0" w:color="auto"/>
            </w:tcBorders>
            <w:vAlign w:val="bottom"/>
            <w:hideMark/>
          </w:tcPr>
          <w:p w14:paraId="57485708"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c>
          <w:tcPr>
            <w:tcW w:w="0" w:type="auto"/>
            <w:tcBorders>
              <w:top w:val="single" w:sz="4" w:space="0" w:color="auto"/>
            </w:tcBorders>
            <w:vAlign w:val="bottom"/>
            <w:hideMark/>
          </w:tcPr>
          <w:p w14:paraId="0D3FC186" w14:textId="77777777" w:rsidR="00E2798A" w:rsidRPr="00E2798A" w:rsidRDefault="00E2798A" w:rsidP="00E2798A">
            <w:pPr>
              <w:jc w:val="both"/>
              <w:rPr>
                <w:rFonts w:ascii="Times New Roman" w:hAnsi="Times New Roman" w:cs="Times New Roman"/>
              </w:rPr>
            </w:pPr>
          </w:p>
        </w:tc>
        <w:tc>
          <w:tcPr>
            <w:tcW w:w="1381" w:type="dxa"/>
            <w:tcBorders>
              <w:top w:val="single" w:sz="4" w:space="0" w:color="auto"/>
            </w:tcBorders>
            <w:vAlign w:val="bottom"/>
            <w:hideMark/>
          </w:tcPr>
          <w:p w14:paraId="61EFEF92" w14:textId="77777777" w:rsidR="00E2798A" w:rsidRPr="00E2798A" w:rsidRDefault="00E2798A" w:rsidP="00E2798A">
            <w:pPr>
              <w:jc w:val="both"/>
              <w:rPr>
                <w:rFonts w:ascii="Times New Roman" w:hAnsi="Times New Roman" w:cs="Times New Roman"/>
              </w:rPr>
            </w:pPr>
          </w:p>
        </w:tc>
      </w:tr>
      <w:tr w:rsidR="00E2798A" w:rsidRPr="00E2798A" w14:paraId="56C3A883" w14:textId="77777777" w:rsidTr="000D1BF4">
        <w:tc>
          <w:tcPr>
            <w:tcW w:w="4407" w:type="dxa"/>
            <w:vAlign w:val="bottom"/>
            <w:hideMark/>
          </w:tcPr>
          <w:p w14:paraId="78718014"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2. Budget Credibility</w:t>
            </w:r>
          </w:p>
        </w:tc>
        <w:tc>
          <w:tcPr>
            <w:tcW w:w="2160" w:type="dxa"/>
            <w:vAlign w:val="bottom"/>
            <w:hideMark/>
          </w:tcPr>
          <w:p w14:paraId="354B8191" w14:textId="7CDE94FB" w:rsidR="00E2798A" w:rsidRPr="00E2798A" w:rsidRDefault="00E2798A" w:rsidP="00E2798A">
            <w:pPr>
              <w:jc w:val="both"/>
              <w:rPr>
                <w:rFonts w:ascii="Times New Roman" w:hAnsi="Times New Roman" w:cs="Times New Roman"/>
              </w:rPr>
            </w:pPr>
            <w:r w:rsidRPr="00E2798A">
              <w:rPr>
                <w:rFonts w:ascii="Times New Roman" w:hAnsi="Times New Roman" w:cs="Times New Roman"/>
              </w:rPr>
              <w:t>.58</w:t>
            </w:r>
            <w:r w:rsidR="008C2111" w:rsidRPr="00C211D3">
              <w:rPr>
                <w:rFonts w:ascii="Times New Roman" w:hAnsi="Times New Roman" w:cs="Times New Roman"/>
              </w:rPr>
              <w:t>103</w:t>
            </w:r>
          </w:p>
        </w:tc>
        <w:tc>
          <w:tcPr>
            <w:tcW w:w="0" w:type="auto"/>
            <w:vAlign w:val="bottom"/>
            <w:hideMark/>
          </w:tcPr>
          <w:p w14:paraId="2CB66CB9"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c>
          <w:tcPr>
            <w:tcW w:w="1381" w:type="dxa"/>
            <w:vAlign w:val="bottom"/>
            <w:hideMark/>
          </w:tcPr>
          <w:p w14:paraId="6D75AEE6" w14:textId="77777777" w:rsidR="00E2798A" w:rsidRPr="00E2798A" w:rsidRDefault="00E2798A" w:rsidP="00E2798A">
            <w:pPr>
              <w:jc w:val="both"/>
              <w:rPr>
                <w:rFonts w:ascii="Times New Roman" w:hAnsi="Times New Roman" w:cs="Times New Roman"/>
              </w:rPr>
            </w:pPr>
          </w:p>
        </w:tc>
      </w:tr>
      <w:tr w:rsidR="00E2798A" w:rsidRPr="00E2798A" w14:paraId="7AA4D585" w14:textId="77777777" w:rsidTr="000D1BF4">
        <w:tc>
          <w:tcPr>
            <w:tcW w:w="4407" w:type="dxa"/>
            <w:vAlign w:val="bottom"/>
            <w:hideMark/>
          </w:tcPr>
          <w:p w14:paraId="2B248647"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3. Financial Accountability</w:t>
            </w:r>
          </w:p>
        </w:tc>
        <w:tc>
          <w:tcPr>
            <w:tcW w:w="2160" w:type="dxa"/>
            <w:vAlign w:val="bottom"/>
            <w:hideMark/>
          </w:tcPr>
          <w:p w14:paraId="33401FB8" w14:textId="6AD4108B" w:rsidR="00E2798A" w:rsidRPr="00E2798A" w:rsidRDefault="00E2798A" w:rsidP="00E2798A">
            <w:pPr>
              <w:jc w:val="both"/>
              <w:rPr>
                <w:rFonts w:ascii="Times New Roman" w:hAnsi="Times New Roman" w:cs="Times New Roman"/>
              </w:rPr>
            </w:pPr>
            <w:r w:rsidRPr="00E2798A">
              <w:rPr>
                <w:rFonts w:ascii="Times New Roman" w:hAnsi="Times New Roman" w:cs="Times New Roman"/>
              </w:rPr>
              <w:t>.72</w:t>
            </w:r>
            <w:r w:rsidR="008C2111" w:rsidRPr="00C211D3">
              <w:rPr>
                <w:rFonts w:ascii="Times New Roman" w:hAnsi="Times New Roman" w:cs="Times New Roman"/>
              </w:rPr>
              <w:t>293</w:t>
            </w:r>
          </w:p>
        </w:tc>
        <w:tc>
          <w:tcPr>
            <w:tcW w:w="0" w:type="auto"/>
            <w:vAlign w:val="bottom"/>
            <w:hideMark/>
          </w:tcPr>
          <w:p w14:paraId="3E0DAC16" w14:textId="17771893" w:rsidR="00E2798A" w:rsidRPr="00E2798A" w:rsidRDefault="00E2798A" w:rsidP="00E2798A">
            <w:pPr>
              <w:jc w:val="both"/>
              <w:rPr>
                <w:rFonts w:ascii="Times New Roman" w:hAnsi="Times New Roman" w:cs="Times New Roman"/>
              </w:rPr>
            </w:pPr>
            <w:r w:rsidRPr="00E2798A">
              <w:rPr>
                <w:rFonts w:ascii="Times New Roman" w:hAnsi="Times New Roman" w:cs="Times New Roman"/>
              </w:rPr>
              <w:t>.65</w:t>
            </w:r>
            <w:r w:rsidR="008C2111" w:rsidRPr="00C211D3">
              <w:rPr>
                <w:rFonts w:ascii="Times New Roman" w:hAnsi="Times New Roman" w:cs="Times New Roman"/>
              </w:rPr>
              <w:t>102</w:t>
            </w:r>
          </w:p>
        </w:tc>
        <w:tc>
          <w:tcPr>
            <w:tcW w:w="1381" w:type="dxa"/>
            <w:vAlign w:val="bottom"/>
            <w:hideMark/>
          </w:tcPr>
          <w:p w14:paraId="2D8FA475"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r>
    </w:tbl>
    <w:p w14:paraId="4267C3DB" w14:textId="2203C505" w:rsidR="00E2798A" w:rsidRPr="00E2798A" w:rsidRDefault="00E2798A" w:rsidP="00E2798A">
      <w:pPr>
        <w:jc w:val="both"/>
        <w:rPr>
          <w:rFonts w:ascii="Times New Roman" w:hAnsi="Times New Roman" w:cs="Times New Roman"/>
        </w:rPr>
      </w:pPr>
      <w:r w:rsidRPr="00E2798A">
        <w:rPr>
          <w:rFonts w:ascii="Times New Roman" w:hAnsi="Times New Roman" w:cs="Times New Roman"/>
        </w:rPr>
        <w:t>N = 100;</w:t>
      </w:r>
    </w:p>
    <w:p w14:paraId="7FEE58EB"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The Pearson correlation analysis (Table 2) reveals significant positive relationships among the study variables. Service delivery, the dependent variable, is moderately correlated with budget credibility (r = 0.58, p &lt; 0.01) and strongly correlated with financial accountability (r = 0.72, p &lt; 0.01). Additionally, budget credibility and financial accountability are also strongly correlated with each other (r = 0.65, p &lt; 0.01).</w:t>
      </w:r>
    </w:p>
    <w:p w14:paraId="21991020" w14:textId="55F35058" w:rsidR="008905CB" w:rsidRPr="00C211D3" w:rsidRDefault="00E2798A" w:rsidP="008905CB">
      <w:pPr>
        <w:jc w:val="both"/>
        <w:rPr>
          <w:rFonts w:ascii="Times New Roman" w:hAnsi="Times New Roman" w:cs="Times New Roman"/>
        </w:rPr>
      </w:pPr>
      <w:r w:rsidRPr="00E2798A">
        <w:rPr>
          <w:rFonts w:ascii="Times New Roman" w:hAnsi="Times New Roman" w:cs="Times New Roman"/>
        </w:rPr>
        <w:t>These results indicate that improvements in budget credibility and financial accountability are both associated with better service delivery outcomes in the selected local governments. All correlations are statistically significant at the 1% level, supporting the premise that budget credibility and financial accountability are important predictors of service delivery quality, as further examined in the regression analysis.</w:t>
      </w:r>
    </w:p>
    <w:p w14:paraId="080C54E0" w14:textId="77777777" w:rsidR="008905CB" w:rsidRPr="00C211D3" w:rsidRDefault="008905CB" w:rsidP="008905CB">
      <w:pPr>
        <w:pStyle w:val="Heading2"/>
        <w:rPr>
          <w:rFonts w:ascii="Times New Roman" w:hAnsi="Times New Roman" w:cs="Times New Roman"/>
          <w:b/>
          <w:bCs/>
          <w:color w:val="auto"/>
          <w:sz w:val="24"/>
          <w:szCs w:val="24"/>
        </w:rPr>
      </w:pPr>
      <w:bookmarkStart w:id="40" w:name="_Toc215492706"/>
      <w:bookmarkStart w:id="41" w:name="_Toc215492790"/>
      <w:r w:rsidRPr="00C211D3">
        <w:rPr>
          <w:rFonts w:ascii="Times New Roman" w:hAnsi="Times New Roman" w:cs="Times New Roman"/>
          <w:b/>
          <w:bCs/>
          <w:color w:val="auto"/>
          <w:sz w:val="24"/>
          <w:szCs w:val="24"/>
        </w:rPr>
        <w:t>4.2.2 Multiple Regression Analysis</w:t>
      </w:r>
      <w:bookmarkEnd w:id="40"/>
      <w:bookmarkEnd w:id="41"/>
    </w:p>
    <w:p w14:paraId="5C20C02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Multiple regression analysis was conducted to assess the impact of budget credibility and financial accountability on service delivery in the selected local governments in Ekiti State. The results are presented in Tables 3 and 4.</w:t>
      </w:r>
    </w:p>
    <w:p w14:paraId="6F78B3DE"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3: Model Summary</w:t>
      </w:r>
    </w:p>
    <w:tbl>
      <w:tblPr>
        <w:tblW w:w="91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9"/>
        <w:gridCol w:w="775"/>
        <w:gridCol w:w="1711"/>
        <w:gridCol w:w="2452"/>
        <w:gridCol w:w="3060"/>
      </w:tblGrid>
      <w:tr w:rsidR="008905CB" w:rsidRPr="00C211D3" w14:paraId="61254972" w14:textId="77777777" w:rsidTr="000D1BF4">
        <w:tc>
          <w:tcPr>
            <w:tcW w:w="0" w:type="auto"/>
            <w:tcBorders>
              <w:top w:val="single" w:sz="4" w:space="0" w:color="auto"/>
              <w:bottom w:val="single" w:sz="4" w:space="0" w:color="auto"/>
            </w:tcBorders>
            <w:noWrap/>
            <w:vAlign w:val="bottom"/>
            <w:hideMark/>
          </w:tcPr>
          <w:p w14:paraId="049936B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Model</w:t>
            </w:r>
          </w:p>
        </w:tc>
        <w:tc>
          <w:tcPr>
            <w:tcW w:w="0" w:type="auto"/>
            <w:tcBorders>
              <w:top w:val="single" w:sz="4" w:space="0" w:color="auto"/>
              <w:bottom w:val="single" w:sz="4" w:space="0" w:color="auto"/>
            </w:tcBorders>
            <w:noWrap/>
            <w:vAlign w:val="bottom"/>
            <w:hideMark/>
          </w:tcPr>
          <w:p w14:paraId="04D5206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R</w:t>
            </w:r>
          </w:p>
        </w:tc>
        <w:tc>
          <w:tcPr>
            <w:tcW w:w="0" w:type="auto"/>
            <w:tcBorders>
              <w:top w:val="single" w:sz="4" w:space="0" w:color="auto"/>
              <w:bottom w:val="single" w:sz="4" w:space="0" w:color="auto"/>
            </w:tcBorders>
            <w:noWrap/>
            <w:vAlign w:val="bottom"/>
            <w:hideMark/>
          </w:tcPr>
          <w:p w14:paraId="7F4947BD"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R Square</w:t>
            </w:r>
          </w:p>
        </w:tc>
        <w:tc>
          <w:tcPr>
            <w:tcW w:w="2452" w:type="dxa"/>
            <w:tcBorders>
              <w:top w:val="single" w:sz="4" w:space="0" w:color="auto"/>
              <w:bottom w:val="single" w:sz="4" w:space="0" w:color="auto"/>
            </w:tcBorders>
            <w:noWrap/>
            <w:vAlign w:val="bottom"/>
            <w:hideMark/>
          </w:tcPr>
          <w:p w14:paraId="39521792"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Adjusted R Square</w:t>
            </w:r>
          </w:p>
        </w:tc>
        <w:tc>
          <w:tcPr>
            <w:tcW w:w="3060" w:type="dxa"/>
            <w:tcBorders>
              <w:top w:val="single" w:sz="4" w:space="0" w:color="auto"/>
              <w:bottom w:val="single" w:sz="4" w:space="0" w:color="auto"/>
            </w:tcBorders>
            <w:noWrap/>
            <w:vAlign w:val="bottom"/>
            <w:hideMark/>
          </w:tcPr>
          <w:p w14:paraId="1D5F03E6"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Error of the Estimate</w:t>
            </w:r>
          </w:p>
        </w:tc>
      </w:tr>
      <w:tr w:rsidR="008905CB" w:rsidRPr="00C211D3" w14:paraId="354B4A52" w14:textId="77777777" w:rsidTr="008F06EA">
        <w:tc>
          <w:tcPr>
            <w:tcW w:w="0" w:type="auto"/>
            <w:tcBorders>
              <w:top w:val="single" w:sz="4" w:space="0" w:color="auto"/>
            </w:tcBorders>
            <w:vAlign w:val="bottom"/>
            <w:hideMark/>
          </w:tcPr>
          <w:p w14:paraId="6E7F91C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0" w:type="auto"/>
            <w:tcBorders>
              <w:top w:val="single" w:sz="4" w:space="0" w:color="auto"/>
            </w:tcBorders>
            <w:vAlign w:val="bottom"/>
            <w:hideMark/>
          </w:tcPr>
          <w:p w14:paraId="2F08405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.787</w:t>
            </w:r>
          </w:p>
        </w:tc>
        <w:tc>
          <w:tcPr>
            <w:tcW w:w="0" w:type="auto"/>
            <w:tcBorders>
              <w:top w:val="single" w:sz="4" w:space="0" w:color="auto"/>
            </w:tcBorders>
            <w:vAlign w:val="bottom"/>
            <w:hideMark/>
          </w:tcPr>
          <w:p w14:paraId="6A98C9D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.619</w:t>
            </w:r>
          </w:p>
        </w:tc>
        <w:tc>
          <w:tcPr>
            <w:tcW w:w="2452" w:type="dxa"/>
            <w:tcBorders>
              <w:top w:val="single" w:sz="4" w:space="0" w:color="auto"/>
            </w:tcBorders>
            <w:vAlign w:val="bottom"/>
            <w:hideMark/>
          </w:tcPr>
          <w:p w14:paraId="0283B8C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.608</w:t>
            </w:r>
          </w:p>
        </w:tc>
        <w:tc>
          <w:tcPr>
            <w:tcW w:w="3060" w:type="dxa"/>
            <w:tcBorders>
              <w:top w:val="single" w:sz="4" w:space="0" w:color="auto"/>
            </w:tcBorders>
            <w:vAlign w:val="bottom"/>
            <w:hideMark/>
          </w:tcPr>
          <w:p w14:paraId="1253D62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.452</w:t>
            </w:r>
          </w:p>
        </w:tc>
      </w:tr>
    </w:tbl>
    <w:p w14:paraId="246F0674" w14:textId="77777777" w:rsidR="008905CB" w:rsidRPr="00C211D3" w:rsidRDefault="008905CB" w:rsidP="008905CB">
      <w:pPr>
        <w:rPr>
          <w:rFonts w:ascii="Times New Roman" w:hAnsi="Times New Roman" w:cs="Times New Roman"/>
          <w:b/>
          <w:bCs/>
        </w:rPr>
      </w:pPr>
      <w:r w:rsidRPr="00C211D3">
        <w:rPr>
          <w:rFonts w:ascii="Times New Roman" w:hAnsi="Times New Roman" w:cs="Times New Roman"/>
          <w:b/>
          <w:bCs/>
          <w:i/>
          <w:iCs/>
        </w:rPr>
        <w:lastRenderedPageBreak/>
        <w:t>Source: SPSS Output, 2025</w:t>
      </w:r>
    </w:p>
    <w:p w14:paraId="525761BD"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4: ANOVA</w:t>
      </w:r>
    </w:p>
    <w:tbl>
      <w:tblPr>
        <w:tblW w:w="930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91"/>
        <w:gridCol w:w="2136"/>
        <w:gridCol w:w="1402"/>
        <w:gridCol w:w="1558"/>
        <w:gridCol w:w="1402"/>
        <w:gridCol w:w="1412"/>
      </w:tblGrid>
      <w:tr w:rsidR="008905CB" w:rsidRPr="00C211D3" w14:paraId="67C49179" w14:textId="77777777" w:rsidTr="000D1BF4">
        <w:tc>
          <w:tcPr>
            <w:tcW w:w="0" w:type="auto"/>
            <w:tcBorders>
              <w:top w:val="single" w:sz="4" w:space="0" w:color="auto"/>
              <w:bottom w:val="single" w:sz="4" w:space="0" w:color="auto"/>
            </w:tcBorders>
            <w:noWrap/>
            <w:vAlign w:val="bottom"/>
            <w:hideMark/>
          </w:tcPr>
          <w:p w14:paraId="7D4D6214"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Model</w:t>
            </w:r>
          </w:p>
        </w:tc>
        <w:tc>
          <w:tcPr>
            <w:tcW w:w="2136" w:type="dxa"/>
            <w:tcBorders>
              <w:top w:val="single" w:sz="4" w:space="0" w:color="auto"/>
              <w:bottom w:val="single" w:sz="4" w:space="0" w:color="auto"/>
            </w:tcBorders>
            <w:noWrap/>
            <w:vAlign w:val="bottom"/>
            <w:hideMark/>
          </w:tcPr>
          <w:p w14:paraId="1CB891F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Sum of Squares</w:t>
            </w:r>
          </w:p>
        </w:tc>
        <w:tc>
          <w:tcPr>
            <w:tcW w:w="0" w:type="auto"/>
            <w:tcBorders>
              <w:top w:val="single" w:sz="4" w:space="0" w:color="auto"/>
              <w:bottom w:val="single" w:sz="4" w:space="0" w:color="auto"/>
            </w:tcBorders>
            <w:noWrap/>
            <w:vAlign w:val="bottom"/>
            <w:hideMark/>
          </w:tcPr>
          <w:p w14:paraId="6FC4EF45" w14:textId="1E6EAC90" w:rsidR="008905CB" w:rsidRPr="00C211D3" w:rsidRDefault="000D1BF4" w:rsidP="008F06EA">
            <w:pPr>
              <w:rPr>
                <w:rFonts w:ascii="Times New Roman" w:hAnsi="Times New Roman" w:cs="Times New Roman"/>
                <w:b/>
                <w:bCs/>
              </w:rPr>
            </w:pPr>
            <w:r w:rsidRPr="00C211D3">
              <w:rPr>
                <w:rFonts w:ascii="Times New Roman" w:hAnsi="Times New Roman" w:cs="Times New Roman"/>
                <w:b/>
                <w:bCs/>
              </w:rPr>
              <w:t>D</w:t>
            </w:r>
            <w:r w:rsidR="008905CB" w:rsidRPr="00C211D3">
              <w:rPr>
                <w:rFonts w:ascii="Times New Roman" w:hAnsi="Times New Roman" w:cs="Times New Roman"/>
                <w:b/>
                <w:bCs/>
              </w:rPr>
              <w:t>f</w:t>
            </w:r>
          </w:p>
        </w:tc>
        <w:tc>
          <w:tcPr>
            <w:tcW w:w="1558" w:type="dxa"/>
            <w:tcBorders>
              <w:top w:val="single" w:sz="4" w:space="0" w:color="auto"/>
              <w:bottom w:val="single" w:sz="4" w:space="0" w:color="auto"/>
            </w:tcBorders>
            <w:noWrap/>
            <w:vAlign w:val="bottom"/>
            <w:hideMark/>
          </w:tcPr>
          <w:p w14:paraId="711C26E5"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Mean Square</w:t>
            </w:r>
          </w:p>
        </w:tc>
        <w:tc>
          <w:tcPr>
            <w:tcW w:w="0" w:type="auto"/>
            <w:tcBorders>
              <w:top w:val="single" w:sz="4" w:space="0" w:color="auto"/>
              <w:bottom w:val="single" w:sz="4" w:space="0" w:color="auto"/>
            </w:tcBorders>
            <w:noWrap/>
            <w:vAlign w:val="bottom"/>
            <w:hideMark/>
          </w:tcPr>
          <w:p w14:paraId="600D10B5"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F</w:t>
            </w:r>
          </w:p>
        </w:tc>
        <w:tc>
          <w:tcPr>
            <w:tcW w:w="1412" w:type="dxa"/>
            <w:tcBorders>
              <w:top w:val="single" w:sz="4" w:space="0" w:color="auto"/>
              <w:bottom w:val="single" w:sz="4" w:space="0" w:color="auto"/>
            </w:tcBorders>
            <w:noWrap/>
            <w:vAlign w:val="bottom"/>
            <w:hideMark/>
          </w:tcPr>
          <w:p w14:paraId="7046D0C9"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Sig.</w:t>
            </w:r>
          </w:p>
        </w:tc>
      </w:tr>
      <w:tr w:rsidR="008905CB" w:rsidRPr="00C211D3" w14:paraId="68C128A8" w14:textId="77777777" w:rsidTr="008F06EA">
        <w:tc>
          <w:tcPr>
            <w:tcW w:w="0" w:type="auto"/>
            <w:tcBorders>
              <w:top w:val="single" w:sz="4" w:space="0" w:color="auto"/>
            </w:tcBorders>
            <w:vAlign w:val="bottom"/>
            <w:hideMark/>
          </w:tcPr>
          <w:p w14:paraId="7B0DC2D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2136" w:type="dxa"/>
            <w:tcBorders>
              <w:top w:val="single" w:sz="4" w:space="0" w:color="auto"/>
            </w:tcBorders>
            <w:vAlign w:val="bottom"/>
            <w:hideMark/>
          </w:tcPr>
          <w:p w14:paraId="59F9BEC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Regression</w:t>
            </w:r>
          </w:p>
        </w:tc>
        <w:tc>
          <w:tcPr>
            <w:tcW w:w="0" w:type="auto"/>
            <w:tcBorders>
              <w:top w:val="single" w:sz="4" w:space="0" w:color="auto"/>
            </w:tcBorders>
            <w:vAlign w:val="bottom"/>
            <w:hideMark/>
          </w:tcPr>
          <w:p w14:paraId="5D18A32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25.432</w:t>
            </w:r>
          </w:p>
        </w:tc>
        <w:tc>
          <w:tcPr>
            <w:tcW w:w="1558" w:type="dxa"/>
            <w:tcBorders>
              <w:top w:val="single" w:sz="4" w:space="0" w:color="auto"/>
            </w:tcBorders>
            <w:vAlign w:val="bottom"/>
            <w:hideMark/>
          </w:tcPr>
          <w:p w14:paraId="1537ADE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w:t>
            </w:r>
          </w:p>
        </w:tc>
        <w:tc>
          <w:tcPr>
            <w:tcW w:w="0" w:type="auto"/>
            <w:tcBorders>
              <w:top w:val="single" w:sz="4" w:space="0" w:color="auto"/>
            </w:tcBorders>
            <w:vAlign w:val="bottom"/>
            <w:hideMark/>
          </w:tcPr>
          <w:p w14:paraId="1416C971" w14:textId="57F1CD4A" w:rsidR="008905CB" w:rsidRPr="00C211D3" w:rsidRDefault="006A3FC4" w:rsidP="008F06EA">
            <w:pPr>
              <w:rPr>
                <w:rFonts w:ascii="Times New Roman" w:hAnsi="Times New Roman" w:cs="Times New Roman"/>
              </w:rPr>
            </w:pPr>
            <w:r w:rsidRPr="00C211D3">
              <w:rPr>
                <w:rFonts w:ascii="Times New Roman" w:hAnsi="Times New Roman" w:cs="Times New Roman"/>
              </w:rPr>
              <w:t>62.198</w:t>
            </w:r>
          </w:p>
        </w:tc>
        <w:tc>
          <w:tcPr>
            <w:tcW w:w="1412" w:type="dxa"/>
            <w:tcBorders>
              <w:top w:val="single" w:sz="4" w:space="0" w:color="auto"/>
            </w:tcBorders>
            <w:vAlign w:val="bottom"/>
            <w:hideMark/>
          </w:tcPr>
          <w:p w14:paraId="493A9DB6" w14:textId="07F313A9" w:rsidR="008905CB" w:rsidRPr="00C211D3" w:rsidRDefault="006A3FC4" w:rsidP="008F06EA">
            <w:pPr>
              <w:rPr>
                <w:rFonts w:ascii="Times New Roman" w:hAnsi="Times New Roman" w:cs="Times New Roman"/>
              </w:rPr>
            </w:pPr>
            <w:r>
              <w:rPr>
                <w:rFonts w:ascii="Times New Roman" w:hAnsi="Times New Roman" w:cs="Times New Roman"/>
              </w:rPr>
              <w:t>0.0000</w:t>
            </w:r>
          </w:p>
        </w:tc>
      </w:tr>
      <w:tr w:rsidR="008905CB" w:rsidRPr="00C211D3" w14:paraId="06F3DAB5" w14:textId="77777777" w:rsidTr="008F06EA">
        <w:tc>
          <w:tcPr>
            <w:tcW w:w="0" w:type="auto"/>
            <w:vAlign w:val="bottom"/>
            <w:hideMark/>
          </w:tcPr>
          <w:p w14:paraId="55419131" w14:textId="77777777" w:rsidR="008905CB" w:rsidRPr="00C211D3" w:rsidRDefault="008905CB" w:rsidP="008F06EA">
            <w:pPr>
              <w:rPr>
                <w:rFonts w:ascii="Times New Roman" w:hAnsi="Times New Roman" w:cs="Times New Roman"/>
              </w:rPr>
            </w:pPr>
          </w:p>
        </w:tc>
        <w:tc>
          <w:tcPr>
            <w:tcW w:w="2136" w:type="dxa"/>
            <w:vAlign w:val="bottom"/>
            <w:hideMark/>
          </w:tcPr>
          <w:p w14:paraId="4F6BEEA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Residual</w:t>
            </w:r>
          </w:p>
        </w:tc>
        <w:tc>
          <w:tcPr>
            <w:tcW w:w="0" w:type="auto"/>
            <w:vAlign w:val="bottom"/>
            <w:hideMark/>
          </w:tcPr>
          <w:p w14:paraId="7AB02F92"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15.652</w:t>
            </w:r>
          </w:p>
        </w:tc>
        <w:tc>
          <w:tcPr>
            <w:tcW w:w="1558" w:type="dxa"/>
            <w:vAlign w:val="bottom"/>
            <w:hideMark/>
          </w:tcPr>
          <w:p w14:paraId="541DF43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97</w:t>
            </w:r>
          </w:p>
        </w:tc>
        <w:tc>
          <w:tcPr>
            <w:tcW w:w="0" w:type="auto"/>
            <w:vAlign w:val="bottom"/>
            <w:hideMark/>
          </w:tcPr>
          <w:p w14:paraId="1C2FC04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.161</w:t>
            </w:r>
          </w:p>
        </w:tc>
        <w:tc>
          <w:tcPr>
            <w:tcW w:w="1412" w:type="dxa"/>
            <w:vAlign w:val="bottom"/>
            <w:hideMark/>
          </w:tcPr>
          <w:p w14:paraId="6EEFF76C" w14:textId="77777777" w:rsidR="008905CB" w:rsidRPr="00C211D3" w:rsidRDefault="008905CB" w:rsidP="008F06EA">
            <w:pPr>
              <w:rPr>
                <w:rFonts w:ascii="Times New Roman" w:hAnsi="Times New Roman" w:cs="Times New Roman"/>
              </w:rPr>
            </w:pPr>
          </w:p>
        </w:tc>
      </w:tr>
      <w:tr w:rsidR="008905CB" w:rsidRPr="00C211D3" w14:paraId="7FF4DB53" w14:textId="77777777" w:rsidTr="008F06EA">
        <w:tc>
          <w:tcPr>
            <w:tcW w:w="0" w:type="auto"/>
            <w:vAlign w:val="bottom"/>
            <w:hideMark/>
          </w:tcPr>
          <w:p w14:paraId="5419F798" w14:textId="77777777" w:rsidR="008905CB" w:rsidRPr="00C211D3" w:rsidRDefault="008905CB" w:rsidP="008F06EA">
            <w:pPr>
              <w:rPr>
                <w:rFonts w:ascii="Times New Roman" w:hAnsi="Times New Roman" w:cs="Times New Roman"/>
              </w:rPr>
            </w:pPr>
          </w:p>
        </w:tc>
        <w:tc>
          <w:tcPr>
            <w:tcW w:w="2136" w:type="dxa"/>
            <w:vAlign w:val="bottom"/>
            <w:hideMark/>
          </w:tcPr>
          <w:p w14:paraId="033C51A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Total</w:t>
            </w:r>
          </w:p>
        </w:tc>
        <w:tc>
          <w:tcPr>
            <w:tcW w:w="0" w:type="auto"/>
            <w:vAlign w:val="bottom"/>
            <w:hideMark/>
          </w:tcPr>
          <w:p w14:paraId="3C14EF1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41.084</w:t>
            </w:r>
          </w:p>
        </w:tc>
        <w:tc>
          <w:tcPr>
            <w:tcW w:w="1558" w:type="dxa"/>
            <w:vAlign w:val="bottom"/>
            <w:hideMark/>
          </w:tcPr>
          <w:p w14:paraId="0A2568DB"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99</w:t>
            </w:r>
          </w:p>
        </w:tc>
        <w:tc>
          <w:tcPr>
            <w:tcW w:w="0" w:type="auto"/>
            <w:vAlign w:val="bottom"/>
            <w:hideMark/>
          </w:tcPr>
          <w:p w14:paraId="58344AB6" w14:textId="77777777" w:rsidR="008905CB" w:rsidRPr="00C211D3" w:rsidRDefault="008905CB" w:rsidP="008F06EA">
            <w:pPr>
              <w:rPr>
                <w:rFonts w:ascii="Times New Roman" w:hAnsi="Times New Roman" w:cs="Times New Roman"/>
              </w:rPr>
            </w:pPr>
          </w:p>
        </w:tc>
        <w:tc>
          <w:tcPr>
            <w:tcW w:w="1412" w:type="dxa"/>
            <w:vAlign w:val="bottom"/>
            <w:hideMark/>
          </w:tcPr>
          <w:p w14:paraId="692307F3" w14:textId="77777777" w:rsidR="008905CB" w:rsidRPr="00C211D3" w:rsidRDefault="008905CB" w:rsidP="008F06EA">
            <w:pPr>
              <w:rPr>
                <w:rFonts w:ascii="Times New Roman" w:hAnsi="Times New Roman" w:cs="Times New Roman"/>
              </w:rPr>
            </w:pPr>
          </w:p>
        </w:tc>
      </w:tr>
    </w:tbl>
    <w:p w14:paraId="6F8F0E7D" w14:textId="77777777" w:rsidR="008905CB" w:rsidRPr="00C211D3" w:rsidRDefault="008905CB" w:rsidP="008905CB">
      <w:pPr>
        <w:rPr>
          <w:rFonts w:ascii="Times New Roman" w:hAnsi="Times New Roman" w:cs="Times New Roman"/>
          <w:b/>
          <w:bCs/>
        </w:rPr>
      </w:pPr>
      <w:r w:rsidRPr="00C211D3">
        <w:rPr>
          <w:rFonts w:ascii="Times New Roman" w:hAnsi="Times New Roman" w:cs="Times New Roman"/>
          <w:b/>
          <w:bCs/>
          <w:i/>
          <w:iCs/>
        </w:rPr>
        <w:t>Source: SPSS Output, 2025</w:t>
      </w:r>
    </w:p>
    <w:p w14:paraId="5E2BBDAE"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5: Coefficients</w:t>
      </w:r>
    </w:p>
    <w:tbl>
      <w:tblPr>
        <w:tblW w:w="940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1185"/>
        <w:gridCol w:w="1515"/>
        <w:gridCol w:w="1186"/>
        <w:gridCol w:w="1186"/>
        <w:gridCol w:w="1186"/>
      </w:tblGrid>
      <w:tr w:rsidR="008905CB" w:rsidRPr="00C211D3" w14:paraId="0CD4F4D7" w14:textId="77777777" w:rsidTr="000D1BF4">
        <w:tc>
          <w:tcPr>
            <w:tcW w:w="3150" w:type="dxa"/>
            <w:tcBorders>
              <w:top w:val="single" w:sz="4" w:space="0" w:color="auto"/>
              <w:bottom w:val="single" w:sz="4" w:space="0" w:color="auto"/>
            </w:tcBorders>
            <w:noWrap/>
            <w:vAlign w:val="bottom"/>
            <w:hideMark/>
          </w:tcPr>
          <w:p w14:paraId="4F18A82F"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Predictor</w:t>
            </w:r>
          </w:p>
        </w:tc>
        <w:tc>
          <w:tcPr>
            <w:tcW w:w="0" w:type="auto"/>
            <w:tcBorders>
              <w:top w:val="single" w:sz="4" w:space="0" w:color="auto"/>
              <w:bottom w:val="single" w:sz="4" w:space="0" w:color="auto"/>
            </w:tcBorders>
            <w:noWrap/>
            <w:vAlign w:val="bottom"/>
            <w:hideMark/>
          </w:tcPr>
          <w:p w14:paraId="7FF8E318"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B</w:t>
            </w:r>
          </w:p>
        </w:tc>
        <w:tc>
          <w:tcPr>
            <w:tcW w:w="1515" w:type="dxa"/>
            <w:tcBorders>
              <w:top w:val="single" w:sz="4" w:space="0" w:color="auto"/>
              <w:bottom w:val="single" w:sz="4" w:space="0" w:color="auto"/>
            </w:tcBorders>
            <w:noWrap/>
            <w:vAlign w:val="bottom"/>
            <w:hideMark/>
          </w:tcPr>
          <w:p w14:paraId="0A2D0FA0"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Error</w:t>
            </w:r>
          </w:p>
        </w:tc>
        <w:tc>
          <w:tcPr>
            <w:tcW w:w="0" w:type="auto"/>
            <w:tcBorders>
              <w:top w:val="single" w:sz="4" w:space="0" w:color="auto"/>
              <w:bottom w:val="single" w:sz="4" w:space="0" w:color="auto"/>
            </w:tcBorders>
            <w:noWrap/>
            <w:vAlign w:val="bottom"/>
            <w:hideMark/>
          </w:tcPr>
          <w:p w14:paraId="7DBD22FF"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Beta</w:t>
            </w:r>
          </w:p>
        </w:tc>
        <w:tc>
          <w:tcPr>
            <w:tcW w:w="0" w:type="auto"/>
            <w:tcBorders>
              <w:top w:val="single" w:sz="4" w:space="0" w:color="auto"/>
              <w:bottom w:val="single" w:sz="4" w:space="0" w:color="auto"/>
            </w:tcBorders>
            <w:noWrap/>
            <w:vAlign w:val="bottom"/>
            <w:hideMark/>
          </w:tcPr>
          <w:p w14:paraId="5BF4817A" w14:textId="7ECE0C0F" w:rsidR="008905CB" w:rsidRPr="00C211D3" w:rsidRDefault="006A3FC4" w:rsidP="008F06EA">
            <w:pPr>
              <w:rPr>
                <w:rFonts w:ascii="Times New Roman" w:hAnsi="Times New Roman" w:cs="Times New Roman"/>
                <w:b/>
                <w:bCs/>
              </w:rPr>
            </w:pPr>
            <w:r w:rsidRPr="00C211D3">
              <w:rPr>
                <w:rFonts w:ascii="Times New Roman" w:hAnsi="Times New Roman" w:cs="Times New Roman"/>
                <w:b/>
                <w:bCs/>
              </w:rPr>
              <w:t>T</w:t>
            </w:r>
          </w:p>
        </w:tc>
        <w:tc>
          <w:tcPr>
            <w:tcW w:w="0" w:type="auto"/>
            <w:tcBorders>
              <w:top w:val="single" w:sz="4" w:space="0" w:color="auto"/>
              <w:bottom w:val="single" w:sz="4" w:space="0" w:color="auto"/>
            </w:tcBorders>
            <w:noWrap/>
            <w:vAlign w:val="bottom"/>
            <w:hideMark/>
          </w:tcPr>
          <w:p w14:paraId="4E181470"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Sig.</w:t>
            </w:r>
          </w:p>
        </w:tc>
      </w:tr>
      <w:tr w:rsidR="008905CB" w:rsidRPr="00C211D3" w14:paraId="010ED3BE" w14:textId="77777777" w:rsidTr="008F06EA">
        <w:tc>
          <w:tcPr>
            <w:tcW w:w="3150" w:type="dxa"/>
            <w:tcBorders>
              <w:top w:val="single" w:sz="4" w:space="0" w:color="auto"/>
            </w:tcBorders>
            <w:vAlign w:val="bottom"/>
            <w:hideMark/>
          </w:tcPr>
          <w:p w14:paraId="60C1A20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(Constant)</w:t>
            </w:r>
          </w:p>
        </w:tc>
        <w:tc>
          <w:tcPr>
            <w:tcW w:w="0" w:type="auto"/>
            <w:tcBorders>
              <w:top w:val="single" w:sz="4" w:space="0" w:color="auto"/>
            </w:tcBorders>
            <w:vAlign w:val="bottom"/>
            <w:hideMark/>
          </w:tcPr>
          <w:p w14:paraId="7F7138FC"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0.512</w:t>
            </w:r>
          </w:p>
        </w:tc>
        <w:tc>
          <w:tcPr>
            <w:tcW w:w="1515" w:type="dxa"/>
            <w:tcBorders>
              <w:top w:val="single" w:sz="4" w:space="0" w:color="auto"/>
            </w:tcBorders>
            <w:vAlign w:val="bottom"/>
            <w:hideMark/>
          </w:tcPr>
          <w:p w14:paraId="35A40AF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0.234</w:t>
            </w:r>
          </w:p>
        </w:tc>
        <w:tc>
          <w:tcPr>
            <w:tcW w:w="0" w:type="auto"/>
            <w:tcBorders>
              <w:top w:val="single" w:sz="4" w:space="0" w:color="auto"/>
            </w:tcBorders>
            <w:vAlign w:val="bottom"/>
            <w:hideMark/>
          </w:tcPr>
          <w:p w14:paraId="71458377" w14:textId="77777777" w:rsidR="008905CB" w:rsidRPr="00C211D3" w:rsidRDefault="008905CB" w:rsidP="008F06EA">
            <w:pPr>
              <w:rPr>
                <w:rFonts w:ascii="Times New Roman" w:hAnsi="Times New Roman" w:cs="Times New Roman"/>
              </w:rPr>
            </w:pPr>
          </w:p>
        </w:tc>
        <w:tc>
          <w:tcPr>
            <w:tcW w:w="0" w:type="auto"/>
            <w:tcBorders>
              <w:top w:val="single" w:sz="4" w:space="0" w:color="auto"/>
            </w:tcBorders>
            <w:vAlign w:val="bottom"/>
            <w:hideMark/>
          </w:tcPr>
          <w:p w14:paraId="12D14EF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2.188</w:t>
            </w:r>
          </w:p>
        </w:tc>
        <w:tc>
          <w:tcPr>
            <w:tcW w:w="0" w:type="auto"/>
            <w:tcBorders>
              <w:top w:val="single" w:sz="4" w:space="0" w:color="auto"/>
            </w:tcBorders>
            <w:vAlign w:val="bottom"/>
            <w:hideMark/>
          </w:tcPr>
          <w:p w14:paraId="02D002FA"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0.031</w:t>
            </w:r>
          </w:p>
        </w:tc>
      </w:tr>
      <w:tr w:rsidR="008905CB" w:rsidRPr="00C211D3" w14:paraId="4326C84F" w14:textId="77777777" w:rsidTr="008F06EA">
        <w:tc>
          <w:tcPr>
            <w:tcW w:w="3150" w:type="dxa"/>
            <w:vAlign w:val="bottom"/>
            <w:hideMark/>
          </w:tcPr>
          <w:p w14:paraId="30DDC5D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Budget Credibility</w:t>
            </w:r>
          </w:p>
        </w:tc>
        <w:tc>
          <w:tcPr>
            <w:tcW w:w="0" w:type="auto"/>
            <w:vAlign w:val="bottom"/>
            <w:hideMark/>
          </w:tcPr>
          <w:p w14:paraId="46FC95B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0.312</w:t>
            </w:r>
          </w:p>
        </w:tc>
        <w:tc>
          <w:tcPr>
            <w:tcW w:w="1515" w:type="dxa"/>
            <w:vAlign w:val="bottom"/>
            <w:hideMark/>
          </w:tcPr>
          <w:p w14:paraId="6308131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0.067</w:t>
            </w:r>
          </w:p>
        </w:tc>
        <w:tc>
          <w:tcPr>
            <w:tcW w:w="0" w:type="auto"/>
            <w:vAlign w:val="bottom"/>
            <w:hideMark/>
          </w:tcPr>
          <w:p w14:paraId="47D027E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0.354</w:t>
            </w:r>
          </w:p>
        </w:tc>
        <w:tc>
          <w:tcPr>
            <w:tcW w:w="0" w:type="auto"/>
            <w:vAlign w:val="bottom"/>
            <w:hideMark/>
          </w:tcPr>
          <w:p w14:paraId="1798842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4.657</w:t>
            </w:r>
          </w:p>
        </w:tc>
        <w:tc>
          <w:tcPr>
            <w:tcW w:w="0" w:type="auto"/>
            <w:vAlign w:val="bottom"/>
            <w:hideMark/>
          </w:tcPr>
          <w:p w14:paraId="5112392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0.000</w:t>
            </w:r>
          </w:p>
        </w:tc>
      </w:tr>
      <w:tr w:rsidR="008905CB" w:rsidRPr="00C211D3" w14:paraId="54449383" w14:textId="77777777" w:rsidTr="008F06EA">
        <w:tc>
          <w:tcPr>
            <w:tcW w:w="3150" w:type="dxa"/>
            <w:vAlign w:val="bottom"/>
            <w:hideMark/>
          </w:tcPr>
          <w:p w14:paraId="41DF5B5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Financial Accountability</w:t>
            </w:r>
          </w:p>
        </w:tc>
        <w:tc>
          <w:tcPr>
            <w:tcW w:w="0" w:type="auto"/>
            <w:vAlign w:val="bottom"/>
            <w:hideMark/>
          </w:tcPr>
          <w:p w14:paraId="30BED30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0.421</w:t>
            </w:r>
          </w:p>
        </w:tc>
        <w:tc>
          <w:tcPr>
            <w:tcW w:w="1515" w:type="dxa"/>
            <w:vAlign w:val="bottom"/>
            <w:hideMark/>
          </w:tcPr>
          <w:p w14:paraId="23B2412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0.059</w:t>
            </w:r>
          </w:p>
        </w:tc>
        <w:tc>
          <w:tcPr>
            <w:tcW w:w="0" w:type="auto"/>
            <w:vAlign w:val="bottom"/>
            <w:hideMark/>
          </w:tcPr>
          <w:p w14:paraId="087B5DC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0.498</w:t>
            </w:r>
          </w:p>
        </w:tc>
        <w:tc>
          <w:tcPr>
            <w:tcW w:w="0" w:type="auto"/>
            <w:vAlign w:val="bottom"/>
            <w:hideMark/>
          </w:tcPr>
          <w:p w14:paraId="7FCA3E0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7.136</w:t>
            </w:r>
          </w:p>
        </w:tc>
        <w:tc>
          <w:tcPr>
            <w:tcW w:w="0" w:type="auto"/>
            <w:vAlign w:val="bottom"/>
            <w:hideMark/>
          </w:tcPr>
          <w:p w14:paraId="0CB9F04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0.000</w:t>
            </w:r>
          </w:p>
        </w:tc>
      </w:tr>
    </w:tbl>
    <w:p w14:paraId="65DBE4C0"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i/>
          <w:iCs/>
        </w:rPr>
        <w:t>Source: SPSS Output, 2025</w:t>
      </w:r>
    </w:p>
    <w:p w14:paraId="3FE383A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the regression analysis above, the model explains approximately 61.9% of the variance in service delivery (Adjusted R² = 0.608), indicating a strong explanatory power of budget credibility and financial accountability on service delivery outcomes. The F-statistic (F = 62.198, p &lt; 0.001) shows that the overall regression model is statistically significant, meaning the predictors reliably explain variations in service delivery.</w:t>
      </w:r>
    </w:p>
    <w:p w14:paraId="163D5DDB"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Both budget credibility (β = 0.354, p &lt; 0.001) and financial accountability (β = 0.498, p &lt; 0.001) have significant positive effects on service delivery. Financial accountability has a stronger influence compared to budget credibility, suggesting that while credible budgets are important, effective financial accountability mechanisms play a more critical role in enhancing service delivery. The intercept (B = 0.512, p = 0.031) indicates the expected level of service delivery when both predictors are zero.</w:t>
      </w:r>
    </w:p>
    <w:p w14:paraId="3ED87847" w14:textId="752BD430" w:rsidR="000D1BF4" w:rsidRPr="00C211D3" w:rsidRDefault="008905CB" w:rsidP="000D1BF4">
      <w:pPr>
        <w:rPr>
          <w:rFonts w:ascii="Times New Roman" w:hAnsi="Times New Roman" w:cs="Times New Roman"/>
          <w:b/>
          <w:bCs/>
        </w:rPr>
      </w:pPr>
      <w:bookmarkStart w:id="42" w:name="_Toc215492707"/>
      <w:bookmarkStart w:id="43" w:name="_Toc215492791"/>
      <w:r w:rsidRPr="00C211D3">
        <w:rPr>
          <w:rFonts w:ascii="Times New Roman" w:hAnsi="Times New Roman" w:cs="Times New Roman"/>
          <w:b/>
          <w:bCs/>
        </w:rPr>
        <w:t xml:space="preserve">4.2.3 Diagnostic Test: </w:t>
      </w:r>
      <w:bookmarkEnd w:id="42"/>
      <w:bookmarkEnd w:id="43"/>
      <w:r w:rsidR="000D1BF4" w:rsidRPr="00C211D3">
        <w:rPr>
          <w:rFonts w:ascii="Times New Roman" w:hAnsi="Times New Roman" w:cs="Times New Roman"/>
          <w:b/>
          <w:bCs/>
        </w:rPr>
        <w:t>Multicollinearity Test</w:t>
      </w:r>
    </w:p>
    <w:p w14:paraId="118B06E0" w14:textId="49AD0C93" w:rsidR="000D1BF4" w:rsidRPr="000D1BF4" w:rsidRDefault="000D1BF4" w:rsidP="000D1BF4">
      <w:pPr>
        <w:jc w:val="both"/>
        <w:rPr>
          <w:rFonts w:ascii="Times New Roman" w:hAnsi="Times New Roman" w:cs="Times New Roman"/>
        </w:rPr>
      </w:pPr>
      <w:r w:rsidRPr="000D1BF4">
        <w:rPr>
          <w:rFonts w:ascii="Times New Roman" w:hAnsi="Times New Roman" w:cs="Times New Roman"/>
        </w:rPr>
        <w:t>To ensure the reliability and validity of the multiple regression analysis, a multicollinearity test was conducted on the independent variables</w:t>
      </w:r>
      <w:r w:rsidR="006A3FC4">
        <w:rPr>
          <w:rFonts w:ascii="Times New Roman" w:hAnsi="Times New Roman" w:cs="Times New Roman"/>
        </w:rPr>
        <w:t xml:space="preserve">, </w:t>
      </w:r>
      <w:r w:rsidRPr="000D1BF4">
        <w:rPr>
          <w:rFonts w:ascii="Times New Roman" w:hAnsi="Times New Roman" w:cs="Times New Roman"/>
        </w:rPr>
        <w:t>budget credibility and financial accountability. Multicollinearity occurs when independent variables are highly correlated with each other, which can distort the estimation of regression coefficients and reduce the interpretability of the model.</w:t>
      </w:r>
    </w:p>
    <w:p w14:paraId="1D937301"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 xml:space="preserve">The Variance Inflation Factor (VIF) and Tolerance values were used to assess the presence of multicollinearity. As shown in Table 6, both budget credibility and financial accountability </w:t>
      </w:r>
      <w:r w:rsidRPr="000D1BF4">
        <w:rPr>
          <w:rFonts w:ascii="Times New Roman" w:hAnsi="Times New Roman" w:cs="Times New Roman"/>
        </w:rPr>
        <w:lastRenderedPageBreak/>
        <w:t>recorded VIF values of 1.366 and Tolerance values of 0.732. These results are well within the commonly accepted thresholds (VIF &lt; 5 and Tolerance &gt; 0.1), indicating that multicollinearity is not a concern in this model.</w:t>
      </w:r>
    </w:p>
    <w:p w14:paraId="3CAFA69C"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b/>
          <w:bCs/>
        </w:rPr>
        <w:t>Table 6: Multicollinearity Statistics</w:t>
      </w:r>
    </w:p>
    <w:tbl>
      <w:tblPr>
        <w:tblW w:w="764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957"/>
        <w:gridCol w:w="1980"/>
        <w:gridCol w:w="1709"/>
      </w:tblGrid>
      <w:tr w:rsidR="000D1BF4" w:rsidRPr="000D1BF4" w14:paraId="022DE6A4" w14:textId="77777777" w:rsidTr="000D1BF4">
        <w:tc>
          <w:tcPr>
            <w:tcW w:w="3957" w:type="dxa"/>
            <w:tcBorders>
              <w:top w:val="single" w:sz="4" w:space="0" w:color="auto"/>
              <w:bottom w:val="single" w:sz="4" w:space="0" w:color="auto"/>
            </w:tcBorders>
            <w:noWrap/>
            <w:vAlign w:val="bottom"/>
            <w:hideMark/>
          </w:tcPr>
          <w:p w14:paraId="39977FD2"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Predictor</w:t>
            </w:r>
          </w:p>
        </w:tc>
        <w:tc>
          <w:tcPr>
            <w:tcW w:w="1980" w:type="dxa"/>
            <w:tcBorders>
              <w:top w:val="single" w:sz="4" w:space="0" w:color="auto"/>
              <w:bottom w:val="single" w:sz="4" w:space="0" w:color="auto"/>
            </w:tcBorders>
            <w:noWrap/>
            <w:vAlign w:val="bottom"/>
            <w:hideMark/>
          </w:tcPr>
          <w:p w14:paraId="040F6A44"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Tolerance</w:t>
            </w:r>
          </w:p>
        </w:tc>
        <w:tc>
          <w:tcPr>
            <w:tcW w:w="0" w:type="auto"/>
            <w:tcBorders>
              <w:top w:val="single" w:sz="4" w:space="0" w:color="auto"/>
              <w:bottom w:val="single" w:sz="4" w:space="0" w:color="auto"/>
            </w:tcBorders>
            <w:noWrap/>
            <w:vAlign w:val="bottom"/>
            <w:hideMark/>
          </w:tcPr>
          <w:p w14:paraId="5E6C7769"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VIF</w:t>
            </w:r>
          </w:p>
        </w:tc>
      </w:tr>
      <w:tr w:rsidR="000D1BF4" w:rsidRPr="000D1BF4" w14:paraId="1356EA5F" w14:textId="77777777" w:rsidTr="000D1BF4">
        <w:tc>
          <w:tcPr>
            <w:tcW w:w="3957" w:type="dxa"/>
            <w:tcBorders>
              <w:top w:val="single" w:sz="4" w:space="0" w:color="auto"/>
            </w:tcBorders>
            <w:vAlign w:val="bottom"/>
            <w:hideMark/>
          </w:tcPr>
          <w:p w14:paraId="35F5DFD8"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Budget Credibility</w:t>
            </w:r>
          </w:p>
        </w:tc>
        <w:tc>
          <w:tcPr>
            <w:tcW w:w="1980" w:type="dxa"/>
            <w:tcBorders>
              <w:top w:val="single" w:sz="4" w:space="0" w:color="auto"/>
            </w:tcBorders>
            <w:vAlign w:val="bottom"/>
            <w:hideMark/>
          </w:tcPr>
          <w:p w14:paraId="34993923"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0.732</w:t>
            </w:r>
          </w:p>
        </w:tc>
        <w:tc>
          <w:tcPr>
            <w:tcW w:w="0" w:type="auto"/>
            <w:tcBorders>
              <w:top w:val="single" w:sz="4" w:space="0" w:color="auto"/>
            </w:tcBorders>
            <w:vAlign w:val="bottom"/>
            <w:hideMark/>
          </w:tcPr>
          <w:p w14:paraId="7531D21F"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1.366</w:t>
            </w:r>
          </w:p>
        </w:tc>
      </w:tr>
      <w:tr w:rsidR="000D1BF4" w:rsidRPr="000D1BF4" w14:paraId="7799CAF5" w14:textId="77777777" w:rsidTr="000D1BF4">
        <w:tc>
          <w:tcPr>
            <w:tcW w:w="3957" w:type="dxa"/>
            <w:vAlign w:val="bottom"/>
            <w:hideMark/>
          </w:tcPr>
          <w:p w14:paraId="086A02C6"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Financial Accountability</w:t>
            </w:r>
          </w:p>
        </w:tc>
        <w:tc>
          <w:tcPr>
            <w:tcW w:w="1980" w:type="dxa"/>
            <w:vAlign w:val="bottom"/>
            <w:hideMark/>
          </w:tcPr>
          <w:p w14:paraId="65F92B9C"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0.732</w:t>
            </w:r>
          </w:p>
        </w:tc>
        <w:tc>
          <w:tcPr>
            <w:tcW w:w="0" w:type="auto"/>
            <w:vAlign w:val="bottom"/>
            <w:hideMark/>
          </w:tcPr>
          <w:p w14:paraId="230AFD07"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1.366</w:t>
            </w:r>
          </w:p>
        </w:tc>
      </w:tr>
    </w:tbl>
    <w:p w14:paraId="620C1BE7"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i/>
          <w:iCs/>
        </w:rPr>
        <w:t>Source: SPSS Output, 2025</w:t>
      </w:r>
    </w:p>
    <w:p w14:paraId="05975359"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These findings confirm that the independent variables are not excessively correlated with each other, and thus, the regression coefficients are stable and reliable. The absence of multicollinearity strengthens the validity of the regression results and supports the interpretation that both budget credibility and financial accountability independently contribute to explaining variations in service delivery.</w:t>
      </w:r>
    </w:p>
    <w:p w14:paraId="78D6295B" w14:textId="77777777" w:rsidR="008C2111" w:rsidRPr="008C2111" w:rsidRDefault="008C2111" w:rsidP="008C2111">
      <w:pPr>
        <w:jc w:val="both"/>
        <w:rPr>
          <w:rFonts w:ascii="Times New Roman" w:eastAsiaTheme="majorEastAsia" w:hAnsi="Times New Roman" w:cs="Times New Roman"/>
          <w:b/>
          <w:bCs/>
        </w:rPr>
      </w:pPr>
      <w:r w:rsidRPr="008C2111">
        <w:rPr>
          <w:rFonts w:ascii="Times New Roman" w:eastAsiaTheme="majorEastAsia" w:hAnsi="Times New Roman" w:cs="Times New Roman"/>
          <w:b/>
          <w:bCs/>
        </w:rPr>
        <w:t>4.3 Discussion of Findings</w:t>
      </w:r>
    </w:p>
    <w:p w14:paraId="4AFD8B8F" w14:textId="77777777"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The findings of this study provide robust empirical evidence on the effects of budget credibility and financial accountability on service delivery in selected local governments in Ekiti State, Nigeria. The results reveal that both budget credibility and financial accountability are significantly and positively associated with improved service delivery outcomes, with financial accountability exerting a stronger influence.</w:t>
      </w:r>
    </w:p>
    <w:p w14:paraId="52326FDF" w14:textId="5AA9E153"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The descriptive statistics indicate that respondents perceive a moderate level of budget credibility and service delivery, while financial accountability is rated slightly higher. This suggests that, although mechanisms for financial accountability are relatively established, challenges persist in the effective execution of budgets and the delivery of quality services at the grassroots level.</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The Pearson correlation analysis demonstrates a moderate positive relationship between budget credibility and service delivery (r = 0.58, p &lt; 0.01), and a strong positive relationship between financial accountability and service delivery (r = 0.72, p &lt; 0.01). Additionally, budget credibility and financial accountability are strongly correlated (r = 0.65, p &lt; 0.01). These findings are consistent with the theoretical expectations of both the Fiscal Illusion Theory and Principal-Agent Theory, which emphasize the importance of transparency, realistic budgeting, and accountability in achieving effective public sector performance (Buchanan, 1967; Bowrey, Smark, &amp; Watts, 2016).</w:t>
      </w:r>
    </w:p>
    <w:p w14:paraId="09540F5C" w14:textId="30D62BFE"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 xml:space="preserve">The multiple regression analysis further confirms that both budget credibility (β = 0.354, p &lt; 0.001) and financial accountability (β = 0.498, p &lt; 0.001) are significant predictors of service delivery, jointly explaining approximately 62% of the variance in service delivery outcomes. Notably, financial accountability has a greater standardized effect, underscoring its critical role in ensuring </w:t>
      </w:r>
      <w:r w:rsidRPr="008C2111">
        <w:rPr>
          <w:rFonts w:ascii="Times New Roman" w:eastAsiaTheme="majorEastAsia" w:hAnsi="Times New Roman" w:cs="Times New Roman"/>
        </w:rPr>
        <w:lastRenderedPageBreak/>
        <w:t>that public resources are efficiently managed and translated into tangible improvements in service provision.</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These results are in line with the findings of Musiega, Nyawira, and Tsofa (2023), who reported that credible budgeting and strong accountability practices enhance the efficiency of health systems in Kenya. Similarly, Chiwawa and Uwizeyimana (2024) found that adherence to budget provisions and robust financial governance are essential for sustainable service delivery in South African municipalities. The strong association between financial accountability and service delivery observed in this study also echoes the conclusions of Piatti-Fünfkirchen and Schneider (2018), who highlighted the necessity of effective financial management reforms for improved health service delivery in Tanzania and Zambia.</w:t>
      </w:r>
    </w:p>
    <w:p w14:paraId="76D2EA82" w14:textId="16EAE6EF"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In the Nigerian context, Yaro and Sani (2019) established that poor budget implementation and weak accountability mechanisms are major contributors to delays and low-quality service delivery at the local government level. The present study corroborates these findings, demonstrating that improvements in both budget credibility and financial accountability are vital for enhancing service delivery outcomes.</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Furthermore, the stronger influence of financial accountability over budget credibility on service delivery aligns with the work of Mirzaev (2024), who emphasized the role of budgetary control mechanisms in preventing corruption and misuse of public funds, thereby directly impacting the quality of public services. The positive impact of the Treasury Single Account (TSA) system on financial accountability and service delivery, as reported by Igbokwe-Ibeto et al. (2016), further supports the importance of centralized and transparent financial management systems.</w:t>
      </w:r>
    </w:p>
    <w:p w14:paraId="13273ECA" w14:textId="248CEADE"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The moderate level of budget credibility observed in this study reflects ongoing challenges such as over-optimistic revenue projections and political interference, as noted by Adekunle et al. (2022) and Chakraborty, Chakraborty, and Shrestha (2018). These challenges often result in budget deviations and undermine the effectiveness of service delivery at the local government level.</w:t>
      </w:r>
      <w:r w:rsidRPr="00C211D3">
        <w:rPr>
          <w:rFonts w:ascii="Times New Roman" w:eastAsiaTheme="majorEastAsia" w:hAnsi="Times New Roman" w:cs="Times New Roman"/>
        </w:rPr>
        <w:t xml:space="preserve"> T</w:t>
      </w:r>
      <w:r w:rsidRPr="008C2111">
        <w:rPr>
          <w:rFonts w:ascii="Times New Roman" w:eastAsiaTheme="majorEastAsia" w:hAnsi="Times New Roman" w:cs="Times New Roman"/>
        </w:rPr>
        <w:t>he findings of this study reinforce the argument that enhancing budget credibility and strengthening financial accountability mechanisms are essential for improving service delivery in local governments. This study contributes to the literature by empirically demonstrating the joint effects of these two financial management practices, particularly within the context of Nigerian local governments, where such evidence has been limited.</w:t>
      </w:r>
    </w:p>
    <w:p w14:paraId="696C3C48" w14:textId="1B60A536" w:rsidR="008C2111" w:rsidRPr="008C2111" w:rsidRDefault="008C2111" w:rsidP="008C2111">
      <w:pPr>
        <w:jc w:val="both"/>
        <w:rPr>
          <w:rFonts w:ascii="Times New Roman" w:hAnsi="Times New Roman" w:cs="Times New Roman"/>
          <w:b/>
          <w:bCs/>
        </w:rPr>
      </w:pPr>
      <w:r w:rsidRPr="00C211D3">
        <w:rPr>
          <w:rFonts w:ascii="Times New Roman" w:hAnsi="Times New Roman" w:cs="Times New Roman"/>
          <w:b/>
          <w:bCs/>
        </w:rPr>
        <w:t xml:space="preserve">5.1 </w:t>
      </w:r>
      <w:r w:rsidRPr="008C2111">
        <w:rPr>
          <w:rFonts w:ascii="Times New Roman" w:hAnsi="Times New Roman" w:cs="Times New Roman"/>
          <w:b/>
          <w:bCs/>
        </w:rPr>
        <w:t>Conclusion</w:t>
      </w:r>
    </w:p>
    <w:p w14:paraId="785197EE" w14:textId="77777777" w:rsidR="008C2111" w:rsidRPr="008C2111" w:rsidRDefault="008C2111" w:rsidP="008C2111">
      <w:pPr>
        <w:jc w:val="both"/>
        <w:rPr>
          <w:rFonts w:ascii="Times New Roman" w:hAnsi="Times New Roman" w:cs="Times New Roman"/>
        </w:rPr>
      </w:pPr>
      <w:r w:rsidRPr="008C2111">
        <w:rPr>
          <w:rFonts w:ascii="Times New Roman" w:hAnsi="Times New Roman" w:cs="Times New Roman"/>
        </w:rPr>
        <w:t>This study has empirically examined the effects of budget credibility and financial accountability on service delivery in selected local government areas of Ekiti State, Nigeria. The findings reveal that both budget credibility and financial accountability are significant and positive predictors of service delivery, with financial accountability exerting a stronger influence. The results indicate that while moderate levels of budget credibility and service delivery exist, financial accountability mechanisms are perceived to be relatively stronger among local government staff.</w:t>
      </w:r>
    </w:p>
    <w:p w14:paraId="6D3E7660" w14:textId="77777777" w:rsidR="008C2111" w:rsidRPr="008C2111" w:rsidRDefault="008C2111" w:rsidP="008C2111">
      <w:pPr>
        <w:jc w:val="both"/>
        <w:rPr>
          <w:rFonts w:ascii="Times New Roman" w:hAnsi="Times New Roman" w:cs="Times New Roman"/>
        </w:rPr>
      </w:pPr>
      <w:r w:rsidRPr="008C2111">
        <w:rPr>
          <w:rFonts w:ascii="Times New Roman" w:hAnsi="Times New Roman" w:cs="Times New Roman"/>
        </w:rPr>
        <w:t xml:space="preserve">The study’s correlation and regression analyses confirm that improvements in budget credibility and financial accountability are closely associated with enhanced service delivery outcomes. These </w:t>
      </w:r>
      <w:r w:rsidRPr="008C2111">
        <w:rPr>
          <w:rFonts w:ascii="Times New Roman" w:hAnsi="Times New Roman" w:cs="Times New Roman"/>
        </w:rPr>
        <w:lastRenderedPageBreak/>
        <w:t>findings are consistent with previous research, which underscores the importance of realistic budgeting, transparent financial management, and robust accountability mechanisms in achieving effective public service provision (Musiega, Nyawira, &amp; Tsofa, 2023; Chiwawa &amp; Uwizeyimana, 2024; Piatti-Fünfkirchen &amp; Schneider, 2018).</w:t>
      </w:r>
    </w:p>
    <w:p w14:paraId="70567F99" w14:textId="7B8C9539" w:rsidR="008C2111" w:rsidRPr="008C2111" w:rsidRDefault="008C2111" w:rsidP="008C2111">
      <w:pPr>
        <w:jc w:val="both"/>
        <w:rPr>
          <w:rFonts w:ascii="Times New Roman" w:hAnsi="Times New Roman" w:cs="Times New Roman"/>
        </w:rPr>
      </w:pPr>
      <w:r w:rsidRPr="008C2111">
        <w:rPr>
          <w:rFonts w:ascii="Times New Roman" w:hAnsi="Times New Roman" w:cs="Times New Roman"/>
        </w:rPr>
        <w:t>Overall, the study highlights the need for local governments to prioritize evidence-based budgeting practices and strengthen financial accountability systems to ensure that public resources are efficiently utilized for the benefit of their communities. Addressing challenges such as over-optimistic revenue projections, political interference, and weak internal controls will be essential for closing the gap between approved budgets and actual expenditures, thereby improving the quality, sufficiency, and timeliness of service delivery at the grassroots level.</w:t>
      </w:r>
      <w:r w:rsidRPr="00C211D3">
        <w:rPr>
          <w:rFonts w:ascii="Times New Roman" w:hAnsi="Times New Roman" w:cs="Times New Roman"/>
        </w:rPr>
        <w:t xml:space="preserve"> </w:t>
      </w:r>
      <w:r w:rsidRPr="008C2111">
        <w:rPr>
          <w:rFonts w:ascii="Times New Roman" w:hAnsi="Times New Roman" w:cs="Times New Roman"/>
        </w:rPr>
        <w:t>In conclusion, enhancing budget credibility and financial accountability is fundamental to achieving sustainable development and improved social welfare in Ekiti State and similar contexts. Policymakers and administrators are therefore encouraged to implement reforms that foster transparency, accountability, and capacity building within local government financial management systems.</w:t>
      </w:r>
    </w:p>
    <w:p w14:paraId="3C499FF8" w14:textId="160D3C19" w:rsidR="000D1BF4" w:rsidRPr="00C211D3" w:rsidRDefault="000D1BF4" w:rsidP="008905CB">
      <w:pPr>
        <w:rPr>
          <w:rFonts w:ascii="Times New Roman" w:hAnsi="Times New Roman" w:cs="Times New Roman"/>
          <w:b/>
          <w:bCs/>
        </w:rPr>
      </w:pPr>
      <w:r w:rsidRPr="00C211D3">
        <w:rPr>
          <w:rFonts w:ascii="Times New Roman" w:hAnsi="Times New Roman" w:cs="Times New Roman"/>
          <w:b/>
          <w:bCs/>
        </w:rPr>
        <w:t>5.2 Recommendation</w:t>
      </w:r>
    </w:p>
    <w:p w14:paraId="7A18C339"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Based on the findings of this study, three key recommendations are proposed to enhance service delivery in local governments:</w:t>
      </w:r>
    </w:p>
    <w:p w14:paraId="23065AF1"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First, local governments should prioritize the adoption of evidence-based and realistic budgeting practices. This involves using accurate data for revenue projections, aligning budget allocations with actual financial capacities, and ensuring that budget preparation is participatory and transparent. By doing so, the gap between approved and actual expenditures can be minimized, thereby improving budget credibility and fostering greater trust among stakeholders.</w:t>
      </w:r>
    </w:p>
    <w:p w14:paraId="45DBA57E"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Second, it is essential to strengthen financial accountability mechanisms within local government systems. This can be achieved by reinforcing internal controls, ensuring timely and transparent financial reporting, and rigorously implementing audit recommendations. Establishing robust monitoring and evaluation frameworks will help detect and prevent financial mismanagement, ensuring that public resources are used efficiently and for their intended purposes.</w:t>
      </w:r>
    </w:p>
    <w:p w14:paraId="1668B9BA"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Finally, continuous capacity building for local government staff should be emphasized. Providing regular training and professional development opportunities in modern public financial management and accountability practices will equip personnel with the necessary skills to manage public funds effectively. Enhanced staff capacity will not only improve compliance with financial regulations but also contribute to more responsive and effective service delivery at the grassroots level.</w:t>
      </w:r>
    </w:p>
    <w:p w14:paraId="5762778F" w14:textId="77777777" w:rsidR="00B85322" w:rsidRDefault="00B85322" w:rsidP="00B85322">
      <w:pPr>
        <w:rPr>
          <w:highlight w:val="yellow"/>
        </w:rPr>
      </w:pPr>
      <w:r>
        <w:rPr>
          <w:highlight w:val="yellow"/>
        </w:rPr>
        <w:t>Disclaimer (Artificial intelligence)</w:t>
      </w:r>
    </w:p>
    <w:p w14:paraId="77917B41" w14:textId="77777777" w:rsidR="00B85322" w:rsidRDefault="00B85322" w:rsidP="00B85322">
      <w:pPr>
        <w:rPr>
          <w:highlight w:val="yellow"/>
        </w:rPr>
      </w:pPr>
      <w:r>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C25D9F2" w14:textId="47C71A52" w:rsidR="008905CB" w:rsidRPr="00C211D3" w:rsidRDefault="008905CB" w:rsidP="008905CB">
      <w:pPr>
        <w:rPr>
          <w:rFonts w:ascii="Times New Roman" w:hAnsi="Times New Roman" w:cs="Times New Roman"/>
          <w:b/>
          <w:bCs/>
        </w:rPr>
      </w:pPr>
      <w:bookmarkStart w:id="44" w:name="_GoBack"/>
      <w:bookmarkEnd w:id="44"/>
      <w:r w:rsidRPr="00C211D3">
        <w:rPr>
          <w:rFonts w:ascii="Times New Roman" w:hAnsi="Times New Roman" w:cs="Times New Roman"/>
          <w:b/>
          <w:bCs/>
        </w:rPr>
        <w:br w:type="page"/>
      </w:r>
    </w:p>
    <w:p w14:paraId="2326DED3" w14:textId="77777777" w:rsidR="008905CB" w:rsidRPr="00C211D3" w:rsidRDefault="008905CB" w:rsidP="008905CB">
      <w:pPr>
        <w:pStyle w:val="Heading2"/>
        <w:rPr>
          <w:rFonts w:ascii="Times New Roman" w:hAnsi="Times New Roman" w:cs="Times New Roman"/>
          <w:color w:val="auto"/>
          <w:sz w:val="24"/>
          <w:szCs w:val="24"/>
        </w:rPr>
      </w:pPr>
      <w:bookmarkStart w:id="45" w:name="_Toc215492795"/>
      <w:r w:rsidRPr="00C211D3">
        <w:rPr>
          <w:rFonts w:ascii="Times New Roman" w:hAnsi="Times New Roman" w:cs="Times New Roman"/>
          <w:color w:val="auto"/>
          <w:sz w:val="24"/>
          <w:szCs w:val="24"/>
        </w:rPr>
        <w:lastRenderedPageBreak/>
        <w:t>References</w:t>
      </w:r>
      <w:bookmarkEnd w:id="45"/>
    </w:p>
    <w:p w14:paraId="2AC4DC7B" w14:textId="77777777" w:rsidR="002A1729" w:rsidRDefault="002A1729" w:rsidP="00B825DE">
      <w:pPr>
        <w:ind w:left="720" w:hanging="720"/>
        <w:jc w:val="both"/>
        <w:rPr>
          <w:rFonts w:ascii="Times New Roman" w:hAnsi="Times New Roman" w:cs="Times New Roman"/>
        </w:rPr>
      </w:pPr>
      <w:r w:rsidRPr="00B825DE">
        <w:rPr>
          <w:rFonts w:ascii="Times New Roman" w:hAnsi="Times New Roman" w:cs="Times New Roman"/>
        </w:rPr>
        <w:t>Abdulsalam, D., Bamidele V. O., &amp; Fajana, K. J., (2024). Effect of internal control on the financial performance of small and medium scale enterprises in Ekiti State, Nigeria. </w:t>
      </w:r>
      <w:r w:rsidRPr="00B825DE">
        <w:rPr>
          <w:rFonts w:ascii="Times New Roman" w:hAnsi="Times New Roman" w:cs="Times New Roman"/>
          <w:i/>
          <w:iCs/>
        </w:rPr>
        <w:t>Journal of Accounting, Business and Social Sciences, 8</w:t>
      </w:r>
      <w:r w:rsidRPr="00B825DE">
        <w:rPr>
          <w:rFonts w:ascii="Times New Roman" w:hAnsi="Times New Roman" w:cs="Times New Roman"/>
        </w:rPr>
        <w:t>(1), 115-125.</w:t>
      </w:r>
    </w:p>
    <w:p w14:paraId="5D4B2037" w14:textId="77777777" w:rsidR="002A1729" w:rsidRPr="00B825DE" w:rsidRDefault="002A1729" w:rsidP="00B825DE">
      <w:pPr>
        <w:ind w:left="720" w:hanging="720"/>
        <w:jc w:val="both"/>
        <w:rPr>
          <w:rFonts w:ascii="Times New Roman" w:hAnsi="Times New Roman" w:cs="Times New Roman"/>
        </w:rPr>
      </w:pPr>
      <w:r w:rsidRPr="00B825DE">
        <w:rPr>
          <w:rFonts w:ascii="Times New Roman" w:hAnsi="Times New Roman" w:cs="Times New Roman"/>
        </w:rPr>
        <w:t>Abdusalam, D., &amp; Bamidele, V.O., (2019). The place of auditing in organizational performance of public sector: Evidence from some selected local government in Zamfara State, Nigeria. </w:t>
      </w:r>
      <w:r w:rsidRPr="00B825DE">
        <w:rPr>
          <w:rFonts w:ascii="Times New Roman" w:hAnsi="Times New Roman" w:cs="Times New Roman"/>
          <w:i/>
          <w:iCs/>
        </w:rPr>
        <w:t>Journal of Accounting and Financial Management, 5</w:t>
      </w:r>
      <w:r w:rsidRPr="00B825DE">
        <w:rPr>
          <w:rFonts w:ascii="Times New Roman" w:hAnsi="Times New Roman" w:cs="Times New Roman"/>
        </w:rPr>
        <w:t>(2), 172-187.</w:t>
      </w:r>
    </w:p>
    <w:p w14:paraId="261FCD67"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Adekunle, W., Bekoe, W., Badmus, S. K., Afolabi, A. A., &amp; Lawal, N. (2022). Nexus between fiscal discipline and the budget process in Africa: Evidence from Nigeria. </w:t>
      </w:r>
      <w:r w:rsidRPr="00C211D3">
        <w:rPr>
          <w:rFonts w:ascii="Times New Roman" w:hAnsi="Times New Roman" w:cs="Times New Roman"/>
          <w:i/>
          <w:iCs/>
        </w:rPr>
        <w:t>Theoretical and Practical Research in Economic Fields, 12(2), 79–91.</w:t>
      </w:r>
      <w:r w:rsidRPr="00C211D3">
        <w:rPr>
          <w:rFonts w:ascii="Times New Roman" w:hAnsi="Times New Roman" w:cs="Times New Roman"/>
        </w:rPr>
        <w:t> </w:t>
      </w:r>
      <w:hyperlink r:id="rId10" w:history="1">
        <w:r w:rsidRPr="00C211D3">
          <w:rPr>
            <w:rStyle w:val="Hyperlink"/>
            <w:rFonts w:ascii="Times New Roman" w:hAnsi="Times New Roman" w:cs="Times New Roman"/>
            <w:color w:val="auto"/>
          </w:rPr>
          <w:t>https://doi.org/10.14505/tpref.v12.2(24).06</w:t>
        </w:r>
      </w:hyperlink>
    </w:p>
    <w:p w14:paraId="2D179FB7"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Adeyeye, G. B., &amp; Adeyeye, A. M. (2019). The effect of fiscal accountability and transparency on service delivery in the Nigerian public sector. </w:t>
      </w:r>
      <w:r w:rsidRPr="00C211D3">
        <w:rPr>
          <w:rFonts w:ascii="Times New Roman" w:hAnsi="Times New Roman" w:cs="Times New Roman"/>
          <w:i/>
          <w:iCs/>
        </w:rPr>
        <w:t>African Journal of Accounting, Auditing and Finance, 5(1), 1–15.</w:t>
      </w:r>
      <w:r w:rsidRPr="00C211D3">
        <w:rPr>
          <w:rFonts w:ascii="Times New Roman" w:hAnsi="Times New Roman" w:cs="Times New Roman"/>
        </w:rPr>
        <w:t> </w:t>
      </w:r>
      <w:hyperlink r:id="rId11" w:history="1">
        <w:r w:rsidRPr="00C211D3">
          <w:rPr>
            <w:rStyle w:val="Hyperlink"/>
            <w:rFonts w:ascii="Times New Roman" w:hAnsi="Times New Roman" w:cs="Times New Roman"/>
            <w:color w:val="auto"/>
          </w:rPr>
          <w:t>https://doi.org/10.1504/ajaaf.2019.105117</w:t>
        </w:r>
      </w:hyperlink>
    </w:p>
    <w:p w14:paraId="7E570B44" w14:textId="77777777" w:rsidR="002A1729" w:rsidRDefault="002A1729" w:rsidP="00B825DE">
      <w:pPr>
        <w:ind w:left="720" w:hanging="720"/>
        <w:jc w:val="both"/>
        <w:rPr>
          <w:rFonts w:ascii="Times New Roman" w:hAnsi="Times New Roman" w:cs="Times New Roman"/>
        </w:rPr>
      </w:pPr>
      <w:r w:rsidRPr="00B825DE">
        <w:rPr>
          <w:rFonts w:ascii="Times New Roman" w:hAnsi="Times New Roman" w:cs="Times New Roman"/>
        </w:rPr>
        <w:t>Adeyiola, I., Bamidele, V. O., &amp; Ogundipe, F. B. (2026). Empirical study of internal control systems and ethical conduct in banking institutions: Evidence from listed deposit money banks in Nigeria. </w:t>
      </w:r>
      <w:r w:rsidRPr="00B825DE">
        <w:rPr>
          <w:rFonts w:ascii="Times New Roman" w:hAnsi="Times New Roman" w:cs="Times New Roman"/>
          <w:i/>
          <w:iCs/>
        </w:rPr>
        <w:t>Journal of Accounting, Business and Finance Research, 22</w:t>
      </w:r>
      <w:r w:rsidRPr="00B825DE">
        <w:rPr>
          <w:rFonts w:ascii="Times New Roman" w:hAnsi="Times New Roman" w:cs="Times New Roman"/>
        </w:rPr>
        <w:t>(1), 29–39. </w:t>
      </w:r>
      <w:hyperlink r:id="rId12" w:history="1">
        <w:r w:rsidRPr="00B825DE">
          <w:rPr>
            <w:rStyle w:val="Hyperlink"/>
            <w:rFonts w:ascii="Times New Roman" w:hAnsi="Times New Roman" w:cs="Times New Roman"/>
          </w:rPr>
          <w:t>https://doi.org/10.55217/102.v22i1.1053</w:t>
        </w:r>
      </w:hyperlink>
    </w:p>
    <w:p w14:paraId="6C581D19"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Alao, M. E. (2017). An examination of service delivery in the public sector: A study of Nigeria’s budget process. </w:t>
      </w:r>
      <w:r w:rsidRPr="00C211D3">
        <w:rPr>
          <w:rFonts w:ascii="Times New Roman" w:hAnsi="Times New Roman" w:cs="Times New Roman"/>
          <w:i/>
          <w:iCs/>
        </w:rPr>
        <w:t>African Journal of Governance and Development Studies, 2(1), 61–72.</w:t>
      </w:r>
    </w:p>
    <w:p w14:paraId="0B61296B"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Andesia, J., &amp; Ghabon, Y. K. (2025). Budgetary monitoring on budget absorption in the County Government of Bungoma, Kenya. </w:t>
      </w:r>
      <w:r w:rsidRPr="00C211D3">
        <w:rPr>
          <w:rFonts w:ascii="Times New Roman" w:hAnsi="Times New Roman" w:cs="Times New Roman"/>
          <w:i/>
          <w:iCs/>
        </w:rPr>
        <w:t>International Journal of Science and Research Archive, 16(2).</w:t>
      </w:r>
      <w:r w:rsidRPr="00C211D3">
        <w:rPr>
          <w:rFonts w:ascii="Times New Roman" w:hAnsi="Times New Roman" w:cs="Times New Roman"/>
        </w:rPr>
        <w:t> </w:t>
      </w:r>
      <w:hyperlink r:id="rId13" w:history="1">
        <w:r w:rsidRPr="00C211D3">
          <w:rPr>
            <w:rStyle w:val="Hyperlink"/>
            <w:rFonts w:ascii="Times New Roman" w:hAnsi="Times New Roman" w:cs="Times New Roman"/>
            <w:color w:val="auto"/>
          </w:rPr>
          <w:t>https://doi.org/10.30574/ijsra.2025.16.2.2282</w:t>
        </w:r>
      </w:hyperlink>
    </w:p>
    <w:p w14:paraId="297E9F8D" w14:textId="77777777" w:rsidR="002A1729" w:rsidRDefault="002A1729" w:rsidP="00B825DE">
      <w:pPr>
        <w:ind w:left="720" w:hanging="720"/>
        <w:jc w:val="both"/>
        <w:rPr>
          <w:rFonts w:ascii="Times New Roman" w:hAnsi="Times New Roman" w:cs="Times New Roman"/>
        </w:rPr>
      </w:pPr>
      <w:r w:rsidRPr="00B825DE">
        <w:rPr>
          <w:rFonts w:ascii="Times New Roman" w:hAnsi="Times New Roman" w:cs="Times New Roman"/>
        </w:rPr>
        <w:t>Bamidele, V. O., &amp; Abdulsalam, D. (2025). Revisiting the golden rule in accounting: A normative inquiry into justice, fairness, and equity. </w:t>
      </w:r>
      <w:r w:rsidRPr="00B825DE">
        <w:rPr>
          <w:rFonts w:ascii="Times New Roman" w:hAnsi="Times New Roman" w:cs="Times New Roman"/>
          <w:i/>
          <w:iCs/>
        </w:rPr>
        <w:t>International Journal of Economics, Education, Law and Social Sciences, 1</w:t>
      </w:r>
      <w:r w:rsidRPr="00B825DE">
        <w:rPr>
          <w:rFonts w:ascii="Times New Roman" w:hAnsi="Times New Roman" w:cs="Times New Roman"/>
        </w:rPr>
        <w:t>(2), 58–62. </w:t>
      </w:r>
      <w:hyperlink r:id="rId14" w:history="1">
        <w:r w:rsidRPr="00B825DE">
          <w:rPr>
            <w:rStyle w:val="Hyperlink"/>
            <w:rFonts w:ascii="Times New Roman" w:hAnsi="Times New Roman" w:cs="Times New Roman"/>
          </w:rPr>
          <w:t>https://doi.org/10.61990/ijeelsc.v1i2e-ISSN</w:t>
        </w:r>
      </w:hyperlink>
    </w:p>
    <w:p w14:paraId="79BBA81B"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Bombo, F. B. (2025). Beyond the numbers: Evaluating the development impact of budget execution in Tanzania’s public project. </w:t>
      </w:r>
      <w:r w:rsidRPr="00C211D3">
        <w:rPr>
          <w:rFonts w:ascii="Times New Roman" w:hAnsi="Times New Roman" w:cs="Times New Roman"/>
          <w:i/>
          <w:iCs/>
        </w:rPr>
        <w:t>International Journal of Latest Technology in Engineering, Management &amp; Applied Science, 14(8), 747-760.</w:t>
      </w:r>
      <w:r w:rsidRPr="00C211D3">
        <w:rPr>
          <w:rFonts w:ascii="Times New Roman" w:hAnsi="Times New Roman" w:cs="Times New Roman"/>
        </w:rPr>
        <w:t> </w:t>
      </w:r>
      <w:hyperlink r:id="rId15" w:history="1">
        <w:r w:rsidRPr="00C211D3">
          <w:rPr>
            <w:rStyle w:val="Hyperlink"/>
            <w:rFonts w:ascii="Times New Roman" w:hAnsi="Times New Roman" w:cs="Times New Roman"/>
            <w:color w:val="auto"/>
          </w:rPr>
          <w:t>https://doi.org/10.51583/ijltemas.2025.1408000022</w:t>
        </w:r>
      </w:hyperlink>
    </w:p>
    <w:p w14:paraId="2F2D0361"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Bowrey, G. D., Smark, C., &amp; Watts, T. (2016). Financial accountability: The contribution of Senate estimates. </w:t>
      </w:r>
      <w:r w:rsidRPr="00C211D3">
        <w:rPr>
          <w:rFonts w:ascii="Times New Roman" w:hAnsi="Times New Roman" w:cs="Times New Roman"/>
          <w:i/>
          <w:iCs/>
        </w:rPr>
        <w:t>Australian Journal of Public Administration, 75(1), 61–76.</w:t>
      </w:r>
      <w:r w:rsidRPr="00C211D3">
        <w:rPr>
          <w:rFonts w:ascii="Times New Roman" w:hAnsi="Times New Roman" w:cs="Times New Roman"/>
        </w:rPr>
        <w:t> </w:t>
      </w:r>
      <w:hyperlink r:id="rId16" w:history="1">
        <w:r w:rsidRPr="00C211D3">
          <w:rPr>
            <w:rStyle w:val="Hyperlink"/>
            <w:rFonts w:ascii="Times New Roman" w:hAnsi="Times New Roman" w:cs="Times New Roman"/>
            <w:color w:val="auto"/>
          </w:rPr>
          <w:t>https://doi.org/10.1111/1467-8500.12116</w:t>
        </w:r>
      </w:hyperlink>
    </w:p>
    <w:p w14:paraId="6CE7658B"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Buchanan, J. M. (1967). Public Finance in Democratic Process: Fiscal Institutions and Individual Choice. University of North Carolina Press.</w:t>
      </w:r>
    </w:p>
    <w:p w14:paraId="042F8660"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lastRenderedPageBreak/>
        <w:t>Chakraborty, L., Chakraborty, P., &amp; Shrestha, R. (2018). Budget credibility of subnational governments: Analyzing the fiscal forecasting errors of 28 states in India. </w:t>
      </w:r>
      <w:r w:rsidRPr="00C211D3">
        <w:rPr>
          <w:rFonts w:ascii="Times New Roman" w:hAnsi="Times New Roman" w:cs="Times New Roman"/>
          <w:i/>
          <w:iCs/>
        </w:rPr>
        <w:t>Research Papers in Economics, 6(2), 612-628.</w:t>
      </w:r>
      <w:r w:rsidRPr="00C211D3">
        <w:rPr>
          <w:rFonts w:ascii="Times New Roman" w:hAnsi="Times New Roman" w:cs="Times New Roman"/>
        </w:rPr>
        <w:t> </w:t>
      </w:r>
      <w:hyperlink r:id="rId17" w:history="1">
        <w:r w:rsidRPr="00C211D3">
          <w:rPr>
            <w:rStyle w:val="Hyperlink"/>
            <w:rFonts w:ascii="Times New Roman" w:hAnsi="Times New Roman" w:cs="Times New Roman"/>
            <w:color w:val="auto"/>
          </w:rPr>
          <w:t>https://doi.org/10.2139/ssrn.3478725</w:t>
        </w:r>
      </w:hyperlink>
    </w:p>
    <w:p w14:paraId="2E42D489"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Chiwawa, N., &amp; Uwizeyimana, D. E. (2024). Enhancing financial governance and compliance for sustainable service delivery in local government: A case of eThekwini Metropolitan Municipality. </w:t>
      </w:r>
      <w:r w:rsidRPr="00C211D3">
        <w:rPr>
          <w:rFonts w:ascii="Times New Roman" w:hAnsi="Times New Roman" w:cs="Times New Roman"/>
          <w:i/>
          <w:iCs/>
        </w:rPr>
        <w:t>International Journal of Applied Research in Business and Management, 6(4), 223–240.</w:t>
      </w:r>
      <w:r w:rsidRPr="00C211D3">
        <w:rPr>
          <w:rFonts w:ascii="Times New Roman" w:hAnsi="Times New Roman" w:cs="Times New Roman"/>
        </w:rPr>
        <w:t> </w:t>
      </w:r>
      <w:hyperlink r:id="rId18" w:history="1">
        <w:r w:rsidRPr="00C211D3">
          <w:rPr>
            <w:rStyle w:val="Hyperlink"/>
            <w:rFonts w:ascii="Times New Roman" w:hAnsi="Times New Roman" w:cs="Times New Roman"/>
            <w:color w:val="auto"/>
          </w:rPr>
          <w:t>https://doi.org/10.51137/wrp.ijarbm.2025.ncet.45717</w:t>
        </w:r>
      </w:hyperlink>
    </w:p>
    <w:p w14:paraId="54E0666F"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Efuntade, A. O., &amp; Efuntade, O. O. (2023). Relevance of fiscal illusion proposition and Wagner theory to Nigerian budget performance (Nexus among fiscal illusion index, recurrent and capital budget). </w:t>
      </w:r>
      <w:r w:rsidRPr="00C211D3">
        <w:rPr>
          <w:rFonts w:ascii="Times New Roman" w:hAnsi="Times New Roman" w:cs="Times New Roman"/>
          <w:i/>
          <w:iCs/>
        </w:rPr>
        <w:t>Journal of Accounting and Financial Management, 9(3), 129–149.</w:t>
      </w:r>
      <w:r w:rsidRPr="00C211D3">
        <w:rPr>
          <w:rFonts w:ascii="Times New Roman" w:hAnsi="Times New Roman" w:cs="Times New Roman"/>
        </w:rPr>
        <w:t> </w:t>
      </w:r>
      <w:hyperlink r:id="rId19" w:history="1">
        <w:r w:rsidRPr="00C211D3">
          <w:rPr>
            <w:rStyle w:val="Hyperlink"/>
            <w:rFonts w:ascii="Times New Roman" w:hAnsi="Times New Roman" w:cs="Times New Roman"/>
            <w:color w:val="auto"/>
          </w:rPr>
          <w:t>https://doi.org/10.56201/jafm.v9.no3.2023.pg129.149</w:t>
        </w:r>
      </w:hyperlink>
    </w:p>
    <w:p w14:paraId="3FC681EC"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Ekperi, P. M., &amp; Anokwu, C. C. (2023). Exploring public servants’ perceptions of the Treasury Single Account (TSA) as a catalyst for public sector accountability in Nigeria. </w:t>
      </w:r>
      <w:r w:rsidRPr="00C211D3">
        <w:rPr>
          <w:rFonts w:ascii="Times New Roman" w:hAnsi="Times New Roman" w:cs="Times New Roman"/>
          <w:i/>
          <w:iCs/>
        </w:rPr>
        <w:t>The International Journal of Business and Management, 11(7), 131–139.</w:t>
      </w:r>
      <w:r w:rsidRPr="00C211D3">
        <w:rPr>
          <w:rFonts w:ascii="Times New Roman" w:hAnsi="Times New Roman" w:cs="Times New Roman"/>
        </w:rPr>
        <w:t> </w:t>
      </w:r>
      <w:hyperlink r:id="rId20" w:history="1">
        <w:r w:rsidRPr="00C211D3">
          <w:rPr>
            <w:rStyle w:val="Hyperlink"/>
            <w:rFonts w:ascii="Times New Roman" w:hAnsi="Times New Roman" w:cs="Times New Roman"/>
            <w:color w:val="auto"/>
          </w:rPr>
          <w:t>https://doi.org/10.24940/theijbm/2023/v11/i7/bm2307-017</w:t>
        </w:r>
      </w:hyperlink>
    </w:p>
    <w:p w14:paraId="3D730D28"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Guillamón, M.-D., Ríos, A. M., &amp; Prijaković, S. (2024). The impact of budget transparency on budget credibility: Evidence from Croatian cities. </w:t>
      </w:r>
      <w:r w:rsidRPr="00C211D3">
        <w:rPr>
          <w:rFonts w:ascii="Times New Roman" w:hAnsi="Times New Roman" w:cs="Times New Roman"/>
          <w:i/>
          <w:iCs/>
        </w:rPr>
        <w:t>South East European Journal of Economics and Business, 19(2), 25–42.</w:t>
      </w:r>
      <w:r w:rsidRPr="00C211D3">
        <w:rPr>
          <w:rFonts w:ascii="Times New Roman" w:hAnsi="Times New Roman" w:cs="Times New Roman"/>
        </w:rPr>
        <w:t> </w:t>
      </w:r>
      <w:hyperlink r:id="rId21" w:history="1">
        <w:r w:rsidRPr="00C211D3">
          <w:rPr>
            <w:rStyle w:val="Hyperlink"/>
            <w:rFonts w:ascii="Times New Roman" w:hAnsi="Times New Roman" w:cs="Times New Roman"/>
            <w:color w:val="auto"/>
          </w:rPr>
          <w:t>https://doi.org/10.2478/jeb-2024-0019</w:t>
        </w:r>
      </w:hyperlink>
    </w:p>
    <w:p w14:paraId="01CC89E2"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Hribernik, T. M., Bratić, V., &amp; Prijaković, S. (2025). Economic and political determinants of local government budget credibility: A review of empirical evidence. </w:t>
      </w:r>
      <w:r w:rsidRPr="00C211D3">
        <w:rPr>
          <w:rFonts w:ascii="Times New Roman" w:hAnsi="Times New Roman" w:cs="Times New Roman"/>
          <w:i/>
          <w:iCs/>
        </w:rPr>
        <w:t>Lex localis – Journal of Local Self-Government, 23(3), 371–389.</w:t>
      </w:r>
      <w:r w:rsidRPr="00C211D3">
        <w:rPr>
          <w:rFonts w:ascii="Times New Roman" w:hAnsi="Times New Roman" w:cs="Times New Roman"/>
        </w:rPr>
        <w:t> </w:t>
      </w:r>
      <w:hyperlink r:id="rId22" w:history="1">
        <w:r w:rsidRPr="00C211D3">
          <w:rPr>
            <w:rStyle w:val="Hyperlink"/>
            <w:rFonts w:ascii="Times New Roman" w:hAnsi="Times New Roman" w:cs="Times New Roman"/>
            <w:color w:val="auto"/>
          </w:rPr>
          <w:t>https://doi.org/10.52152/23.3.71-94(2025)</w:t>
        </w:r>
      </w:hyperlink>
    </w:p>
    <w:p w14:paraId="1ED2481E"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Igbokwe-Ibeto, C. J., Nkomah, B. B., Osakede, K. O., &amp; Iregbuh, C. (2016). Treasury single account – Transparency and accountability in public finance management in Nigeria: The journey so far. </w:t>
      </w:r>
      <w:r w:rsidRPr="00C211D3">
        <w:rPr>
          <w:rFonts w:ascii="Times New Roman" w:hAnsi="Times New Roman" w:cs="Times New Roman"/>
          <w:i/>
          <w:iCs/>
        </w:rPr>
        <w:t>Africa’s Public Service Delivery and Performance Review, 4(2), 332–349.</w:t>
      </w:r>
      <w:r w:rsidRPr="00C211D3">
        <w:rPr>
          <w:rFonts w:ascii="Times New Roman" w:hAnsi="Times New Roman" w:cs="Times New Roman"/>
        </w:rPr>
        <w:t> </w:t>
      </w:r>
      <w:hyperlink r:id="rId23" w:history="1">
        <w:r w:rsidRPr="00C211D3">
          <w:rPr>
            <w:rStyle w:val="Hyperlink"/>
            <w:rFonts w:ascii="Times New Roman" w:hAnsi="Times New Roman" w:cs="Times New Roman"/>
            <w:color w:val="auto"/>
          </w:rPr>
          <w:t>https://doi.org/10.4102/apsdpr.v4i2.116</w:t>
        </w:r>
      </w:hyperlink>
    </w:p>
    <w:p w14:paraId="04257667"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Mirzaev, S. (2024). The role of budgetary control in preventing corruption and misuse of public funds. </w:t>
      </w:r>
      <w:r w:rsidRPr="00C211D3">
        <w:rPr>
          <w:rFonts w:ascii="Times New Roman" w:hAnsi="Times New Roman" w:cs="Times New Roman"/>
          <w:i/>
          <w:iCs/>
        </w:rPr>
        <w:t>Journal of Managerial Economics, 4(9), 71–94.</w:t>
      </w:r>
      <w:r w:rsidRPr="00C211D3">
        <w:rPr>
          <w:rFonts w:ascii="Times New Roman" w:hAnsi="Times New Roman" w:cs="Times New Roman"/>
        </w:rPr>
        <w:t> </w:t>
      </w:r>
      <w:hyperlink r:id="rId24" w:history="1">
        <w:r w:rsidRPr="00C211D3">
          <w:rPr>
            <w:rStyle w:val="Hyperlink"/>
            <w:rFonts w:ascii="Times New Roman" w:hAnsi="Times New Roman" w:cs="Times New Roman"/>
            <w:color w:val="auto"/>
          </w:rPr>
          <w:t>https://doi.org/10.55640/jme-04-09-04</w:t>
        </w:r>
      </w:hyperlink>
    </w:p>
    <w:p w14:paraId="2C3C0D2F"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Musiega, A., Nyawira, L., &amp; Tsofa, B. (2023). Budget monitoring, accountability practices and their influence on the efficiency of county health systems in Kenya. </w:t>
      </w:r>
      <w:r w:rsidRPr="00C211D3">
        <w:rPr>
          <w:rFonts w:ascii="Times New Roman" w:hAnsi="Times New Roman" w:cs="Times New Roman"/>
          <w:i/>
          <w:iCs/>
        </w:rPr>
        <w:t>PLOS Global Public Health, 3(2), 1908-1917.</w:t>
      </w:r>
      <w:r w:rsidRPr="00C211D3">
        <w:rPr>
          <w:rFonts w:ascii="Times New Roman" w:hAnsi="Times New Roman" w:cs="Times New Roman"/>
        </w:rPr>
        <w:t> </w:t>
      </w:r>
      <w:hyperlink r:id="rId25" w:history="1">
        <w:r w:rsidRPr="00C211D3">
          <w:rPr>
            <w:rStyle w:val="Hyperlink"/>
            <w:rFonts w:ascii="Times New Roman" w:hAnsi="Times New Roman" w:cs="Times New Roman"/>
            <w:color w:val="auto"/>
          </w:rPr>
          <w:t>https://doi.org/10.1371/journal.pgph.0001908</w:t>
        </w:r>
      </w:hyperlink>
    </w:p>
    <w:p w14:paraId="16D28DA8"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Musungu, I. D. G., Oseno, B., &amp; Rutto, R. (2023). School budget development and financial accountability of public secondary schools in Khwisero Sub County, Kenya. </w:t>
      </w:r>
      <w:r w:rsidRPr="00C211D3">
        <w:rPr>
          <w:rFonts w:ascii="Times New Roman" w:hAnsi="Times New Roman" w:cs="Times New Roman"/>
          <w:i/>
          <w:iCs/>
        </w:rPr>
        <w:t>African Journal of Empirical Research, 4(2), 85–98.</w:t>
      </w:r>
      <w:r w:rsidRPr="00C211D3">
        <w:rPr>
          <w:rFonts w:ascii="Times New Roman" w:hAnsi="Times New Roman" w:cs="Times New Roman"/>
        </w:rPr>
        <w:t> </w:t>
      </w:r>
      <w:hyperlink r:id="rId26" w:history="1">
        <w:r w:rsidRPr="00C211D3">
          <w:rPr>
            <w:rStyle w:val="Hyperlink"/>
            <w:rFonts w:ascii="Times New Roman" w:hAnsi="Times New Roman" w:cs="Times New Roman"/>
            <w:color w:val="auto"/>
          </w:rPr>
          <w:t>https://doi.org/10.51867/ajernet.4.2.85</w:t>
        </w:r>
      </w:hyperlink>
    </w:p>
    <w:p w14:paraId="269127BF"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Olurankinse, F., &amp; Oloruntoba, S. R. (2017). Empirical analysis of the effect of accountability on budget implementation in Ondo State Nigeria. </w:t>
      </w:r>
      <w:r w:rsidRPr="00C211D3">
        <w:rPr>
          <w:rFonts w:ascii="Times New Roman" w:hAnsi="Times New Roman" w:cs="Times New Roman"/>
          <w:i/>
          <w:iCs/>
        </w:rPr>
        <w:t>Canadian Social Science, 13(4), 18–27.</w:t>
      </w:r>
      <w:r w:rsidRPr="00C211D3">
        <w:rPr>
          <w:rFonts w:ascii="Times New Roman" w:hAnsi="Times New Roman" w:cs="Times New Roman"/>
        </w:rPr>
        <w:t> </w:t>
      </w:r>
      <w:hyperlink r:id="rId27" w:history="1">
        <w:r w:rsidRPr="00C211D3">
          <w:rPr>
            <w:rStyle w:val="Hyperlink"/>
            <w:rFonts w:ascii="Times New Roman" w:hAnsi="Times New Roman" w:cs="Times New Roman"/>
            <w:color w:val="auto"/>
          </w:rPr>
          <w:t>https://doi.org/10.3968/9340</w:t>
        </w:r>
      </w:hyperlink>
    </w:p>
    <w:p w14:paraId="29AE8954"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Piatti-Fünfkirchen, M., &amp; Schneider, P. H. (2018). From stumbling block to enabler: The role of public financial management in health service delivery in Tanzania and Zambia. </w:t>
      </w:r>
      <w:r w:rsidRPr="00C211D3">
        <w:rPr>
          <w:rFonts w:ascii="Times New Roman" w:hAnsi="Times New Roman" w:cs="Times New Roman"/>
          <w:i/>
          <w:iCs/>
        </w:rPr>
        <w:t>Health Systems and Reform, 4(4), 336–345.</w:t>
      </w:r>
      <w:r w:rsidRPr="00C211D3">
        <w:rPr>
          <w:rFonts w:ascii="Times New Roman" w:hAnsi="Times New Roman" w:cs="Times New Roman"/>
        </w:rPr>
        <w:t> </w:t>
      </w:r>
      <w:hyperlink r:id="rId28" w:history="1">
        <w:r w:rsidRPr="00C211D3">
          <w:rPr>
            <w:rStyle w:val="Hyperlink"/>
            <w:rFonts w:ascii="Times New Roman" w:hAnsi="Times New Roman" w:cs="Times New Roman"/>
            <w:color w:val="auto"/>
          </w:rPr>
          <w:t>https://doi.org/10.1080/23288604.2018.1513266</w:t>
        </w:r>
      </w:hyperlink>
    </w:p>
    <w:p w14:paraId="27D7252C"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Sule, S. A., &amp; Mulyanto, M. (2024). Comparative analysis of budget performance in Nigeria: Pre and post-Covid-19 impact. </w:t>
      </w:r>
      <w:r w:rsidRPr="00C211D3">
        <w:rPr>
          <w:rFonts w:ascii="Times New Roman" w:hAnsi="Times New Roman" w:cs="Times New Roman"/>
          <w:i/>
          <w:iCs/>
        </w:rPr>
        <w:t>Journal of Emerging Statistics and Finance, 2(2).</w:t>
      </w:r>
      <w:r w:rsidRPr="00C211D3">
        <w:rPr>
          <w:rFonts w:ascii="Times New Roman" w:hAnsi="Times New Roman" w:cs="Times New Roman"/>
        </w:rPr>
        <w:t> </w:t>
      </w:r>
      <w:hyperlink r:id="rId29" w:history="1">
        <w:r w:rsidRPr="00C211D3">
          <w:rPr>
            <w:rStyle w:val="Hyperlink"/>
            <w:rFonts w:ascii="Times New Roman" w:hAnsi="Times New Roman" w:cs="Times New Roman"/>
            <w:color w:val="auto"/>
          </w:rPr>
          <w:t>https://doi.org/10.58812/esaf.v2i02.222</w:t>
        </w:r>
      </w:hyperlink>
    </w:p>
    <w:p w14:paraId="03B9D1AB" w14:textId="77777777" w:rsidR="002A1729" w:rsidRDefault="002A1729" w:rsidP="00B825DE">
      <w:pPr>
        <w:ind w:left="720" w:hanging="720"/>
        <w:jc w:val="both"/>
        <w:rPr>
          <w:rFonts w:ascii="Times New Roman" w:hAnsi="Times New Roman" w:cs="Times New Roman"/>
        </w:rPr>
      </w:pPr>
      <w:r w:rsidRPr="00C211D3">
        <w:rPr>
          <w:rFonts w:ascii="Times New Roman" w:hAnsi="Times New Roman" w:cs="Times New Roman"/>
        </w:rPr>
        <w:t>Yaro, I., &amp; Sani, A. (2019). Effective budget implementation and service delivery in Nigeria. </w:t>
      </w:r>
      <w:r w:rsidRPr="00C211D3">
        <w:rPr>
          <w:rFonts w:ascii="Times New Roman" w:hAnsi="Times New Roman" w:cs="Times New Roman"/>
          <w:i/>
          <w:iCs/>
        </w:rPr>
        <w:t>Global Journal of Advanced Management, 2(3), 171–185.</w:t>
      </w:r>
      <w:r w:rsidRPr="00C211D3">
        <w:rPr>
          <w:rFonts w:ascii="Times New Roman" w:hAnsi="Times New Roman" w:cs="Times New Roman"/>
        </w:rPr>
        <w:t> </w:t>
      </w:r>
      <w:hyperlink r:id="rId30" w:history="1">
        <w:r w:rsidRPr="00C211D3">
          <w:rPr>
            <w:rStyle w:val="Hyperlink"/>
            <w:rFonts w:ascii="Times New Roman" w:hAnsi="Times New Roman" w:cs="Times New Roman"/>
            <w:color w:val="auto"/>
          </w:rPr>
          <w:t>https://doi.org/10.64290/gjam.v2i3.1237</w:t>
        </w:r>
      </w:hyperlink>
    </w:p>
    <w:p w14:paraId="348E8A3B" w14:textId="77777777" w:rsidR="00F81381" w:rsidRPr="00C211D3" w:rsidRDefault="00F81381">
      <w:pPr>
        <w:rPr>
          <w:rFonts w:ascii="Times New Roman" w:hAnsi="Times New Roman" w:cs="Times New Roman"/>
        </w:rPr>
      </w:pPr>
    </w:p>
    <w:sectPr w:rsidR="00F81381" w:rsidRPr="00C211D3" w:rsidSect="008905CB">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54854" w14:textId="77777777" w:rsidR="00FF04CB" w:rsidRDefault="00FF04CB">
      <w:pPr>
        <w:spacing w:after="0" w:line="240" w:lineRule="auto"/>
      </w:pPr>
      <w:r>
        <w:separator/>
      </w:r>
    </w:p>
  </w:endnote>
  <w:endnote w:type="continuationSeparator" w:id="0">
    <w:p w14:paraId="301B876E" w14:textId="77777777" w:rsidR="00FF04CB" w:rsidRDefault="00FF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025444"/>
      <w:docPartObj>
        <w:docPartGallery w:val="Page Numbers (Bottom of Page)"/>
        <w:docPartUnique/>
      </w:docPartObj>
    </w:sdtPr>
    <w:sdtEndPr>
      <w:rPr>
        <w:noProof/>
      </w:rPr>
    </w:sdtEndPr>
    <w:sdtContent>
      <w:p w14:paraId="44659341" w14:textId="77777777" w:rsidR="008905CB" w:rsidRDefault="00890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F0F3D" w14:textId="77777777" w:rsidR="008905CB" w:rsidRDefault="00890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0EC6" w14:textId="77777777" w:rsidR="00FF04CB" w:rsidRDefault="00FF04CB">
      <w:pPr>
        <w:spacing w:after="0" w:line="240" w:lineRule="auto"/>
      </w:pPr>
      <w:r>
        <w:separator/>
      </w:r>
    </w:p>
  </w:footnote>
  <w:footnote w:type="continuationSeparator" w:id="0">
    <w:p w14:paraId="720DE76A" w14:textId="77777777" w:rsidR="00FF04CB" w:rsidRDefault="00FF0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BC8"/>
    <w:multiLevelType w:val="multilevel"/>
    <w:tmpl w:val="D43C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F48A2"/>
    <w:multiLevelType w:val="multilevel"/>
    <w:tmpl w:val="4110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942206"/>
    <w:multiLevelType w:val="multilevel"/>
    <w:tmpl w:val="DC6C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377B2"/>
    <w:multiLevelType w:val="hybridMultilevel"/>
    <w:tmpl w:val="7FD2F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CF39AF"/>
    <w:multiLevelType w:val="multilevel"/>
    <w:tmpl w:val="012072F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886FEE"/>
    <w:multiLevelType w:val="hybridMultilevel"/>
    <w:tmpl w:val="9CBA2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CB"/>
    <w:rsid w:val="000261DD"/>
    <w:rsid w:val="00071519"/>
    <w:rsid w:val="000D1BF4"/>
    <w:rsid w:val="001C6525"/>
    <w:rsid w:val="002300B4"/>
    <w:rsid w:val="00230745"/>
    <w:rsid w:val="002A1729"/>
    <w:rsid w:val="00323BB0"/>
    <w:rsid w:val="003C18DC"/>
    <w:rsid w:val="004755A1"/>
    <w:rsid w:val="004D5B79"/>
    <w:rsid w:val="00523B4F"/>
    <w:rsid w:val="005D26BF"/>
    <w:rsid w:val="00670640"/>
    <w:rsid w:val="006A3FC4"/>
    <w:rsid w:val="006E677E"/>
    <w:rsid w:val="00747248"/>
    <w:rsid w:val="0079191B"/>
    <w:rsid w:val="00804E41"/>
    <w:rsid w:val="0084247E"/>
    <w:rsid w:val="008905CB"/>
    <w:rsid w:val="008C2111"/>
    <w:rsid w:val="009C4951"/>
    <w:rsid w:val="00A26E62"/>
    <w:rsid w:val="00B2358C"/>
    <w:rsid w:val="00B80E53"/>
    <w:rsid w:val="00B825DE"/>
    <w:rsid w:val="00B85322"/>
    <w:rsid w:val="00BC6F5B"/>
    <w:rsid w:val="00C211D3"/>
    <w:rsid w:val="00CA2094"/>
    <w:rsid w:val="00DE5235"/>
    <w:rsid w:val="00E2798A"/>
    <w:rsid w:val="00E55E96"/>
    <w:rsid w:val="00F81381"/>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4177"/>
  <w15:chartTrackingRefBased/>
  <w15:docId w15:val="{7F338BE2-1C23-4B64-9EBD-74DF671D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5CB"/>
  </w:style>
  <w:style w:type="paragraph" w:styleId="Heading1">
    <w:name w:val="heading 1"/>
    <w:basedOn w:val="Normal"/>
    <w:next w:val="Normal"/>
    <w:link w:val="Heading1Char"/>
    <w:uiPriority w:val="9"/>
    <w:qFormat/>
    <w:rsid w:val="00890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0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0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5CB"/>
    <w:rPr>
      <w:rFonts w:eastAsiaTheme="majorEastAsia" w:cstheme="majorBidi"/>
      <w:color w:val="272727" w:themeColor="text1" w:themeTint="D8"/>
    </w:rPr>
  </w:style>
  <w:style w:type="paragraph" w:styleId="Title">
    <w:name w:val="Title"/>
    <w:basedOn w:val="Normal"/>
    <w:next w:val="Normal"/>
    <w:link w:val="TitleChar"/>
    <w:uiPriority w:val="10"/>
    <w:qFormat/>
    <w:rsid w:val="00890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5CB"/>
    <w:pPr>
      <w:spacing w:before="160"/>
      <w:jc w:val="center"/>
    </w:pPr>
    <w:rPr>
      <w:i/>
      <w:iCs/>
      <w:color w:val="404040" w:themeColor="text1" w:themeTint="BF"/>
    </w:rPr>
  </w:style>
  <w:style w:type="character" w:customStyle="1" w:styleId="QuoteChar">
    <w:name w:val="Quote Char"/>
    <w:basedOn w:val="DefaultParagraphFont"/>
    <w:link w:val="Quote"/>
    <w:uiPriority w:val="29"/>
    <w:rsid w:val="008905CB"/>
    <w:rPr>
      <w:i/>
      <w:iCs/>
      <w:color w:val="404040" w:themeColor="text1" w:themeTint="BF"/>
    </w:rPr>
  </w:style>
  <w:style w:type="paragraph" w:styleId="ListParagraph">
    <w:name w:val="List Paragraph"/>
    <w:basedOn w:val="Normal"/>
    <w:uiPriority w:val="34"/>
    <w:qFormat/>
    <w:rsid w:val="008905CB"/>
    <w:pPr>
      <w:ind w:left="720"/>
      <w:contextualSpacing/>
    </w:pPr>
  </w:style>
  <w:style w:type="character" w:styleId="IntenseEmphasis">
    <w:name w:val="Intense Emphasis"/>
    <w:basedOn w:val="DefaultParagraphFont"/>
    <w:uiPriority w:val="21"/>
    <w:qFormat/>
    <w:rsid w:val="008905CB"/>
    <w:rPr>
      <w:i/>
      <w:iCs/>
      <w:color w:val="2F5496" w:themeColor="accent1" w:themeShade="BF"/>
    </w:rPr>
  </w:style>
  <w:style w:type="paragraph" w:styleId="IntenseQuote">
    <w:name w:val="Intense Quote"/>
    <w:basedOn w:val="Normal"/>
    <w:next w:val="Normal"/>
    <w:link w:val="IntenseQuoteChar"/>
    <w:uiPriority w:val="30"/>
    <w:qFormat/>
    <w:rsid w:val="00890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5CB"/>
    <w:rPr>
      <w:i/>
      <w:iCs/>
      <w:color w:val="2F5496" w:themeColor="accent1" w:themeShade="BF"/>
    </w:rPr>
  </w:style>
  <w:style w:type="character" w:styleId="IntenseReference">
    <w:name w:val="Intense Reference"/>
    <w:basedOn w:val="DefaultParagraphFont"/>
    <w:uiPriority w:val="32"/>
    <w:qFormat/>
    <w:rsid w:val="008905CB"/>
    <w:rPr>
      <w:b/>
      <w:bCs/>
      <w:smallCaps/>
      <w:color w:val="2F5496" w:themeColor="accent1" w:themeShade="BF"/>
      <w:spacing w:val="5"/>
    </w:rPr>
  </w:style>
  <w:style w:type="character" w:styleId="Hyperlink">
    <w:name w:val="Hyperlink"/>
    <w:basedOn w:val="DefaultParagraphFont"/>
    <w:uiPriority w:val="99"/>
    <w:unhideWhenUsed/>
    <w:rsid w:val="008905CB"/>
    <w:rPr>
      <w:color w:val="0563C1" w:themeColor="hyperlink"/>
      <w:u w:val="single"/>
    </w:rPr>
  </w:style>
  <w:style w:type="paragraph" w:styleId="Footer">
    <w:name w:val="footer"/>
    <w:basedOn w:val="Normal"/>
    <w:link w:val="FooterChar"/>
    <w:uiPriority w:val="99"/>
    <w:unhideWhenUsed/>
    <w:rsid w:val="0089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CB"/>
  </w:style>
  <w:style w:type="paragraph" w:styleId="TOC2">
    <w:name w:val="toc 2"/>
    <w:basedOn w:val="Normal"/>
    <w:next w:val="Normal"/>
    <w:autoRedefine/>
    <w:uiPriority w:val="39"/>
    <w:unhideWhenUsed/>
    <w:rsid w:val="008905CB"/>
    <w:pPr>
      <w:spacing w:after="100"/>
      <w:ind w:left="240"/>
    </w:pPr>
  </w:style>
  <w:style w:type="paragraph" w:styleId="TOCHeading">
    <w:name w:val="TOC Heading"/>
    <w:basedOn w:val="Heading1"/>
    <w:next w:val="Normal"/>
    <w:uiPriority w:val="39"/>
    <w:unhideWhenUsed/>
    <w:qFormat/>
    <w:rsid w:val="008905CB"/>
    <w:pPr>
      <w:spacing w:before="240" w:after="0" w:line="259" w:lineRule="auto"/>
      <w:outlineLvl w:val="9"/>
    </w:pPr>
    <w:rPr>
      <w:kern w:val="0"/>
      <w:sz w:val="32"/>
      <w:szCs w:val="32"/>
      <w14:ligatures w14:val="none"/>
    </w:rPr>
  </w:style>
  <w:style w:type="character" w:styleId="UnresolvedMention">
    <w:name w:val="Unresolved Mention"/>
    <w:basedOn w:val="DefaultParagraphFont"/>
    <w:uiPriority w:val="99"/>
    <w:semiHidden/>
    <w:unhideWhenUsed/>
    <w:rsid w:val="00B8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74/ijsra.2025.16.2.2282" TargetMode="External"/><Relationship Id="rId18" Type="http://schemas.openxmlformats.org/officeDocument/2006/relationships/hyperlink" Target="https://doi.org/10.51137/wrp.ijarbm.2025.ncet.45717" TargetMode="External"/><Relationship Id="rId26" Type="http://schemas.openxmlformats.org/officeDocument/2006/relationships/hyperlink" Target="https://doi.org/10.51867/ajernet.4.2.85" TargetMode="External"/><Relationship Id="rId3" Type="http://schemas.openxmlformats.org/officeDocument/2006/relationships/settings" Target="settings.xml"/><Relationship Id="rId21" Type="http://schemas.openxmlformats.org/officeDocument/2006/relationships/hyperlink" Target="https://doi.org/10.2478/jeb-2024-0019" TargetMode="External"/><Relationship Id="rId7" Type="http://schemas.openxmlformats.org/officeDocument/2006/relationships/hyperlink" Target="https://orcid.org/0009-0003-8965-0121" TargetMode="External"/><Relationship Id="rId12" Type="http://schemas.openxmlformats.org/officeDocument/2006/relationships/hyperlink" Target="https://doi.org/10.55217/102.v22i1.1053" TargetMode="External"/><Relationship Id="rId17" Type="http://schemas.openxmlformats.org/officeDocument/2006/relationships/hyperlink" Target="https://doi.org/10.2139/ssrn.3478725" TargetMode="External"/><Relationship Id="rId25" Type="http://schemas.openxmlformats.org/officeDocument/2006/relationships/hyperlink" Target="https://doi.org/10.1371/journal.pgph.000190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1467-8500.12116" TargetMode="External"/><Relationship Id="rId20" Type="http://schemas.openxmlformats.org/officeDocument/2006/relationships/hyperlink" Target="https://doi.org/10.24940/theijbm/2023/v11/i7/bm2307-017" TargetMode="External"/><Relationship Id="rId29" Type="http://schemas.openxmlformats.org/officeDocument/2006/relationships/hyperlink" Target="https://doi.org/10.58812/esaf.v2i02.2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04/ajaaf.2019.105117" TargetMode="External"/><Relationship Id="rId24" Type="http://schemas.openxmlformats.org/officeDocument/2006/relationships/hyperlink" Target="https://doi.org/10.55640/jme-04-09-0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1583/ijltemas.2025.1408000022" TargetMode="External"/><Relationship Id="rId23" Type="http://schemas.openxmlformats.org/officeDocument/2006/relationships/hyperlink" Target="https://doi.org/10.4102/apsdpr.v4i2.116" TargetMode="External"/><Relationship Id="rId28" Type="http://schemas.openxmlformats.org/officeDocument/2006/relationships/hyperlink" Target="https://doi.org/10.1080/23288604.2018.1513266" TargetMode="External"/><Relationship Id="rId10" Type="http://schemas.openxmlformats.org/officeDocument/2006/relationships/hyperlink" Target="https://doi.org/10.14505/tpref.v12.2(24).06" TargetMode="External"/><Relationship Id="rId19" Type="http://schemas.openxmlformats.org/officeDocument/2006/relationships/hyperlink" Target="https://doi.org/10.56201/jafm.v9.no3.2023.pg129.14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9-0003-4777-3334" TargetMode="External"/><Relationship Id="rId14" Type="http://schemas.openxmlformats.org/officeDocument/2006/relationships/hyperlink" Target="https://doi.org/10.61990/ijeelsc.v1i2e-ISSN" TargetMode="External"/><Relationship Id="rId22" Type="http://schemas.openxmlformats.org/officeDocument/2006/relationships/hyperlink" Target="https://doi.org/10.52152/23.3.71-94(2025)" TargetMode="External"/><Relationship Id="rId27" Type="http://schemas.openxmlformats.org/officeDocument/2006/relationships/hyperlink" Target="https://doi.org/10.3968/9340" TargetMode="External"/><Relationship Id="rId30" Type="http://schemas.openxmlformats.org/officeDocument/2006/relationships/hyperlink" Target="https://doi.org/10.64290/gjam.v2i3.1237" TargetMode="External"/><Relationship Id="rId8" Type="http://schemas.openxmlformats.org/officeDocument/2006/relationships/hyperlink" Target="mailto:vincentolawa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19</Pages>
  <Words>7887</Words>
  <Characters>44962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1022</cp:lastModifiedBy>
  <cp:revision>17</cp:revision>
  <dcterms:created xsi:type="dcterms:W3CDTF">2025-12-12T00:25:00Z</dcterms:created>
  <dcterms:modified xsi:type="dcterms:W3CDTF">2026-03-12T07:52:00Z</dcterms:modified>
</cp:coreProperties>
</file>