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7F055" w14:textId="77777777" w:rsidR="006F7FDF" w:rsidRPr="00BF56CB" w:rsidRDefault="006F7FDF" w:rsidP="006F7FDF">
      <w:pPr>
        <w:rPr>
          <w:rFonts w:ascii="Times New Roman" w:hAnsi="Times New Roman" w:cs="Times New Roman"/>
          <w:b/>
          <w:bCs/>
        </w:rPr>
      </w:pPr>
      <w:r w:rsidRPr="00BF56CB">
        <w:rPr>
          <w:rFonts w:ascii="Times New Roman" w:hAnsi="Times New Roman" w:cs="Times New Roman"/>
          <w:b/>
          <w:bCs/>
        </w:rPr>
        <w:t>The Implementation Gap in Emerging Economies: A Theoretical Analysis of Policy Disconnects</w:t>
      </w:r>
    </w:p>
    <w:p w14:paraId="27AAE180" w14:textId="77777777" w:rsidR="00EB356F" w:rsidRDefault="00EB356F" w:rsidP="006F7FDF">
      <w:pPr>
        <w:jc w:val="center"/>
        <w:rPr>
          <w:rFonts w:ascii="Times New Roman" w:hAnsi="Times New Roman" w:cs="Times New Roman"/>
          <w:b/>
          <w:bCs/>
        </w:rPr>
      </w:pPr>
    </w:p>
    <w:p w14:paraId="36EC7D96" w14:textId="2F3F3A43" w:rsidR="006F7FDF" w:rsidRPr="00BF56CB" w:rsidRDefault="006F7FDF" w:rsidP="006F7FDF">
      <w:pPr>
        <w:jc w:val="center"/>
        <w:rPr>
          <w:rFonts w:ascii="Times New Roman" w:hAnsi="Times New Roman" w:cs="Times New Roman"/>
          <w:b/>
          <w:bCs/>
        </w:rPr>
      </w:pPr>
      <w:r w:rsidRPr="00BF56CB">
        <w:rPr>
          <w:rFonts w:ascii="Times New Roman" w:hAnsi="Times New Roman" w:cs="Times New Roman"/>
          <w:b/>
          <w:bCs/>
        </w:rPr>
        <w:t>Abstract</w:t>
      </w:r>
    </w:p>
    <w:p w14:paraId="06A8AF4C" w14:textId="77777777" w:rsidR="009A5E12" w:rsidRPr="009A5E12" w:rsidRDefault="009A5E12" w:rsidP="009A5E12">
      <w:pPr>
        <w:rPr>
          <w:rFonts w:ascii="Times New Roman" w:hAnsi="Times New Roman" w:cs="Times New Roman"/>
          <w:i/>
          <w:iCs/>
          <w:color w:val="EE0000"/>
        </w:rPr>
      </w:pPr>
      <w:r w:rsidRPr="009A5E12">
        <w:rPr>
          <w:rFonts w:ascii="Times New Roman" w:hAnsi="Times New Roman" w:cs="Times New Roman"/>
          <w:i/>
          <w:iCs/>
          <w:color w:val="EE0000"/>
        </w:rPr>
        <w:t>This paper examines the troubling and enduring gap in the application of policies within developing nations, where even well-crafted programs often do not yield the desired outcomes. The research aims to develop a comprehensive theoretical framework that links principal-agent relationships, imitation of policies, weaknesses in institutions, and bureaucratic inertia—elements that are generally analyzed separately. To create a coherent model, the methodology involves the critically evaluation and conceptually analysis of current literature from public administration, political science, and development studies. The results show that the widespread implementation gap is a systematic outcome produced by the convergence of many principal expectations, indiscriminate adoption of outside policy models, continuing bureaucratic burdens, and poor institutional arrangements, all of which encourage symbolic compliance rather than real policy execution. The research concludes that effective solutions to implementation problems in developing countries require policies to be designed to match their specific administrative capacities and operational conditions. The study recommends that to overcome the implementation gap, government in emerging economies should ensure better collaboration between policy makers and operational personnel while local stakeholders should be involved in all policy stages together with a complete pre-implementation assessment of local conditions and capacity building programs to overcome administrative obstacles. Moreover, the research recommends further study using mixed-method methods integrating surveys and qualitative interviews to empirically evaluate this framework using comparative case studies from several emerging economies.</w:t>
      </w:r>
    </w:p>
    <w:p w14:paraId="3107CFEC" w14:textId="7B96A751" w:rsidR="006F7FDF" w:rsidRPr="00BF56CB" w:rsidRDefault="006F7FDF" w:rsidP="006F7FDF">
      <w:pPr>
        <w:rPr>
          <w:rFonts w:ascii="Times New Roman" w:hAnsi="Times New Roman" w:cs="Times New Roman"/>
        </w:rPr>
      </w:pPr>
      <w:r w:rsidRPr="00BF56CB">
        <w:rPr>
          <w:rFonts w:ascii="Times New Roman" w:hAnsi="Times New Roman" w:cs="Times New Roman"/>
          <w:b/>
          <w:bCs/>
        </w:rPr>
        <w:t>Keywords:</w:t>
      </w:r>
      <w:r w:rsidRPr="00BF56CB">
        <w:rPr>
          <w:rFonts w:ascii="Times New Roman" w:hAnsi="Times New Roman" w:cs="Times New Roman"/>
        </w:rPr>
        <w:t xml:space="preserve"> implementation gap, emerging economies, bureaucratic inertia, policy mimesis, principal</w:t>
      </w:r>
      <w:r w:rsidR="00071938" w:rsidRPr="00BF56CB">
        <w:rPr>
          <w:rFonts w:ascii="Times New Roman" w:hAnsi="Times New Roman" w:cs="Times New Roman"/>
        </w:rPr>
        <w:t xml:space="preserve"> - </w:t>
      </w:r>
      <w:r w:rsidRPr="00BF56CB">
        <w:rPr>
          <w:rFonts w:ascii="Times New Roman" w:hAnsi="Times New Roman" w:cs="Times New Roman"/>
        </w:rPr>
        <w:t>agent theory</w:t>
      </w:r>
    </w:p>
    <w:p w14:paraId="13C05D2A" w14:textId="77777777" w:rsidR="006F7FDF" w:rsidRPr="00BF56CB" w:rsidRDefault="006F7FDF" w:rsidP="006F7FDF">
      <w:pPr>
        <w:pStyle w:val="ListParagraph"/>
        <w:numPr>
          <w:ilvl w:val="0"/>
          <w:numId w:val="1"/>
        </w:numPr>
        <w:spacing w:after="0" w:line="360" w:lineRule="auto"/>
        <w:jc w:val="center"/>
        <w:rPr>
          <w:rFonts w:ascii="Times New Roman" w:hAnsi="Times New Roman" w:cs="Times New Roman"/>
          <w:b/>
          <w:bCs/>
        </w:rPr>
      </w:pPr>
      <w:r w:rsidRPr="00BF56CB">
        <w:rPr>
          <w:rFonts w:ascii="Times New Roman" w:hAnsi="Times New Roman" w:cs="Times New Roman"/>
          <w:b/>
          <w:bCs/>
        </w:rPr>
        <w:t>Introduction</w:t>
      </w:r>
    </w:p>
    <w:p w14:paraId="55C2D239" w14:textId="0E001D34"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While public policies in poor nations appear theoretically sophisticated, they sometimes have little practical effect. Health, migration, innovation, and regional development are examples of areas where projects may encounter interruptions, changes, or unanticipated events during their implementation, </w:t>
      </w:r>
      <w:r w:rsidRPr="009A5E12">
        <w:rPr>
          <w:rFonts w:ascii="Times New Roman" w:hAnsi="Times New Roman" w:cs="Times New Roman"/>
          <w:color w:val="EE0000"/>
        </w:rPr>
        <w:t>ther</w:t>
      </w:r>
      <w:r w:rsidR="009A5E12" w:rsidRPr="009A5E12">
        <w:rPr>
          <w:rFonts w:ascii="Times New Roman" w:hAnsi="Times New Roman" w:cs="Times New Roman"/>
          <w:color w:val="EE0000"/>
        </w:rPr>
        <w:t>eby</w:t>
      </w:r>
      <w:r w:rsidRPr="00BF56CB">
        <w:rPr>
          <w:rFonts w:ascii="Times New Roman" w:hAnsi="Times New Roman" w:cs="Times New Roman"/>
        </w:rPr>
        <w:t xml:space="preserve"> causing a great divide between the goals of policies and their actual results (</w:t>
      </w:r>
      <w:r w:rsidRPr="009A5E12">
        <w:rPr>
          <w:rFonts w:ascii="Times New Roman" w:hAnsi="Times New Roman" w:cs="Times New Roman"/>
          <w:color w:val="EE0000"/>
        </w:rPr>
        <w:t>Abdullahi &amp; Othman, 202</w:t>
      </w:r>
      <w:r w:rsidR="009A5E12" w:rsidRPr="009A5E12">
        <w:rPr>
          <w:rFonts w:ascii="Times New Roman" w:hAnsi="Times New Roman" w:cs="Times New Roman"/>
          <w:color w:val="EE0000"/>
        </w:rPr>
        <w:t>1</w:t>
      </w:r>
      <w:r w:rsidRPr="00BF56CB">
        <w:rPr>
          <w:rFonts w:ascii="Times New Roman" w:hAnsi="Times New Roman" w:cs="Times New Roman"/>
        </w:rPr>
        <w:t xml:space="preserve">; Erasmus et al., 2014; </w:t>
      </w:r>
      <w:proofErr w:type="spellStart"/>
      <w:r w:rsidRPr="00BF56CB">
        <w:rPr>
          <w:rFonts w:ascii="Times New Roman" w:hAnsi="Times New Roman" w:cs="Times New Roman"/>
        </w:rPr>
        <w:t>Fargues</w:t>
      </w:r>
      <w:proofErr w:type="spellEnd"/>
      <w:r w:rsidRPr="00BF56CB">
        <w:rPr>
          <w:rFonts w:ascii="Times New Roman" w:hAnsi="Times New Roman" w:cs="Times New Roman"/>
        </w:rPr>
        <w:t xml:space="preserve"> &amp; </w:t>
      </w:r>
      <w:proofErr w:type="spellStart"/>
      <w:r w:rsidRPr="00BF56CB">
        <w:rPr>
          <w:rFonts w:ascii="Times New Roman" w:hAnsi="Times New Roman" w:cs="Times New Roman"/>
        </w:rPr>
        <w:t>Sredanovic</w:t>
      </w:r>
      <w:proofErr w:type="spellEnd"/>
      <w:r w:rsidRPr="00BF56CB">
        <w:rPr>
          <w:rFonts w:ascii="Times New Roman" w:hAnsi="Times New Roman" w:cs="Times New Roman"/>
        </w:rPr>
        <w:t xml:space="preserve">, 2025; Haddad et al., 2022). These problems underline the complexity of power relations, motivation structures, bureaucratic inflexibility, and policy frameworks affected by outside sources in the complex </w:t>
      </w:r>
      <w:r w:rsidRPr="00BF56CB">
        <w:rPr>
          <w:rFonts w:ascii="Times New Roman" w:hAnsi="Times New Roman" w:cs="Times New Roman"/>
        </w:rPr>
        <w:lastRenderedPageBreak/>
        <w:t>institutional settings often found in these countries (</w:t>
      </w:r>
      <w:r w:rsidRPr="009A5E12">
        <w:rPr>
          <w:rFonts w:ascii="Times New Roman" w:hAnsi="Times New Roman" w:cs="Times New Roman"/>
          <w:color w:val="EE0000"/>
        </w:rPr>
        <w:t xml:space="preserve">Fernández </w:t>
      </w:r>
      <w:proofErr w:type="spellStart"/>
      <w:r w:rsidRPr="009A5E12">
        <w:rPr>
          <w:rFonts w:ascii="Times New Roman" w:hAnsi="Times New Roman" w:cs="Times New Roman"/>
          <w:color w:val="EE0000"/>
        </w:rPr>
        <w:t>i</w:t>
      </w:r>
      <w:proofErr w:type="spellEnd"/>
      <w:r w:rsidRPr="009A5E12">
        <w:rPr>
          <w:rFonts w:ascii="Times New Roman" w:hAnsi="Times New Roman" w:cs="Times New Roman"/>
          <w:color w:val="EE0000"/>
        </w:rPr>
        <w:t xml:space="preserve"> Marín et al., 202</w:t>
      </w:r>
      <w:r w:rsidR="009A5E12" w:rsidRPr="009A5E12">
        <w:rPr>
          <w:rFonts w:ascii="Times New Roman" w:hAnsi="Times New Roman" w:cs="Times New Roman"/>
          <w:color w:val="EE0000"/>
        </w:rPr>
        <w:t>4</w:t>
      </w:r>
      <w:r w:rsidRPr="00BF56CB">
        <w:rPr>
          <w:rFonts w:ascii="Times New Roman" w:hAnsi="Times New Roman" w:cs="Times New Roman"/>
        </w:rPr>
        <w:t xml:space="preserve">; </w:t>
      </w:r>
      <w:proofErr w:type="spellStart"/>
      <w:r w:rsidRPr="00BF56CB">
        <w:rPr>
          <w:rFonts w:ascii="Times New Roman" w:hAnsi="Times New Roman" w:cs="Times New Roman"/>
        </w:rPr>
        <w:t>Hoskisson</w:t>
      </w:r>
      <w:proofErr w:type="spellEnd"/>
      <w:r w:rsidRPr="00BF56CB">
        <w:rPr>
          <w:rFonts w:ascii="Times New Roman" w:hAnsi="Times New Roman" w:cs="Times New Roman"/>
        </w:rPr>
        <w:t xml:space="preserve"> et al., 2000; Meyer &amp; Peng, 2015; Williams, 2020). </w:t>
      </w:r>
    </w:p>
    <w:p w14:paraId="2E07B6DD" w14:textId="2D8D9BD6"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Research grounded on principal-agent theory explains how variations in information, conflicting interests, and inadequate accountability worsen moral hazard and failures in execution, as demonstrated in cases like regional development planning in Indonesia, where poor reporting limits oversight (</w:t>
      </w:r>
      <w:proofErr w:type="spellStart"/>
      <w:r w:rsidRPr="00BF56CB">
        <w:rPr>
          <w:rFonts w:ascii="Times New Roman" w:hAnsi="Times New Roman" w:cs="Times New Roman"/>
        </w:rPr>
        <w:t>Apriliyanti</w:t>
      </w:r>
      <w:proofErr w:type="spellEnd"/>
      <w:r w:rsidRPr="00BF56CB">
        <w:rPr>
          <w:rFonts w:ascii="Times New Roman" w:hAnsi="Times New Roman" w:cs="Times New Roman"/>
        </w:rPr>
        <w:t xml:space="preserve"> et al., 2023; Braun &amp; Guston, 2003; </w:t>
      </w:r>
      <w:proofErr w:type="spellStart"/>
      <w:r w:rsidRPr="00BF56CB">
        <w:rPr>
          <w:rFonts w:ascii="Times New Roman" w:hAnsi="Times New Roman" w:cs="Times New Roman"/>
        </w:rPr>
        <w:t>Wajdy</w:t>
      </w:r>
      <w:proofErr w:type="spellEnd"/>
      <w:r w:rsidRPr="00BF56CB">
        <w:rPr>
          <w:rFonts w:ascii="Times New Roman" w:hAnsi="Times New Roman" w:cs="Times New Roman"/>
        </w:rPr>
        <w:t xml:space="preserve"> et al., 2021). The implementation literature further stresses how </w:t>
      </w:r>
      <w:r w:rsidR="009A07CA" w:rsidRPr="009A07CA">
        <w:rPr>
          <w:rFonts w:ascii="Times New Roman" w:hAnsi="Times New Roman" w:cs="Times New Roman"/>
          <w:color w:val="EE0000"/>
        </w:rPr>
        <w:t>policies</w:t>
      </w:r>
      <w:r w:rsidRPr="00BF56CB">
        <w:rPr>
          <w:rFonts w:ascii="Times New Roman" w:hAnsi="Times New Roman" w:cs="Times New Roman"/>
        </w:rPr>
        <w:t xml:space="preserve"> are revisited and modified through bureaucratic processes, negotiations among several parties, and divided governance (Erasmus et al., 2014; </w:t>
      </w:r>
      <w:proofErr w:type="spellStart"/>
      <w:r w:rsidRPr="00BF56CB">
        <w:rPr>
          <w:rFonts w:ascii="Times New Roman" w:hAnsi="Times New Roman" w:cs="Times New Roman"/>
        </w:rPr>
        <w:t>Fargues</w:t>
      </w:r>
      <w:proofErr w:type="spellEnd"/>
      <w:r w:rsidRPr="00BF56CB">
        <w:rPr>
          <w:rFonts w:ascii="Times New Roman" w:hAnsi="Times New Roman" w:cs="Times New Roman"/>
        </w:rPr>
        <w:t xml:space="preserve"> &amp; </w:t>
      </w:r>
      <w:proofErr w:type="spellStart"/>
      <w:r w:rsidRPr="00BF56CB">
        <w:rPr>
          <w:rFonts w:ascii="Times New Roman" w:hAnsi="Times New Roman" w:cs="Times New Roman"/>
        </w:rPr>
        <w:t>Sredanovic</w:t>
      </w:r>
      <w:proofErr w:type="spellEnd"/>
      <w:r w:rsidRPr="00BF56CB">
        <w:rPr>
          <w:rFonts w:ascii="Times New Roman" w:hAnsi="Times New Roman" w:cs="Times New Roman"/>
        </w:rPr>
        <w:t xml:space="preserve">, 2025; O'Toole, 2004; </w:t>
      </w:r>
      <w:proofErr w:type="spellStart"/>
      <w:r w:rsidRPr="00BF56CB">
        <w:rPr>
          <w:rFonts w:ascii="Times New Roman" w:hAnsi="Times New Roman" w:cs="Times New Roman"/>
        </w:rPr>
        <w:t>Pepinsky</w:t>
      </w:r>
      <w:proofErr w:type="spellEnd"/>
      <w:r w:rsidRPr="00BF56CB">
        <w:rPr>
          <w:rFonts w:ascii="Times New Roman" w:hAnsi="Times New Roman" w:cs="Times New Roman"/>
        </w:rPr>
        <w:t xml:space="preserve"> et al., 2017). </w:t>
      </w:r>
    </w:p>
    <w:p w14:paraId="78FF142C" w14:textId="3221D5F2"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Bureaucratic dynamics are crucial to this process. Overall state capacity often masks significant differences between formal directives and actual outcomes, a situation driven by issues related to collective action and </w:t>
      </w:r>
      <w:r w:rsidR="009A07CA" w:rsidRPr="009A07CA">
        <w:rPr>
          <w:rFonts w:ascii="Times New Roman" w:hAnsi="Times New Roman" w:cs="Times New Roman"/>
          <w:color w:val="EE0000"/>
        </w:rPr>
        <w:t>misaligned</w:t>
      </w:r>
      <w:r w:rsidR="009A07CA">
        <w:rPr>
          <w:rFonts w:ascii="Times New Roman" w:hAnsi="Times New Roman" w:cs="Times New Roman"/>
        </w:rPr>
        <w:t xml:space="preserve"> </w:t>
      </w:r>
      <w:r w:rsidRPr="00BF56CB">
        <w:rPr>
          <w:rFonts w:ascii="Times New Roman" w:hAnsi="Times New Roman" w:cs="Times New Roman"/>
        </w:rPr>
        <w:t xml:space="preserve">incentives (Williams, 2020). Insufficient vertical integration between policy design and execution worsens the gap between burden and capacity, fostering bureaucratic stagnation that makes many reforms mere gestures rather than impactful changes (Fernández </w:t>
      </w:r>
      <w:proofErr w:type="spellStart"/>
      <w:r w:rsidRPr="00BF56CB">
        <w:rPr>
          <w:rFonts w:ascii="Times New Roman" w:hAnsi="Times New Roman" w:cs="Times New Roman"/>
        </w:rPr>
        <w:t>i</w:t>
      </w:r>
      <w:proofErr w:type="spellEnd"/>
      <w:r w:rsidRPr="00BF56CB">
        <w:rPr>
          <w:rFonts w:ascii="Times New Roman" w:hAnsi="Times New Roman" w:cs="Times New Roman"/>
        </w:rPr>
        <w:t xml:space="preserve"> Marín et al., 2023; Maheswari et al., 2025; </w:t>
      </w:r>
      <w:proofErr w:type="spellStart"/>
      <w:r w:rsidRPr="00BF56CB">
        <w:rPr>
          <w:rFonts w:ascii="Times New Roman" w:hAnsi="Times New Roman" w:cs="Times New Roman"/>
        </w:rPr>
        <w:t>Umasugi</w:t>
      </w:r>
      <w:proofErr w:type="spellEnd"/>
      <w:r w:rsidRPr="00BF56CB">
        <w:rPr>
          <w:rFonts w:ascii="Times New Roman" w:hAnsi="Times New Roman" w:cs="Times New Roman"/>
        </w:rPr>
        <w:t xml:space="preserve">, 2025). Research on policy transfer and imitation reveals that adopted models are sometimes changed in reaction to strong pressures, producing hybrid implementations that do not match well with resource-constrained contexts (Cao &amp; Shi, 2020; </w:t>
      </w:r>
      <w:proofErr w:type="spellStart"/>
      <w:r w:rsidRPr="00BF56CB">
        <w:rPr>
          <w:rFonts w:ascii="Times New Roman" w:hAnsi="Times New Roman" w:cs="Times New Roman"/>
        </w:rPr>
        <w:t>Hoskisson</w:t>
      </w:r>
      <w:proofErr w:type="spellEnd"/>
      <w:r w:rsidRPr="00BF56CB">
        <w:rPr>
          <w:rFonts w:ascii="Times New Roman" w:hAnsi="Times New Roman" w:cs="Times New Roman"/>
        </w:rPr>
        <w:t xml:space="preserve"> et al., 2000; Massey, 2009; Meyer &amp; Peng, 2015). In sectors like transformational innovation, the formal acceptance of fresh ideas is often hampered by problems with creating capacities and evaluating outcomes, with entrenched administrative procedures adding even more complexity (Haddad et al., 2022; Sandfort &amp; Moulton, 2020). </w:t>
      </w:r>
    </w:p>
    <w:p w14:paraId="182BCAD8"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However, these academic avenues remain disjointed. Principal-agent frameworks commonly focus on rational behavior and misaligned incentives, while implementation research concentrates on interactions between structure and agency, along with the influence of social networks (Coburn, 2016; Erasmus et al., 2014; O'Toole, 2004). Studies on policy imitation emphasize situational and isomorphic pressures but frequently neglect the impact of bureaucratic stagnation, whereas literature on emerging economies discusses institutional gaps without deeply engaging with the dynamics of policy processes (</w:t>
      </w:r>
      <w:proofErr w:type="spellStart"/>
      <w:r w:rsidRPr="00BF56CB">
        <w:rPr>
          <w:rFonts w:ascii="Times New Roman" w:hAnsi="Times New Roman" w:cs="Times New Roman"/>
        </w:rPr>
        <w:t>Hoskisson</w:t>
      </w:r>
      <w:proofErr w:type="spellEnd"/>
      <w:r w:rsidRPr="00BF56CB">
        <w:rPr>
          <w:rFonts w:ascii="Times New Roman" w:hAnsi="Times New Roman" w:cs="Times New Roman"/>
        </w:rPr>
        <w:t xml:space="preserve"> et al., 2000; Meyer &amp; Peng, 2015). Comprehensive reviews spanning various policy sectors reveal a limited and fragmented collection of evidence, with inadequate integration of findings across different national situations </w:t>
      </w:r>
      <w:r w:rsidRPr="00BF56CB">
        <w:rPr>
          <w:rFonts w:ascii="Times New Roman" w:hAnsi="Times New Roman" w:cs="Times New Roman"/>
        </w:rPr>
        <w:lastRenderedPageBreak/>
        <w:t xml:space="preserve">(Campbell et al., 2025; Erasmus et al., 2014; </w:t>
      </w:r>
      <w:proofErr w:type="spellStart"/>
      <w:r w:rsidRPr="00BF56CB">
        <w:rPr>
          <w:rFonts w:ascii="Times New Roman" w:hAnsi="Times New Roman" w:cs="Times New Roman"/>
        </w:rPr>
        <w:t>Fargues</w:t>
      </w:r>
      <w:proofErr w:type="spellEnd"/>
      <w:r w:rsidRPr="00BF56CB">
        <w:rPr>
          <w:rFonts w:ascii="Times New Roman" w:hAnsi="Times New Roman" w:cs="Times New Roman"/>
        </w:rPr>
        <w:t xml:space="preserve"> &amp; </w:t>
      </w:r>
      <w:proofErr w:type="spellStart"/>
      <w:r w:rsidRPr="00BF56CB">
        <w:rPr>
          <w:rFonts w:ascii="Times New Roman" w:hAnsi="Times New Roman" w:cs="Times New Roman"/>
        </w:rPr>
        <w:t>Sredanovic</w:t>
      </w:r>
      <w:proofErr w:type="spellEnd"/>
      <w:r w:rsidRPr="00BF56CB">
        <w:rPr>
          <w:rFonts w:ascii="Times New Roman" w:hAnsi="Times New Roman" w:cs="Times New Roman"/>
        </w:rPr>
        <w:t xml:space="preserve">, 2025; Fransen et al., 2023; Pedroza &amp; Arrighi, 2025; </w:t>
      </w:r>
      <w:proofErr w:type="spellStart"/>
      <w:r w:rsidRPr="00BF56CB">
        <w:rPr>
          <w:rFonts w:ascii="Times New Roman" w:hAnsi="Times New Roman" w:cs="Times New Roman"/>
        </w:rPr>
        <w:t>Pepinsky</w:t>
      </w:r>
      <w:proofErr w:type="spellEnd"/>
      <w:r w:rsidRPr="00BF56CB">
        <w:rPr>
          <w:rFonts w:ascii="Times New Roman" w:hAnsi="Times New Roman" w:cs="Times New Roman"/>
        </w:rPr>
        <w:t xml:space="preserve"> et al., 2017).</w:t>
      </w:r>
    </w:p>
    <w:p w14:paraId="63118507"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The key issue is the absence of a unified theoretical perspective that connects principal-agent dynamics, the imitation of policies, multi-actor implementation within developing economies, and bureaucratic inertia. The current literature rarely investigates how the integration of imported frameworks, various principals, established routines, and discretionary decision-making collectively exacerbate implementation disparities (</w:t>
      </w:r>
      <w:proofErr w:type="spellStart"/>
      <w:r w:rsidRPr="00BF56CB">
        <w:rPr>
          <w:rFonts w:ascii="Times New Roman" w:hAnsi="Times New Roman" w:cs="Times New Roman"/>
        </w:rPr>
        <w:t>Apriliyanti</w:t>
      </w:r>
      <w:proofErr w:type="spellEnd"/>
      <w:r w:rsidRPr="00BF56CB">
        <w:rPr>
          <w:rFonts w:ascii="Times New Roman" w:hAnsi="Times New Roman" w:cs="Times New Roman"/>
        </w:rPr>
        <w:t xml:space="preserve"> et al., 2023; Fernández </w:t>
      </w:r>
      <w:proofErr w:type="spellStart"/>
      <w:r w:rsidRPr="00BF56CB">
        <w:rPr>
          <w:rFonts w:ascii="Times New Roman" w:hAnsi="Times New Roman" w:cs="Times New Roman"/>
        </w:rPr>
        <w:t>i</w:t>
      </w:r>
      <w:proofErr w:type="spellEnd"/>
      <w:r w:rsidRPr="00BF56CB">
        <w:rPr>
          <w:rFonts w:ascii="Times New Roman" w:hAnsi="Times New Roman" w:cs="Times New Roman"/>
        </w:rPr>
        <w:t xml:space="preserve"> Marín et al., 2023; Williams, 2020). For example, research concerning state-owned enterprises addresses how they manage contradictory demands but overlooks the influence of global frameworks and institutional deficiencies (Campbell et al., 2025; Erasmus et al., 2014; Fransen et al., 2023; Haddad et al., 2022; O'Toole, 2004). In the absence of a consistent theoretical structure, analyses remain fragmented, which risks the implementation of reforms becoming poorly grounded in context (Cao &amp; Shi, 2020; Maheswari et al., 2025; Massey, 2009; Meyer &amp; Peng, 2015; </w:t>
      </w:r>
      <w:proofErr w:type="spellStart"/>
      <w:r w:rsidRPr="00BF56CB">
        <w:rPr>
          <w:rFonts w:ascii="Times New Roman" w:hAnsi="Times New Roman" w:cs="Times New Roman"/>
        </w:rPr>
        <w:t>Umasugi</w:t>
      </w:r>
      <w:proofErr w:type="spellEnd"/>
      <w:r w:rsidRPr="00BF56CB">
        <w:rPr>
          <w:rFonts w:ascii="Times New Roman" w:hAnsi="Times New Roman" w:cs="Times New Roman"/>
        </w:rPr>
        <w:t xml:space="preserve">, 2025; Williams, 2020). </w:t>
      </w:r>
    </w:p>
    <w:p w14:paraId="32293F1A"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In response to these identified gaps, this paper seeks to answer the following research questions: How can principal-agent theory be revised to more effectively incorporate the presence of multiple principals, institutional deficiencies, bureaucratic inertia, and borrowed policy frameworks in developing economies? In what ways do policy mimesis and pressures from global governance alter principal-agent relationships, bureaucratic practices, and implementation behaviors within these environments? How can perspectives from implementation research, studies on bureaucratic performance, and the institution-based view be combined to create a framework that is sensitive to the context for analyzing the ongoing disparity between policy goals and execution?</w:t>
      </w:r>
    </w:p>
    <w:p w14:paraId="73668EF3"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In line with these inquiries, the objectives are to: critically assess and interlink the literatures of principal-agent theory, implementation strategies, bureaucratic performance, and policy imitation as they pertain to developing economies; formulate an integrated conceptual framework that elucidates how these factors, along with bureaucratic inertia, collectively influence implementation results; and derive theoretically supported implications for the structuring and governance of policies in contexts of emerging economies that deliberately consider and strive to mitigate bureaucratic inertia. </w:t>
      </w:r>
    </w:p>
    <w:p w14:paraId="4086FD8F"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lastRenderedPageBreak/>
        <w:t>The paper contends that the recurrent gap between policy intent and implementation in emerging economies results from a four-way interaction between complex principal-agent constellations, contextually constrained institutional environments, mimetic adoption of global models, and bureaucratic inertia. This synthesis clarifies literature contradictions and provides a coherent basis for addressing failures.</w:t>
      </w:r>
    </w:p>
    <w:p w14:paraId="15BA2567" w14:textId="048E6CEA"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The analysis contributes to debates in implementation research by bridging theory and practice, and to principal-agent and bureaucratic studies by incorporating context and diffusion processes (</w:t>
      </w:r>
      <w:proofErr w:type="spellStart"/>
      <w:r w:rsidRPr="00BF56CB">
        <w:rPr>
          <w:rFonts w:ascii="Times New Roman" w:hAnsi="Times New Roman" w:cs="Times New Roman"/>
        </w:rPr>
        <w:t>Apriliyanti</w:t>
      </w:r>
      <w:proofErr w:type="spellEnd"/>
      <w:r w:rsidRPr="00BF56CB">
        <w:rPr>
          <w:rFonts w:ascii="Times New Roman" w:hAnsi="Times New Roman" w:cs="Times New Roman"/>
        </w:rPr>
        <w:t xml:space="preserve"> et al., 2023; Campbell et al., 2025; Coburn, 2016; Erasmus et al., 2014; Fernández </w:t>
      </w:r>
      <w:proofErr w:type="spellStart"/>
      <w:r w:rsidRPr="00BF56CB">
        <w:rPr>
          <w:rFonts w:ascii="Times New Roman" w:hAnsi="Times New Roman" w:cs="Times New Roman"/>
        </w:rPr>
        <w:t>i</w:t>
      </w:r>
      <w:proofErr w:type="spellEnd"/>
      <w:r w:rsidRPr="00BF56CB">
        <w:rPr>
          <w:rFonts w:ascii="Times New Roman" w:hAnsi="Times New Roman" w:cs="Times New Roman"/>
        </w:rPr>
        <w:t xml:space="preserve"> Marín et al., 2023; O’Toole, 2004; Pedroza &amp; Arrighi, 2025; </w:t>
      </w:r>
      <w:proofErr w:type="spellStart"/>
      <w:r w:rsidRPr="00BF56CB">
        <w:rPr>
          <w:rFonts w:ascii="Times New Roman" w:hAnsi="Times New Roman" w:cs="Times New Roman"/>
        </w:rPr>
        <w:t>Pepinsky</w:t>
      </w:r>
      <w:proofErr w:type="spellEnd"/>
      <w:r w:rsidRPr="00BF56CB">
        <w:rPr>
          <w:rFonts w:ascii="Times New Roman" w:hAnsi="Times New Roman" w:cs="Times New Roman"/>
        </w:rPr>
        <w:t xml:space="preserve"> et al., 2017; Williams, 2020). For policy transfer, it identifies conditions for mimetic adoption to deepen or mitigate gaps (Cao &amp; Shi, 2020; Fransen et al., 2023; Haddad et al., 2022; Maheswari et al., 2025; Massey, 2009; </w:t>
      </w:r>
      <w:proofErr w:type="spellStart"/>
      <w:r w:rsidRPr="00BF56CB">
        <w:rPr>
          <w:rFonts w:ascii="Times New Roman" w:hAnsi="Times New Roman" w:cs="Times New Roman"/>
        </w:rPr>
        <w:t>Umasugi</w:t>
      </w:r>
      <w:proofErr w:type="spellEnd"/>
      <w:r w:rsidRPr="00BF56CB">
        <w:rPr>
          <w:rFonts w:ascii="Times New Roman" w:hAnsi="Times New Roman" w:cs="Times New Roman"/>
        </w:rPr>
        <w:t>, 2025). Practically, it aids in designing reforms that counter inertia and disappointing outcomes (</w:t>
      </w:r>
      <w:r w:rsidRPr="009A07CA">
        <w:rPr>
          <w:rFonts w:ascii="Times New Roman" w:hAnsi="Times New Roman" w:cs="Times New Roman"/>
          <w:color w:val="EE0000"/>
        </w:rPr>
        <w:t>Abdullahi &amp; Othman, 202</w:t>
      </w:r>
      <w:r w:rsidR="009A07CA" w:rsidRPr="009A07CA">
        <w:rPr>
          <w:rFonts w:ascii="Times New Roman" w:hAnsi="Times New Roman" w:cs="Times New Roman"/>
          <w:color w:val="EE0000"/>
        </w:rPr>
        <w:t>1</w:t>
      </w:r>
      <w:r w:rsidRPr="00BF56CB">
        <w:rPr>
          <w:rFonts w:ascii="Times New Roman" w:hAnsi="Times New Roman" w:cs="Times New Roman"/>
        </w:rPr>
        <w:t xml:space="preserve">; Erasmus et al., 2014; Fernández </w:t>
      </w:r>
      <w:proofErr w:type="spellStart"/>
      <w:r w:rsidRPr="00BF56CB">
        <w:rPr>
          <w:rFonts w:ascii="Times New Roman" w:hAnsi="Times New Roman" w:cs="Times New Roman"/>
        </w:rPr>
        <w:t>i</w:t>
      </w:r>
      <w:proofErr w:type="spellEnd"/>
      <w:r w:rsidRPr="00BF56CB">
        <w:rPr>
          <w:rFonts w:ascii="Times New Roman" w:hAnsi="Times New Roman" w:cs="Times New Roman"/>
        </w:rPr>
        <w:t xml:space="preserve"> Marín et al., 2023; </w:t>
      </w:r>
      <w:proofErr w:type="spellStart"/>
      <w:r w:rsidRPr="00BF56CB">
        <w:rPr>
          <w:rFonts w:ascii="Times New Roman" w:hAnsi="Times New Roman" w:cs="Times New Roman"/>
        </w:rPr>
        <w:t>Hoskisson</w:t>
      </w:r>
      <w:proofErr w:type="spellEnd"/>
      <w:r w:rsidRPr="00BF56CB">
        <w:rPr>
          <w:rFonts w:ascii="Times New Roman" w:hAnsi="Times New Roman" w:cs="Times New Roman"/>
        </w:rPr>
        <w:t xml:space="preserve"> et al., 2000).</w:t>
      </w:r>
    </w:p>
    <w:p w14:paraId="21399AB7"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The paper proceeds as follows: The next section reviews literature on principal–agent theory, bureaucratic performance and inertia, policy implementation, mimesis, and the institution-based view, highlighting themes and gaps. The third section develops an integrated framework for the intent-implementation gap. The fourth outlines methodological approaches for empirical application. The fifth discusses implications, limitations, and future research. The final section concludes with recommendations.</w:t>
      </w:r>
    </w:p>
    <w:p w14:paraId="45B78986" w14:textId="77777777" w:rsidR="006F7FDF" w:rsidRPr="00BF56CB" w:rsidRDefault="006F7FDF" w:rsidP="006F7FDF">
      <w:pPr>
        <w:spacing w:after="0" w:line="360" w:lineRule="auto"/>
        <w:jc w:val="center"/>
        <w:rPr>
          <w:rFonts w:ascii="Times New Roman" w:hAnsi="Times New Roman" w:cs="Times New Roman"/>
          <w:b/>
          <w:bCs/>
        </w:rPr>
      </w:pPr>
      <w:r w:rsidRPr="00BF56CB">
        <w:rPr>
          <w:rFonts w:ascii="Times New Roman" w:hAnsi="Times New Roman" w:cs="Times New Roman"/>
          <w:b/>
          <w:bCs/>
        </w:rPr>
        <w:t>2. Literature Review</w:t>
      </w:r>
    </w:p>
    <w:p w14:paraId="2D23BE4F"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2.1 Conceptual Framework</w:t>
      </w:r>
    </w:p>
    <w:p w14:paraId="4F48B45D"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This section reviews the core concepts that underpin the subsequent analysis, organizing them into three logical clusters. First, it defines the outcome variables of interest, specifically the implementation gap and policy performance - distinguishing between formal intent and administrative reality. Second, it operationalizes the internal dynamics of administration through concepts of bureaucratic performance, inertia, and the burden–capacity gap. Finally, it outlines the dominant theoretical perspectives used to explain these outcomes, ranging from principal–agent relations and multiple principal problems to policy mimesis, isomorphic mimicry, and institution-based views. These definitions help explain how imported models interact with local constraints to produce persistent implementation disconnects.</w:t>
      </w:r>
    </w:p>
    <w:p w14:paraId="333C418E"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lastRenderedPageBreak/>
        <w:t>2.1.1 Key Concepts</w:t>
      </w:r>
    </w:p>
    <w:p w14:paraId="29ABC266"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Implementation Gap</w:t>
      </w:r>
    </w:p>
    <w:p w14:paraId="3D4D866A" w14:textId="13A84C2F"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The implementation gap reflects the striking </w:t>
      </w:r>
      <w:r w:rsidR="009A07CA" w:rsidRPr="009A07CA">
        <w:rPr>
          <w:rFonts w:ascii="Times New Roman" w:hAnsi="Times New Roman" w:cs="Times New Roman"/>
          <w:color w:val="EE0000"/>
        </w:rPr>
        <w:t>discrepancy</w:t>
      </w:r>
      <w:r w:rsidRPr="00BF56CB">
        <w:rPr>
          <w:rFonts w:ascii="Times New Roman" w:hAnsi="Times New Roman" w:cs="Times New Roman"/>
        </w:rPr>
        <w:t xml:space="preserve"> between legally approved policy goals and the real results seen in reality. This problem is especially widespread in poor nations where grand policy projects frequently fail to bring about meaningful change. </w:t>
      </w:r>
    </w:p>
    <w:p w14:paraId="622A75A9" w14:textId="3C642E72" w:rsidR="006F7FDF" w:rsidRDefault="006F7FDF" w:rsidP="006F7FDF">
      <w:pPr>
        <w:spacing w:after="0" w:line="360" w:lineRule="auto"/>
        <w:rPr>
          <w:rFonts w:ascii="Times New Roman" w:hAnsi="Times New Roman" w:cs="Times New Roman"/>
        </w:rPr>
      </w:pPr>
      <w:r w:rsidRPr="00BF56CB">
        <w:rPr>
          <w:rFonts w:ascii="Times New Roman" w:hAnsi="Times New Roman" w:cs="Times New Roman"/>
        </w:rPr>
        <w:t>Research suggests that the inadequacies in policy effectiveness stem not only from flawed initial designs but also from severely misaligned administrative capabilities, misguided incentive structures, and intricate political-administrative settings that obstruct efficient implementation (Fernández-</w:t>
      </w:r>
      <w:proofErr w:type="spellStart"/>
      <w:r w:rsidRPr="00BF56CB">
        <w:rPr>
          <w:rFonts w:ascii="Times New Roman" w:hAnsi="Times New Roman" w:cs="Times New Roman"/>
        </w:rPr>
        <w:t>i</w:t>
      </w:r>
      <w:proofErr w:type="spellEnd"/>
      <w:r w:rsidRPr="00BF56CB">
        <w:rPr>
          <w:rFonts w:ascii="Times New Roman" w:hAnsi="Times New Roman" w:cs="Times New Roman"/>
        </w:rPr>
        <w:t>-Marín et al., 2023; Hudson et al., 2019; Khan &amp; Shahriar, 2016). This gap becomes even more evident in contexts where governments consistently accumulate policy "stocks" and regulatory commitments without adequately investing in the enhancement of administrative capacities or the improvement of inter-agency collaboration mechanisms (Fernández-</w:t>
      </w:r>
      <w:proofErr w:type="spellStart"/>
      <w:r w:rsidRPr="00BF56CB">
        <w:rPr>
          <w:rFonts w:ascii="Times New Roman" w:hAnsi="Times New Roman" w:cs="Times New Roman"/>
        </w:rPr>
        <w:t>i</w:t>
      </w:r>
      <w:proofErr w:type="spellEnd"/>
      <w:r w:rsidRPr="00BF56CB">
        <w:rPr>
          <w:rFonts w:ascii="Times New Roman" w:hAnsi="Times New Roman" w:cs="Times New Roman"/>
        </w:rPr>
        <w:t>-Marín et al., 2023). Consequently, the implementation gap functions as a compelling indicator of the disconnection between the ambitiousness of policies and the realities of institutional frameworks, highlighting systemic vulnerabilities that extend beyond mere technical faults to expose fundamental governance issues.</w:t>
      </w:r>
    </w:p>
    <w:p w14:paraId="5F970198" w14:textId="2233D3F4" w:rsidR="007249D8" w:rsidRPr="007249D8" w:rsidRDefault="007249D8" w:rsidP="006F7FDF">
      <w:pPr>
        <w:spacing w:after="0" w:line="360" w:lineRule="auto"/>
        <w:rPr>
          <w:rFonts w:ascii="Times New Roman" w:hAnsi="Times New Roman" w:cs="Times New Roman"/>
          <w:b/>
          <w:bCs/>
        </w:rPr>
      </w:pPr>
      <w:r w:rsidRPr="007249D8">
        <w:rPr>
          <w:rFonts w:ascii="Times New Roman" w:hAnsi="Times New Roman" w:cs="Times New Roman"/>
          <w:b/>
          <w:bCs/>
        </w:rPr>
        <w:t>Emerging Economies</w:t>
      </w:r>
    </w:p>
    <w:p w14:paraId="4AA6694F" w14:textId="4D0873B9" w:rsidR="007249D8" w:rsidRPr="007249D8" w:rsidRDefault="007249D8" w:rsidP="007249D8">
      <w:pPr>
        <w:spacing w:after="0" w:line="360" w:lineRule="auto"/>
        <w:rPr>
          <w:rFonts w:ascii="Times New Roman" w:hAnsi="Times New Roman" w:cs="Times New Roman"/>
        </w:rPr>
      </w:pPr>
      <w:r w:rsidRPr="007249D8">
        <w:rPr>
          <w:rFonts w:ascii="Times New Roman" w:hAnsi="Times New Roman" w:cs="Times New Roman"/>
        </w:rPr>
        <w:t>Nations labeled as "emerging economies" are going through a fast and sometimes unstable change from being mostly farming-based with low income to being more industrialized with more engagement in the world market. The real significance of this idea is its twofold character</w:t>
      </w:r>
      <w:r w:rsidR="009A07CA">
        <w:rPr>
          <w:rFonts w:ascii="Times New Roman" w:hAnsi="Times New Roman" w:cs="Times New Roman"/>
        </w:rPr>
        <w:t xml:space="preserve"> - w</w:t>
      </w:r>
      <w:r w:rsidRPr="007249D8">
        <w:rPr>
          <w:rFonts w:ascii="Times New Roman" w:hAnsi="Times New Roman" w:cs="Times New Roman"/>
        </w:rPr>
        <w:t>hile also exposing major systemic flaws, it reflects great development potential brought on by population trends, urbanization, and technological advancements. Practically, these markets are characterized by "institutional voids," where insufficient regulatory systems and ongoing issues related to political and currency instability are persistent and fundamental aspects. This results in a unique scenario of high risk and high reward, where the possibility of substantial profits is continuously tempered by the risk of systemic failure.</w:t>
      </w:r>
    </w:p>
    <w:p w14:paraId="11F0B67B"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Policy Performance</w:t>
      </w:r>
    </w:p>
    <w:p w14:paraId="5A95373E" w14:textId="6C192182"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Policy performance is the measure of how well </w:t>
      </w:r>
      <w:r w:rsidR="009A07CA" w:rsidRPr="009A07CA">
        <w:rPr>
          <w:rFonts w:ascii="Times New Roman" w:hAnsi="Times New Roman" w:cs="Times New Roman"/>
          <w:color w:val="EE0000"/>
        </w:rPr>
        <w:t>implemented</w:t>
      </w:r>
      <w:r w:rsidR="009A07CA">
        <w:rPr>
          <w:rFonts w:ascii="Times New Roman" w:hAnsi="Times New Roman" w:cs="Times New Roman"/>
        </w:rPr>
        <w:t xml:space="preserve"> </w:t>
      </w:r>
      <w:r w:rsidRPr="00BF56CB">
        <w:rPr>
          <w:rFonts w:ascii="Times New Roman" w:hAnsi="Times New Roman" w:cs="Times New Roman"/>
        </w:rPr>
        <w:t xml:space="preserve">policies achieve their goals and have good effects on certain groups of people. Chronic underperformance consistently occurs when the demands of policy implementation surpass the available administrative resources, or when local stakeholders resist, reinterpret, or alter policy objectives to suit their personal </w:t>
      </w:r>
      <w:r w:rsidRPr="00BF56CB">
        <w:rPr>
          <w:rFonts w:ascii="Times New Roman" w:hAnsi="Times New Roman" w:cs="Times New Roman"/>
        </w:rPr>
        <w:lastRenderedPageBreak/>
        <w:t>interests and specific contexts (Fernández‐</w:t>
      </w:r>
      <w:proofErr w:type="spellStart"/>
      <w:r w:rsidRPr="00BF56CB">
        <w:rPr>
          <w:rFonts w:ascii="Times New Roman" w:hAnsi="Times New Roman" w:cs="Times New Roman"/>
        </w:rPr>
        <w:t>i</w:t>
      </w:r>
      <w:proofErr w:type="spellEnd"/>
      <w:r w:rsidRPr="00BF56CB">
        <w:rPr>
          <w:rFonts w:ascii="Times New Roman" w:hAnsi="Times New Roman" w:cs="Times New Roman"/>
        </w:rPr>
        <w:t>‐Marín et al., 2023; Hudson et al., 2019). This lack of performance is not just a technical problem; it is a complicated governance problem where policies made under the best possible conditions don't work well with the real world, where resources are limited, priorities are different, and institutions are different. Therefore, the evaluation of policy performance must include both the quantitative results and the qualitative aspects of how different stakeholders perceive, understand, and carry out policies in different implementation settings.</w:t>
      </w:r>
    </w:p>
    <w:p w14:paraId="297525F5"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Bureaucratic Performance</w:t>
      </w:r>
    </w:p>
    <w:p w14:paraId="0E3DF914"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Bureaucratic performance refers to what public agencies and civil servants genuinely do in reality, which is usually different from theoretical "capacity" measures concentrating on resources and formal processes. Williams (2020) points out that traditional views of state capacity frequently ignore important internal information issues, collective action limitations, and intricate incentive systems that significantly influence real-world performance. The daily operations of bureaucracies include ongoing bargaining between official laws and unofficial customs whereby decisions are influenced by corporate cultures, personal judgment, and real-world limits of implementation settings. To see beyond corporate charts and resource allocations to grasp bureaucratic performance, one must examine how front-line personnel operating in certain institutional settings and under several, sometimes contradictory demands actually interpret and apply policies.</w:t>
      </w:r>
    </w:p>
    <w:p w14:paraId="7A893C45" w14:textId="7BDBDFF2"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Bureaucratic Inertia</w:t>
      </w:r>
    </w:p>
    <w:p w14:paraId="7DDA1242"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Bureaucratic inertia refers to the widespread administrative habits that lead to the continuation of established processes, opposition to significant change, and a tendency to engage in reform initiatives in a superficial manner rather than through genuine alterations in practices and behaviors. This inertia is a strong force that keeps things the way they are and makes it hard to make changes. This is often seen in the form of too much paperwork, the creation of committees, and the imposition of reporting requirements that make it look like something is being done but don't actually make any real changes. This inertia persists due to individual resistance to change and organizational norms that hinder the alteration of established practices and procedures. This pattern becomes especially problematic when policies are put into action. Inertia can turn well-thought-out interventions into empty formalities that give the impression of reform but don't have any real content or impact.</w:t>
      </w:r>
    </w:p>
    <w:p w14:paraId="31FB5D19"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lastRenderedPageBreak/>
        <w:t>Burden-Capacity Gap</w:t>
      </w:r>
    </w:p>
    <w:p w14:paraId="132F49F2"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The burden–capacity gap formalizes a key factor that causes bureaucratic inertia: the growing difference between the amount of policy and the number of administrative resources available (Fernández‐</w:t>
      </w:r>
      <w:proofErr w:type="spellStart"/>
      <w:r w:rsidRPr="00BF56CB">
        <w:rPr>
          <w:rFonts w:ascii="Times New Roman" w:hAnsi="Times New Roman" w:cs="Times New Roman"/>
        </w:rPr>
        <w:t>i</w:t>
      </w:r>
      <w:proofErr w:type="spellEnd"/>
      <w:r w:rsidRPr="00BF56CB">
        <w:rPr>
          <w:rFonts w:ascii="Times New Roman" w:hAnsi="Times New Roman" w:cs="Times New Roman"/>
        </w:rPr>
        <w:t>‐Marín et al., 2023). When government portfolios and regulatory commitments grow faster than the capabilities of institutions, organizations are forced to shift their limited attention and resources, which hurts both new initiatives and policies that are already in place. This gap makes things worse by forcing bureaucracies to use shallow compliance methods, which makes the implementation gap even bigger and makes policies less effective. The burden-capacity dynamic shows why even well-meaning reforms often fail. This isn't because of sabotage or opposition, but because the institutions that have to carry them out don't have the bandwidth to take on new responsibilities while still doing their current jobs. This idea gives a structural reason for why implementations fail that goes beyond blaming certain people or policies.</w:t>
      </w:r>
    </w:p>
    <w:p w14:paraId="183495CB"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2.2 Theoretical Framework and Core Argument</w:t>
      </w:r>
    </w:p>
    <w:p w14:paraId="34634E29"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This part of the paper puts forward a unified theoretical framework to explain why economic policies that seem to be well-designed and are often imported fail to work in emerging economies. The framework integrates principal–agent theory, bureaucratic performance and burden–capacity perspectives, implementation theory, and policy mimesis/translation, situating them within institution-specific contexts. It contends that failures in implementation arise from a complex interplay of structural, organizational, and external pressures that collectively impede policy execution in institutionally vulnerable contexts. The main idea is that the implementation gap is caused by the coming together of many dysfunctions that often make each other worse, not just one thing. This means that we need to use a multidimensional analytical approach that takes into account how complicated it is to put policies into action in developing countries.</w:t>
      </w:r>
    </w:p>
    <w:p w14:paraId="60BA4453"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Principal-Agent Theory</w:t>
      </w:r>
    </w:p>
    <w:p w14:paraId="64DBFE4A"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At its core, the theory posits inherent conflicts of interest between principals, who set goals and expectations, and agents, who carry out tasks. These conflicts arise from information imbalances, where agents may possess more detailed knowledge than principals. The theory emphasizes mechanisms such as monitoring and incentive structures as essential for effective governance. It also considers how agent autonomy and intrinsic motivations can influence outcomes, while acknowledging potential variability in goal alignment. Principal–agent theory conceptualizes policy implementation as a delegation problem under asymmetric information and goal </w:t>
      </w:r>
      <w:r w:rsidRPr="00BF56CB">
        <w:rPr>
          <w:rFonts w:ascii="Times New Roman" w:hAnsi="Times New Roman" w:cs="Times New Roman"/>
        </w:rPr>
        <w:lastRenderedPageBreak/>
        <w:t>divergence between principals (politicians, central ministries, external funders) and agents (implementing bureaucracies, frontline officials) (Bergman &amp; Lane, 1990; Lane, 2013). Classic formulations stress moral hazard and adverse selection as sources of implementation failure, mitigated through monitoring and incentive design. In emerging economies, however, agency relations are rarely dyadic. Agents are subject to multiple principals—ministries, regulators, local politicians, party actors, and external donors—whose commercial, social, and private demands often conflict (</w:t>
      </w:r>
      <w:proofErr w:type="spellStart"/>
      <w:r w:rsidRPr="00BF56CB">
        <w:rPr>
          <w:rFonts w:ascii="Times New Roman" w:hAnsi="Times New Roman" w:cs="Times New Roman"/>
        </w:rPr>
        <w:t>Apriliyanti</w:t>
      </w:r>
      <w:proofErr w:type="spellEnd"/>
      <w:r w:rsidRPr="00BF56CB">
        <w:rPr>
          <w:rFonts w:ascii="Times New Roman" w:hAnsi="Times New Roman" w:cs="Times New Roman"/>
        </w:rPr>
        <w:t xml:space="preserve"> et al., 2023; </w:t>
      </w:r>
      <w:proofErr w:type="spellStart"/>
      <w:r w:rsidRPr="00BF56CB">
        <w:rPr>
          <w:rFonts w:ascii="Times New Roman" w:hAnsi="Times New Roman" w:cs="Times New Roman"/>
        </w:rPr>
        <w:t>Pepinsky</w:t>
      </w:r>
      <w:proofErr w:type="spellEnd"/>
      <w:r w:rsidRPr="00BF56CB">
        <w:rPr>
          <w:rFonts w:ascii="Times New Roman" w:hAnsi="Times New Roman" w:cs="Times New Roman"/>
        </w:rPr>
        <w:t xml:space="preserve"> et al., 2017). Multiple principal settings generate overlapping, inconsistent control demands; free riding in monitoring and "forum drift," where accountability forums fail to exercise oversight (</w:t>
      </w:r>
      <w:proofErr w:type="spellStart"/>
      <w:r w:rsidRPr="00BF56CB">
        <w:rPr>
          <w:rFonts w:ascii="Times New Roman" w:hAnsi="Times New Roman" w:cs="Times New Roman"/>
        </w:rPr>
        <w:t>Schillemans</w:t>
      </w:r>
      <w:proofErr w:type="spellEnd"/>
      <w:r w:rsidRPr="00BF56CB">
        <w:rPr>
          <w:rFonts w:ascii="Times New Roman" w:hAnsi="Times New Roman" w:cs="Times New Roman"/>
        </w:rPr>
        <w:t xml:space="preserve"> &amp; Busuioc, 2014); and increased agent discretion and opportunities for blame shifting. Additionally, some agency problems are principal–principal rather than principal–agent, as powerful domestic principals expropriate weaker principals (Dharwadkar et al., 2000; Awasthi, 2016).</w:t>
      </w:r>
    </w:p>
    <w:p w14:paraId="66B74A6D"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Bureaucratic Performance, Burden–Capacity Gaps, and Inertia</w:t>
      </w:r>
    </w:p>
    <w:p w14:paraId="20AF26DE" w14:textId="42D9C971"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This viewpoint offers a theoretical differentiation between actual bureaucratic performance—the real-world success of policy implementation</w:t>
      </w:r>
      <w:r w:rsidR="005B45A5" w:rsidRPr="00BF56CB">
        <w:rPr>
          <w:rFonts w:ascii="Times New Roman" w:hAnsi="Times New Roman" w:cs="Times New Roman"/>
        </w:rPr>
        <w:t xml:space="preserve"> </w:t>
      </w:r>
      <w:r w:rsidRPr="00BF56CB">
        <w:rPr>
          <w:rFonts w:ascii="Times New Roman" w:hAnsi="Times New Roman" w:cs="Times New Roman"/>
        </w:rPr>
        <w:t xml:space="preserve">and possible state capacity, the intrinsic resources and infrastructure present. It contends that misaligned incentives and poor internal coordination might obstruct everyday operations. The theory suggests that there are inefficiencies when policy portfolios are expanded without enough funding for implementation tools because of a "burden–capacity gap." Conventional applications of "state capacity" mask the real functioning of institutions. Williams (2020) contends that emphasizing total capacity ignores multi-principal dynamics, incentive systems, and internal coordination challenges that affect daily execution. Fernández </w:t>
      </w:r>
      <w:proofErr w:type="spellStart"/>
      <w:r w:rsidRPr="00BF56CB">
        <w:rPr>
          <w:rFonts w:ascii="Times New Roman" w:hAnsi="Times New Roman" w:cs="Times New Roman"/>
        </w:rPr>
        <w:t>i</w:t>
      </w:r>
      <w:proofErr w:type="spellEnd"/>
      <w:r w:rsidRPr="00BF56CB">
        <w:rPr>
          <w:rFonts w:ascii="Times New Roman" w:hAnsi="Times New Roman" w:cs="Times New Roman"/>
        </w:rPr>
        <w:t xml:space="preserve"> Marín et al. (2023) hypothesize the burden–capacity gap thus: as governments acquire rules and policy commitments, implementation burdens grow quicker than administrative capabilities and vertical integration between policy-making and delivery units. They demonstrate how policy performance declines when portfolios grow without sufficient </w:t>
      </w:r>
      <w:proofErr w:type="spellStart"/>
      <w:r w:rsidRPr="00BF56CB">
        <w:rPr>
          <w:rFonts w:ascii="Times New Roman" w:hAnsi="Times New Roman" w:cs="Times New Roman"/>
        </w:rPr>
        <w:t>organisational</w:t>
      </w:r>
      <w:proofErr w:type="spellEnd"/>
      <w:r w:rsidRPr="00BF56CB">
        <w:rPr>
          <w:rFonts w:ascii="Times New Roman" w:hAnsi="Times New Roman" w:cs="Times New Roman"/>
        </w:rPr>
        <w:t xml:space="preserve"> integration and resources. Under such situations, incentives and burden-capacity interactions are seen as the driving forces behind bureaucratic inertia - the idea that bureaucracies tend to keep things the same, respond to new orders by following them on paper or symbolically instead of changing how they act, and move attention away from hard reforms towards low-risk, low- impact activities.</w:t>
      </w:r>
    </w:p>
    <w:p w14:paraId="7A72E25E"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Implementation Theories</w:t>
      </w:r>
    </w:p>
    <w:p w14:paraId="24633A8B"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lastRenderedPageBreak/>
        <w:t xml:space="preserve">Implementation theories emphasize that the process of putting policies into action is not a straightforward "roll-out," but rather a complex, multi-layered process influenced by the distinct characteristics of organizations and the discretionary decisions made at the operational level (Khan &amp; Shahriar, 2016; </w:t>
      </w:r>
      <w:proofErr w:type="spellStart"/>
      <w:r w:rsidRPr="00BF56CB">
        <w:rPr>
          <w:rFonts w:ascii="Times New Roman" w:hAnsi="Times New Roman" w:cs="Times New Roman"/>
        </w:rPr>
        <w:t>Pepinsky</w:t>
      </w:r>
      <w:proofErr w:type="spellEnd"/>
      <w:r w:rsidRPr="00BF56CB">
        <w:rPr>
          <w:rFonts w:ascii="Times New Roman" w:hAnsi="Times New Roman" w:cs="Times New Roman"/>
        </w:rPr>
        <w:t xml:space="preserve"> et al., 2017). Bullock et al. (2020) demonstrate that policies can serve multiple roles at once, acting as context, innovation, lever, and outcome. They introduce a dual framework aimed at grasping the implementation of evidence-informed policies. Their analysis highlights that the "health" of an organization, its internal decision-making processes, and available resources significantly influence how agencies respond; frontline employees often have the discretion to make choices that align with or contradict official regulations; and the success of implementation relies on the actors' interpretations of policies rather than merely their design characteristics. Consequently, implementation theories contribute an additional layer of structure-agency analysis: while institutional and policy frameworks can limit behavior, individuals possess interpretive agency, allowing them to modify, reshape, or hinder policies as necessary (Coburn, 2016; Sandfort &amp; Moulton, 2020).</w:t>
      </w:r>
    </w:p>
    <w:p w14:paraId="0DC9ACDB"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Policy Mimesis, Translation, and Isomorphic Mimicry</w:t>
      </w:r>
    </w:p>
    <w:p w14:paraId="0CF9168B"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Theories of policy transfers examine how policy concepts are shared and adapted among various jurisdictions. These theories question linear diffusion models and instead advocate for the concept of policy translation, which entails blending, combining, and adapting policies to suit particular situations. Normative mimicry is a fundamental concept that describes the surface application of policies without real integration, which causes a separation from local realities and organizational capacity. Related ideas include computed stasis, when reforms appear progressive but maintain the status quo, and isomorphic mimicry, which explains how businesses can choose similar structures to seem legitimate while still operating the same way. Taken together, these ideas emphasize symbolic compliance by showing how superficial adoption might exacerbate disparities between policy statements and real results.</w:t>
      </w:r>
    </w:p>
    <w:p w14:paraId="4AE282D3"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The literature on policy transfers and translation elucidates the reasons behind the failure of policies designed for one environment when implemented in another. Stone (2016) contends that policies are not merely "copied" but rather translated, hybridized, and reinterpreted, often amidst incomplete information and various normative or coercive pressures. Macdonald (2019) discusses isomorphic mimicry and calculated stasis: in contexts reliant on aid or undergoing transition, elites embody the characteristics of "good governance" or internationally recognized </w:t>
      </w:r>
      <w:r w:rsidRPr="00BF56CB">
        <w:rPr>
          <w:rFonts w:ascii="Times New Roman" w:hAnsi="Times New Roman" w:cs="Times New Roman"/>
        </w:rPr>
        <w:lastRenderedPageBreak/>
        <w:t>best practices to gain legitimacy and resources while shielding existing power dynamics and behaviors from alteration. Consequently, this leads to an implementation gap between lofty policy declarations and stagnant practices. This framework interprets policy mimesis and mimicry as processes that create more principals, complicate regulatory and reporting demands, and promote symbolic compliance aimed at external stakeholders, thereby reinforcing inertia.</w:t>
      </w:r>
    </w:p>
    <w:p w14:paraId="6EC1B88F"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Institution-Based Perspectives in Emerging Economies</w:t>
      </w:r>
    </w:p>
    <w:p w14:paraId="18D232F9"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Institution-based perspectives emphasize institutional deficiencies, inadequate formal governance structures, and contradictory institutional logics as principal determinants of organizational behavior and policy results in emerging economies (Dharwadkar et al., 2000; Williams, 2020). Agency solutions intended for robust governance contexts frequently collapse in scenarios characterized by feeble legal enforcement, diminished contract reliability, and prevalent principal–principal conflicts within organizational frameworks (Dharwadkar et al., 2000). These situations have broken institutional settings where formal rules exist alongside, and are often replaced by, informal practices and governance based on relationships. Because there aren't strong institutional frameworks, implementation success depends less on technical design and more on figuring out how to work with different political economies and building support coalitions among different groups of stakeholders. This viewpoint elucidates the rationale behind the divergent outcomes of analogous policies in varying contexts and the predominance of local institutional realities over policy designs in implementation patterns.</w:t>
      </w:r>
    </w:p>
    <w:p w14:paraId="52FA3905"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An Integrated Model: The Policy Intent–Implementation Gap in Emerging Economies</w:t>
      </w:r>
    </w:p>
    <w:p w14:paraId="646A685B"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The paper proposes a synthesized conceptual framework wherein four interconnected factors contribute to the gaps in implementation: intricate agency arrangements; gaps in institutional frameworks and ineffective governance; imitation of policies alongside pressures from global governance; and disparities in bureaucratic capacity, which contribute to inertia. These factors interact in ways that exacerbate dysfunction within the system. The imitation of policies introduces additional principals and new reporting demands that expand the existing burden-capacity gaps and reinforce bureaucratic stagnation. Likewise, various principals take advantage of institutional voids to advance competing objectives, which further stresses already limited administrative resources. This model highlights that the gap in implementation arises as a byproduct of these interconnected elements. </w:t>
      </w:r>
    </w:p>
    <w:p w14:paraId="61324858"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 xml:space="preserve">How the Synthesis Differs from Existing Approaches </w:t>
      </w:r>
    </w:p>
    <w:p w14:paraId="610E3747"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lastRenderedPageBreak/>
        <w:t xml:space="preserve">Current analytical frameworks primarily focus on one aspect: Principal-agent theory deals with control issues within dyadic relationships, frequently presuming robust institutional settings while neglecting policy dissemination and the overload in bureaucratic processes (Bergman &amp; Lane, 1990; Lane, 2013). Implementation research provides comprehensive accounts of organizational dynamics and interactions at the ground level, yet often fails to offer clear models addressing multi-principal incentives and influences from global governance (Khan &amp; Shahriar, 2016; </w:t>
      </w:r>
      <w:proofErr w:type="spellStart"/>
      <w:r w:rsidRPr="00BF56CB">
        <w:rPr>
          <w:rFonts w:ascii="Times New Roman" w:hAnsi="Times New Roman" w:cs="Times New Roman"/>
        </w:rPr>
        <w:t>Pepinsky</w:t>
      </w:r>
      <w:proofErr w:type="spellEnd"/>
      <w:r w:rsidRPr="00BF56CB">
        <w:rPr>
          <w:rFonts w:ascii="Times New Roman" w:hAnsi="Times New Roman" w:cs="Times New Roman"/>
        </w:rPr>
        <w:t xml:space="preserve"> et al., 2017). Studies on policy transfer and translation articulate aspects of imitation and superficial reforms but seldom encompass these processes within formal structures of agency or the dynamics of burden and capacity (Macdonald, 2019; Stone, 2016). The proposed framework enhances existing literature by reconceptualizing principal-agent theory as situated within environments marked by institutional fragility and multi-principal interactions defined by policy imitation; integrating bureaucratic inertia as a logical organizational reaction to conflicting information and unsustainable ratios of burden to capacity; connecting imitation and isomorphic mimicry to mechanisms of agency and implementation; and incorporating dynamics of structure and agency that acknowledge how actors at various levels both recreate and modify existing structures (Coburn, 2016; Sandfort &amp; Moulton, 2020).</w:t>
      </w:r>
    </w:p>
    <w:p w14:paraId="2B44AD6C"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 xml:space="preserve">2.3 Review of Existing Literature </w:t>
      </w:r>
    </w:p>
    <w:p w14:paraId="04BDCB99" w14:textId="5E2B7FD0"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This section integrates the dispersed investigations</w:t>
      </w:r>
      <w:r w:rsidRPr="009A07CA">
        <w:rPr>
          <w:rFonts w:ascii="Times New Roman" w:hAnsi="Times New Roman" w:cs="Times New Roman"/>
          <w:color w:val="EE0000"/>
        </w:rPr>
        <w:t xml:space="preserve"> </w:t>
      </w:r>
      <w:r w:rsidR="009A07CA" w:rsidRPr="009A07CA">
        <w:rPr>
          <w:rFonts w:ascii="Times New Roman" w:hAnsi="Times New Roman" w:cs="Times New Roman"/>
          <w:color w:val="EE0000"/>
        </w:rPr>
        <w:t>into</w:t>
      </w:r>
      <w:r w:rsidRPr="009A07CA">
        <w:rPr>
          <w:rFonts w:ascii="Times New Roman" w:hAnsi="Times New Roman" w:cs="Times New Roman"/>
          <w:color w:val="EE0000"/>
        </w:rPr>
        <w:t xml:space="preserve"> </w:t>
      </w:r>
      <w:r w:rsidRPr="00BF56CB">
        <w:rPr>
          <w:rFonts w:ascii="Times New Roman" w:hAnsi="Times New Roman" w:cs="Times New Roman"/>
        </w:rPr>
        <w:t xml:space="preserve">policy execution, highlighting the specific difficulties encountered in developing economies where ambitious policies often do not succeed as intended. The examination not only unveils common </w:t>
      </w:r>
      <w:r w:rsidR="009A07CA" w:rsidRPr="009A07CA">
        <w:rPr>
          <w:rFonts w:ascii="Times New Roman" w:hAnsi="Times New Roman" w:cs="Times New Roman"/>
          <w:color w:val="EE0000"/>
        </w:rPr>
        <w:t>themes</w:t>
      </w:r>
      <w:r w:rsidRPr="00BF56CB">
        <w:rPr>
          <w:rFonts w:ascii="Times New Roman" w:hAnsi="Times New Roman" w:cs="Times New Roman"/>
        </w:rPr>
        <w:t xml:space="preserve"> but also evaluates the limitations </w:t>
      </w:r>
      <w:r w:rsidR="009A07CA" w:rsidRPr="009A07CA">
        <w:rPr>
          <w:rFonts w:ascii="Times New Roman" w:hAnsi="Times New Roman" w:cs="Times New Roman"/>
          <w:color w:val="EE0000"/>
        </w:rPr>
        <w:t>of</w:t>
      </w:r>
      <w:r w:rsidRPr="009A07CA">
        <w:rPr>
          <w:rFonts w:ascii="Times New Roman" w:hAnsi="Times New Roman" w:cs="Times New Roman"/>
          <w:color w:val="EE0000"/>
        </w:rPr>
        <w:t xml:space="preserve"> </w:t>
      </w:r>
      <w:r w:rsidRPr="00BF56CB">
        <w:rPr>
          <w:rFonts w:ascii="Times New Roman" w:hAnsi="Times New Roman" w:cs="Times New Roman"/>
        </w:rPr>
        <w:t xml:space="preserve">existing academic work, exposing the voids that necessitate the development of more unified frameworks to effectively </w:t>
      </w:r>
      <w:r w:rsidR="009A07CA" w:rsidRPr="009A07CA">
        <w:rPr>
          <w:rFonts w:ascii="Times New Roman" w:hAnsi="Times New Roman" w:cs="Times New Roman"/>
          <w:color w:val="EE0000"/>
        </w:rPr>
        <w:t>address</w:t>
      </w:r>
      <w:r w:rsidRPr="00BF56CB">
        <w:rPr>
          <w:rFonts w:ascii="Times New Roman" w:hAnsi="Times New Roman" w:cs="Times New Roman"/>
        </w:rPr>
        <w:t xml:space="preserve"> issues related to policy implementation. </w:t>
      </w:r>
    </w:p>
    <w:p w14:paraId="00386B60"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 xml:space="preserve">2.3.1 Synthesizing Themes Across Strands </w:t>
      </w:r>
    </w:p>
    <w:p w14:paraId="0F7BFD99" w14:textId="77777777" w:rsidR="006F7FDF" w:rsidRPr="00CE799C" w:rsidRDefault="006F7FDF" w:rsidP="00CE799C">
      <w:pPr>
        <w:spacing w:after="0" w:line="360" w:lineRule="auto"/>
        <w:rPr>
          <w:rFonts w:ascii="Times New Roman" w:hAnsi="Times New Roman" w:cs="Times New Roman"/>
        </w:rPr>
      </w:pPr>
      <w:r w:rsidRPr="00CE799C">
        <w:rPr>
          <w:rFonts w:ascii="Times New Roman" w:hAnsi="Times New Roman" w:cs="Times New Roman"/>
        </w:rPr>
        <w:t xml:space="preserve">Three interconnected themes arise, which together elucidate the discrepancy between the intentions of policies and their actual results in developing economies. </w:t>
      </w:r>
    </w:p>
    <w:p w14:paraId="51C75D52" w14:textId="77777777" w:rsidR="009A07CA" w:rsidRPr="00CE799C" w:rsidRDefault="006F7FDF" w:rsidP="00CE799C">
      <w:pPr>
        <w:spacing w:after="0" w:line="360" w:lineRule="auto"/>
        <w:rPr>
          <w:rFonts w:ascii="Times New Roman" w:hAnsi="Times New Roman" w:cs="Times New Roman"/>
          <w:color w:val="EE0000"/>
        </w:rPr>
      </w:pPr>
      <w:r w:rsidRPr="00CE799C">
        <w:rPr>
          <w:rFonts w:ascii="Times New Roman" w:hAnsi="Times New Roman" w:cs="Times New Roman"/>
        </w:rPr>
        <w:t>The initial theme focuses on the structural obstacles related to delegation in unstable political environments. Theories of principal-agent and multiple principal relationships elucidate how uneven information access, differing objectives, and splintered authority affect implementation actions (</w:t>
      </w:r>
      <w:proofErr w:type="spellStart"/>
      <w:r w:rsidRPr="00CE799C">
        <w:rPr>
          <w:rFonts w:ascii="Times New Roman" w:hAnsi="Times New Roman" w:cs="Times New Roman"/>
        </w:rPr>
        <w:t>Apriliyanti</w:t>
      </w:r>
      <w:proofErr w:type="spellEnd"/>
      <w:r w:rsidRPr="00CE799C">
        <w:rPr>
          <w:rFonts w:ascii="Times New Roman" w:hAnsi="Times New Roman" w:cs="Times New Roman"/>
        </w:rPr>
        <w:t xml:space="preserve"> et al., 2023; </w:t>
      </w:r>
      <w:proofErr w:type="spellStart"/>
      <w:r w:rsidRPr="00CE799C">
        <w:rPr>
          <w:rFonts w:ascii="Times New Roman" w:hAnsi="Times New Roman" w:cs="Times New Roman"/>
        </w:rPr>
        <w:t>Pepinsky</w:t>
      </w:r>
      <w:proofErr w:type="spellEnd"/>
      <w:r w:rsidRPr="00CE799C">
        <w:rPr>
          <w:rFonts w:ascii="Times New Roman" w:hAnsi="Times New Roman" w:cs="Times New Roman"/>
        </w:rPr>
        <w:t xml:space="preserve"> et al., 2017; </w:t>
      </w:r>
      <w:proofErr w:type="spellStart"/>
      <w:r w:rsidRPr="00CE799C">
        <w:rPr>
          <w:rFonts w:ascii="Times New Roman" w:hAnsi="Times New Roman" w:cs="Times New Roman"/>
        </w:rPr>
        <w:t>Schillemans</w:t>
      </w:r>
      <w:proofErr w:type="spellEnd"/>
      <w:r w:rsidRPr="00CE799C">
        <w:rPr>
          <w:rFonts w:ascii="Times New Roman" w:hAnsi="Times New Roman" w:cs="Times New Roman"/>
        </w:rPr>
        <w:t xml:space="preserve"> &amp; Busuioc, 2014; </w:t>
      </w:r>
      <w:proofErr w:type="spellStart"/>
      <w:r w:rsidRPr="00CE799C">
        <w:rPr>
          <w:rFonts w:ascii="Times New Roman" w:hAnsi="Times New Roman" w:cs="Times New Roman"/>
        </w:rPr>
        <w:t>Voorn</w:t>
      </w:r>
      <w:proofErr w:type="spellEnd"/>
      <w:r w:rsidRPr="00CE799C">
        <w:rPr>
          <w:rFonts w:ascii="Times New Roman" w:hAnsi="Times New Roman" w:cs="Times New Roman"/>
        </w:rPr>
        <w:t xml:space="preserve"> et al., 2019). Within these settings, principals such as central governments or funding sources find it challenging to oversee agents like local officials due to insufficient monitoring, which can lead to </w:t>
      </w:r>
      <w:r w:rsidRPr="00CE799C">
        <w:rPr>
          <w:rFonts w:ascii="Times New Roman" w:hAnsi="Times New Roman" w:cs="Times New Roman"/>
        </w:rPr>
        <w:lastRenderedPageBreak/>
        <w:t xml:space="preserve">neglect or opportunism. The presence of multiple principals, including different ministries and aid organizations, generates conflicting orders, which dilutes accountability and leads to a drift in policy direction. </w:t>
      </w:r>
      <w:r w:rsidR="009A07CA" w:rsidRPr="00CE799C">
        <w:rPr>
          <w:rFonts w:ascii="Times New Roman" w:hAnsi="Times New Roman" w:cs="Times New Roman"/>
          <w:color w:val="EE0000"/>
        </w:rPr>
        <w:t>Recent research by Çoban &amp; Apaydin (2025), for instance, illustrates how macroeconomic growth models influence bureaucratic autonomy and regulatory governance in emerging markets, leading to erosion of regulatory frameworks when political demands intensify during economic contraction, thereby exacerbating structural obstacles. Similarly, institutional quality, including governance and regulatory frameworks, is shown to significantly impact financial development in Sub-Saharan Africa, directly linking institutional strength to effective policy outcomes (</w:t>
      </w:r>
      <w:proofErr w:type="spellStart"/>
      <w:r w:rsidR="009A07CA" w:rsidRPr="00CE799C">
        <w:rPr>
          <w:rFonts w:ascii="Times New Roman" w:hAnsi="Times New Roman" w:cs="Times New Roman"/>
          <w:color w:val="EE0000"/>
        </w:rPr>
        <w:t>Abaidoo</w:t>
      </w:r>
      <w:proofErr w:type="spellEnd"/>
      <w:r w:rsidR="009A07CA" w:rsidRPr="00CE799C">
        <w:rPr>
          <w:rFonts w:ascii="Times New Roman" w:hAnsi="Times New Roman" w:cs="Times New Roman"/>
          <w:color w:val="EE0000"/>
        </w:rPr>
        <w:t xml:space="preserve"> &amp; Agyapong, 2022).</w:t>
      </w:r>
    </w:p>
    <w:p w14:paraId="3C36602B" w14:textId="77777777" w:rsidR="00CE799C" w:rsidRPr="00A047B4" w:rsidRDefault="006F7FDF" w:rsidP="00CE799C">
      <w:pPr>
        <w:spacing w:after="0" w:line="360" w:lineRule="auto"/>
        <w:rPr>
          <w:rFonts w:ascii="Times New Roman" w:hAnsi="Times New Roman" w:cs="Times New Roman"/>
          <w:color w:val="EE0000"/>
        </w:rPr>
      </w:pPr>
      <w:r w:rsidRPr="00BF56CB">
        <w:rPr>
          <w:rFonts w:ascii="Times New Roman" w:hAnsi="Times New Roman" w:cs="Times New Roman"/>
        </w:rPr>
        <w:t xml:space="preserve">The second theme addresses challenges related to bureaucratic organization and the </w:t>
      </w:r>
      <w:r w:rsidRPr="00CE799C">
        <w:rPr>
          <w:rFonts w:ascii="Times New Roman" w:hAnsi="Times New Roman" w:cs="Times New Roman"/>
          <w:color w:val="EE0000"/>
        </w:rPr>
        <w:t>str</w:t>
      </w:r>
      <w:r w:rsidR="00CE799C" w:rsidRPr="00CE799C">
        <w:rPr>
          <w:rFonts w:ascii="Times New Roman" w:hAnsi="Times New Roman" w:cs="Times New Roman"/>
          <w:color w:val="EE0000"/>
        </w:rPr>
        <w:t>ain</w:t>
      </w:r>
      <w:r w:rsidRPr="00BF56CB">
        <w:rPr>
          <w:rFonts w:ascii="Times New Roman" w:hAnsi="Times New Roman" w:cs="Times New Roman"/>
        </w:rPr>
        <w:t xml:space="preserve"> on capacity. Research concerning state capacity and the gap between responsibilities and available resources indicates that the expansion of policies without the necessary development of capabilities and horizontal integration leads to ineffective outcomes (Fernández‐</w:t>
      </w:r>
      <w:proofErr w:type="spellStart"/>
      <w:r w:rsidRPr="00BF56CB">
        <w:rPr>
          <w:rFonts w:ascii="Times New Roman" w:hAnsi="Times New Roman" w:cs="Times New Roman"/>
        </w:rPr>
        <w:t>i</w:t>
      </w:r>
      <w:proofErr w:type="spellEnd"/>
      <w:r w:rsidRPr="00BF56CB">
        <w:rPr>
          <w:rFonts w:ascii="Times New Roman" w:hAnsi="Times New Roman" w:cs="Times New Roman"/>
        </w:rPr>
        <w:t>‐Marín et al., 2023; Williams, 2020). Developing economies frequently face a burden of excessive policy initiatives that overwhelm their already fragile systems, which often lack the requisite skills and resources, as illustrated in various studies on implementation (Erasmus et al., 2014; Khan &amp;</w:t>
      </w:r>
      <w:r w:rsidR="005B45A5" w:rsidRPr="00BF56CB">
        <w:rPr>
          <w:rFonts w:ascii="Times New Roman" w:hAnsi="Times New Roman" w:cs="Times New Roman"/>
        </w:rPr>
        <w:t xml:space="preserve"> </w:t>
      </w:r>
      <w:r w:rsidRPr="00BF56CB">
        <w:rPr>
          <w:rFonts w:ascii="Times New Roman" w:hAnsi="Times New Roman" w:cs="Times New Roman"/>
        </w:rPr>
        <w:t xml:space="preserve">Shahriar, 2016; Hudson et al., 2019). This scenario produces a structural mismatch that promotes a culture of simple conformity rather than real policy enforcement. </w:t>
      </w:r>
      <w:r w:rsidR="00CE799C" w:rsidRPr="00A047B4">
        <w:rPr>
          <w:rFonts w:ascii="Times New Roman" w:hAnsi="Times New Roman" w:cs="Times New Roman"/>
          <w:color w:val="EE0000"/>
        </w:rPr>
        <w:t>Further evidence from Oliveros &amp;amp; Schuster (2018) on the Dominican Republic shows how internal HR policies like merit-based hiring can influence administrative behavior and performance, curb corruption, and boost job motivation. Sector-specific research such as those of Cantú et al. (2021) demonstrate how a lack of infrastructure and cohesive legislation hinders circular economy adoption in Mexican SMEs, whereas Shi et al. (2025) find inconsistent rules and poor funding as main hurdles to sustainable energy technology execution in China, emphasizing capacity difficulties.</w:t>
      </w:r>
    </w:p>
    <w:p w14:paraId="0D1428D7" w14:textId="77777777" w:rsidR="00CE799C" w:rsidRPr="00991DAD" w:rsidRDefault="00CE799C" w:rsidP="00CE799C">
      <w:pPr>
        <w:spacing w:after="0" w:line="360" w:lineRule="auto"/>
        <w:rPr>
          <w:rFonts w:ascii="Times New Roman" w:hAnsi="Times New Roman" w:cs="Times New Roman"/>
          <w:color w:val="EE0000"/>
        </w:rPr>
      </w:pPr>
      <w:r w:rsidRPr="00991DAD">
        <w:rPr>
          <w:rFonts w:ascii="Times New Roman" w:hAnsi="Times New Roman" w:cs="Times New Roman"/>
          <w:color w:val="EE0000"/>
        </w:rPr>
        <w:t>In e-learning, infrastructural deficits and limited institutional readiness in emerging economies lead to underperforming generic policies that ignore local governance capacity (</w:t>
      </w:r>
      <w:proofErr w:type="spellStart"/>
      <w:r w:rsidRPr="00991DAD">
        <w:rPr>
          <w:rFonts w:ascii="Times New Roman" w:hAnsi="Times New Roman" w:cs="Times New Roman"/>
          <w:color w:val="EE0000"/>
        </w:rPr>
        <w:t>Barikzai</w:t>
      </w:r>
      <w:proofErr w:type="spellEnd"/>
      <w:r w:rsidRPr="00991DAD">
        <w:rPr>
          <w:rFonts w:ascii="Times New Roman" w:hAnsi="Times New Roman" w:cs="Times New Roman"/>
          <w:color w:val="EE0000"/>
        </w:rPr>
        <w:t xml:space="preserve"> et al., 2024). This implies that organizational capacity depends on two elements. The first element includes available resources while the second element requires the designing of bureaucratic systems and their development to handle local needs.</w:t>
      </w:r>
    </w:p>
    <w:p w14:paraId="5ED9E644" w14:textId="122D026C" w:rsidR="006F7FDF" w:rsidRDefault="006F7FDF" w:rsidP="006F7FDF">
      <w:pPr>
        <w:spacing w:after="0" w:line="360" w:lineRule="auto"/>
        <w:rPr>
          <w:rFonts w:ascii="Times New Roman" w:hAnsi="Times New Roman" w:cs="Times New Roman"/>
        </w:rPr>
      </w:pPr>
      <w:r w:rsidRPr="00A43AF9">
        <w:rPr>
          <w:rFonts w:ascii="Times New Roman" w:hAnsi="Times New Roman" w:cs="Times New Roman"/>
        </w:rPr>
        <w:lastRenderedPageBreak/>
        <w:t xml:space="preserve">The third theme </w:t>
      </w:r>
      <w:r w:rsidR="00A43AF9" w:rsidRPr="00A43AF9">
        <w:rPr>
          <w:rFonts w:ascii="Times New Roman" w:hAnsi="Times New Roman" w:cs="Times New Roman"/>
          <w:color w:val="EE0000"/>
        </w:rPr>
        <w:t>examines</w:t>
      </w:r>
      <w:r w:rsidRPr="00A43AF9">
        <w:rPr>
          <w:rFonts w:ascii="Times New Roman" w:hAnsi="Times New Roman" w:cs="Times New Roman"/>
        </w:rPr>
        <w:t xml:space="preserve"> the social aspects of policy implementation, particularly how people adapt and change things to</w:t>
      </w:r>
      <w:r w:rsidR="00A43AF9" w:rsidRPr="00A43AF9">
        <w:rPr>
          <w:rFonts w:ascii="Times New Roman" w:hAnsi="Times New Roman" w:cs="Times New Roman"/>
        </w:rPr>
        <w:t xml:space="preserve"> </w:t>
      </w:r>
      <w:r w:rsidR="00A43AF9" w:rsidRPr="00A43AF9">
        <w:rPr>
          <w:rFonts w:ascii="Times New Roman" w:hAnsi="Times New Roman" w:cs="Times New Roman"/>
          <w:color w:val="EE0000"/>
        </w:rPr>
        <w:t>fit local needs and contexts</w:t>
      </w:r>
      <w:r w:rsidR="00A43AF9" w:rsidRPr="00A43AF9">
        <w:rPr>
          <w:rFonts w:ascii="Times New Roman" w:hAnsi="Times New Roman" w:cs="Times New Roman"/>
        </w:rPr>
        <w:t xml:space="preserve">. </w:t>
      </w:r>
      <w:r w:rsidRPr="00A43AF9">
        <w:rPr>
          <w:rFonts w:ascii="Times New Roman" w:hAnsi="Times New Roman" w:cs="Times New Roman"/>
        </w:rPr>
        <w:t>their own needs. Research on policy</w:t>
      </w:r>
      <w:r w:rsidRPr="00BF56CB">
        <w:rPr>
          <w:rFonts w:ascii="Times New Roman" w:hAnsi="Times New Roman" w:cs="Times New Roman"/>
        </w:rPr>
        <w:t xml:space="preserve"> transfers shows that, in situations </w:t>
      </w:r>
      <w:r w:rsidR="00A43AF9" w:rsidRPr="00A43AF9">
        <w:rPr>
          <w:rFonts w:ascii="Times New Roman" w:hAnsi="Times New Roman" w:cs="Times New Roman"/>
          <w:color w:val="EE0000"/>
        </w:rPr>
        <w:t>reliant</w:t>
      </w:r>
      <w:r w:rsidRPr="00A43AF9">
        <w:rPr>
          <w:rFonts w:ascii="Times New Roman" w:hAnsi="Times New Roman" w:cs="Times New Roman"/>
          <w:color w:val="EE0000"/>
        </w:rPr>
        <w:t xml:space="preserve"> </w:t>
      </w:r>
      <w:r w:rsidRPr="00BF56CB">
        <w:rPr>
          <w:rFonts w:ascii="Times New Roman" w:hAnsi="Times New Roman" w:cs="Times New Roman"/>
        </w:rPr>
        <w:t xml:space="preserve">on foreign aid, imitation and external influences frequently result in reforms that </w:t>
      </w:r>
      <w:r w:rsidR="00A43AF9" w:rsidRPr="00A43AF9">
        <w:rPr>
          <w:rFonts w:ascii="Times New Roman" w:hAnsi="Times New Roman" w:cs="Times New Roman"/>
          <w:color w:val="EE0000"/>
        </w:rPr>
        <w:t>appear robust</w:t>
      </w:r>
      <w:r w:rsidRPr="00A43AF9">
        <w:rPr>
          <w:rFonts w:ascii="Times New Roman" w:hAnsi="Times New Roman" w:cs="Times New Roman"/>
          <w:color w:val="EE0000"/>
        </w:rPr>
        <w:t xml:space="preserve"> </w:t>
      </w:r>
      <w:r w:rsidRPr="00BF56CB">
        <w:rPr>
          <w:rFonts w:ascii="Times New Roman" w:hAnsi="Times New Roman" w:cs="Times New Roman"/>
        </w:rPr>
        <w:t xml:space="preserve">in theory but lack actual substance (Macdonald, 2019; Stone, 2016). This leads to isomorphic mimicry, whereby governments embrace forms of governance to convey legitimacy without genuine functional integration, producing policies that are apparently modified but practically useless. </w:t>
      </w:r>
    </w:p>
    <w:p w14:paraId="1AF7DCFF" w14:textId="77777777" w:rsidR="00A43AF9" w:rsidRPr="00692EAC" w:rsidRDefault="00A43AF9" w:rsidP="00A43AF9">
      <w:pPr>
        <w:spacing w:after="0" w:line="360" w:lineRule="auto"/>
        <w:rPr>
          <w:rFonts w:ascii="Times New Roman" w:hAnsi="Times New Roman" w:cs="Times New Roman"/>
          <w:color w:val="EE0000"/>
        </w:rPr>
      </w:pPr>
      <w:r w:rsidRPr="00692EAC">
        <w:rPr>
          <w:rFonts w:ascii="Times New Roman" w:hAnsi="Times New Roman" w:cs="Times New Roman"/>
          <w:color w:val="EE0000"/>
        </w:rPr>
        <w:t xml:space="preserve">This is further corroborated by </w:t>
      </w:r>
      <w:proofErr w:type="spellStart"/>
      <w:r w:rsidRPr="00692EAC">
        <w:rPr>
          <w:rFonts w:ascii="Times New Roman" w:hAnsi="Times New Roman" w:cs="Times New Roman"/>
          <w:color w:val="EE0000"/>
        </w:rPr>
        <w:t>Sulistyawati</w:t>
      </w:r>
      <w:proofErr w:type="spellEnd"/>
      <w:r w:rsidRPr="00692EAC">
        <w:rPr>
          <w:rFonts w:ascii="Times New Roman" w:hAnsi="Times New Roman" w:cs="Times New Roman"/>
          <w:color w:val="EE0000"/>
        </w:rPr>
        <w:t xml:space="preserve"> and Nugroho (2025) who found that despite the presence of international pressure with regard to environmental performance, there is significant mediation in the diffusion and success of such policies in emerging markets depending on the quality of domestic institutions and the level of awareness among the populace. Moreover, in cases where there is poor implementation of regulations, there is the tendency for businesses to use alternative mechanisms such as bribery to hasten innovation and market entry into emerging markets, “greasing the wheels” of implementation while undermining long-run development in institutions (Krammer, 2017). Anand et al. (2021) further emphasize that innovation in emerging markets is often characterized by co-evolutionary processes in which businesses constantly adapt and recombine knowledge.</w:t>
      </w:r>
    </w:p>
    <w:p w14:paraId="68639E62" w14:textId="7A772C8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Taken together, these ideas offer </w:t>
      </w:r>
      <w:r w:rsidR="00A43AF9" w:rsidRPr="00A43AF9">
        <w:rPr>
          <w:rFonts w:ascii="Times New Roman" w:hAnsi="Times New Roman" w:cs="Times New Roman"/>
          <w:color w:val="EE0000"/>
        </w:rPr>
        <w:t>a deeper</w:t>
      </w:r>
      <w:r w:rsidRPr="00A43AF9">
        <w:rPr>
          <w:rFonts w:ascii="Times New Roman" w:hAnsi="Times New Roman" w:cs="Times New Roman"/>
          <w:color w:val="EE0000"/>
        </w:rPr>
        <w:t xml:space="preserve"> </w:t>
      </w:r>
      <w:r w:rsidRPr="00BF56CB">
        <w:rPr>
          <w:rFonts w:ascii="Times New Roman" w:hAnsi="Times New Roman" w:cs="Times New Roman"/>
        </w:rPr>
        <w:t xml:space="preserve">understanding of the causes of implementation failure by framing the gap as a </w:t>
      </w:r>
      <w:r w:rsidRPr="00A43AF9">
        <w:rPr>
          <w:rFonts w:ascii="Times New Roman" w:hAnsi="Times New Roman" w:cs="Times New Roman"/>
          <w:color w:val="EE0000"/>
        </w:rPr>
        <w:t>compl</w:t>
      </w:r>
      <w:r w:rsidR="00A43AF9" w:rsidRPr="00A43AF9">
        <w:rPr>
          <w:rFonts w:ascii="Times New Roman" w:hAnsi="Times New Roman" w:cs="Times New Roman"/>
          <w:color w:val="EE0000"/>
        </w:rPr>
        <w:t>ex</w:t>
      </w:r>
      <w:r w:rsidRPr="00BF56CB">
        <w:rPr>
          <w:rFonts w:ascii="Times New Roman" w:hAnsi="Times New Roman" w:cs="Times New Roman"/>
        </w:rPr>
        <w:t xml:space="preserve"> problem marked by symbolic activities, </w:t>
      </w:r>
      <w:r w:rsidR="00A43AF9" w:rsidRPr="00A43AF9">
        <w:rPr>
          <w:rFonts w:ascii="Times New Roman" w:hAnsi="Times New Roman" w:cs="Times New Roman"/>
          <w:color w:val="EE0000"/>
        </w:rPr>
        <w:t>mandate</w:t>
      </w:r>
      <w:r w:rsidRPr="00BF56CB">
        <w:rPr>
          <w:rFonts w:ascii="Times New Roman" w:hAnsi="Times New Roman" w:cs="Times New Roman"/>
        </w:rPr>
        <w:t xml:space="preserve"> breaches, and capacity </w:t>
      </w:r>
      <w:r w:rsidR="00A43AF9" w:rsidRPr="00A43AF9">
        <w:rPr>
          <w:rFonts w:ascii="Times New Roman" w:hAnsi="Times New Roman" w:cs="Times New Roman"/>
          <w:color w:val="EE0000"/>
        </w:rPr>
        <w:t>deficits</w:t>
      </w:r>
      <w:r w:rsidRPr="00BF56CB">
        <w:rPr>
          <w:rFonts w:ascii="Times New Roman" w:hAnsi="Times New Roman" w:cs="Times New Roman"/>
        </w:rPr>
        <w:t>.</w:t>
      </w:r>
    </w:p>
    <w:p w14:paraId="50C01414"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 xml:space="preserve">2.3.2 Strengths of Existing Literature </w:t>
      </w:r>
    </w:p>
    <w:p w14:paraId="73CF347B" w14:textId="4A3E1495" w:rsidR="006F7FDF" w:rsidRDefault="006F7FDF" w:rsidP="006F7FDF">
      <w:pPr>
        <w:spacing w:after="0" w:line="360" w:lineRule="auto"/>
        <w:rPr>
          <w:rFonts w:ascii="Times New Roman" w:hAnsi="Times New Roman" w:cs="Times New Roman"/>
        </w:rPr>
      </w:pPr>
      <w:r w:rsidRPr="00BF56CB">
        <w:rPr>
          <w:rFonts w:ascii="Times New Roman" w:hAnsi="Times New Roman" w:cs="Times New Roman"/>
        </w:rPr>
        <w:t>The principal-agent and multiple principal research fields effectively highlight information asymmetry, misalignment of incentives, and fragmented authority as fundamental sources of agency issues (</w:t>
      </w:r>
      <w:proofErr w:type="spellStart"/>
      <w:r w:rsidRPr="00BF56CB">
        <w:rPr>
          <w:rFonts w:ascii="Times New Roman" w:hAnsi="Times New Roman" w:cs="Times New Roman"/>
        </w:rPr>
        <w:t>Apriliyanti</w:t>
      </w:r>
      <w:proofErr w:type="spellEnd"/>
      <w:r w:rsidRPr="00BF56CB">
        <w:rPr>
          <w:rFonts w:ascii="Times New Roman" w:hAnsi="Times New Roman" w:cs="Times New Roman"/>
        </w:rPr>
        <w:t xml:space="preserve"> et al., 2023; </w:t>
      </w:r>
      <w:proofErr w:type="spellStart"/>
      <w:r w:rsidRPr="00BF56CB">
        <w:rPr>
          <w:rFonts w:ascii="Times New Roman" w:hAnsi="Times New Roman" w:cs="Times New Roman"/>
        </w:rPr>
        <w:t>Schillemans</w:t>
      </w:r>
      <w:proofErr w:type="spellEnd"/>
      <w:r w:rsidRPr="00BF56CB">
        <w:rPr>
          <w:rFonts w:ascii="Times New Roman" w:hAnsi="Times New Roman" w:cs="Times New Roman"/>
        </w:rPr>
        <w:t xml:space="preserve"> &amp;Busuioc, 2014; </w:t>
      </w:r>
      <w:proofErr w:type="spellStart"/>
      <w:r w:rsidRPr="00BF56CB">
        <w:rPr>
          <w:rFonts w:ascii="Times New Roman" w:hAnsi="Times New Roman" w:cs="Times New Roman"/>
        </w:rPr>
        <w:t>Voorn</w:t>
      </w:r>
      <w:proofErr w:type="spellEnd"/>
      <w:r w:rsidRPr="00BF56CB">
        <w:rPr>
          <w:rFonts w:ascii="Times New Roman" w:hAnsi="Times New Roman" w:cs="Times New Roman"/>
        </w:rPr>
        <w:t xml:space="preserve"> et al., 2019). Furthermore, </w:t>
      </w:r>
      <w:r w:rsidR="00392830" w:rsidRPr="00392830">
        <w:rPr>
          <w:rFonts w:ascii="Times New Roman" w:hAnsi="Times New Roman" w:cs="Times New Roman"/>
          <w:color w:val="EE0000"/>
        </w:rPr>
        <w:t>revisions</w:t>
      </w:r>
      <w:r w:rsidRPr="00BF56CB">
        <w:rPr>
          <w:rFonts w:ascii="Times New Roman" w:hAnsi="Times New Roman" w:cs="Times New Roman"/>
        </w:rPr>
        <w:t xml:space="preserve"> to these ideas make them more realistic in </w:t>
      </w:r>
      <w:r w:rsidR="00392830" w:rsidRPr="00392830">
        <w:rPr>
          <w:rFonts w:ascii="Times New Roman" w:hAnsi="Times New Roman" w:cs="Times New Roman"/>
          <w:color w:val="EE0000"/>
        </w:rPr>
        <w:t>public administration contexts</w:t>
      </w:r>
      <w:r w:rsidRPr="00392830">
        <w:rPr>
          <w:rFonts w:ascii="Times New Roman" w:hAnsi="Times New Roman" w:cs="Times New Roman"/>
          <w:color w:val="EE0000"/>
        </w:rPr>
        <w:t xml:space="preserve"> </w:t>
      </w:r>
      <w:r w:rsidRPr="00BF56CB">
        <w:rPr>
          <w:rFonts w:ascii="Times New Roman" w:hAnsi="Times New Roman" w:cs="Times New Roman"/>
        </w:rPr>
        <w:t xml:space="preserve">(Waterman and Meier, 1998; </w:t>
      </w:r>
      <w:proofErr w:type="spellStart"/>
      <w:r w:rsidRPr="00BF56CB">
        <w:rPr>
          <w:rFonts w:ascii="Times New Roman" w:hAnsi="Times New Roman" w:cs="Times New Roman"/>
        </w:rPr>
        <w:t>Schillemans</w:t>
      </w:r>
      <w:proofErr w:type="spellEnd"/>
      <w:r w:rsidRPr="00BF56CB">
        <w:rPr>
          <w:rFonts w:ascii="Times New Roman" w:hAnsi="Times New Roman" w:cs="Times New Roman"/>
        </w:rPr>
        <w:t xml:space="preserve"> and Busuioc, 2014). Studies that </w:t>
      </w:r>
      <w:r w:rsidR="00392830" w:rsidRPr="00392830">
        <w:rPr>
          <w:rFonts w:ascii="Times New Roman" w:hAnsi="Times New Roman" w:cs="Times New Roman"/>
          <w:color w:val="EE0000"/>
        </w:rPr>
        <w:t>examine</w:t>
      </w:r>
      <w:r w:rsidRPr="00BF56CB">
        <w:rPr>
          <w:rFonts w:ascii="Times New Roman" w:hAnsi="Times New Roman" w:cs="Times New Roman"/>
        </w:rPr>
        <w:t xml:space="preserve"> how things are put into action </w:t>
      </w:r>
      <w:r w:rsidR="00392830" w:rsidRPr="00392830">
        <w:rPr>
          <w:rFonts w:ascii="Times New Roman" w:hAnsi="Times New Roman" w:cs="Times New Roman"/>
          <w:color w:val="EE0000"/>
        </w:rPr>
        <w:t>provide detailed insights</w:t>
      </w:r>
      <w:r w:rsidRPr="00392830">
        <w:rPr>
          <w:rFonts w:ascii="Times New Roman" w:hAnsi="Times New Roman" w:cs="Times New Roman"/>
          <w:color w:val="EE0000"/>
        </w:rPr>
        <w:t xml:space="preserve"> </w:t>
      </w:r>
      <w:r w:rsidRPr="00BF56CB">
        <w:rPr>
          <w:rFonts w:ascii="Times New Roman" w:hAnsi="Times New Roman" w:cs="Times New Roman"/>
        </w:rPr>
        <w:t xml:space="preserve">about workers on the ground, the culture within organizations, and the effects of different situations (Barrett, 2004; Campos and Reich, 2019; Erasmus and others, 2014). Also, recent detailed studies, such as Bullock et al. (2020) combine the ideas of policy and </w:t>
      </w:r>
      <w:r w:rsidR="00392830" w:rsidRPr="00392830">
        <w:rPr>
          <w:rFonts w:ascii="Times New Roman" w:hAnsi="Times New Roman" w:cs="Times New Roman"/>
          <w:color w:val="EE0000"/>
        </w:rPr>
        <w:t>its practical execution</w:t>
      </w:r>
      <w:r w:rsidRPr="00BF56CB">
        <w:rPr>
          <w:rFonts w:ascii="Times New Roman" w:hAnsi="Times New Roman" w:cs="Times New Roman"/>
        </w:rPr>
        <w:t xml:space="preserve">. Studies examining bureaucratic performance establish a connection between the expansion of policy and subsequent declines in effectiveness </w:t>
      </w:r>
      <w:r w:rsidRPr="00BF56CB">
        <w:rPr>
          <w:rFonts w:ascii="Times New Roman" w:hAnsi="Times New Roman" w:cs="Times New Roman"/>
        </w:rPr>
        <w:lastRenderedPageBreak/>
        <w:t>through empirical mechanisms (Fernández-</w:t>
      </w:r>
      <w:proofErr w:type="spellStart"/>
      <w:r w:rsidRPr="00BF56CB">
        <w:rPr>
          <w:rFonts w:ascii="Times New Roman" w:hAnsi="Times New Roman" w:cs="Times New Roman"/>
        </w:rPr>
        <w:t>i</w:t>
      </w:r>
      <w:proofErr w:type="spellEnd"/>
      <w:r w:rsidRPr="00BF56CB">
        <w:rPr>
          <w:rFonts w:ascii="Times New Roman" w:hAnsi="Times New Roman" w:cs="Times New Roman"/>
        </w:rPr>
        <w:t xml:space="preserve">-Marín et al., 2023). Williams (2020) favors more complex and subtle interpretations over </w:t>
      </w:r>
      <w:r w:rsidR="00392830" w:rsidRPr="00392830">
        <w:rPr>
          <w:rFonts w:ascii="Times New Roman" w:hAnsi="Times New Roman" w:cs="Times New Roman"/>
          <w:color w:val="EE0000"/>
        </w:rPr>
        <w:t>simplistic notions of state capacity</w:t>
      </w:r>
      <w:r w:rsidR="00392830" w:rsidRPr="008E3030">
        <w:t xml:space="preserve">. </w:t>
      </w:r>
      <w:r w:rsidRPr="00BF56CB">
        <w:rPr>
          <w:rFonts w:ascii="Times New Roman" w:hAnsi="Times New Roman" w:cs="Times New Roman"/>
        </w:rPr>
        <w:t xml:space="preserve">Moreover, the area of policy transfer offers insightful analysis of the interpretation of outside models, focusing on the mechanics of symbolic compliance and hybridization (Macdonald, 2019; Stone, 2016). </w:t>
      </w:r>
    </w:p>
    <w:p w14:paraId="4A2B1447" w14:textId="617E5196" w:rsidR="00392830" w:rsidRPr="00BF56CB" w:rsidRDefault="00392830" w:rsidP="006F7FDF">
      <w:pPr>
        <w:spacing w:after="0" w:line="360" w:lineRule="auto"/>
        <w:rPr>
          <w:rFonts w:ascii="Times New Roman" w:hAnsi="Times New Roman" w:cs="Times New Roman"/>
        </w:rPr>
      </w:pPr>
      <w:r>
        <w:rPr>
          <w:rFonts w:ascii="Times New Roman" w:hAnsi="Times New Roman" w:cs="Times New Roman"/>
          <w:color w:val="EE0000"/>
        </w:rPr>
        <w:t>R</w:t>
      </w:r>
      <w:r w:rsidRPr="00692EAC">
        <w:rPr>
          <w:rFonts w:ascii="Times New Roman" w:hAnsi="Times New Roman" w:cs="Times New Roman"/>
          <w:color w:val="EE0000"/>
        </w:rPr>
        <w:t>ecent literature further strengthens understanding of how internal HR rules affect bureaucratic behavior (Oliveros &amp; Schuster, 2018), how institutional quality mediates environmental policy diffusion (</w:t>
      </w:r>
      <w:proofErr w:type="spellStart"/>
      <w:r w:rsidRPr="00692EAC">
        <w:rPr>
          <w:rFonts w:ascii="Times New Roman" w:hAnsi="Times New Roman" w:cs="Times New Roman"/>
          <w:color w:val="EE0000"/>
        </w:rPr>
        <w:t>Sulistyawati</w:t>
      </w:r>
      <w:proofErr w:type="spellEnd"/>
      <w:r w:rsidRPr="00692EAC">
        <w:rPr>
          <w:rFonts w:ascii="Times New Roman" w:hAnsi="Times New Roman" w:cs="Times New Roman"/>
          <w:color w:val="EE0000"/>
        </w:rPr>
        <w:t xml:space="preserve"> &amp; Nugroho, 2025), and the specific sectoral challenges of policy implementation (Cantú et al., 2021; Shi et al., 2025; </w:t>
      </w:r>
      <w:proofErr w:type="spellStart"/>
      <w:r w:rsidRPr="00692EAC">
        <w:rPr>
          <w:rFonts w:ascii="Times New Roman" w:hAnsi="Times New Roman" w:cs="Times New Roman"/>
          <w:color w:val="EE0000"/>
        </w:rPr>
        <w:t>Barikzai</w:t>
      </w:r>
      <w:proofErr w:type="spellEnd"/>
      <w:r w:rsidRPr="00692EAC">
        <w:rPr>
          <w:rFonts w:ascii="Times New Roman" w:hAnsi="Times New Roman" w:cs="Times New Roman"/>
          <w:color w:val="EE0000"/>
        </w:rPr>
        <w:t xml:space="preserve"> et al., 2024). These contemporary works provide valuable micro- and meso-level insights into the mechanisms underlying implementation gaps.</w:t>
      </w:r>
    </w:p>
    <w:p w14:paraId="6F1D3E21"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 xml:space="preserve">2.3.3 Limitations, Contradictions, and Unresolved Debates </w:t>
      </w:r>
    </w:p>
    <w:p w14:paraId="4FE5641C" w14:textId="52C23C83"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Significant constraints are evident within the aforementioned literature, most notably concerning its application in developing economic contexts. </w:t>
      </w:r>
      <w:r w:rsidR="003A4A4F" w:rsidRPr="003A4A4F">
        <w:rPr>
          <w:rFonts w:ascii="Times New Roman" w:hAnsi="Times New Roman" w:cs="Times New Roman"/>
          <w:color w:val="EE0000"/>
        </w:rPr>
        <w:t>Firstly</w:t>
      </w:r>
      <w:r w:rsidRPr="003A4A4F">
        <w:rPr>
          <w:rFonts w:ascii="Times New Roman" w:hAnsi="Times New Roman" w:cs="Times New Roman"/>
          <w:color w:val="EE0000"/>
        </w:rPr>
        <w:t>,</w:t>
      </w:r>
      <w:r w:rsidRPr="00BF56CB">
        <w:rPr>
          <w:rFonts w:ascii="Times New Roman" w:hAnsi="Times New Roman" w:cs="Times New Roman"/>
        </w:rPr>
        <w:t xml:space="preserve"> bureaucratic inertia is fragmented across various studies, lacking a complete theoretical framework as a central mechanism, with concepts such as burden-capacity gaps and isomorphic mimicry providing insights yet remaining loosely associated with principal-agent models (Fernández‐</w:t>
      </w:r>
      <w:proofErr w:type="spellStart"/>
      <w:r w:rsidRPr="00BF56CB">
        <w:rPr>
          <w:rFonts w:ascii="Times New Roman" w:hAnsi="Times New Roman" w:cs="Times New Roman"/>
        </w:rPr>
        <w:t>i</w:t>
      </w:r>
      <w:proofErr w:type="spellEnd"/>
      <w:r w:rsidRPr="00BF56CB">
        <w:rPr>
          <w:rFonts w:ascii="Times New Roman" w:hAnsi="Times New Roman" w:cs="Times New Roman"/>
        </w:rPr>
        <w:t xml:space="preserve">‐Marín et al., 2023; Macdonald, 2019). Secondly, principal-agent theories often presuppose vibrant democratic conditions, neglecting issues of weak accountability and principal-principal disputes prevalent in emerging environments (Dharwadkar et al., 2000; Waterman &amp; Meier, 1998). Thirdly, while policy mimesis is recognized, it is not closely linked to implementation procedures, which </w:t>
      </w:r>
      <w:r w:rsidR="003A4A4F" w:rsidRPr="003A4A4F">
        <w:rPr>
          <w:rFonts w:ascii="Times New Roman" w:hAnsi="Times New Roman" w:cs="Times New Roman"/>
          <w:color w:val="EE0000"/>
        </w:rPr>
        <w:t>raises questions about its connection</w:t>
      </w:r>
      <w:r w:rsidRPr="003A4A4F">
        <w:rPr>
          <w:rFonts w:ascii="Times New Roman" w:hAnsi="Times New Roman" w:cs="Times New Roman"/>
          <w:color w:val="EE0000"/>
        </w:rPr>
        <w:t xml:space="preserve"> </w:t>
      </w:r>
      <w:proofErr w:type="spellStart"/>
      <w:r w:rsidRPr="00BF56CB">
        <w:rPr>
          <w:rFonts w:ascii="Times New Roman" w:hAnsi="Times New Roman" w:cs="Times New Roman"/>
        </w:rPr>
        <w:t>with</w:t>
      </w:r>
      <w:proofErr w:type="spellEnd"/>
      <w:r w:rsidRPr="00BF56CB">
        <w:rPr>
          <w:rFonts w:ascii="Times New Roman" w:hAnsi="Times New Roman" w:cs="Times New Roman"/>
        </w:rPr>
        <w:t xml:space="preserve"> incentives and skills (Macdonald, 2019; Stone, 2016). Fourthly, although implementation research in low- and middle-income nations (LMICs) is rich in empirical data, theoretical development is limited, leading to little framework integration (Erasmus et al., 2014; Khan &amp; Shahriar, 2016; Sætren, 2005). Finally, biases related to industries and academic </w:t>
      </w:r>
      <w:r w:rsidR="003A4A4F" w:rsidRPr="003A4A4F">
        <w:rPr>
          <w:rFonts w:ascii="Times New Roman" w:hAnsi="Times New Roman" w:cs="Times New Roman"/>
          <w:color w:val="EE0000"/>
        </w:rPr>
        <w:t>disciplinary boundaries</w:t>
      </w:r>
      <w:r w:rsidRPr="003A4A4F">
        <w:rPr>
          <w:rFonts w:ascii="Times New Roman" w:hAnsi="Times New Roman" w:cs="Times New Roman"/>
          <w:color w:val="EE0000"/>
        </w:rPr>
        <w:t xml:space="preserve"> </w:t>
      </w:r>
      <w:r w:rsidRPr="00BF56CB">
        <w:rPr>
          <w:rFonts w:ascii="Times New Roman" w:hAnsi="Times New Roman" w:cs="Times New Roman"/>
        </w:rPr>
        <w:t xml:space="preserve">limit overall applicability since much of the current research is primarily Western-centric and segmented (Bullock et al., 2020; Sætren, 2005; Erasmus et al., 2014; </w:t>
      </w:r>
      <w:proofErr w:type="spellStart"/>
      <w:r w:rsidRPr="00BF56CB">
        <w:rPr>
          <w:rFonts w:ascii="Times New Roman" w:hAnsi="Times New Roman" w:cs="Times New Roman"/>
        </w:rPr>
        <w:t>Pepinsky</w:t>
      </w:r>
      <w:proofErr w:type="spellEnd"/>
      <w:r w:rsidRPr="00BF56CB">
        <w:rPr>
          <w:rFonts w:ascii="Times New Roman" w:hAnsi="Times New Roman" w:cs="Times New Roman"/>
        </w:rPr>
        <w:t xml:space="preserve"> et al., 2017). </w:t>
      </w:r>
    </w:p>
    <w:p w14:paraId="38F2118B" w14:textId="77777777" w:rsidR="003A4A4F" w:rsidRPr="003A4A4F" w:rsidRDefault="003A4A4F" w:rsidP="003A4A4F">
      <w:pPr>
        <w:spacing w:after="0" w:line="360" w:lineRule="auto"/>
        <w:rPr>
          <w:rFonts w:ascii="Times New Roman" w:hAnsi="Times New Roman" w:cs="Times New Roman"/>
          <w:color w:val="EE0000"/>
        </w:rPr>
      </w:pPr>
      <w:r w:rsidRPr="003A4A4F">
        <w:rPr>
          <w:rFonts w:ascii="Times New Roman" w:hAnsi="Times New Roman" w:cs="Times New Roman"/>
          <w:color w:val="EE0000"/>
        </w:rPr>
        <w:t xml:space="preserve">Despite advances, current research also reveals a heavy focus on a few emerging economies (e.g., BRIC nations), limiting the generalizability of findings across the diverse landscape of developing countries (Zhao et al., 2021). There is also limited longitudinal work tracing the long-term outcomes of policy adoption and implementation trajectories, as well as relatively </w:t>
      </w:r>
      <w:r w:rsidRPr="003A4A4F">
        <w:rPr>
          <w:rFonts w:ascii="Times New Roman" w:hAnsi="Times New Roman" w:cs="Times New Roman"/>
          <w:color w:val="EE0000"/>
        </w:rPr>
        <w:lastRenderedPageBreak/>
        <w:t xml:space="preserve">underdeveloped models that effectively integrate micro-level bureaucratic behavior with macro-institutional and policy diffusion processes (Singh et al., 2021; </w:t>
      </w:r>
      <w:proofErr w:type="spellStart"/>
      <w:r w:rsidRPr="003A4A4F">
        <w:rPr>
          <w:rFonts w:ascii="Times New Roman" w:hAnsi="Times New Roman" w:cs="Times New Roman"/>
          <w:color w:val="EE0000"/>
        </w:rPr>
        <w:t>Pepinsky</w:t>
      </w:r>
      <w:proofErr w:type="spellEnd"/>
      <w:r w:rsidRPr="003A4A4F">
        <w:rPr>
          <w:rFonts w:ascii="Times New Roman" w:hAnsi="Times New Roman" w:cs="Times New Roman"/>
          <w:color w:val="EE0000"/>
        </w:rPr>
        <w:t xml:space="preserve"> et al., 2017).</w:t>
      </w:r>
    </w:p>
    <w:p w14:paraId="2E3E6435" w14:textId="6EF114B4"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 xml:space="preserve">2.3.4 Gaps </w:t>
      </w:r>
      <w:r w:rsidR="00CF393C">
        <w:rPr>
          <w:rFonts w:ascii="Times New Roman" w:hAnsi="Times New Roman" w:cs="Times New Roman"/>
          <w:b/>
          <w:bCs/>
        </w:rPr>
        <w:t>in the Literature Reviewed</w:t>
      </w:r>
    </w:p>
    <w:p w14:paraId="2A971D85" w14:textId="3BF710AF" w:rsidR="006F7FDF"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This assessment uncovers crucial gaps that this paper seeks to address. There is an absence of an integrated framework that connects multiple principals, institutional </w:t>
      </w:r>
      <w:r w:rsidRPr="00D67E23">
        <w:rPr>
          <w:rFonts w:ascii="Times New Roman" w:hAnsi="Times New Roman" w:cs="Times New Roman"/>
          <w:color w:val="EE0000"/>
        </w:rPr>
        <w:t>defici</w:t>
      </w:r>
      <w:r w:rsidR="00D67E23" w:rsidRPr="00D67E23">
        <w:rPr>
          <w:rFonts w:ascii="Times New Roman" w:hAnsi="Times New Roman" w:cs="Times New Roman"/>
          <w:color w:val="EE0000"/>
        </w:rPr>
        <w:t>encies</w:t>
      </w:r>
      <w:r w:rsidRPr="00BF56CB">
        <w:rPr>
          <w:rFonts w:ascii="Times New Roman" w:hAnsi="Times New Roman" w:cs="Times New Roman"/>
        </w:rPr>
        <w:t>, bureaucratic inertia, and imported models to elucidate the implementation challenges present in emerging economies. Bureaucratic inertia is inadequately theorized as a function of capacity deficiencies, symbolic compliance, and conflicting demands (Fernández-</w:t>
      </w:r>
      <w:proofErr w:type="spellStart"/>
      <w:r w:rsidRPr="00BF56CB">
        <w:rPr>
          <w:rFonts w:ascii="Times New Roman" w:hAnsi="Times New Roman" w:cs="Times New Roman"/>
        </w:rPr>
        <w:t>i</w:t>
      </w:r>
      <w:proofErr w:type="spellEnd"/>
      <w:r w:rsidRPr="00BF56CB">
        <w:rPr>
          <w:rFonts w:ascii="Times New Roman" w:hAnsi="Times New Roman" w:cs="Times New Roman"/>
        </w:rPr>
        <w:t xml:space="preserve">-Marín et al., 2023; Macdonald, 2019; Williams, 2020). Policy mimesis also lacks definitive connections to agency dynamics, such as how it contributes to the proliferation of principals or facilitates operational drift (Macdonald, 2019; </w:t>
      </w:r>
      <w:proofErr w:type="spellStart"/>
      <w:r w:rsidRPr="00BF56CB">
        <w:rPr>
          <w:rFonts w:ascii="Times New Roman" w:hAnsi="Times New Roman" w:cs="Times New Roman"/>
        </w:rPr>
        <w:t>Schillemans</w:t>
      </w:r>
      <w:proofErr w:type="spellEnd"/>
      <w:r w:rsidRPr="00BF56CB">
        <w:rPr>
          <w:rFonts w:ascii="Times New Roman" w:hAnsi="Times New Roman" w:cs="Times New Roman"/>
        </w:rPr>
        <w:t xml:space="preserve"> &amp; Busuioc, 2014; Stone, 2016). Because </w:t>
      </w:r>
      <w:r w:rsidRPr="00D67E23">
        <w:rPr>
          <w:rFonts w:ascii="Times New Roman" w:hAnsi="Times New Roman" w:cs="Times New Roman"/>
          <w:color w:val="EE0000"/>
        </w:rPr>
        <w:t>institution</w:t>
      </w:r>
      <w:r w:rsidR="00D67E23" w:rsidRPr="00D67E23">
        <w:rPr>
          <w:rFonts w:ascii="Times New Roman" w:hAnsi="Times New Roman" w:cs="Times New Roman"/>
          <w:color w:val="EE0000"/>
        </w:rPr>
        <w:t xml:space="preserve"> – based per</w:t>
      </w:r>
      <w:r w:rsidR="00D67E23">
        <w:rPr>
          <w:rFonts w:ascii="Times New Roman" w:hAnsi="Times New Roman" w:cs="Times New Roman"/>
          <w:color w:val="EE0000"/>
        </w:rPr>
        <w:t>s</w:t>
      </w:r>
      <w:r w:rsidR="00D67E23" w:rsidRPr="00D67E23">
        <w:rPr>
          <w:rFonts w:ascii="Times New Roman" w:hAnsi="Times New Roman" w:cs="Times New Roman"/>
          <w:color w:val="EE0000"/>
        </w:rPr>
        <w:t>pectives</w:t>
      </w:r>
      <w:r w:rsidRPr="00BF56CB">
        <w:rPr>
          <w:rFonts w:ascii="Times New Roman" w:hAnsi="Times New Roman" w:cs="Times New Roman"/>
        </w:rPr>
        <w:t xml:space="preserve"> are only loosely linked with implementation theories, macro settings and micro mechanisms are mismatched (Dharwadkar et al., 2000; Williams, 2020; Erasmus et al., 2014; Khan &amp;</w:t>
      </w:r>
      <w:r w:rsidR="005B45A5" w:rsidRPr="00BF56CB">
        <w:rPr>
          <w:rFonts w:ascii="Times New Roman" w:hAnsi="Times New Roman" w:cs="Times New Roman"/>
        </w:rPr>
        <w:t xml:space="preserve"> </w:t>
      </w:r>
      <w:r w:rsidRPr="00BF56CB">
        <w:rPr>
          <w:rFonts w:ascii="Times New Roman" w:hAnsi="Times New Roman" w:cs="Times New Roman"/>
        </w:rPr>
        <w:t xml:space="preserve">Shahriar, 2016). Finally, the circumstances under which imported models either succeed or fail still need more research (Macdonald, 2019; Stone, 2016). </w:t>
      </w:r>
    </w:p>
    <w:p w14:paraId="6CA52DCB" w14:textId="77777777" w:rsidR="00D67E23" w:rsidRPr="00D67E23" w:rsidRDefault="00D67E23" w:rsidP="00D67E23">
      <w:pPr>
        <w:spacing w:after="0" w:line="360" w:lineRule="auto"/>
        <w:rPr>
          <w:rFonts w:ascii="Times New Roman" w:hAnsi="Times New Roman" w:cs="Times New Roman"/>
          <w:color w:val="EE0000"/>
        </w:rPr>
      </w:pPr>
      <w:r w:rsidRPr="00D67E23">
        <w:rPr>
          <w:rFonts w:ascii="Times New Roman" w:hAnsi="Times New Roman" w:cs="Times New Roman"/>
          <w:color w:val="EE0000"/>
        </w:rPr>
        <w:t>Specifically, the literature currently lacks a unified framework that comprehensively addresses how: a) the focus on a limited number of emerging economies impacts the generalizability of findings; b) micro-level bureaucratic incentives and informal practices interact with macro-level institutional weaknesses to produce persistent implementation gaps; and c) policy diffusion mechanisms, particularly mimetic pressures, are mediated by local institutional capacity and multi-principal dynamics over time. These are promising entry points for a theory of implementation gaps in emerging economies.</w:t>
      </w:r>
    </w:p>
    <w:p w14:paraId="0254501C" w14:textId="1B6E40EF"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 xml:space="preserve">2.3.5 Positioning the Present Work </w:t>
      </w:r>
    </w:p>
    <w:p w14:paraId="7791FF03" w14:textId="20D79FFF"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This study positions itself at the intersection of principal-agent theory, investigations into bureaucratic performance, studies on policy implementation, and research on policy transfer, with a focus on developing nations. It contributes to the academic discourse by reformulating principal-agent theory to accommodate the concept of multiple principals, the existence of institutional gaps, and the dynamics of accountability politics, drawing on previous critiques (</w:t>
      </w:r>
      <w:proofErr w:type="spellStart"/>
      <w:r w:rsidRPr="00BF56CB">
        <w:rPr>
          <w:rFonts w:ascii="Times New Roman" w:hAnsi="Times New Roman" w:cs="Times New Roman"/>
        </w:rPr>
        <w:t>Schillemans</w:t>
      </w:r>
      <w:proofErr w:type="spellEnd"/>
      <w:r w:rsidRPr="00BF56CB">
        <w:rPr>
          <w:rFonts w:ascii="Times New Roman" w:hAnsi="Times New Roman" w:cs="Times New Roman"/>
        </w:rPr>
        <w:t xml:space="preserve"> &amp; Busuioc, 2014; Waterman &amp; Meier, 1998; </w:t>
      </w:r>
      <w:proofErr w:type="spellStart"/>
      <w:r w:rsidRPr="00BF56CB">
        <w:rPr>
          <w:rFonts w:ascii="Times New Roman" w:hAnsi="Times New Roman" w:cs="Times New Roman"/>
        </w:rPr>
        <w:t>Apriliyanti</w:t>
      </w:r>
      <w:proofErr w:type="spellEnd"/>
      <w:r w:rsidRPr="00BF56CB">
        <w:rPr>
          <w:rFonts w:ascii="Times New Roman" w:hAnsi="Times New Roman" w:cs="Times New Roman"/>
        </w:rPr>
        <w:t xml:space="preserve"> et al., 2023; </w:t>
      </w:r>
      <w:proofErr w:type="spellStart"/>
      <w:r w:rsidRPr="00BF56CB">
        <w:rPr>
          <w:rFonts w:ascii="Times New Roman" w:hAnsi="Times New Roman" w:cs="Times New Roman"/>
        </w:rPr>
        <w:t>Voorn</w:t>
      </w:r>
      <w:proofErr w:type="spellEnd"/>
      <w:r w:rsidRPr="00BF56CB">
        <w:rPr>
          <w:rFonts w:ascii="Times New Roman" w:hAnsi="Times New Roman" w:cs="Times New Roman"/>
        </w:rPr>
        <w:t xml:space="preserve"> et al., 2019). Furthermore, it incorporates the ideas of bureaucratic inertia and capacity dynamics as consequences of policy overload and the structures of incentives (Williams, 2020; Fernández‐</w:t>
      </w:r>
      <w:proofErr w:type="spellStart"/>
      <w:r w:rsidRPr="00BF56CB">
        <w:rPr>
          <w:rFonts w:ascii="Times New Roman" w:hAnsi="Times New Roman" w:cs="Times New Roman"/>
        </w:rPr>
        <w:t>i</w:t>
      </w:r>
      <w:proofErr w:type="spellEnd"/>
      <w:r w:rsidRPr="00BF56CB">
        <w:rPr>
          <w:rFonts w:ascii="Times New Roman" w:hAnsi="Times New Roman" w:cs="Times New Roman"/>
        </w:rPr>
        <w:t>‐</w:t>
      </w:r>
      <w:r w:rsidRPr="00BF56CB">
        <w:rPr>
          <w:rFonts w:ascii="Times New Roman" w:hAnsi="Times New Roman" w:cs="Times New Roman"/>
        </w:rPr>
        <w:lastRenderedPageBreak/>
        <w:t xml:space="preserve">Marín et al., 2023). In addition, it links the phenomenon of policy mimicry with agency mechanisms, examining how imitation alters relationships and behaviors (Macdonald, 2019; Stone, 2016). By amalgamating these aspects, the paper </w:t>
      </w:r>
      <w:r w:rsidRPr="00D67E23">
        <w:rPr>
          <w:rFonts w:ascii="Times New Roman" w:hAnsi="Times New Roman" w:cs="Times New Roman"/>
          <w:color w:val="EE0000"/>
        </w:rPr>
        <w:t>a</w:t>
      </w:r>
      <w:r w:rsidR="00D67E23" w:rsidRPr="00D67E23">
        <w:rPr>
          <w:rFonts w:ascii="Times New Roman" w:hAnsi="Times New Roman" w:cs="Times New Roman"/>
          <w:color w:val="EE0000"/>
        </w:rPr>
        <w:t>ddresses</w:t>
      </w:r>
      <w:r w:rsidRPr="00BF56CB">
        <w:rPr>
          <w:rFonts w:ascii="Times New Roman" w:hAnsi="Times New Roman" w:cs="Times New Roman"/>
        </w:rPr>
        <w:t xml:space="preserve"> the urgent need for comprehensive and context-aware research (Bullock et al., 2020; Erasmus et al., 2014; Khan &amp; Shahriar, 2016; Sætren, 2005), offering a </w:t>
      </w:r>
      <w:r w:rsidR="00D67E23" w:rsidRPr="00D67E23">
        <w:rPr>
          <w:rFonts w:ascii="Times New Roman" w:hAnsi="Times New Roman" w:cs="Times New Roman"/>
          <w:color w:val="EE0000"/>
        </w:rPr>
        <w:t>unified</w:t>
      </w:r>
      <w:r w:rsidRPr="00BF56CB">
        <w:rPr>
          <w:rFonts w:ascii="Times New Roman" w:hAnsi="Times New Roman" w:cs="Times New Roman"/>
        </w:rPr>
        <w:t xml:space="preserve"> framework to analyze and </w:t>
      </w:r>
      <w:r w:rsidR="00FB60F6" w:rsidRPr="00FB60F6">
        <w:rPr>
          <w:rFonts w:ascii="Times New Roman" w:hAnsi="Times New Roman" w:cs="Times New Roman"/>
          <w:color w:val="EE0000"/>
        </w:rPr>
        <w:t xml:space="preserve">effectively overcome </w:t>
      </w:r>
      <w:r w:rsidRPr="00BF56CB">
        <w:rPr>
          <w:rFonts w:ascii="Times New Roman" w:hAnsi="Times New Roman" w:cs="Times New Roman"/>
        </w:rPr>
        <w:t>the implementation discrepancies that arise from policy misalignments in emerging economies.</w:t>
      </w:r>
    </w:p>
    <w:p w14:paraId="36F102D0" w14:textId="1378ECAE" w:rsidR="006F7FDF" w:rsidRPr="00BF56CB" w:rsidRDefault="006F7FDF" w:rsidP="001A74A1">
      <w:pPr>
        <w:spacing w:after="0" w:line="360" w:lineRule="auto"/>
        <w:jc w:val="center"/>
        <w:rPr>
          <w:rFonts w:ascii="Times New Roman" w:hAnsi="Times New Roman" w:cs="Times New Roman"/>
          <w:b/>
          <w:bCs/>
        </w:rPr>
      </w:pPr>
      <w:r w:rsidRPr="00BF56CB">
        <w:rPr>
          <w:rFonts w:ascii="Times New Roman" w:hAnsi="Times New Roman" w:cs="Times New Roman"/>
          <w:b/>
          <w:bCs/>
        </w:rPr>
        <w:t>3. Methodology</w:t>
      </w:r>
    </w:p>
    <w:p w14:paraId="5705C58B" w14:textId="22DA1E7B" w:rsidR="006F7FDF" w:rsidRPr="00BF56CB" w:rsidRDefault="006F7FDF" w:rsidP="00FB60F6">
      <w:pPr>
        <w:spacing w:after="0" w:line="360" w:lineRule="auto"/>
        <w:rPr>
          <w:rFonts w:ascii="Times New Roman" w:hAnsi="Times New Roman" w:cs="Times New Roman"/>
        </w:rPr>
      </w:pPr>
      <w:r w:rsidRPr="00BF56CB">
        <w:rPr>
          <w:rFonts w:ascii="Times New Roman" w:hAnsi="Times New Roman" w:cs="Times New Roman"/>
        </w:rPr>
        <w:t xml:space="preserve">The present study uses a methodological approach that </w:t>
      </w:r>
      <w:r w:rsidR="00FB60F6" w:rsidRPr="00FB60F6">
        <w:rPr>
          <w:rFonts w:ascii="Times New Roman" w:hAnsi="Times New Roman" w:cs="Times New Roman"/>
          <w:color w:val="EE0000"/>
        </w:rPr>
        <w:t>primarily relies on critical evaluation and conceptual analysis, thereby enabling</w:t>
      </w:r>
      <w:r w:rsidR="00FB60F6" w:rsidRPr="00FB60F6">
        <w:rPr>
          <w:color w:val="EE0000"/>
        </w:rPr>
        <w:t xml:space="preserve"> </w:t>
      </w:r>
      <w:r w:rsidRPr="00BF56CB">
        <w:rPr>
          <w:rFonts w:ascii="Times New Roman" w:hAnsi="Times New Roman" w:cs="Times New Roman"/>
        </w:rPr>
        <w:t xml:space="preserve">a complete investigation of the complex dynamics underlying policy implementation in underdeveloped countries. This analytical framework encourages a thorough examination of several linked theoretical approaches, particularly in reference to principal-agent theory, bureaucratic efficiency, implementation research, and policy mimicry, but also acknowledging the constraints posed by bureaucratic resistance. </w:t>
      </w:r>
    </w:p>
    <w:p w14:paraId="1378597D" w14:textId="21FA6D7B" w:rsidR="006F7FDF" w:rsidRPr="00BF56CB" w:rsidRDefault="006F7FDF" w:rsidP="00FB60F6">
      <w:pPr>
        <w:spacing w:after="0" w:line="360" w:lineRule="auto"/>
        <w:rPr>
          <w:rFonts w:ascii="Times New Roman" w:hAnsi="Times New Roman" w:cs="Times New Roman"/>
        </w:rPr>
      </w:pPr>
      <w:r w:rsidRPr="00BF56CB">
        <w:rPr>
          <w:rFonts w:ascii="Times New Roman" w:hAnsi="Times New Roman" w:cs="Times New Roman"/>
        </w:rPr>
        <w:t xml:space="preserve">Several important considerations guide the decision to use this mixed approach. </w:t>
      </w:r>
      <w:r w:rsidRPr="00FB60F6">
        <w:rPr>
          <w:rFonts w:ascii="Times New Roman" w:hAnsi="Times New Roman" w:cs="Times New Roman"/>
          <w:color w:val="EE0000"/>
        </w:rPr>
        <w:t>First</w:t>
      </w:r>
      <w:r w:rsidR="00FB60F6" w:rsidRPr="00FB60F6">
        <w:rPr>
          <w:rFonts w:ascii="Times New Roman" w:hAnsi="Times New Roman" w:cs="Times New Roman"/>
          <w:color w:val="EE0000"/>
        </w:rPr>
        <w:t>ly</w:t>
      </w:r>
      <w:r w:rsidRPr="00FB60F6">
        <w:rPr>
          <w:rFonts w:ascii="Times New Roman" w:hAnsi="Times New Roman" w:cs="Times New Roman"/>
          <w:color w:val="EE0000"/>
        </w:rPr>
        <w:t>,</w:t>
      </w:r>
      <w:r w:rsidRPr="00BF56CB">
        <w:rPr>
          <w:rFonts w:ascii="Times New Roman" w:hAnsi="Times New Roman" w:cs="Times New Roman"/>
        </w:rPr>
        <w:t xml:space="preserve"> the available literature frequently suggests a fragmented grasp of the components influencing implementation disparities, particularly within the backdrop of developing countries (Erasmus et al., 2014; Williams, 2020). This study seeks to combine different perspectives into a coherent theoretical framework that clarifies the connection between institutional components, agent interactions, and implementation outcomes via a critical analysis of these sources. In addition to revealing current theoretical flaws, this method proposes a methodical analytical framework to help direct upcoming empirical studies.</w:t>
      </w:r>
    </w:p>
    <w:p w14:paraId="4FE34333" w14:textId="77777777" w:rsidR="00FB60F6" w:rsidRPr="00FB60F6" w:rsidRDefault="00FB60F6" w:rsidP="00FB60F6">
      <w:pPr>
        <w:spacing w:after="0" w:line="360" w:lineRule="auto"/>
        <w:rPr>
          <w:rFonts w:ascii="Times New Roman" w:hAnsi="Times New Roman" w:cs="Times New Roman"/>
        </w:rPr>
      </w:pPr>
      <w:r w:rsidRPr="00FB60F6">
        <w:rPr>
          <w:rFonts w:ascii="Times New Roman" w:hAnsi="Times New Roman" w:cs="Times New Roman"/>
          <w:color w:val="EE0000"/>
        </w:rPr>
        <w:t xml:space="preserve">This conceptual analysis systematically examines and evaluates the key ideas surrounding </w:t>
      </w:r>
      <w:r w:rsidRPr="00FB60F6">
        <w:rPr>
          <w:rFonts w:ascii="Times New Roman" w:hAnsi="Times New Roman" w:cs="Times New Roman"/>
        </w:rPr>
        <w:t xml:space="preserve">principal-agent dynamics, especially in the setting of the </w:t>
      </w:r>
      <w:r w:rsidRPr="00FB60F6">
        <w:rPr>
          <w:rFonts w:ascii="Times New Roman" w:hAnsi="Times New Roman" w:cs="Times New Roman"/>
          <w:color w:val="EE0000"/>
        </w:rPr>
        <w:t>unique</w:t>
      </w:r>
      <w:r w:rsidRPr="00FB60F6">
        <w:rPr>
          <w:rFonts w:ascii="Times New Roman" w:hAnsi="Times New Roman" w:cs="Times New Roman"/>
        </w:rPr>
        <w:t xml:space="preserve"> difficulties faced by developing nations, institutional weaknesses, and the complexity caused by international influences and the imitation of policies. </w:t>
      </w:r>
      <w:r w:rsidRPr="00FB60F6">
        <w:rPr>
          <w:rFonts w:ascii="Times New Roman" w:hAnsi="Times New Roman" w:cs="Times New Roman"/>
          <w:color w:val="EE0000"/>
        </w:rPr>
        <w:t xml:space="preserve">Through this dual approach, the study facilitates </w:t>
      </w:r>
      <w:r w:rsidRPr="00FB60F6">
        <w:rPr>
          <w:rFonts w:ascii="Times New Roman" w:hAnsi="Times New Roman" w:cs="Times New Roman"/>
        </w:rPr>
        <w:t xml:space="preserve">a critical evaluation of theoretical perspectives as well as </w:t>
      </w:r>
      <w:r w:rsidRPr="00FB60F6">
        <w:rPr>
          <w:rFonts w:ascii="Times New Roman" w:hAnsi="Times New Roman" w:cs="Times New Roman"/>
          <w:color w:val="EE0000"/>
        </w:rPr>
        <w:t xml:space="preserve">a comparison of diverse </w:t>
      </w:r>
      <w:r w:rsidRPr="00FB60F6">
        <w:rPr>
          <w:rFonts w:ascii="Times New Roman" w:hAnsi="Times New Roman" w:cs="Times New Roman"/>
        </w:rPr>
        <w:t xml:space="preserve">governance models and their real-world performance. The research aims to build a thorough, context-aware framework by combining these approaches </w:t>
      </w:r>
      <w:r w:rsidRPr="00FB60F6">
        <w:rPr>
          <w:rFonts w:ascii="Times New Roman" w:hAnsi="Times New Roman" w:cs="Times New Roman"/>
          <w:color w:val="EE0000"/>
        </w:rPr>
        <w:t xml:space="preserve">to address </w:t>
      </w:r>
      <w:r w:rsidRPr="00FB60F6">
        <w:rPr>
          <w:rFonts w:ascii="Times New Roman" w:hAnsi="Times New Roman" w:cs="Times New Roman"/>
        </w:rPr>
        <w:t xml:space="preserve">the complexity of implementation </w:t>
      </w:r>
      <w:r w:rsidRPr="00FB60F6">
        <w:rPr>
          <w:rFonts w:ascii="Times New Roman" w:hAnsi="Times New Roman" w:cs="Times New Roman"/>
          <w:color w:val="EE0000"/>
        </w:rPr>
        <w:t>discrepancies</w:t>
      </w:r>
      <w:r w:rsidRPr="00FB60F6">
        <w:rPr>
          <w:rFonts w:ascii="Times New Roman" w:hAnsi="Times New Roman" w:cs="Times New Roman"/>
        </w:rPr>
        <w:t xml:space="preserve"> often observed in developing nations.</w:t>
      </w:r>
    </w:p>
    <w:p w14:paraId="5C95EDF1" w14:textId="77777777" w:rsidR="00FB60F6" w:rsidRPr="00FB60F6" w:rsidRDefault="00FB60F6" w:rsidP="00FB60F6">
      <w:pPr>
        <w:spacing w:after="0" w:line="360" w:lineRule="auto"/>
        <w:rPr>
          <w:rFonts w:ascii="Times New Roman" w:hAnsi="Times New Roman" w:cs="Times New Roman"/>
        </w:rPr>
      </w:pPr>
      <w:r w:rsidRPr="00FB60F6">
        <w:rPr>
          <w:rFonts w:ascii="Times New Roman" w:hAnsi="Times New Roman" w:cs="Times New Roman"/>
          <w:color w:val="EE0000"/>
        </w:rPr>
        <w:t>The theoretical basis of this method stems from an interdisciplinary dialogue</w:t>
      </w:r>
      <w:r w:rsidRPr="00FB60F6">
        <w:rPr>
          <w:rFonts w:ascii="Times New Roman" w:hAnsi="Times New Roman" w:cs="Times New Roman"/>
        </w:rPr>
        <w:t xml:space="preserve"> that combines viewpoints from institutionalism, agency theory, and implementation studies. This foundation </w:t>
      </w:r>
      <w:r w:rsidRPr="00FB60F6">
        <w:rPr>
          <w:rFonts w:ascii="Times New Roman" w:hAnsi="Times New Roman" w:cs="Times New Roman"/>
        </w:rPr>
        <w:lastRenderedPageBreak/>
        <w:t>enables a thorough examination of how cultural expectations and ingrained organizational systems might affect policy success by means of bureaucratic inertia. Whether seen from an institutional viewpoint or a principal-agent framework, studying bureaucratic behavior gives a good foundation for critically assessing the mechanisms of policy implementation. This rigorous analysis puts the study in context with a larger discussion and meets the demand for sophisticated scholarship linking theoretical ideas with practical use (Khan &amp; Shahriar, 2016; Bullock et al., 2020).</w:t>
      </w:r>
    </w:p>
    <w:p w14:paraId="1E9B88FE" w14:textId="7ED61E66" w:rsidR="00FB60F6" w:rsidRPr="00FB60F6" w:rsidRDefault="00FB60F6" w:rsidP="00FB60F6">
      <w:pPr>
        <w:spacing w:after="0" w:line="360" w:lineRule="auto"/>
        <w:rPr>
          <w:rFonts w:ascii="Times New Roman" w:hAnsi="Times New Roman" w:cs="Times New Roman"/>
          <w:b/>
          <w:bCs/>
        </w:rPr>
      </w:pPr>
      <w:r w:rsidRPr="00FB60F6">
        <w:rPr>
          <w:rFonts w:ascii="Times New Roman" w:hAnsi="Times New Roman" w:cs="Times New Roman"/>
        </w:rPr>
        <w:t>Engaging with these theories through systematic analysis facilitates a review of their usefulness and significance within the context of developing economies. Given the challenges related to agency that arise from various principals and competing institutional expectations, this paper will examine how current models might need modification to more accurately represent the situations encountered by both policymakers and practitioners. As a result, the conclusions drawn will not only enhance academic discussion but will also provide actionable suggestions for improving policy formation and governance frameworks, thus tackling the ongoing implementation gap identified in emerging economies (</w:t>
      </w:r>
      <w:proofErr w:type="spellStart"/>
      <w:r w:rsidRPr="00FB60F6">
        <w:rPr>
          <w:rFonts w:ascii="Times New Roman" w:hAnsi="Times New Roman" w:cs="Times New Roman"/>
        </w:rPr>
        <w:t>Fargues</w:t>
      </w:r>
      <w:proofErr w:type="spellEnd"/>
      <w:r w:rsidRPr="00FB60F6">
        <w:rPr>
          <w:rFonts w:ascii="Times New Roman" w:hAnsi="Times New Roman" w:cs="Times New Roman"/>
        </w:rPr>
        <w:t xml:space="preserve"> &amp; </w:t>
      </w:r>
      <w:proofErr w:type="spellStart"/>
      <w:r w:rsidRPr="00FB60F6">
        <w:rPr>
          <w:rFonts w:ascii="Times New Roman" w:hAnsi="Times New Roman" w:cs="Times New Roman"/>
        </w:rPr>
        <w:t>Sredanovic</w:t>
      </w:r>
      <w:proofErr w:type="spellEnd"/>
      <w:r w:rsidRPr="00FB60F6">
        <w:rPr>
          <w:rFonts w:ascii="Times New Roman" w:hAnsi="Times New Roman" w:cs="Times New Roman"/>
        </w:rPr>
        <w:t>, 2025).</w:t>
      </w:r>
    </w:p>
    <w:p w14:paraId="160139B1" w14:textId="4E4A974F" w:rsidR="006F7FDF" w:rsidRPr="00BF56CB" w:rsidRDefault="006F7FDF" w:rsidP="001A74A1">
      <w:pPr>
        <w:spacing w:after="0" w:line="360" w:lineRule="auto"/>
        <w:jc w:val="center"/>
        <w:rPr>
          <w:rFonts w:ascii="Times New Roman" w:hAnsi="Times New Roman" w:cs="Times New Roman"/>
          <w:b/>
          <w:bCs/>
        </w:rPr>
      </w:pPr>
      <w:r w:rsidRPr="00BF56CB">
        <w:rPr>
          <w:rFonts w:ascii="Times New Roman" w:hAnsi="Times New Roman" w:cs="Times New Roman"/>
          <w:b/>
          <w:bCs/>
        </w:rPr>
        <w:t>4. Discussion</w:t>
      </w:r>
    </w:p>
    <w:p w14:paraId="480EF5F8"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The suggested theoretical model, which combines principal-agent theory, bureaucratic performance analysis, implementation studies, and policy mimesis to clarify the implementation gap in developing countries, exhibits strong cohesion by bringing together diverse elements of literature into a coherent framework. As discussed in the theoretical section, this model holds that the difference stems from the complex interactions among principal-agent dynamics, institutional flaws, policy replication, and bureaucratic inertia. Its capacity to explain dynamically the relationships among these elements rather than treating them as separate components shows its consistency. For instance, the model avoids the oversimplifications typically seen in conventional theories (e.g., Waterman &amp; Meier, 1998) by including principal-agent interactions within weak institutional frameworks.</w:t>
      </w:r>
    </w:p>
    <w:p w14:paraId="00FF0D8E"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Particularly in relation to underdeveloped countries, where institutional gaps and external policy influences are often seen, its relevance is quite clear. It is a good approach to examine real-world policy flaws in emerging nations, including Indonesia or Brazil (</w:t>
      </w:r>
      <w:proofErr w:type="spellStart"/>
      <w:r w:rsidRPr="00BF56CB">
        <w:rPr>
          <w:rFonts w:ascii="Times New Roman" w:hAnsi="Times New Roman" w:cs="Times New Roman"/>
        </w:rPr>
        <w:t>Apriliyanti</w:t>
      </w:r>
      <w:proofErr w:type="spellEnd"/>
      <w:r w:rsidRPr="00BF56CB">
        <w:rPr>
          <w:rFonts w:ascii="Times New Roman" w:hAnsi="Times New Roman" w:cs="Times New Roman"/>
        </w:rPr>
        <w:t xml:space="preserve"> et al., 2023; Williams, 2020). Consistency with current theories is preserved through its use of established notions, such as the burden-capacity gap (Fernández </w:t>
      </w:r>
      <w:proofErr w:type="spellStart"/>
      <w:r w:rsidRPr="00BF56CB">
        <w:rPr>
          <w:rFonts w:ascii="Times New Roman" w:hAnsi="Times New Roman" w:cs="Times New Roman"/>
        </w:rPr>
        <w:t>i</w:t>
      </w:r>
      <w:proofErr w:type="spellEnd"/>
      <w:r w:rsidRPr="00BF56CB">
        <w:rPr>
          <w:rFonts w:ascii="Times New Roman" w:hAnsi="Times New Roman" w:cs="Times New Roman"/>
        </w:rPr>
        <w:t xml:space="preserve"> Marín et al., 2023), while broadening these </w:t>
      </w:r>
      <w:r w:rsidRPr="00BF56CB">
        <w:rPr>
          <w:rFonts w:ascii="Times New Roman" w:hAnsi="Times New Roman" w:cs="Times New Roman"/>
        </w:rPr>
        <w:lastRenderedPageBreak/>
        <w:t>concepts to include policy mimesis, ensuring that the model aligns with empirical findings from the literature review. Nonetheless, the theoretical domain is not free from conflicts and discrepancies.</w:t>
      </w:r>
    </w:p>
    <w:p w14:paraId="53B7A79F"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As pointed out in the conceptual literature review, principal-agent theory frequently presumes rational, utility-seeking individuals operating in stable institutional settings, which contrasts with the fragmented accountability and multiple principals typical of developing countries (</w:t>
      </w:r>
      <w:proofErr w:type="spellStart"/>
      <w:r w:rsidRPr="00BF56CB">
        <w:rPr>
          <w:rFonts w:ascii="Times New Roman" w:hAnsi="Times New Roman" w:cs="Times New Roman"/>
        </w:rPr>
        <w:t>Schillemans</w:t>
      </w:r>
      <w:proofErr w:type="spellEnd"/>
      <w:r w:rsidRPr="00BF56CB">
        <w:rPr>
          <w:rFonts w:ascii="Times New Roman" w:hAnsi="Times New Roman" w:cs="Times New Roman"/>
        </w:rPr>
        <w:t xml:space="preserve"> &amp; Busuioc, 2014). This situation raises unresolved challenges, such as how policy imitation intensifies principal drift or forum drift, where accountability systems falter due to conflicting demands from both domestic and external stakeholders. For instance, in a hypothetical case of a health policy adapted from a high-income nation and executed in a low-income environment, local bureaucrats may partake in symbolic compliance.</w:t>
      </w:r>
    </w:p>
    <w:p w14:paraId="47A670F4"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They may end up generating reports to appease international donors while failing to deliver effectively because of limited resources and opposing principal instructions (Macdonald, 2019). This scenario puts the validity of the framework to the test by demonstrating how bureaucratic inertia arises as an interaction effect, potentially resulting in implementation gaps that conventional principal-agent models fail to address.</w:t>
      </w:r>
    </w:p>
    <w:p w14:paraId="57481F0D"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The significance of this proposed theory lies in its potential to provide a more context-sensitive explanation of policy failures, moving beyond piecemeal analyses to offer a holistic view. By synthesizing insights from implementation research and institutional perspectives, it interprets the implementation gap not merely as a failure of design but as a systemic outcome of interconnected forces (Bullock et al., 2020). Comparing this framework with existing literature reveals both similarities and advancements. It shares similarities with principal-agent theory in emphasizing information asymmetry and goal divergence (</w:t>
      </w:r>
      <w:proofErr w:type="spellStart"/>
      <w:r w:rsidRPr="00BF56CB">
        <w:rPr>
          <w:rFonts w:ascii="Times New Roman" w:hAnsi="Times New Roman" w:cs="Times New Roman"/>
        </w:rPr>
        <w:t>Apriliyanti</w:t>
      </w:r>
      <w:proofErr w:type="spellEnd"/>
      <w:r w:rsidRPr="00BF56CB">
        <w:rPr>
          <w:rFonts w:ascii="Times New Roman" w:hAnsi="Times New Roman" w:cs="Times New Roman"/>
        </w:rPr>
        <w:t xml:space="preserve"> et al., 2023), and with implementation studies in highlighting street-level discretion and organizational routines (Erasmus et al., 2014). However, it advances these views by incorporating policy mimesis and bureaucratic inertia as core mechanisms, which are underexplored in traditional models. </w:t>
      </w:r>
    </w:p>
    <w:p w14:paraId="04DC0A78" w14:textId="77777777" w:rsidR="006F7FDF"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For example, while Fernández </w:t>
      </w:r>
      <w:proofErr w:type="spellStart"/>
      <w:r w:rsidRPr="00BF56CB">
        <w:rPr>
          <w:rFonts w:ascii="Times New Roman" w:hAnsi="Times New Roman" w:cs="Times New Roman"/>
        </w:rPr>
        <w:t>i</w:t>
      </w:r>
      <w:proofErr w:type="spellEnd"/>
      <w:r w:rsidRPr="00BF56CB">
        <w:rPr>
          <w:rFonts w:ascii="Times New Roman" w:hAnsi="Times New Roman" w:cs="Times New Roman"/>
        </w:rPr>
        <w:t xml:space="preserve"> Marín et al. (2023) examine the burden-capacity gap as a separate problem, this framework combines it with mimesis to offer a more complete explanation of why imported policies commonly falter. Among its distinctions is its stress on the particular difficulties facing developing countries, including institutional gaps that call accepted Western-centric models into question (Williams, 2020). Generally, this structure confirms demands for </w:t>
      </w:r>
      <w:r w:rsidRPr="00BF56CB">
        <w:rPr>
          <w:rFonts w:ascii="Times New Roman" w:hAnsi="Times New Roman" w:cs="Times New Roman"/>
        </w:rPr>
        <w:lastRenderedPageBreak/>
        <w:t>analytically eclectic methods (Sil &amp; Katzenstein, 2010) and questions the fragmentation of the body of knowledge by presenting a boundary-spanning model that may improve predictive ability in comparative investigations.</w:t>
      </w:r>
    </w:p>
    <w:p w14:paraId="58CD660C" w14:textId="67D20FF4" w:rsidR="009F1EC5" w:rsidRPr="009F1EC5" w:rsidRDefault="009F1EC5" w:rsidP="009F1EC5">
      <w:pPr>
        <w:spacing w:after="0" w:line="360" w:lineRule="auto"/>
        <w:rPr>
          <w:rFonts w:ascii="Times New Roman" w:hAnsi="Times New Roman" w:cs="Times New Roman"/>
          <w:color w:val="EE0000"/>
        </w:rPr>
      </w:pPr>
      <w:r w:rsidRPr="009F1EC5">
        <w:rPr>
          <w:rFonts w:ascii="Times New Roman" w:hAnsi="Times New Roman" w:cs="Times New Roman"/>
          <w:color w:val="EE0000"/>
        </w:rPr>
        <w:t>Numerous studies</w:t>
      </w:r>
      <w:r w:rsidRPr="009F1EC5">
        <w:rPr>
          <w:rFonts w:ascii="Times New Roman" w:hAnsi="Times New Roman" w:cs="Times New Roman"/>
          <w:color w:val="EE0000"/>
        </w:rPr>
        <w:t xml:space="preserve"> support</w:t>
      </w:r>
      <w:r w:rsidRPr="009F1EC5">
        <w:rPr>
          <w:rFonts w:ascii="Times New Roman" w:hAnsi="Times New Roman" w:cs="Times New Roman"/>
          <w:color w:val="EE0000"/>
        </w:rPr>
        <w:t xml:space="preserve"> </w:t>
      </w:r>
      <w:r w:rsidRPr="009F1EC5">
        <w:rPr>
          <w:rFonts w:ascii="Times New Roman" w:hAnsi="Times New Roman" w:cs="Times New Roman"/>
          <w:color w:val="EE0000"/>
        </w:rPr>
        <w:t xml:space="preserve">the coherence and applicability of the integrated model. For instance, the contemporary study conducted by Çoban and Apaydin (2025) indicates that political pressures within growth regimes have the potential to erode regulatory systems, thereby corroborating the integrated notions of institutional weaknesses and multi-principal conflicts. Similarly, the case studies by Cantú et al. (2021) on the circular economy in Mexico, Shi et al. (2025) on the implementation of sustainable energy in China, </w:t>
      </w:r>
      <w:proofErr w:type="gramStart"/>
      <w:r w:rsidRPr="009F1EC5">
        <w:rPr>
          <w:rFonts w:ascii="Times New Roman" w:hAnsi="Times New Roman" w:cs="Times New Roman"/>
          <w:color w:val="EE0000"/>
        </w:rPr>
        <w:t xml:space="preserve">and  </w:t>
      </w:r>
      <w:proofErr w:type="spellStart"/>
      <w:r w:rsidRPr="009F1EC5">
        <w:rPr>
          <w:rFonts w:ascii="Times New Roman" w:hAnsi="Times New Roman" w:cs="Times New Roman"/>
          <w:color w:val="EE0000"/>
        </w:rPr>
        <w:t>Barikzai</w:t>
      </w:r>
      <w:proofErr w:type="spellEnd"/>
      <w:proofErr w:type="gramEnd"/>
      <w:r w:rsidRPr="009F1EC5">
        <w:rPr>
          <w:rFonts w:ascii="Times New Roman" w:hAnsi="Times New Roman" w:cs="Times New Roman"/>
          <w:color w:val="EE0000"/>
        </w:rPr>
        <w:t xml:space="preserve"> et al. (2024) on the implementation of e-learning show that the challenges in the implementation of the system are deeply embedded in the contextual constraints of the institutional environment and the adaptability of the system.</w:t>
      </w:r>
    </w:p>
    <w:p w14:paraId="5AD0CDAC" w14:textId="77777777" w:rsidR="009F1EC5" w:rsidRDefault="009F1EC5" w:rsidP="009F1EC5">
      <w:pPr>
        <w:spacing w:after="0" w:line="360" w:lineRule="auto"/>
        <w:rPr>
          <w:rFonts w:ascii="Times New Roman" w:hAnsi="Times New Roman" w:cs="Times New Roman"/>
          <w:color w:val="EE0000"/>
        </w:rPr>
      </w:pPr>
      <w:r w:rsidRPr="009F1EC5">
        <w:rPr>
          <w:rFonts w:ascii="Times New Roman" w:hAnsi="Times New Roman" w:cs="Times New Roman"/>
          <w:color w:val="EE0000"/>
        </w:rPr>
        <w:t xml:space="preserve">Krammer’s (2017) finding that firms use bribery as an informal implementation mechanism in weak institutional settings further reinforces how actors adapt to existing gaps, dynamically testing the framework's premise of symbolic compliance and the pursuit of competing objectives. Moreover, the findings by </w:t>
      </w:r>
      <w:proofErr w:type="spellStart"/>
      <w:r w:rsidRPr="009F1EC5">
        <w:rPr>
          <w:rFonts w:ascii="Times New Roman" w:hAnsi="Times New Roman" w:cs="Times New Roman"/>
          <w:color w:val="EE0000"/>
        </w:rPr>
        <w:t>Abaidoo</w:t>
      </w:r>
      <w:proofErr w:type="spellEnd"/>
      <w:r w:rsidRPr="009F1EC5">
        <w:rPr>
          <w:rFonts w:ascii="Times New Roman" w:hAnsi="Times New Roman" w:cs="Times New Roman"/>
          <w:color w:val="EE0000"/>
        </w:rPr>
        <w:t xml:space="preserve"> &amp; Agyapong (2022) and </w:t>
      </w:r>
      <w:proofErr w:type="spellStart"/>
      <w:r w:rsidRPr="009F1EC5">
        <w:rPr>
          <w:rFonts w:ascii="Times New Roman" w:hAnsi="Times New Roman" w:cs="Times New Roman"/>
          <w:color w:val="EE0000"/>
        </w:rPr>
        <w:t>Lebbar</w:t>
      </w:r>
      <w:proofErr w:type="spellEnd"/>
      <w:r w:rsidRPr="009F1EC5">
        <w:rPr>
          <w:rFonts w:ascii="Times New Roman" w:hAnsi="Times New Roman" w:cs="Times New Roman"/>
          <w:color w:val="EE0000"/>
        </w:rPr>
        <w:t xml:space="preserve"> &amp; El-</w:t>
      </w:r>
      <w:proofErr w:type="spellStart"/>
      <w:r w:rsidRPr="009F1EC5">
        <w:rPr>
          <w:rFonts w:ascii="Times New Roman" w:hAnsi="Times New Roman" w:cs="Times New Roman"/>
          <w:color w:val="EE0000"/>
        </w:rPr>
        <w:t>Aroui</w:t>
      </w:r>
      <w:proofErr w:type="spellEnd"/>
      <w:r w:rsidRPr="009F1EC5">
        <w:rPr>
          <w:rFonts w:ascii="Times New Roman" w:hAnsi="Times New Roman" w:cs="Times New Roman"/>
          <w:color w:val="EE0000"/>
        </w:rPr>
        <w:t xml:space="preserve"> (2026) explicitly link institutional quality to the effectiveness of pro-finance and CSR policies, providing concrete examples where formal policy intent is only realized when underpinned by robust institutional arrangements – a core tenet of this paper's argument.</w:t>
      </w:r>
    </w:p>
    <w:p w14:paraId="0C06D951" w14:textId="77777777" w:rsidR="008A258E" w:rsidRPr="009F1EC5" w:rsidRDefault="008A258E" w:rsidP="009F1EC5">
      <w:pPr>
        <w:spacing w:after="0" w:line="360" w:lineRule="auto"/>
        <w:rPr>
          <w:rFonts w:ascii="Times New Roman" w:hAnsi="Times New Roman" w:cs="Times New Roman"/>
          <w:color w:val="EE0000"/>
        </w:rPr>
      </w:pPr>
    </w:p>
    <w:p w14:paraId="088A61C8" w14:textId="77777777" w:rsidR="006F7FDF" w:rsidRPr="00BF56CB" w:rsidRDefault="006F7FDF" w:rsidP="001A74A1">
      <w:pPr>
        <w:spacing w:after="0" w:line="360" w:lineRule="auto"/>
        <w:jc w:val="center"/>
        <w:rPr>
          <w:rFonts w:ascii="Times New Roman" w:hAnsi="Times New Roman" w:cs="Times New Roman"/>
          <w:b/>
          <w:bCs/>
        </w:rPr>
      </w:pPr>
      <w:r w:rsidRPr="00BF56CB">
        <w:rPr>
          <w:rFonts w:ascii="Times New Roman" w:hAnsi="Times New Roman" w:cs="Times New Roman"/>
          <w:b/>
          <w:bCs/>
        </w:rPr>
        <w:t>5. Implications</w:t>
      </w:r>
    </w:p>
    <w:p w14:paraId="3FD5F45F" w14:textId="4C598059"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This research enhances existing concepts by reinterpreting principal-agent theory in the setting of emerging economies, specifically considering multiple principals, gaps in institutions, and the imitation of global policies</w:t>
      </w:r>
      <w:r w:rsidR="005B45A5" w:rsidRPr="00BF56CB">
        <w:rPr>
          <w:rFonts w:ascii="Times New Roman" w:hAnsi="Times New Roman" w:cs="Times New Roman"/>
        </w:rPr>
        <w:t xml:space="preserve">; </w:t>
      </w:r>
      <w:r w:rsidRPr="00BF56CB">
        <w:rPr>
          <w:rFonts w:ascii="Times New Roman" w:hAnsi="Times New Roman" w:cs="Times New Roman"/>
        </w:rPr>
        <w:t xml:space="preserve">factors that traditional frameworks frequently overlook (Dharwadkar et al., 2000). It clarifies uncertainties present in the literature, such as the inconsistent discussion of bureaucratic inertia in </w:t>
      </w:r>
      <w:proofErr w:type="gramStart"/>
      <w:r w:rsidRPr="00BF56CB">
        <w:rPr>
          <w:rFonts w:ascii="Times New Roman" w:hAnsi="Times New Roman" w:cs="Times New Roman"/>
        </w:rPr>
        <w:t>principal</w:t>
      </w:r>
      <w:proofErr w:type="gramEnd"/>
      <w:r w:rsidRPr="00BF56CB">
        <w:rPr>
          <w:rFonts w:ascii="Times New Roman" w:hAnsi="Times New Roman" w:cs="Times New Roman"/>
        </w:rPr>
        <w:t xml:space="preserve">-agent and implementation research, by framing inertia as a result of interacting elements (Fernández </w:t>
      </w:r>
      <w:proofErr w:type="spellStart"/>
      <w:r w:rsidRPr="00BF56CB">
        <w:rPr>
          <w:rFonts w:ascii="Times New Roman" w:hAnsi="Times New Roman" w:cs="Times New Roman"/>
        </w:rPr>
        <w:t>i</w:t>
      </w:r>
      <w:proofErr w:type="spellEnd"/>
      <w:r w:rsidRPr="00BF56CB">
        <w:rPr>
          <w:rFonts w:ascii="Times New Roman" w:hAnsi="Times New Roman" w:cs="Times New Roman"/>
        </w:rPr>
        <w:t xml:space="preserve"> Marín et al., 2023). Linking several academic fields, this approach resolves gaps in integration by providing a single model combining ideas from public administration, institutional theory, and policy transfer (Bullock et al., 2020). The model practically advises that, in order to reduce inertia and maximize outcomes, politicians in developing countries should focus on adaptive solutions, including improving vertical integration </w:t>
      </w:r>
      <w:r w:rsidRPr="00BF56CB">
        <w:rPr>
          <w:rFonts w:ascii="Times New Roman" w:hAnsi="Times New Roman" w:cs="Times New Roman"/>
        </w:rPr>
        <w:lastRenderedPageBreak/>
        <w:t xml:space="preserve">between those who create policy and those who carry it out (Williams, 2020). Regarding education, this structure might act as a basis for creating public policy courses that encourage </w:t>
      </w:r>
      <w:r w:rsidR="008A258E" w:rsidRPr="008A258E">
        <w:rPr>
          <w:rFonts w:ascii="Times New Roman" w:hAnsi="Times New Roman" w:cs="Times New Roman"/>
          <w:color w:val="EE0000"/>
        </w:rPr>
        <w:t>students</w:t>
      </w:r>
      <w:r w:rsidRPr="00BF56CB">
        <w:rPr>
          <w:rFonts w:ascii="Times New Roman" w:hAnsi="Times New Roman" w:cs="Times New Roman"/>
        </w:rPr>
        <w:t xml:space="preserve"> to examine actual-world situations from a broad perspective rather than depending on disconnected theoretical techniques.</w:t>
      </w:r>
    </w:p>
    <w:p w14:paraId="0E0CBBA1" w14:textId="71D99BF6" w:rsidR="006F7FDF"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Particularly for policymakers and international organizations solving implementation problems in underdeveloped countries, this structure offers great practical relevance. For instance, it suggests that before embracing outside models, reforms should evaluate context-specific performance to forecast policy mimesis, therefore lowering symbolic compliance and improving service delivery in fields like health or invention (Erasmus et al., 2014; Haddad et al., 2022). It identifies opportunities to enhance administrative effectiveness within areas like regional development or migration policy via targeted capacity-building programs </w:t>
      </w:r>
      <w:r w:rsidR="008A258E">
        <w:rPr>
          <w:rFonts w:ascii="Times New Roman" w:hAnsi="Times New Roman" w:cs="Times New Roman"/>
        </w:rPr>
        <w:t>that resolve</w:t>
      </w:r>
      <w:r w:rsidRPr="00BF56CB">
        <w:rPr>
          <w:rFonts w:ascii="Times New Roman" w:hAnsi="Times New Roman" w:cs="Times New Roman"/>
        </w:rPr>
        <w:t xml:space="preserve"> disputes among several principals (</w:t>
      </w:r>
      <w:proofErr w:type="spellStart"/>
      <w:r w:rsidRPr="00BF56CB">
        <w:rPr>
          <w:rFonts w:ascii="Times New Roman" w:hAnsi="Times New Roman" w:cs="Times New Roman"/>
        </w:rPr>
        <w:t>Apriliyanti</w:t>
      </w:r>
      <w:proofErr w:type="spellEnd"/>
      <w:r w:rsidRPr="00BF56CB">
        <w:rPr>
          <w:rFonts w:ascii="Times New Roman" w:hAnsi="Times New Roman" w:cs="Times New Roman"/>
        </w:rPr>
        <w:t xml:space="preserve"> et al., 2023; </w:t>
      </w:r>
      <w:proofErr w:type="spellStart"/>
      <w:r w:rsidRPr="00BF56CB">
        <w:rPr>
          <w:rFonts w:ascii="Times New Roman" w:hAnsi="Times New Roman" w:cs="Times New Roman"/>
        </w:rPr>
        <w:t>Fargues</w:t>
      </w:r>
      <w:proofErr w:type="spellEnd"/>
      <w:r w:rsidRPr="00BF56CB">
        <w:rPr>
          <w:rFonts w:ascii="Times New Roman" w:hAnsi="Times New Roman" w:cs="Times New Roman"/>
        </w:rPr>
        <w:t xml:space="preserve"> &amp;</w:t>
      </w:r>
      <w:r w:rsidR="005B45A5" w:rsidRPr="00BF56CB">
        <w:rPr>
          <w:rFonts w:ascii="Times New Roman" w:hAnsi="Times New Roman" w:cs="Times New Roman"/>
        </w:rPr>
        <w:t xml:space="preserve"> </w:t>
      </w:r>
      <w:proofErr w:type="spellStart"/>
      <w:r w:rsidRPr="00BF56CB">
        <w:rPr>
          <w:rFonts w:ascii="Times New Roman" w:hAnsi="Times New Roman" w:cs="Times New Roman"/>
        </w:rPr>
        <w:t>Sredanovic</w:t>
      </w:r>
      <w:proofErr w:type="spellEnd"/>
      <w:r w:rsidRPr="00BF56CB">
        <w:rPr>
          <w:rFonts w:ascii="Times New Roman" w:hAnsi="Times New Roman" w:cs="Times New Roman"/>
        </w:rPr>
        <w:t xml:space="preserve">, 2025). </w:t>
      </w:r>
    </w:p>
    <w:p w14:paraId="2E0A7586" w14:textId="77777777" w:rsidR="008A258E" w:rsidRPr="008A258E" w:rsidRDefault="008A258E" w:rsidP="008A258E">
      <w:pPr>
        <w:spacing w:after="0" w:line="360" w:lineRule="auto"/>
        <w:rPr>
          <w:rFonts w:ascii="Times New Roman" w:hAnsi="Times New Roman" w:cs="Times New Roman"/>
          <w:color w:val="EE0000"/>
        </w:rPr>
      </w:pPr>
      <w:r w:rsidRPr="008A258E">
        <w:rPr>
          <w:rFonts w:ascii="Times New Roman" w:hAnsi="Times New Roman" w:cs="Times New Roman"/>
          <w:color w:val="EE0000"/>
        </w:rPr>
        <w:t xml:space="preserve">The framework's relevance is further underscored by findings from recent studies. For example, the challenges in circular economy adoption in Mexico (Cantú et al., 2021) and sustainable energy technology in China (Shi et al., 2025) highlight the critical need for policy designs that are deeply sensitive to local infrastructural, regulatory, and financial realities, rather than unreflective imitation. </w:t>
      </w:r>
    </w:p>
    <w:p w14:paraId="624B72D0" w14:textId="77777777" w:rsidR="008A258E" w:rsidRPr="008A258E" w:rsidRDefault="008A258E" w:rsidP="008A258E">
      <w:pPr>
        <w:spacing w:after="0" w:line="360" w:lineRule="auto"/>
        <w:rPr>
          <w:rFonts w:ascii="Times New Roman" w:hAnsi="Times New Roman" w:cs="Times New Roman"/>
          <w:color w:val="EE0000"/>
        </w:rPr>
      </w:pPr>
      <w:r w:rsidRPr="008A258E">
        <w:rPr>
          <w:rFonts w:ascii="Times New Roman" w:hAnsi="Times New Roman" w:cs="Times New Roman"/>
          <w:color w:val="EE0000"/>
        </w:rPr>
        <w:t>Similarly, the insights into bureaucratic behavior from the Dominican Republic (Oliveros &amp; Schuster, 2018) emphasize the potential for well-designed HR policies to mitigate inertia, while the observation that generic ICT policies underperform due to local governance capacity issues (</w:t>
      </w:r>
      <w:proofErr w:type="spellStart"/>
      <w:r w:rsidRPr="008A258E">
        <w:rPr>
          <w:rFonts w:ascii="Times New Roman" w:hAnsi="Times New Roman" w:cs="Times New Roman"/>
          <w:color w:val="EE0000"/>
        </w:rPr>
        <w:t>Barikzai</w:t>
      </w:r>
      <w:proofErr w:type="spellEnd"/>
      <w:r w:rsidRPr="008A258E">
        <w:rPr>
          <w:rFonts w:ascii="Times New Roman" w:hAnsi="Times New Roman" w:cs="Times New Roman"/>
          <w:color w:val="EE0000"/>
        </w:rPr>
        <w:t xml:space="preserve"> et al., 2024) reinforces the call for context-aware policy formulation. Moreover, the link between institutional quality and financial development (</w:t>
      </w:r>
      <w:proofErr w:type="spellStart"/>
      <w:r w:rsidRPr="008A258E">
        <w:rPr>
          <w:rFonts w:ascii="Times New Roman" w:hAnsi="Times New Roman" w:cs="Times New Roman"/>
          <w:color w:val="EE0000"/>
        </w:rPr>
        <w:t>Abaidoo</w:t>
      </w:r>
      <w:proofErr w:type="spellEnd"/>
      <w:r w:rsidRPr="008A258E">
        <w:rPr>
          <w:rFonts w:ascii="Times New Roman" w:hAnsi="Times New Roman" w:cs="Times New Roman"/>
          <w:color w:val="EE0000"/>
        </w:rPr>
        <w:t xml:space="preserve"> &amp; Agyapong, 2022) and CSR performance (</w:t>
      </w:r>
      <w:proofErr w:type="spellStart"/>
      <w:r w:rsidRPr="008A258E">
        <w:rPr>
          <w:rFonts w:ascii="Times New Roman" w:hAnsi="Times New Roman" w:cs="Times New Roman"/>
          <w:color w:val="EE0000"/>
        </w:rPr>
        <w:t>Lebbar</w:t>
      </w:r>
      <w:proofErr w:type="spellEnd"/>
      <w:r w:rsidRPr="008A258E">
        <w:rPr>
          <w:rFonts w:ascii="Times New Roman" w:hAnsi="Times New Roman" w:cs="Times New Roman"/>
          <w:color w:val="EE0000"/>
        </w:rPr>
        <w:t xml:space="preserve"> &amp; El-</w:t>
      </w:r>
      <w:proofErr w:type="spellStart"/>
      <w:r w:rsidRPr="008A258E">
        <w:rPr>
          <w:rFonts w:ascii="Times New Roman" w:hAnsi="Times New Roman" w:cs="Times New Roman"/>
          <w:color w:val="EE0000"/>
        </w:rPr>
        <w:t>Aroui</w:t>
      </w:r>
      <w:proofErr w:type="spellEnd"/>
      <w:r w:rsidRPr="008A258E">
        <w:rPr>
          <w:rFonts w:ascii="Times New Roman" w:hAnsi="Times New Roman" w:cs="Times New Roman"/>
          <w:color w:val="EE0000"/>
        </w:rPr>
        <w:t>, 2026) provides strong practical evidence for prioritizing institutional strengthening as a foundational element for effective policy implementation.</w:t>
      </w:r>
    </w:p>
    <w:p w14:paraId="03DC9E37" w14:textId="77777777" w:rsidR="008A258E" w:rsidRPr="008A258E" w:rsidRDefault="008A258E" w:rsidP="008A258E">
      <w:pPr>
        <w:spacing w:after="0" w:line="360" w:lineRule="auto"/>
        <w:rPr>
          <w:rFonts w:ascii="Times New Roman" w:hAnsi="Times New Roman" w:cs="Times New Roman"/>
          <w:color w:val="EE0000"/>
        </w:rPr>
      </w:pPr>
      <w:r w:rsidRPr="008A258E">
        <w:rPr>
          <w:rFonts w:ascii="Times New Roman" w:hAnsi="Times New Roman" w:cs="Times New Roman"/>
        </w:rPr>
        <w:t>Upcoming empirical studies could use this framework to evaluate the effectiveness of policy initiatives like Uganda's transitional justice reforms (Macdonald, 2019) or Indonesia's regional planning shortcomings (</w:t>
      </w:r>
      <w:proofErr w:type="spellStart"/>
      <w:r w:rsidRPr="008A258E">
        <w:rPr>
          <w:rFonts w:ascii="Times New Roman" w:hAnsi="Times New Roman" w:cs="Times New Roman"/>
        </w:rPr>
        <w:t>Wajdy</w:t>
      </w:r>
      <w:proofErr w:type="spellEnd"/>
      <w:r w:rsidRPr="008A258E">
        <w:rPr>
          <w:rFonts w:ascii="Times New Roman" w:hAnsi="Times New Roman" w:cs="Times New Roman"/>
        </w:rPr>
        <w:t xml:space="preserve"> et al., 2021)</w:t>
      </w:r>
      <w:r w:rsidRPr="008A258E">
        <w:rPr>
          <w:rFonts w:ascii="Times New Roman" w:hAnsi="Times New Roman" w:cs="Times New Roman"/>
        </w:rPr>
        <w:t xml:space="preserve"> </w:t>
      </w:r>
      <w:r w:rsidRPr="008A258E">
        <w:rPr>
          <w:rFonts w:ascii="Times New Roman" w:hAnsi="Times New Roman" w:cs="Times New Roman"/>
          <w:color w:val="EE0000"/>
        </w:rPr>
        <w:t>by systematically analyzing the interplay of multi-level institutional constraints, bureaucratic incentives, and policy diffusion dynamics within those contexts.</w:t>
      </w:r>
    </w:p>
    <w:p w14:paraId="44411232" w14:textId="41AE4879" w:rsidR="008A258E" w:rsidRDefault="008A258E" w:rsidP="008A258E">
      <w:pPr>
        <w:spacing w:after="0" w:line="360" w:lineRule="auto"/>
        <w:rPr>
          <w:rFonts w:ascii="Times New Roman" w:hAnsi="Times New Roman" w:cs="Times New Roman"/>
        </w:rPr>
      </w:pPr>
    </w:p>
    <w:p w14:paraId="2BEDB909" w14:textId="77777777" w:rsidR="008A258E" w:rsidRPr="008A258E" w:rsidRDefault="008A258E" w:rsidP="008A258E">
      <w:pPr>
        <w:spacing w:after="0" w:line="360" w:lineRule="auto"/>
        <w:rPr>
          <w:rFonts w:ascii="Times New Roman" w:hAnsi="Times New Roman" w:cs="Times New Roman"/>
        </w:rPr>
      </w:pPr>
    </w:p>
    <w:p w14:paraId="0D0779E3" w14:textId="77777777" w:rsidR="008A258E" w:rsidRDefault="008A258E" w:rsidP="001A74A1">
      <w:pPr>
        <w:spacing w:after="0" w:line="360" w:lineRule="auto"/>
        <w:jc w:val="center"/>
        <w:rPr>
          <w:rFonts w:ascii="Times New Roman" w:hAnsi="Times New Roman" w:cs="Times New Roman"/>
          <w:b/>
          <w:bCs/>
        </w:rPr>
      </w:pPr>
    </w:p>
    <w:p w14:paraId="1986BE2C" w14:textId="59E04D6F" w:rsidR="006F7FDF" w:rsidRPr="00BF56CB" w:rsidRDefault="006F7FDF" w:rsidP="001A74A1">
      <w:pPr>
        <w:spacing w:after="0" w:line="360" w:lineRule="auto"/>
        <w:jc w:val="center"/>
        <w:rPr>
          <w:rFonts w:ascii="Times New Roman" w:hAnsi="Times New Roman" w:cs="Times New Roman"/>
          <w:b/>
          <w:bCs/>
        </w:rPr>
      </w:pPr>
      <w:r w:rsidRPr="00BF56CB">
        <w:rPr>
          <w:rFonts w:ascii="Times New Roman" w:hAnsi="Times New Roman" w:cs="Times New Roman"/>
          <w:b/>
          <w:bCs/>
        </w:rPr>
        <w:t>6. Suggestions for Further Refinement or Empirical Testing and Limitations</w:t>
      </w:r>
    </w:p>
    <w:p w14:paraId="613A57AD" w14:textId="691D83CC" w:rsidR="006F7FDF" w:rsidRPr="00BF56CB" w:rsidRDefault="008A258E" w:rsidP="006F7FDF">
      <w:pPr>
        <w:spacing w:after="0" w:line="360" w:lineRule="auto"/>
        <w:rPr>
          <w:rFonts w:ascii="Times New Roman" w:hAnsi="Times New Roman" w:cs="Times New Roman"/>
        </w:rPr>
      </w:pPr>
      <w:r w:rsidRPr="008A258E">
        <w:rPr>
          <w:rFonts w:ascii="Times New Roman" w:hAnsi="Times New Roman" w:cs="Times New Roman"/>
          <w:color w:val="EE0000"/>
        </w:rPr>
        <w:t>T</w:t>
      </w:r>
      <w:r w:rsidR="006F7FDF" w:rsidRPr="008A258E">
        <w:rPr>
          <w:rFonts w:ascii="Times New Roman" w:hAnsi="Times New Roman" w:cs="Times New Roman"/>
          <w:color w:val="EE0000"/>
        </w:rPr>
        <w:t xml:space="preserve">o enhance </w:t>
      </w:r>
      <w:r w:rsidR="006F7FDF" w:rsidRPr="00BF56CB">
        <w:rPr>
          <w:rFonts w:ascii="Times New Roman" w:hAnsi="Times New Roman" w:cs="Times New Roman"/>
        </w:rPr>
        <w:t>the framework, subsequent research could evaluate its propositions through comparative case studies across various emerging economies, focusing on how factors such as institutional strength influence the connection between policy imitation and gaps in implementation (for example, "Future studies could investigate this model by examining health policy cases in Brazil and India to identify boundary conditions"). Empirical validation through a mixed-methods approach, which includes surveys directed at bureaucrats alongside qualitative interviews, may substantiate the mechanisms of the framework while also investigating additional elements such as cultural impacts. This would help to mitigate possible shortcomings, including the model’s dependence on theoretical synthesis that lacks new data, which may fail to capture regional contextual intricacies.</w:t>
      </w:r>
    </w:p>
    <w:p w14:paraId="164282CF" w14:textId="299AA375" w:rsidR="006F7FDF"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Although the framework offers major advancements, </w:t>
      </w:r>
      <w:r w:rsidR="008A258E" w:rsidRPr="006515E9">
        <w:rPr>
          <w:rFonts w:ascii="Times New Roman" w:hAnsi="Times New Roman" w:cs="Times New Roman"/>
          <w:color w:val="EE0000"/>
        </w:rPr>
        <w:t>it is also subject to criticism</w:t>
      </w:r>
      <w:r w:rsidR="008A258E">
        <w:rPr>
          <w:rFonts w:ascii="Times New Roman" w:hAnsi="Times New Roman" w:cs="Times New Roman"/>
        </w:rPr>
        <w:t>.</w:t>
      </w:r>
      <w:r w:rsidRPr="00BF56CB">
        <w:rPr>
          <w:rFonts w:ascii="Times New Roman" w:hAnsi="Times New Roman" w:cs="Times New Roman"/>
        </w:rPr>
        <w:t xml:space="preserve"> One major downside is its tendency for overgeneralization, as it aggregates several developing countries without regard for particular sub-regional differences—including cultural or political ones—that could impact bureaucratic resistance (</w:t>
      </w:r>
      <w:proofErr w:type="spellStart"/>
      <w:r w:rsidRPr="00BF56CB">
        <w:rPr>
          <w:rFonts w:ascii="Times New Roman" w:hAnsi="Times New Roman" w:cs="Times New Roman"/>
        </w:rPr>
        <w:t>Hoskisson</w:t>
      </w:r>
      <w:proofErr w:type="spellEnd"/>
      <w:r w:rsidRPr="00BF56CB">
        <w:rPr>
          <w:rFonts w:ascii="Times New Roman" w:hAnsi="Times New Roman" w:cs="Times New Roman"/>
        </w:rPr>
        <w:t xml:space="preserve"> et al., 2000). Some reviewers might argue that it gives structures priority and de-emphasizes micro-level agency. However, the incorporation of structuration theory for a more thorough viewpoint might help to solve this problem (Coburn, 2016). Moreover, without empirical evidence, it is unclear how relevant the framework is in quickly changing conditions like those seen in post-pandemic policy scenarios. Still, these limitations highlight possible directions for continual development that will strengthen the model's veracity in future studies.</w:t>
      </w:r>
    </w:p>
    <w:p w14:paraId="34A05564" w14:textId="77777777" w:rsidR="006515E9" w:rsidRPr="006515E9" w:rsidRDefault="006515E9" w:rsidP="006515E9">
      <w:pPr>
        <w:spacing w:after="0" w:line="360" w:lineRule="auto"/>
        <w:rPr>
          <w:rFonts w:ascii="Times New Roman" w:hAnsi="Times New Roman" w:cs="Times New Roman"/>
          <w:color w:val="EE0000"/>
        </w:rPr>
      </w:pPr>
      <w:r w:rsidRPr="006515E9">
        <w:rPr>
          <w:rFonts w:ascii="Times New Roman" w:hAnsi="Times New Roman" w:cs="Times New Roman"/>
          <w:color w:val="EE0000"/>
        </w:rPr>
        <w:t xml:space="preserve">Furthermore, in light of the limitations identified in the extended literature review, future studies should aim to mitigate the issue of 'BRIC </w:t>
      </w:r>
      <w:proofErr w:type="spellStart"/>
      <w:r w:rsidRPr="006515E9">
        <w:rPr>
          <w:rFonts w:ascii="Times New Roman" w:hAnsi="Times New Roman" w:cs="Times New Roman"/>
          <w:color w:val="EE0000"/>
        </w:rPr>
        <w:t>bias'</w:t>
      </w:r>
      <w:proofErr w:type="spellEnd"/>
      <w:r w:rsidRPr="006515E9">
        <w:rPr>
          <w:rFonts w:ascii="Times New Roman" w:hAnsi="Times New Roman" w:cs="Times New Roman"/>
          <w:color w:val="EE0000"/>
        </w:rPr>
        <w:t xml:space="preserve"> identified in Zhao et al. (2021) by including a wider range of emerging economies in the empirical validation. Additionally, future studies should focus on including longitudinal studies, as it is expected that this will provide a better insight into the mechanisms of implementation.</w:t>
      </w:r>
    </w:p>
    <w:p w14:paraId="05F8A184" w14:textId="77777777" w:rsidR="006515E9" w:rsidRPr="006515E9" w:rsidRDefault="006515E9" w:rsidP="006515E9">
      <w:pPr>
        <w:spacing w:after="0" w:line="360" w:lineRule="auto"/>
        <w:rPr>
          <w:rFonts w:ascii="Times New Roman" w:hAnsi="Times New Roman" w:cs="Times New Roman"/>
          <w:color w:val="EE0000"/>
        </w:rPr>
      </w:pPr>
      <w:r w:rsidRPr="006515E9">
        <w:rPr>
          <w:rFonts w:ascii="Times New Roman" w:hAnsi="Times New Roman" w:cs="Times New Roman"/>
          <w:color w:val="EE0000"/>
        </w:rPr>
        <w:t xml:space="preserve">The model could be further refined by explicitly incorporating insights from studies on micro-level bureaucratic behavior (Oliveros &amp; Schuster, 2018) to more intricately connect individual incentives and local adaptations with macro-institutional frameworks. The framework's ability to explain the dynamic interplay between formal policy diffusion and informal implementation </w:t>
      </w:r>
      <w:r w:rsidRPr="006515E9">
        <w:rPr>
          <w:rFonts w:ascii="Times New Roman" w:hAnsi="Times New Roman" w:cs="Times New Roman"/>
          <w:color w:val="EE0000"/>
        </w:rPr>
        <w:lastRenderedPageBreak/>
        <w:t>mechanisms, such as bribery (Krammer, 2017), also warrants further empirical investigation across different institutional contexts.</w:t>
      </w:r>
    </w:p>
    <w:p w14:paraId="10A0F573" w14:textId="77777777" w:rsidR="006F7FDF" w:rsidRPr="00BF56CB" w:rsidRDefault="006F7FDF" w:rsidP="001A74A1">
      <w:pPr>
        <w:spacing w:after="0" w:line="360" w:lineRule="auto"/>
        <w:jc w:val="center"/>
        <w:rPr>
          <w:rFonts w:ascii="Times New Roman" w:hAnsi="Times New Roman" w:cs="Times New Roman"/>
          <w:b/>
          <w:bCs/>
        </w:rPr>
      </w:pPr>
      <w:r w:rsidRPr="00BF56CB">
        <w:rPr>
          <w:rFonts w:ascii="Times New Roman" w:hAnsi="Times New Roman" w:cs="Times New Roman"/>
          <w:b/>
          <w:bCs/>
        </w:rPr>
        <w:t>7. Conclusion and Policy Recommendations</w:t>
      </w:r>
    </w:p>
    <w:p w14:paraId="09F503BD"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This study examined the striking implementation gap often seen in developing countries, which describes the condition whereby well-designed policies do not generate the expected effects owing to complex interactions between several components. The primary claim made is that the dynamics between principals and agents, the lack of robust institutions, the mimicking of policies, and the persistence of bureaucratic processes largely shape the ongoing gap between policy goals and real application. This study emphasizes how crucial it is to rethink present theoretical frameworks so that they more closely reflect the facts experienced in these developing settings, hence enhancing understanding of the implementation context. </w:t>
      </w:r>
    </w:p>
    <w:p w14:paraId="179D1DAA"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This study makes major contributions: it modifies principal-agent theory to solve the unique problems faced when numerous principals work in weak institutional environments, acknowledges bureaucratic inertia as a major result of administrative contacts, and creates a novel link between policy imitation and agency relationships. In addition to filling a major omission in current research, this unified theoretical model offers researchers and policymakers looking for a more thorough grasp of policy implementation failures a valuable resource. </w:t>
      </w:r>
    </w:p>
    <w:p w14:paraId="0187B87C"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The framework provides insightful ideas for creating policies informed by the particular context and effective in lowering implementation gaps by showing how these linked elements create systemic problems in developing nations.</w:t>
      </w:r>
    </w:p>
    <w:p w14:paraId="4EBD2997"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The findings of this study point to a few policy suggestions. First and foremost, policymakers should concentrate on building frameworks that improve the interaction between units in charge of policy formulation and those implementing it. Given the limits of present administrative capacity, this method can help ensure that policies are not only well-designed but also realistic. Moreover, involving local players including frontline officials in the policy-making process can help to reduce the incidence of simple symbolic compliance and foster a higher degree of ownership of reform initiatives. Furthermore, performing contextual assessments prior to applying outside policy models will help to match accepted frameworks with local settings, therefore resolving the issues of isomorphic mimicry that usually produce poor results. Finally, supporting programs meant to increase capacity to enhance bureaucratic quality and </w:t>
      </w:r>
      <w:r w:rsidRPr="00BF56CB">
        <w:rPr>
          <w:rFonts w:ascii="Times New Roman" w:hAnsi="Times New Roman" w:cs="Times New Roman"/>
        </w:rPr>
        <w:lastRenderedPageBreak/>
        <w:t>accountability mechanisms can help to lower bureaucratic inertia and enable a more dynamic and responsive administrative structure.</w:t>
      </w:r>
    </w:p>
    <w:p w14:paraId="49F156B4" w14:textId="3B399773" w:rsidR="006F7FDF" w:rsidRDefault="006F7FDF" w:rsidP="006F7FDF">
      <w:pPr>
        <w:spacing w:after="0" w:line="360" w:lineRule="auto"/>
        <w:rPr>
          <w:rFonts w:ascii="Times New Roman" w:hAnsi="Times New Roman" w:cs="Times New Roman"/>
        </w:rPr>
      </w:pPr>
      <w:r w:rsidRPr="00BF56CB">
        <w:rPr>
          <w:rFonts w:ascii="Times New Roman" w:hAnsi="Times New Roman" w:cs="Times New Roman"/>
        </w:rPr>
        <w:t>The suggested framework calls for more study, accepting a diverse analytical approach as the field of policy execution advances, thereby provoking interdisciplinary debates connecting many theoretical perspectives. One of the main goals of this study is to persuade academics and practitioners to rethink conventional paradigms given the problems encountered by underdeveloped nations. The thrust of this research underlines the need of flexibility and context in policymaking, implying that better understanding of institutional workings could result in more efficient government. Developing such an understanding is essential for overcoming persistent implementation challenges and eventually improving policy results in developing countries under changing global circumstances.</w:t>
      </w:r>
    </w:p>
    <w:p w14:paraId="1F541012" w14:textId="77777777" w:rsidR="006515E9" w:rsidRPr="006515E9" w:rsidRDefault="006515E9" w:rsidP="006515E9">
      <w:pPr>
        <w:spacing w:after="0" w:line="360" w:lineRule="auto"/>
        <w:rPr>
          <w:rFonts w:ascii="Times New Roman" w:hAnsi="Times New Roman" w:cs="Times New Roman"/>
          <w:color w:val="EE0000"/>
        </w:rPr>
      </w:pPr>
      <w:r w:rsidRPr="006515E9">
        <w:rPr>
          <w:rFonts w:ascii="Times New Roman" w:hAnsi="Times New Roman" w:cs="Times New Roman"/>
          <w:color w:val="EE0000"/>
        </w:rPr>
        <w:t>The policy recommendations find support in the enriched theoretical model, as well as in contemporary empirical research. For instance, sectoral analyses carried out in various areas such as the circular economy (Cantú et al., 2021) and e-learning (</w:t>
      </w:r>
      <w:proofErr w:type="spellStart"/>
      <w:r w:rsidRPr="006515E9">
        <w:rPr>
          <w:rFonts w:ascii="Times New Roman" w:hAnsi="Times New Roman" w:cs="Times New Roman"/>
          <w:color w:val="EE0000"/>
        </w:rPr>
        <w:t>Barikzai</w:t>
      </w:r>
      <w:proofErr w:type="spellEnd"/>
      <w:r w:rsidRPr="006515E9">
        <w:rPr>
          <w:rFonts w:ascii="Times New Roman" w:hAnsi="Times New Roman" w:cs="Times New Roman"/>
          <w:color w:val="EE0000"/>
        </w:rPr>
        <w:t xml:space="preserve"> et al., 2024) suggest that the wide and top-down strategy, in the absence of a preliminary contextual evaluation, will be a failure. It is, therefore, not only desirable but imperative that active interactions with the stakeholders and contextual evaluations be carried out. Furthermore, findings on bureaucratic behavior (Oliveros &amp; Schuster, 2018) and the impact of institutional quality on various outcomes (</w:t>
      </w:r>
      <w:proofErr w:type="spellStart"/>
      <w:r w:rsidRPr="006515E9">
        <w:rPr>
          <w:rFonts w:ascii="Times New Roman" w:hAnsi="Times New Roman" w:cs="Times New Roman"/>
          <w:color w:val="EE0000"/>
        </w:rPr>
        <w:t>Abaidoo</w:t>
      </w:r>
      <w:proofErr w:type="spellEnd"/>
      <w:r w:rsidRPr="006515E9">
        <w:rPr>
          <w:rFonts w:ascii="Times New Roman" w:hAnsi="Times New Roman" w:cs="Times New Roman"/>
          <w:color w:val="EE0000"/>
        </w:rPr>
        <w:t xml:space="preserve"> &amp; Agyapong, 2022; </w:t>
      </w:r>
      <w:proofErr w:type="spellStart"/>
      <w:r w:rsidRPr="006515E9">
        <w:rPr>
          <w:rFonts w:ascii="Times New Roman" w:hAnsi="Times New Roman" w:cs="Times New Roman"/>
          <w:color w:val="EE0000"/>
        </w:rPr>
        <w:t>Lebbar</w:t>
      </w:r>
      <w:proofErr w:type="spellEnd"/>
      <w:r w:rsidRPr="006515E9">
        <w:rPr>
          <w:rFonts w:ascii="Times New Roman" w:hAnsi="Times New Roman" w:cs="Times New Roman"/>
          <w:color w:val="EE0000"/>
        </w:rPr>
        <w:t xml:space="preserve"> &amp; El-</w:t>
      </w:r>
      <w:proofErr w:type="spellStart"/>
      <w:r w:rsidRPr="006515E9">
        <w:rPr>
          <w:rFonts w:ascii="Times New Roman" w:hAnsi="Times New Roman" w:cs="Times New Roman"/>
          <w:color w:val="EE0000"/>
        </w:rPr>
        <w:t>Aroui</w:t>
      </w:r>
      <w:proofErr w:type="spellEnd"/>
      <w:r w:rsidRPr="006515E9">
        <w:rPr>
          <w:rFonts w:ascii="Times New Roman" w:hAnsi="Times New Roman" w:cs="Times New Roman"/>
          <w:color w:val="EE0000"/>
        </w:rPr>
        <w:t xml:space="preserve">, 2026) underscore the importance of targeted capacity-building, including strengthening HR systems and regulatory oversight, to foster true implementation rather than just symbolic adherence. </w:t>
      </w:r>
    </w:p>
    <w:p w14:paraId="76F946CC" w14:textId="77777777" w:rsidR="006515E9" w:rsidRPr="006515E9" w:rsidRDefault="006515E9" w:rsidP="006515E9">
      <w:pPr>
        <w:spacing w:after="0" w:line="360" w:lineRule="auto"/>
        <w:rPr>
          <w:rFonts w:ascii="Times New Roman" w:hAnsi="Times New Roman" w:cs="Times New Roman"/>
          <w:color w:val="EE0000"/>
        </w:rPr>
      </w:pPr>
      <w:r w:rsidRPr="006515E9">
        <w:rPr>
          <w:rFonts w:ascii="Times New Roman" w:hAnsi="Times New Roman" w:cs="Times New Roman"/>
          <w:color w:val="EE0000"/>
        </w:rPr>
        <w:t>Addressing the erosion of bureaucratic autonomy in volatile economic conditions (Çoban &amp; Apaydin, 2025) also points to the need for robust governance frameworks that protect administrative independence. Ultimately, recognizing and addressing the complex interplay of these factors, informed by the nuanced understanding from recent scholarship, is paramount for transforming policy intent into tangible developmental outcomes in emerging economies.</w:t>
      </w:r>
    </w:p>
    <w:p w14:paraId="2B73FA35" w14:textId="1B529E85" w:rsidR="00E17E16" w:rsidRDefault="00E17E16" w:rsidP="006F7FDF">
      <w:pPr>
        <w:spacing w:after="0" w:line="360" w:lineRule="auto"/>
        <w:rPr>
          <w:rFonts w:ascii="Times New Roman" w:hAnsi="Times New Roman" w:cs="Times New Roman"/>
        </w:rPr>
      </w:pPr>
    </w:p>
    <w:p w14:paraId="18EB334E" w14:textId="77777777" w:rsidR="00E17E16" w:rsidRPr="00005ED1" w:rsidRDefault="00E17E16" w:rsidP="00E17E16">
      <w:pPr>
        <w:pStyle w:val="NoSpacing"/>
        <w:rPr>
          <w:rFonts w:ascii="Arial" w:hAnsi="Arial" w:cs="Arial"/>
          <w:highlight w:val="yellow"/>
        </w:rPr>
      </w:pPr>
      <w:bookmarkStart w:id="0" w:name="_Hlk218868534"/>
      <w:r w:rsidRPr="00005ED1">
        <w:rPr>
          <w:rFonts w:ascii="Arial" w:hAnsi="Arial" w:cs="Arial"/>
          <w:highlight w:val="yellow"/>
        </w:rPr>
        <w:t>Disclaimer (Artificial intelligence)</w:t>
      </w:r>
    </w:p>
    <w:p w14:paraId="121BFB73" w14:textId="77777777" w:rsidR="00E17E16" w:rsidRPr="00005ED1" w:rsidRDefault="00E17E16" w:rsidP="00E17E16">
      <w:pPr>
        <w:pStyle w:val="NoSpacing"/>
        <w:rPr>
          <w:rFonts w:ascii="Arial" w:hAnsi="Arial" w:cs="Arial"/>
          <w:highlight w:val="yellow"/>
        </w:rPr>
      </w:pPr>
    </w:p>
    <w:p w14:paraId="568A2286" w14:textId="77777777" w:rsidR="00E17E16" w:rsidRDefault="00E17E16" w:rsidP="00E17E16">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0BADE764" w14:textId="77777777" w:rsidR="007C3D5C" w:rsidRDefault="007C3D5C" w:rsidP="00BF56CB">
      <w:pPr>
        <w:spacing w:after="0" w:line="360" w:lineRule="auto"/>
        <w:jc w:val="center"/>
        <w:rPr>
          <w:rFonts w:ascii="Times New Roman" w:hAnsi="Times New Roman" w:cs="Times New Roman"/>
          <w:b/>
          <w:bCs/>
        </w:rPr>
      </w:pPr>
    </w:p>
    <w:p w14:paraId="488342F7" w14:textId="3C28FE3B" w:rsidR="006F7FDF" w:rsidRDefault="006F7FDF" w:rsidP="00BF56CB">
      <w:pPr>
        <w:spacing w:after="0" w:line="360" w:lineRule="auto"/>
        <w:jc w:val="center"/>
        <w:rPr>
          <w:rFonts w:ascii="Times New Roman" w:hAnsi="Times New Roman" w:cs="Times New Roman"/>
          <w:b/>
          <w:bCs/>
        </w:rPr>
      </w:pPr>
      <w:r w:rsidRPr="00941AF7">
        <w:rPr>
          <w:rFonts w:ascii="Times New Roman" w:hAnsi="Times New Roman" w:cs="Times New Roman"/>
          <w:b/>
          <w:bCs/>
        </w:rPr>
        <w:lastRenderedPageBreak/>
        <w:t>References</w:t>
      </w:r>
    </w:p>
    <w:p w14:paraId="62BEFF69" w14:textId="77777777" w:rsidR="006515E9" w:rsidRPr="00B86235" w:rsidRDefault="006515E9" w:rsidP="006515E9">
      <w:pPr>
        <w:spacing w:after="0"/>
        <w:ind w:hanging="720"/>
        <w:rPr>
          <w:rFonts w:ascii="Times New Roman" w:hAnsi="Times New Roman" w:cs="Times New Roman"/>
          <w:color w:val="EE0000"/>
        </w:rPr>
      </w:pPr>
      <w:r w:rsidRPr="00B86235">
        <w:rPr>
          <w:rFonts w:ascii="Times New Roman" w:hAnsi="Times New Roman" w:cs="Times New Roman"/>
          <w:color w:val="EE0000"/>
        </w:rPr>
        <w:t>Abdullahi, M., &amp; Othman, N. (2021). Bridging the Gap between Policy Intent and Implementation. </w:t>
      </w:r>
      <w:r w:rsidRPr="00B86235">
        <w:rPr>
          <w:rFonts w:ascii="Times New Roman" w:hAnsi="Times New Roman" w:cs="Times New Roman"/>
          <w:i/>
          <w:iCs/>
          <w:color w:val="EE0000"/>
        </w:rPr>
        <w:t>Journal of Science, Technology and Innovation Policy</w:t>
      </w:r>
      <w:r w:rsidRPr="00B86235">
        <w:rPr>
          <w:rFonts w:ascii="Times New Roman" w:hAnsi="Times New Roman" w:cs="Times New Roman"/>
          <w:color w:val="EE0000"/>
        </w:rPr>
        <w:t>, </w:t>
      </w:r>
      <w:r w:rsidRPr="00B86235">
        <w:rPr>
          <w:rFonts w:ascii="Times New Roman" w:hAnsi="Times New Roman" w:cs="Times New Roman"/>
          <w:i/>
          <w:iCs/>
          <w:color w:val="EE0000"/>
        </w:rPr>
        <w:t>6</w:t>
      </w:r>
      <w:r w:rsidRPr="00B86235">
        <w:rPr>
          <w:rFonts w:ascii="Times New Roman" w:hAnsi="Times New Roman" w:cs="Times New Roman"/>
          <w:color w:val="EE0000"/>
        </w:rPr>
        <w:t>(1), 24–33.</w:t>
      </w:r>
    </w:p>
    <w:p w14:paraId="545943EC" w14:textId="77777777" w:rsidR="006515E9" w:rsidRPr="0030247E" w:rsidRDefault="006515E9" w:rsidP="006515E9">
      <w:pPr>
        <w:spacing w:after="0"/>
        <w:ind w:hanging="720"/>
        <w:rPr>
          <w:rFonts w:ascii="Times New Roman" w:hAnsi="Times New Roman" w:cs="Times New Roman"/>
        </w:rPr>
      </w:pPr>
      <w:proofErr w:type="spellStart"/>
      <w:r w:rsidRPr="0030247E">
        <w:rPr>
          <w:rFonts w:ascii="Times New Roman" w:hAnsi="Times New Roman" w:cs="Times New Roman"/>
        </w:rPr>
        <w:t>Abaidoo</w:t>
      </w:r>
      <w:proofErr w:type="spellEnd"/>
      <w:r w:rsidRPr="0030247E">
        <w:rPr>
          <w:rFonts w:ascii="Times New Roman" w:hAnsi="Times New Roman" w:cs="Times New Roman"/>
        </w:rPr>
        <w:t xml:space="preserve">, R., &amp; Agyapong, E. (2022). Financial development and institutional quality among emerging economies. </w:t>
      </w:r>
      <w:r w:rsidRPr="0030247E">
        <w:rPr>
          <w:rFonts w:ascii="Times New Roman" w:hAnsi="Times New Roman" w:cs="Times New Roman"/>
          <w:i/>
          <w:iCs/>
        </w:rPr>
        <w:t>Journal of Economics and Development</w:t>
      </w:r>
      <w:r w:rsidRPr="0030247E">
        <w:rPr>
          <w:rFonts w:ascii="Times New Roman" w:hAnsi="Times New Roman" w:cs="Times New Roman"/>
        </w:rPr>
        <w:t xml:space="preserve">, </w:t>
      </w:r>
      <w:r w:rsidRPr="0030247E">
        <w:rPr>
          <w:rFonts w:ascii="Times New Roman" w:hAnsi="Times New Roman" w:cs="Times New Roman"/>
          <w:i/>
          <w:iCs/>
        </w:rPr>
        <w:t>24</w:t>
      </w:r>
      <w:r w:rsidRPr="0030247E">
        <w:rPr>
          <w:rFonts w:ascii="Times New Roman" w:hAnsi="Times New Roman" w:cs="Times New Roman"/>
        </w:rPr>
        <w:t xml:space="preserve">(3), 232–249. </w:t>
      </w:r>
    </w:p>
    <w:p w14:paraId="7F8F9A55" w14:textId="77777777" w:rsidR="006515E9" w:rsidRPr="0030247E" w:rsidRDefault="006515E9" w:rsidP="006515E9">
      <w:pPr>
        <w:spacing w:after="0"/>
        <w:ind w:hanging="720"/>
        <w:rPr>
          <w:rFonts w:ascii="Times New Roman" w:hAnsi="Times New Roman" w:cs="Times New Roman"/>
        </w:rPr>
      </w:pPr>
      <w:r w:rsidRPr="0030247E">
        <w:rPr>
          <w:rFonts w:ascii="Times New Roman" w:hAnsi="Times New Roman" w:cs="Times New Roman"/>
        </w:rPr>
        <w:t xml:space="preserve">Anand, J., McDermott, G., Mudambi, R., &amp; Narula, R. (2021). Innovation in and from emerging economies: New insights and lessons for international business research. </w:t>
      </w:r>
      <w:r w:rsidRPr="0030247E">
        <w:rPr>
          <w:rFonts w:ascii="Times New Roman" w:hAnsi="Times New Roman" w:cs="Times New Roman"/>
          <w:i/>
          <w:iCs/>
        </w:rPr>
        <w:t>Journal of International Business Studies</w:t>
      </w:r>
      <w:r w:rsidRPr="0030247E">
        <w:rPr>
          <w:rFonts w:ascii="Times New Roman" w:hAnsi="Times New Roman" w:cs="Times New Roman"/>
        </w:rPr>
        <w:t xml:space="preserve">, </w:t>
      </w:r>
      <w:r w:rsidRPr="0030247E">
        <w:rPr>
          <w:rFonts w:ascii="Times New Roman" w:hAnsi="Times New Roman" w:cs="Times New Roman"/>
          <w:i/>
          <w:iCs/>
        </w:rPr>
        <w:t>52</w:t>
      </w:r>
      <w:r w:rsidRPr="0030247E">
        <w:rPr>
          <w:rFonts w:ascii="Times New Roman" w:hAnsi="Times New Roman" w:cs="Times New Roman"/>
        </w:rPr>
        <w:t xml:space="preserve">(4), 545–559. </w:t>
      </w:r>
    </w:p>
    <w:p w14:paraId="4320BAC5" w14:textId="77777777" w:rsidR="006515E9" w:rsidRPr="0030247E" w:rsidRDefault="006515E9" w:rsidP="006515E9">
      <w:pPr>
        <w:spacing w:after="0"/>
        <w:ind w:hanging="720"/>
        <w:rPr>
          <w:rFonts w:ascii="Times New Roman" w:hAnsi="Times New Roman" w:cs="Times New Roman"/>
        </w:rPr>
      </w:pPr>
      <w:proofErr w:type="spellStart"/>
      <w:r w:rsidRPr="0030247E">
        <w:rPr>
          <w:rFonts w:ascii="Times New Roman" w:hAnsi="Times New Roman" w:cs="Times New Roman"/>
        </w:rPr>
        <w:t>Apriliyanti</w:t>
      </w:r>
      <w:proofErr w:type="spellEnd"/>
      <w:r w:rsidRPr="0030247E">
        <w:rPr>
          <w:rFonts w:ascii="Times New Roman" w:hAnsi="Times New Roman" w:cs="Times New Roman"/>
        </w:rPr>
        <w:t xml:space="preserve">, I. D., Dieleman, M., &amp; </w:t>
      </w:r>
      <w:proofErr w:type="spellStart"/>
      <w:r w:rsidRPr="0030247E">
        <w:rPr>
          <w:rFonts w:ascii="Times New Roman" w:hAnsi="Times New Roman" w:cs="Times New Roman"/>
        </w:rPr>
        <w:t>Randøy</w:t>
      </w:r>
      <w:proofErr w:type="spellEnd"/>
      <w:r w:rsidRPr="0030247E">
        <w:rPr>
          <w:rFonts w:ascii="Times New Roman" w:hAnsi="Times New Roman" w:cs="Times New Roman"/>
        </w:rPr>
        <w:t xml:space="preserve">, T. (2023). Multiple‐principal demands and CEO compliance in emerging market state‐owned enterprises. </w:t>
      </w:r>
      <w:r w:rsidRPr="0030247E">
        <w:rPr>
          <w:rFonts w:ascii="Times New Roman" w:hAnsi="Times New Roman" w:cs="Times New Roman"/>
          <w:i/>
          <w:iCs/>
        </w:rPr>
        <w:t>Journal of Management Studies</w:t>
      </w:r>
      <w:r w:rsidRPr="0030247E">
        <w:rPr>
          <w:rFonts w:ascii="Times New Roman" w:hAnsi="Times New Roman" w:cs="Times New Roman"/>
        </w:rPr>
        <w:t xml:space="preserve">, </w:t>
      </w:r>
      <w:r w:rsidRPr="0030247E">
        <w:rPr>
          <w:rFonts w:ascii="Times New Roman" w:hAnsi="Times New Roman" w:cs="Times New Roman"/>
          <w:i/>
          <w:iCs/>
        </w:rPr>
        <w:t>60</w:t>
      </w:r>
      <w:r w:rsidRPr="0030247E">
        <w:rPr>
          <w:rFonts w:ascii="Times New Roman" w:hAnsi="Times New Roman" w:cs="Times New Roman"/>
        </w:rPr>
        <w:t xml:space="preserve">(8), 2393–2425. </w:t>
      </w:r>
      <w:hyperlink r:id="rId8" w:history="1">
        <w:r w:rsidRPr="0030247E">
          <w:rPr>
            <w:rStyle w:val="Hyperlink"/>
            <w:rFonts w:ascii="Times New Roman" w:hAnsi="Times New Roman" w:cs="Times New Roman"/>
          </w:rPr>
          <w:t>https://doi.org/10.1111/joms.12912</w:t>
        </w:r>
      </w:hyperlink>
      <w:r w:rsidRPr="0030247E">
        <w:rPr>
          <w:rFonts w:ascii="Times New Roman" w:hAnsi="Times New Roman" w:cs="Times New Roman"/>
        </w:rPr>
        <w:t xml:space="preserve"> </w:t>
      </w:r>
    </w:p>
    <w:p w14:paraId="59A9F633" w14:textId="77777777" w:rsidR="006515E9" w:rsidRPr="0030247E" w:rsidRDefault="006515E9" w:rsidP="006515E9">
      <w:pPr>
        <w:spacing w:after="0"/>
        <w:ind w:hanging="720"/>
        <w:rPr>
          <w:rFonts w:ascii="Times New Roman" w:hAnsi="Times New Roman" w:cs="Times New Roman"/>
        </w:rPr>
      </w:pPr>
      <w:r w:rsidRPr="0030247E">
        <w:rPr>
          <w:rFonts w:ascii="Times New Roman" w:hAnsi="Times New Roman" w:cs="Times New Roman"/>
        </w:rPr>
        <w:t xml:space="preserve">Awasthi, K. (2016). Taking stock of the principal–principal agency perspective: A review and the way ahead. In </w:t>
      </w:r>
      <w:r w:rsidRPr="0030247E">
        <w:rPr>
          <w:rFonts w:ascii="Times New Roman" w:hAnsi="Times New Roman" w:cs="Times New Roman"/>
          <w:i/>
          <w:iCs/>
        </w:rPr>
        <w:t>Corporate governance in emerging markets</w:t>
      </w:r>
      <w:r w:rsidRPr="0030247E">
        <w:rPr>
          <w:rFonts w:ascii="Times New Roman" w:hAnsi="Times New Roman" w:cs="Times New Roman"/>
        </w:rPr>
        <w:t xml:space="preserve"> (pp. 67–96). Springer. </w:t>
      </w:r>
    </w:p>
    <w:p w14:paraId="6856EC2D" w14:textId="77777777" w:rsidR="006515E9" w:rsidRPr="0030247E" w:rsidRDefault="006515E9" w:rsidP="006515E9">
      <w:pPr>
        <w:spacing w:after="0"/>
        <w:ind w:hanging="720"/>
        <w:rPr>
          <w:rFonts w:ascii="Times New Roman" w:hAnsi="Times New Roman" w:cs="Times New Roman"/>
        </w:rPr>
      </w:pPr>
      <w:proofErr w:type="spellStart"/>
      <w:r w:rsidRPr="0030247E">
        <w:rPr>
          <w:rFonts w:ascii="Times New Roman" w:hAnsi="Times New Roman" w:cs="Times New Roman"/>
        </w:rPr>
        <w:t>Barikzai</w:t>
      </w:r>
      <w:proofErr w:type="spellEnd"/>
      <w:r w:rsidRPr="0030247E">
        <w:rPr>
          <w:rFonts w:ascii="Times New Roman" w:hAnsi="Times New Roman" w:cs="Times New Roman"/>
        </w:rPr>
        <w:t xml:space="preserve">, S., Bharathi, V. S., &amp; Perdana, A. (2024). Challenges and strategies in e-learning adoption in emerging economies: A scoping review. </w:t>
      </w:r>
      <w:r w:rsidRPr="0030247E">
        <w:rPr>
          <w:rFonts w:ascii="Times New Roman" w:hAnsi="Times New Roman" w:cs="Times New Roman"/>
          <w:i/>
          <w:iCs/>
        </w:rPr>
        <w:t>Cogent Education</w:t>
      </w:r>
      <w:r w:rsidRPr="0030247E">
        <w:rPr>
          <w:rFonts w:ascii="Times New Roman" w:hAnsi="Times New Roman" w:cs="Times New Roman"/>
        </w:rPr>
        <w:t xml:space="preserve">, </w:t>
      </w:r>
      <w:r w:rsidRPr="0030247E">
        <w:rPr>
          <w:rFonts w:ascii="Times New Roman" w:hAnsi="Times New Roman" w:cs="Times New Roman"/>
          <w:i/>
          <w:iCs/>
        </w:rPr>
        <w:t>11</w:t>
      </w:r>
      <w:r w:rsidRPr="0030247E">
        <w:rPr>
          <w:rFonts w:ascii="Times New Roman" w:hAnsi="Times New Roman" w:cs="Times New Roman"/>
        </w:rPr>
        <w:t xml:space="preserve">, 2375112. </w:t>
      </w:r>
    </w:p>
    <w:p w14:paraId="69AF5888" w14:textId="77777777" w:rsidR="006515E9" w:rsidRPr="0030247E" w:rsidRDefault="006515E9" w:rsidP="006515E9">
      <w:pPr>
        <w:spacing w:after="0"/>
        <w:ind w:hanging="720"/>
        <w:rPr>
          <w:rFonts w:ascii="Times New Roman" w:hAnsi="Times New Roman" w:cs="Times New Roman"/>
        </w:rPr>
      </w:pPr>
      <w:r w:rsidRPr="0030247E">
        <w:rPr>
          <w:rFonts w:ascii="Times New Roman" w:hAnsi="Times New Roman" w:cs="Times New Roman"/>
        </w:rPr>
        <w:t xml:space="preserve">Barrett, S. M. (2004). Implementation studies: Time for a revival? Personal reflections on 20 years of implementation studies. </w:t>
      </w:r>
      <w:r w:rsidRPr="0030247E">
        <w:rPr>
          <w:rFonts w:ascii="Times New Roman" w:hAnsi="Times New Roman" w:cs="Times New Roman"/>
          <w:i/>
          <w:iCs/>
        </w:rPr>
        <w:t>Public Administration</w:t>
      </w:r>
      <w:r w:rsidRPr="0030247E">
        <w:rPr>
          <w:rFonts w:ascii="Times New Roman" w:hAnsi="Times New Roman" w:cs="Times New Roman"/>
        </w:rPr>
        <w:t xml:space="preserve">, </w:t>
      </w:r>
      <w:r w:rsidRPr="0030247E">
        <w:rPr>
          <w:rFonts w:ascii="Times New Roman" w:hAnsi="Times New Roman" w:cs="Times New Roman"/>
          <w:i/>
          <w:iCs/>
        </w:rPr>
        <w:t>82</w:t>
      </w:r>
      <w:r w:rsidRPr="0030247E">
        <w:rPr>
          <w:rFonts w:ascii="Times New Roman" w:hAnsi="Times New Roman" w:cs="Times New Roman"/>
        </w:rPr>
        <w:t>(2), 249–262.</w:t>
      </w:r>
    </w:p>
    <w:p w14:paraId="06E43F9D" w14:textId="77777777" w:rsidR="006515E9" w:rsidRPr="0030247E" w:rsidRDefault="006515E9" w:rsidP="006515E9">
      <w:pPr>
        <w:spacing w:after="0"/>
        <w:ind w:hanging="720"/>
        <w:rPr>
          <w:rFonts w:ascii="Times New Roman" w:hAnsi="Times New Roman" w:cs="Times New Roman"/>
        </w:rPr>
      </w:pPr>
      <w:r w:rsidRPr="0030247E">
        <w:rPr>
          <w:rFonts w:ascii="Times New Roman" w:hAnsi="Times New Roman" w:cs="Times New Roman"/>
        </w:rPr>
        <w:t xml:space="preserve">Bergman, M., &amp; Lane, J. (1990). Public policy in a principal agent framework. </w:t>
      </w:r>
      <w:r w:rsidRPr="0030247E">
        <w:rPr>
          <w:rFonts w:ascii="Times New Roman" w:hAnsi="Times New Roman" w:cs="Times New Roman"/>
          <w:i/>
          <w:iCs/>
        </w:rPr>
        <w:t>Journal of Theoretical Politics</w:t>
      </w:r>
      <w:r w:rsidRPr="0030247E">
        <w:rPr>
          <w:rFonts w:ascii="Times New Roman" w:hAnsi="Times New Roman" w:cs="Times New Roman"/>
        </w:rPr>
        <w:t xml:space="preserve">, </w:t>
      </w:r>
      <w:r w:rsidRPr="0030247E">
        <w:rPr>
          <w:rFonts w:ascii="Times New Roman" w:hAnsi="Times New Roman" w:cs="Times New Roman"/>
          <w:i/>
          <w:iCs/>
        </w:rPr>
        <w:t>2</w:t>
      </w:r>
      <w:r w:rsidRPr="0030247E">
        <w:rPr>
          <w:rFonts w:ascii="Times New Roman" w:hAnsi="Times New Roman" w:cs="Times New Roman"/>
        </w:rPr>
        <w:t xml:space="preserve">(3), 339–352. </w:t>
      </w:r>
    </w:p>
    <w:p w14:paraId="7D691437" w14:textId="77777777" w:rsidR="006515E9" w:rsidRPr="0030247E" w:rsidRDefault="006515E9" w:rsidP="006515E9">
      <w:pPr>
        <w:spacing w:after="0"/>
        <w:ind w:hanging="720"/>
        <w:rPr>
          <w:rFonts w:ascii="Times New Roman" w:hAnsi="Times New Roman" w:cs="Times New Roman"/>
        </w:rPr>
      </w:pPr>
      <w:r w:rsidRPr="0030247E">
        <w:rPr>
          <w:rFonts w:ascii="Times New Roman" w:hAnsi="Times New Roman" w:cs="Times New Roman"/>
        </w:rPr>
        <w:t xml:space="preserve">Braun, D., &amp; Guston, D. H. (2003). Principal–agent theory and research policy: An introduction. </w:t>
      </w:r>
      <w:r w:rsidRPr="0030247E">
        <w:rPr>
          <w:rFonts w:ascii="Times New Roman" w:hAnsi="Times New Roman" w:cs="Times New Roman"/>
          <w:i/>
          <w:iCs/>
        </w:rPr>
        <w:t>Science and Public Policy</w:t>
      </w:r>
      <w:r w:rsidRPr="0030247E">
        <w:rPr>
          <w:rFonts w:ascii="Times New Roman" w:hAnsi="Times New Roman" w:cs="Times New Roman"/>
        </w:rPr>
        <w:t xml:space="preserve">, </w:t>
      </w:r>
      <w:r w:rsidRPr="0030247E">
        <w:rPr>
          <w:rFonts w:ascii="Times New Roman" w:hAnsi="Times New Roman" w:cs="Times New Roman"/>
          <w:i/>
          <w:iCs/>
        </w:rPr>
        <w:t>30</w:t>
      </w:r>
      <w:r w:rsidRPr="0030247E">
        <w:rPr>
          <w:rFonts w:ascii="Times New Roman" w:hAnsi="Times New Roman" w:cs="Times New Roman"/>
        </w:rPr>
        <w:t xml:space="preserve">(5), 302–308. </w:t>
      </w:r>
    </w:p>
    <w:p w14:paraId="43398C4C" w14:textId="77777777" w:rsidR="006515E9" w:rsidRPr="0030247E" w:rsidRDefault="006515E9" w:rsidP="006515E9">
      <w:pPr>
        <w:spacing w:after="0"/>
        <w:ind w:hanging="720"/>
        <w:rPr>
          <w:rFonts w:ascii="Times New Roman" w:hAnsi="Times New Roman" w:cs="Times New Roman"/>
        </w:rPr>
      </w:pPr>
      <w:r w:rsidRPr="0030247E">
        <w:rPr>
          <w:rFonts w:ascii="Times New Roman" w:hAnsi="Times New Roman" w:cs="Times New Roman"/>
        </w:rPr>
        <w:t xml:space="preserve">Bullock, H. L., Lavis, J. N., Wilson, M. G., </w:t>
      </w:r>
      <w:proofErr w:type="spellStart"/>
      <w:r w:rsidRPr="0030247E">
        <w:rPr>
          <w:rFonts w:ascii="Times New Roman" w:hAnsi="Times New Roman" w:cs="Times New Roman"/>
        </w:rPr>
        <w:t>Mulvale</w:t>
      </w:r>
      <w:proofErr w:type="spellEnd"/>
      <w:r w:rsidRPr="0030247E">
        <w:rPr>
          <w:rFonts w:ascii="Times New Roman" w:hAnsi="Times New Roman" w:cs="Times New Roman"/>
        </w:rPr>
        <w:t xml:space="preserve">, G., &amp; </w:t>
      </w:r>
      <w:proofErr w:type="spellStart"/>
      <w:r w:rsidRPr="0030247E">
        <w:rPr>
          <w:rFonts w:ascii="Times New Roman" w:hAnsi="Times New Roman" w:cs="Times New Roman"/>
        </w:rPr>
        <w:t>Miatello</w:t>
      </w:r>
      <w:proofErr w:type="spellEnd"/>
      <w:r w:rsidRPr="0030247E">
        <w:rPr>
          <w:rFonts w:ascii="Times New Roman" w:hAnsi="Times New Roman" w:cs="Times New Roman"/>
        </w:rPr>
        <w:t xml:space="preserve">, A. (2020). Understanding the implementation of evidence-informed policies and practices from a policy perspective: A critical interpretive synthesis. </w:t>
      </w:r>
      <w:r w:rsidRPr="0030247E">
        <w:rPr>
          <w:rFonts w:ascii="Times New Roman" w:hAnsi="Times New Roman" w:cs="Times New Roman"/>
          <w:i/>
          <w:iCs/>
        </w:rPr>
        <w:t>Implementation Science</w:t>
      </w:r>
      <w:r w:rsidRPr="0030247E">
        <w:rPr>
          <w:rFonts w:ascii="Times New Roman" w:hAnsi="Times New Roman" w:cs="Times New Roman"/>
        </w:rPr>
        <w:t xml:space="preserve">, </w:t>
      </w:r>
      <w:r w:rsidRPr="0030247E">
        <w:rPr>
          <w:rFonts w:ascii="Times New Roman" w:hAnsi="Times New Roman" w:cs="Times New Roman"/>
          <w:i/>
          <w:iCs/>
        </w:rPr>
        <w:t>15</w:t>
      </w:r>
      <w:r w:rsidRPr="0030247E">
        <w:rPr>
          <w:rFonts w:ascii="Times New Roman" w:hAnsi="Times New Roman" w:cs="Times New Roman"/>
        </w:rPr>
        <w:t xml:space="preserve">(1), 1–21. </w:t>
      </w:r>
      <w:hyperlink r:id="rId9" w:history="1">
        <w:r w:rsidRPr="0030247E">
          <w:rPr>
            <w:rStyle w:val="Hyperlink"/>
            <w:rFonts w:ascii="Times New Roman" w:hAnsi="Times New Roman" w:cs="Times New Roman"/>
          </w:rPr>
          <w:t>https://doi.org/10.1186/s13012-020-01041-x</w:t>
        </w:r>
      </w:hyperlink>
      <w:r w:rsidRPr="0030247E">
        <w:rPr>
          <w:rFonts w:ascii="Times New Roman" w:hAnsi="Times New Roman" w:cs="Times New Roman"/>
        </w:rPr>
        <w:t xml:space="preserve"> </w:t>
      </w:r>
    </w:p>
    <w:p w14:paraId="11C82571" w14:textId="77777777" w:rsidR="006515E9" w:rsidRPr="0030247E" w:rsidRDefault="006515E9" w:rsidP="006515E9">
      <w:pPr>
        <w:spacing w:after="0"/>
        <w:ind w:hanging="720"/>
        <w:rPr>
          <w:rFonts w:ascii="Times New Roman" w:hAnsi="Times New Roman" w:cs="Times New Roman"/>
        </w:rPr>
      </w:pPr>
      <w:r w:rsidRPr="0030247E">
        <w:rPr>
          <w:rFonts w:ascii="Times New Roman" w:hAnsi="Times New Roman" w:cs="Times New Roman"/>
        </w:rPr>
        <w:t xml:space="preserve">Campos, P. A., &amp; Reich, M. R. (2019). Political analysis for health policy implementation. </w:t>
      </w:r>
      <w:r w:rsidRPr="0030247E">
        <w:rPr>
          <w:rFonts w:ascii="Times New Roman" w:hAnsi="Times New Roman" w:cs="Times New Roman"/>
          <w:i/>
          <w:iCs/>
        </w:rPr>
        <w:t>Health Systems &amp; Reform</w:t>
      </w:r>
      <w:r w:rsidRPr="0030247E">
        <w:rPr>
          <w:rFonts w:ascii="Times New Roman" w:hAnsi="Times New Roman" w:cs="Times New Roman"/>
        </w:rPr>
        <w:t xml:space="preserve">, </w:t>
      </w:r>
      <w:r w:rsidRPr="0030247E">
        <w:rPr>
          <w:rFonts w:ascii="Times New Roman" w:hAnsi="Times New Roman" w:cs="Times New Roman"/>
          <w:i/>
          <w:iCs/>
        </w:rPr>
        <w:t>5</w:t>
      </w:r>
      <w:r w:rsidRPr="0030247E">
        <w:rPr>
          <w:rFonts w:ascii="Times New Roman" w:hAnsi="Times New Roman" w:cs="Times New Roman"/>
        </w:rPr>
        <w:t xml:space="preserve">(3), 224–235. </w:t>
      </w:r>
    </w:p>
    <w:p w14:paraId="46510DC2" w14:textId="77777777" w:rsidR="006515E9" w:rsidRPr="0030247E" w:rsidRDefault="006515E9" w:rsidP="006515E9">
      <w:pPr>
        <w:spacing w:after="0"/>
        <w:ind w:hanging="720"/>
        <w:rPr>
          <w:rFonts w:ascii="Times New Roman" w:hAnsi="Times New Roman" w:cs="Times New Roman"/>
        </w:rPr>
      </w:pPr>
      <w:r w:rsidRPr="0030247E">
        <w:rPr>
          <w:rFonts w:ascii="Times New Roman" w:hAnsi="Times New Roman" w:cs="Times New Roman"/>
        </w:rPr>
        <w:t xml:space="preserve">Cantú, A., Aguiñaga, E., &amp; Scheel, C. (2021). Learning from failure and success: The challenges for circular economy implementation in SMEs in an emerging economy. </w:t>
      </w:r>
      <w:r w:rsidRPr="0030247E">
        <w:rPr>
          <w:rFonts w:ascii="Times New Roman" w:hAnsi="Times New Roman" w:cs="Times New Roman"/>
          <w:i/>
          <w:iCs/>
        </w:rPr>
        <w:t>Sustainability</w:t>
      </w:r>
      <w:r w:rsidRPr="0030247E">
        <w:rPr>
          <w:rFonts w:ascii="Times New Roman" w:hAnsi="Times New Roman" w:cs="Times New Roman"/>
        </w:rPr>
        <w:t xml:space="preserve">, </w:t>
      </w:r>
      <w:r w:rsidRPr="0030247E">
        <w:rPr>
          <w:rFonts w:ascii="Times New Roman" w:hAnsi="Times New Roman" w:cs="Times New Roman"/>
          <w:i/>
          <w:iCs/>
        </w:rPr>
        <w:t>13</w:t>
      </w:r>
      <w:r w:rsidRPr="0030247E">
        <w:rPr>
          <w:rFonts w:ascii="Times New Roman" w:hAnsi="Times New Roman" w:cs="Times New Roman"/>
        </w:rPr>
        <w:t xml:space="preserve">(3), 1528. </w:t>
      </w:r>
    </w:p>
    <w:p w14:paraId="2E899DAD" w14:textId="77777777" w:rsidR="006515E9" w:rsidRPr="0030247E" w:rsidRDefault="006515E9" w:rsidP="006515E9">
      <w:pPr>
        <w:spacing w:after="0"/>
        <w:ind w:hanging="720"/>
        <w:rPr>
          <w:rFonts w:ascii="Times New Roman" w:hAnsi="Times New Roman" w:cs="Times New Roman"/>
        </w:rPr>
      </w:pPr>
      <w:r w:rsidRPr="0030247E">
        <w:rPr>
          <w:rFonts w:ascii="Times New Roman" w:hAnsi="Times New Roman" w:cs="Times New Roman"/>
        </w:rPr>
        <w:t xml:space="preserve">Cao, Z., &amp; Shi, X. (2020). A systematic literature review of entrepreneurial ecosystems in advanced and emerging economies. </w:t>
      </w:r>
      <w:r w:rsidRPr="0030247E">
        <w:rPr>
          <w:rFonts w:ascii="Times New Roman" w:hAnsi="Times New Roman" w:cs="Times New Roman"/>
          <w:i/>
          <w:iCs/>
        </w:rPr>
        <w:t>Small Business Economics</w:t>
      </w:r>
      <w:r w:rsidRPr="0030247E">
        <w:rPr>
          <w:rFonts w:ascii="Times New Roman" w:hAnsi="Times New Roman" w:cs="Times New Roman"/>
        </w:rPr>
        <w:t xml:space="preserve">, </w:t>
      </w:r>
      <w:r w:rsidRPr="0030247E">
        <w:rPr>
          <w:rFonts w:ascii="Times New Roman" w:hAnsi="Times New Roman" w:cs="Times New Roman"/>
          <w:i/>
          <w:iCs/>
        </w:rPr>
        <w:t>54</w:t>
      </w:r>
      <w:r w:rsidRPr="0030247E">
        <w:rPr>
          <w:rFonts w:ascii="Times New Roman" w:hAnsi="Times New Roman" w:cs="Times New Roman"/>
        </w:rPr>
        <w:t xml:space="preserve">(4), 1063–1090. </w:t>
      </w:r>
    </w:p>
    <w:p w14:paraId="7072B349" w14:textId="77777777" w:rsidR="006515E9" w:rsidRPr="001216B0" w:rsidRDefault="006515E9" w:rsidP="006515E9">
      <w:pPr>
        <w:spacing w:after="0"/>
        <w:ind w:hanging="720"/>
        <w:rPr>
          <w:rFonts w:ascii="Times New Roman" w:hAnsi="Times New Roman" w:cs="Times New Roman"/>
          <w:color w:val="000000" w:themeColor="text1"/>
        </w:rPr>
      </w:pPr>
      <w:r w:rsidRPr="001216B0">
        <w:rPr>
          <w:rFonts w:ascii="Times New Roman" w:hAnsi="Times New Roman" w:cs="Times New Roman"/>
          <w:color w:val="000000" w:themeColor="text1"/>
        </w:rPr>
        <w:t xml:space="preserve">Coban, M. K., &amp; Apaydin, F. (2025). Navigating financial cycles: Economic growth, bureaucratic autonomy, and regulatory governance in emerging markets. </w:t>
      </w:r>
      <w:r w:rsidRPr="001216B0">
        <w:rPr>
          <w:rFonts w:ascii="Times New Roman" w:hAnsi="Times New Roman" w:cs="Times New Roman"/>
          <w:i/>
          <w:iCs/>
          <w:color w:val="000000" w:themeColor="text1"/>
        </w:rPr>
        <w:t>Regulation &amp; Governance</w:t>
      </w:r>
      <w:r w:rsidRPr="001216B0">
        <w:rPr>
          <w:rFonts w:ascii="Times New Roman" w:hAnsi="Times New Roman" w:cs="Times New Roman"/>
          <w:color w:val="000000" w:themeColor="text1"/>
        </w:rPr>
        <w:t xml:space="preserve">, </w:t>
      </w:r>
      <w:r w:rsidRPr="001216B0">
        <w:rPr>
          <w:rFonts w:ascii="Times New Roman" w:hAnsi="Times New Roman" w:cs="Times New Roman"/>
          <w:i/>
          <w:iCs/>
          <w:color w:val="000000" w:themeColor="text1"/>
        </w:rPr>
        <w:t>19</w:t>
      </w:r>
      <w:r w:rsidRPr="001216B0">
        <w:rPr>
          <w:rFonts w:ascii="Times New Roman" w:hAnsi="Times New Roman" w:cs="Times New Roman"/>
          <w:color w:val="000000" w:themeColor="text1"/>
        </w:rPr>
        <w:t>(1), 126-145.</w:t>
      </w:r>
    </w:p>
    <w:p w14:paraId="7B54F59F" w14:textId="77777777" w:rsidR="006515E9" w:rsidRPr="0030247E" w:rsidRDefault="006515E9" w:rsidP="006515E9">
      <w:pPr>
        <w:spacing w:after="0"/>
        <w:ind w:hanging="720"/>
        <w:rPr>
          <w:rFonts w:ascii="Times New Roman" w:hAnsi="Times New Roman" w:cs="Times New Roman"/>
        </w:rPr>
      </w:pPr>
      <w:r w:rsidRPr="0030247E">
        <w:rPr>
          <w:rFonts w:ascii="Times New Roman" w:hAnsi="Times New Roman" w:cs="Times New Roman"/>
        </w:rPr>
        <w:t xml:space="preserve">Coburn, C. E. (2016). What’s policy got to do with it? How the structure–agency debate can illuminate policy implementation. </w:t>
      </w:r>
      <w:r w:rsidRPr="0030247E">
        <w:rPr>
          <w:rFonts w:ascii="Times New Roman" w:hAnsi="Times New Roman" w:cs="Times New Roman"/>
          <w:i/>
          <w:iCs/>
        </w:rPr>
        <w:t>American Journal of Education</w:t>
      </w:r>
      <w:r w:rsidRPr="0030247E">
        <w:rPr>
          <w:rFonts w:ascii="Times New Roman" w:hAnsi="Times New Roman" w:cs="Times New Roman"/>
        </w:rPr>
        <w:t xml:space="preserve">, </w:t>
      </w:r>
      <w:r w:rsidRPr="0030247E">
        <w:rPr>
          <w:rFonts w:ascii="Times New Roman" w:hAnsi="Times New Roman" w:cs="Times New Roman"/>
          <w:i/>
          <w:iCs/>
        </w:rPr>
        <w:t>122</w:t>
      </w:r>
      <w:r w:rsidRPr="0030247E">
        <w:rPr>
          <w:rFonts w:ascii="Times New Roman" w:hAnsi="Times New Roman" w:cs="Times New Roman"/>
        </w:rPr>
        <w:t xml:space="preserve">(3), 465–475. </w:t>
      </w:r>
      <w:hyperlink r:id="rId10" w:history="1">
        <w:r w:rsidRPr="0030247E">
          <w:rPr>
            <w:rStyle w:val="Hyperlink"/>
            <w:rFonts w:ascii="Times New Roman" w:hAnsi="Times New Roman" w:cs="Times New Roman"/>
          </w:rPr>
          <w:t>https://doi.org/10.1086/685065</w:t>
        </w:r>
      </w:hyperlink>
      <w:r w:rsidRPr="0030247E">
        <w:rPr>
          <w:rFonts w:ascii="Times New Roman" w:hAnsi="Times New Roman" w:cs="Times New Roman"/>
        </w:rPr>
        <w:t xml:space="preserve"> </w:t>
      </w:r>
    </w:p>
    <w:p w14:paraId="055FC994" w14:textId="77777777" w:rsidR="006515E9" w:rsidRPr="0030247E" w:rsidRDefault="006515E9" w:rsidP="006515E9">
      <w:pPr>
        <w:spacing w:after="0"/>
        <w:ind w:hanging="720"/>
        <w:rPr>
          <w:rFonts w:ascii="Times New Roman" w:hAnsi="Times New Roman" w:cs="Times New Roman"/>
        </w:rPr>
      </w:pPr>
      <w:r w:rsidRPr="0030247E">
        <w:rPr>
          <w:rFonts w:ascii="Times New Roman" w:hAnsi="Times New Roman" w:cs="Times New Roman"/>
        </w:rPr>
        <w:t xml:space="preserve">Dharwadkar, B., George, G., &amp; Brandes, P. (2000). Privatization in emerging economies: An agency theory perspective. </w:t>
      </w:r>
      <w:r w:rsidRPr="0030247E">
        <w:rPr>
          <w:rFonts w:ascii="Times New Roman" w:hAnsi="Times New Roman" w:cs="Times New Roman"/>
          <w:i/>
          <w:iCs/>
        </w:rPr>
        <w:t>Academy of Management Review</w:t>
      </w:r>
      <w:r w:rsidRPr="0030247E">
        <w:rPr>
          <w:rFonts w:ascii="Times New Roman" w:hAnsi="Times New Roman" w:cs="Times New Roman"/>
        </w:rPr>
        <w:t xml:space="preserve">, </w:t>
      </w:r>
      <w:r w:rsidRPr="0030247E">
        <w:rPr>
          <w:rFonts w:ascii="Times New Roman" w:hAnsi="Times New Roman" w:cs="Times New Roman"/>
          <w:i/>
          <w:iCs/>
        </w:rPr>
        <w:t>25</w:t>
      </w:r>
      <w:r w:rsidRPr="0030247E">
        <w:rPr>
          <w:rFonts w:ascii="Times New Roman" w:hAnsi="Times New Roman" w:cs="Times New Roman"/>
        </w:rPr>
        <w:t xml:space="preserve">(3), 650–669. </w:t>
      </w:r>
      <w:hyperlink r:id="rId11" w:history="1">
        <w:r w:rsidRPr="0030247E">
          <w:rPr>
            <w:rStyle w:val="Hyperlink"/>
            <w:rFonts w:ascii="Times New Roman" w:hAnsi="Times New Roman" w:cs="Times New Roman"/>
          </w:rPr>
          <w:t>https://doi.org/10.5465/amr.2000.3363533</w:t>
        </w:r>
      </w:hyperlink>
      <w:r w:rsidRPr="0030247E">
        <w:rPr>
          <w:rFonts w:ascii="Times New Roman" w:hAnsi="Times New Roman" w:cs="Times New Roman"/>
        </w:rPr>
        <w:t xml:space="preserve"> </w:t>
      </w:r>
    </w:p>
    <w:p w14:paraId="46C4ED22" w14:textId="77777777" w:rsidR="006515E9" w:rsidRPr="0030247E" w:rsidRDefault="006515E9" w:rsidP="006515E9">
      <w:pPr>
        <w:spacing w:after="0"/>
        <w:ind w:hanging="720"/>
        <w:rPr>
          <w:rFonts w:ascii="Times New Roman" w:hAnsi="Times New Roman" w:cs="Times New Roman"/>
        </w:rPr>
      </w:pPr>
      <w:r w:rsidRPr="0030247E">
        <w:rPr>
          <w:rFonts w:ascii="Times New Roman" w:hAnsi="Times New Roman" w:cs="Times New Roman"/>
        </w:rPr>
        <w:lastRenderedPageBreak/>
        <w:t xml:space="preserve">Erasmus, E., Orgill, M., Schneider, H., &amp; Gilson, L. (2014). Mapping the existing body of health policy implementation research in lower income settings: What is covered and what are the gaps? </w:t>
      </w:r>
      <w:r w:rsidRPr="0030247E">
        <w:rPr>
          <w:rFonts w:ascii="Times New Roman" w:hAnsi="Times New Roman" w:cs="Times New Roman"/>
          <w:i/>
          <w:iCs/>
        </w:rPr>
        <w:t>Health Policy and Planning</w:t>
      </w:r>
      <w:r w:rsidRPr="0030247E">
        <w:rPr>
          <w:rFonts w:ascii="Times New Roman" w:hAnsi="Times New Roman" w:cs="Times New Roman"/>
        </w:rPr>
        <w:t xml:space="preserve">, </w:t>
      </w:r>
      <w:r w:rsidRPr="0030247E">
        <w:rPr>
          <w:rFonts w:ascii="Times New Roman" w:hAnsi="Times New Roman" w:cs="Times New Roman"/>
          <w:i/>
          <w:iCs/>
        </w:rPr>
        <w:t>29</w:t>
      </w:r>
      <w:r w:rsidRPr="0030247E">
        <w:rPr>
          <w:rFonts w:ascii="Times New Roman" w:hAnsi="Times New Roman" w:cs="Times New Roman"/>
        </w:rPr>
        <w:t xml:space="preserve">(Suppl 3), iii35–iii50. </w:t>
      </w:r>
      <w:hyperlink r:id="rId12" w:history="1">
        <w:r w:rsidRPr="0030247E">
          <w:rPr>
            <w:rStyle w:val="Hyperlink"/>
            <w:rFonts w:ascii="Times New Roman" w:hAnsi="Times New Roman" w:cs="Times New Roman"/>
          </w:rPr>
          <w:t>https://doi.org/10.1093/heapol/czu055</w:t>
        </w:r>
      </w:hyperlink>
      <w:r w:rsidRPr="0030247E">
        <w:rPr>
          <w:rFonts w:ascii="Times New Roman" w:hAnsi="Times New Roman" w:cs="Times New Roman"/>
        </w:rPr>
        <w:t xml:space="preserve"> </w:t>
      </w:r>
    </w:p>
    <w:p w14:paraId="0BCA1E4D" w14:textId="77777777" w:rsidR="006515E9" w:rsidRPr="0030247E" w:rsidRDefault="006515E9" w:rsidP="006515E9">
      <w:pPr>
        <w:spacing w:after="0"/>
        <w:ind w:hanging="720"/>
        <w:rPr>
          <w:rFonts w:ascii="Times New Roman" w:hAnsi="Times New Roman" w:cs="Times New Roman"/>
        </w:rPr>
      </w:pPr>
      <w:proofErr w:type="spellStart"/>
      <w:r w:rsidRPr="0030247E">
        <w:rPr>
          <w:rFonts w:ascii="Times New Roman" w:hAnsi="Times New Roman" w:cs="Times New Roman"/>
        </w:rPr>
        <w:t>Fargues</w:t>
      </w:r>
      <w:proofErr w:type="spellEnd"/>
      <w:r w:rsidRPr="0030247E">
        <w:rPr>
          <w:rFonts w:ascii="Times New Roman" w:hAnsi="Times New Roman" w:cs="Times New Roman"/>
        </w:rPr>
        <w:t xml:space="preserve">, É., &amp; </w:t>
      </w:r>
      <w:proofErr w:type="spellStart"/>
      <w:r w:rsidRPr="0030247E">
        <w:rPr>
          <w:rFonts w:ascii="Times New Roman" w:hAnsi="Times New Roman" w:cs="Times New Roman"/>
        </w:rPr>
        <w:t>Sredanovic</w:t>
      </w:r>
      <w:proofErr w:type="spellEnd"/>
      <w:r w:rsidRPr="0030247E">
        <w:rPr>
          <w:rFonts w:ascii="Times New Roman" w:hAnsi="Times New Roman" w:cs="Times New Roman"/>
        </w:rPr>
        <w:t xml:space="preserve">, D. (2025). The dynamics of migration policy implementation: The frontline and beyond. </w:t>
      </w:r>
      <w:r w:rsidRPr="0030247E">
        <w:rPr>
          <w:rFonts w:ascii="Times New Roman" w:hAnsi="Times New Roman" w:cs="Times New Roman"/>
          <w:i/>
          <w:iCs/>
        </w:rPr>
        <w:t>Social Policy &amp; Administration</w:t>
      </w:r>
      <w:r w:rsidRPr="0030247E">
        <w:rPr>
          <w:rFonts w:ascii="Times New Roman" w:hAnsi="Times New Roman" w:cs="Times New Roman"/>
        </w:rPr>
        <w:t xml:space="preserve">, </w:t>
      </w:r>
      <w:r w:rsidRPr="0030247E">
        <w:rPr>
          <w:rFonts w:ascii="Times New Roman" w:hAnsi="Times New Roman" w:cs="Times New Roman"/>
          <w:i/>
          <w:iCs/>
        </w:rPr>
        <w:t>59</w:t>
      </w:r>
      <w:r w:rsidRPr="0030247E">
        <w:rPr>
          <w:rFonts w:ascii="Times New Roman" w:hAnsi="Times New Roman" w:cs="Times New Roman"/>
        </w:rPr>
        <w:t xml:space="preserve">(4), 567–579. </w:t>
      </w:r>
      <w:hyperlink r:id="rId13" w:history="1">
        <w:r w:rsidRPr="0030247E">
          <w:rPr>
            <w:rStyle w:val="Hyperlink"/>
            <w:rFonts w:ascii="Times New Roman" w:hAnsi="Times New Roman" w:cs="Times New Roman"/>
          </w:rPr>
          <w:t>https://doi.org/10.1111/spol.13045</w:t>
        </w:r>
      </w:hyperlink>
      <w:r w:rsidRPr="0030247E">
        <w:rPr>
          <w:rFonts w:ascii="Times New Roman" w:hAnsi="Times New Roman" w:cs="Times New Roman"/>
        </w:rPr>
        <w:t xml:space="preserve"> </w:t>
      </w:r>
    </w:p>
    <w:p w14:paraId="63F9277E" w14:textId="77777777" w:rsidR="006515E9" w:rsidRDefault="006515E9" w:rsidP="006515E9">
      <w:pPr>
        <w:spacing w:after="0"/>
        <w:ind w:hanging="720"/>
        <w:rPr>
          <w:rFonts w:ascii="Times New Roman" w:hAnsi="Times New Roman" w:cs="Times New Roman"/>
        </w:rPr>
      </w:pPr>
      <w:r w:rsidRPr="0030247E">
        <w:rPr>
          <w:rFonts w:ascii="Times New Roman" w:hAnsi="Times New Roman" w:cs="Times New Roman"/>
        </w:rPr>
        <w:t xml:space="preserve">Fernández </w:t>
      </w:r>
      <w:proofErr w:type="spellStart"/>
      <w:r w:rsidRPr="0030247E">
        <w:rPr>
          <w:rFonts w:ascii="Times New Roman" w:hAnsi="Times New Roman" w:cs="Times New Roman"/>
        </w:rPr>
        <w:t>i</w:t>
      </w:r>
      <w:proofErr w:type="spellEnd"/>
      <w:r w:rsidRPr="0030247E">
        <w:rPr>
          <w:rFonts w:ascii="Times New Roman" w:hAnsi="Times New Roman" w:cs="Times New Roman"/>
        </w:rPr>
        <w:t xml:space="preserve"> Marín, X., Hinterleitner, M., Knill, C., &amp; Steinebach, Y. (2023). Policy growth, implementation capacities, and the effect on policy performance. </w:t>
      </w:r>
      <w:r w:rsidRPr="0030247E">
        <w:rPr>
          <w:rFonts w:ascii="Times New Roman" w:hAnsi="Times New Roman" w:cs="Times New Roman"/>
          <w:i/>
          <w:iCs/>
        </w:rPr>
        <w:t>Governance</w:t>
      </w:r>
      <w:r w:rsidRPr="0030247E">
        <w:rPr>
          <w:rFonts w:ascii="Times New Roman" w:hAnsi="Times New Roman" w:cs="Times New Roman"/>
        </w:rPr>
        <w:t xml:space="preserve">, </w:t>
      </w:r>
      <w:r w:rsidRPr="0030247E">
        <w:rPr>
          <w:rFonts w:ascii="Times New Roman" w:hAnsi="Times New Roman" w:cs="Times New Roman"/>
          <w:i/>
          <w:iCs/>
        </w:rPr>
        <w:t>36</w:t>
      </w:r>
      <w:r w:rsidRPr="0030247E">
        <w:rPr>
          <w:rFonts w:ascii="Times New Roman" w:hAnsi="Times New Roman" w:cs="Times New Roman"/>
        </w:rPr>
        <w:t xml:space="preserve">(4), 1073–1093. </w:t>
      </w:r>
      <w:hyperlink r:id="rId14" w:history="1">
        <w:r w:rsidRPr="0030247E">
          <w:rPr>
            <w:rStyle w:val="Hyperlink"/>
            <w:rFonts w:ascii="Times New Roman" w:hAnsi="Times New Roman" w:cs="Times New Roman"/>
          </w:rPr>
          <w:t>https://doi.org/10.1111/gove.12745</w:t>
        </w:r>
      </w:hyperlink>
      <w:r w:rsidRPr="0030247E">
        <w:rPr>
          <w:rFonts w:ascii="Times New Roman" w:hAnsi="Times New Roman" w:cs="Times New Roman"/>
        </w:rPr>
        <w:t xml:space="preserve"> </w:t>
      </w:r>
    </w:p>
    <w:p w14:paraId="686CFD77" w14:textId="77777777" w:rsidR="006515E9" w:rsidRPr="00905A24" w:rsidRDefault="006515E9" w:rsidP="006515E9">
      <w:pPr>
        <w:spacing w:after="0"/>
        <w:ind w:hanging="720"/>
        <w:rPr>
          <w:rFonts w:ascii="Times New Roman" w:hAnsi="Times New Roman" w:cs="Times New Roman"/>
          <w:color w:val="EE0000"/>
        </w:rPr>
      </w:pPr>
      <w:r w:rsidRPr="00905A24">
        <w:rPr>
          <w:rFonts w:ascii="Times New Roman" w:hAnsi="Times New Roman" w:cs="Times New Roman"/>
          <w:color w:val="EE0000"/>
        </w:rPr>
        <w:t xml:space="preserve">Fernández-I-Marín, X., Knill, C., Steinbacher, C., &amp; Steinebach, Y. (2024). Bureaucratic quality and the gap between implementation burden and administrative capacities. </w:t>
      </w:r>
      <w:r w:rsidRPr="00905A24">
        <w:rPr>
          <w:rFonts w:ascii="Times New Roman" w:hAnsi="Times New Roman" w:cs="Times New Roman"/>
          <w:i/>
          <w:iCs/>
          <w:color w:val="EE0000"/>
        </w:rPr>
        <w:t>American Political Science Review</w:t>
      </w:r>
      <w:r w:rsidRPr="00905A24">
        <w:rPr>
          <w:rFonts w:ascii="Times New Roman" w:hAnsi="Times New Roman" w:cs="Times New Roman"/>
          <w:color w:val="EE0000"/>
        </w:rPr>
        <w:t xml:space="preserve">, </w:t>
      </w:r>
      <w:r w:rsidRPr="00905A24">
        <w:rPr>
          <w:rFonts w:ascii="Times New Roman" w:hAnsi="Times New Roman" w:cs="Times New Roman"/>
          <w:i/>
          <w:iCs/>
          <w:color w:val="EE0000"/>
        </w:rPr>
        <w:t>118</w:t>
      </w:r>
      <w:r w:rsidRPr="00905A24">
        <w:rPr>
          <w:rFonts w:ascii="Times New Roman" w:hAnsi="Times New Roman" w:cs="Times New Roman"/>
          <w:color w:val="EE0000"/>
        </w:rPr>
        <w:t>(3), 1240-1260.</w:t>
      </w:r>
    </w:p>
    <w:p w14:paraId="38449F43" w14:textId="77777777" w:rsidR="006515E9" w:rsidRPr="0030247E" w:rsidRDefault="006515E9" w:rsidP="006515E9">
      <w:pPr>
        <w:spacing w:after="0"/>
        <w:ind w:hanging="720"/>
        <w:rPr>
          <w:rFonts w:ascii="Times New Roman" w:hAnsi="Times New Roman" w:cs="Times New Roman"/>
        </w:rPr>
      </w:pPr>
      <w:r w:rsidRPr="0030247E">
        <w:rPr>
          <w:rFonts w:ascii="Times New Roman" w:hAnsi="Times New Roman" w:cs="Times New Roman"/>
        </w:rPr>
        <w:t xml:space="preserve">Fransen, T., Meckling, J. O., Stünzi, A., Schmidt, T. S., Egli, F., Schmid, N., &amp; Beaton, C. (2023). Taking stock of the implementation gap in climate policy. </w:t>
      </w:r>
      <w:r w:rsidRPr="0030247E">
        <w:rPr>
          <w:rFonts w:ascii="Times New Roman" w:hAnsi="Times New Roman" w:cs="Times New Roman"/>
          <w:i/>
          <w:iCs/>
        </w:rPr>
        <w:t>Nature Climate Change</w:t>
      </w:r>
      <w:r w:rsidRPr="0030247E">
        <w:rPr>
          <w:rFonts w:ascii="Times New Roman" w:hAnsi="Times New Roman" w:cs="Times New Roman"/>
        </w:rPr>
        <w:t xml:space="preserve">. Advance online publication. </w:t>
      </w:r>
    </w:p>
    <w:p w14:paraId="3B9EAFCC" w14:textId="77777777" w:rsidR="006515E9" w:rsidRPr="0030247E" w:rsidRDefault="006515E9" w:rsidP="006515E9">
      <w:pPr>
        <w:spacing w:after="0"/>
        <w:ind w:hanging="720"/>
        <w:rPr>
          <w:rFonts w:ascii="Times New Roman" w:hAnsi="Times New Roman" w:cs="Times New Roman"/>
        </w:rPr>
      </w:pPr>
      <w:r w:rsidRPr="0030247E">
        <w:rPr>
          <w:rFonts w:ascii="Times New Roman" w:hAnsi="Times New Roman" w:cs="Times New Roman"/>
        </w:rPr>
        <w:t xml:space="preserve">Haddad, C., Nakić, V., Bergek, A., &amp; </w:t>
      </w:r>
      <w:proofErr w:type="spellStart"/>
      <w:r w:rsidRPr="0030247E">
        <w:rPr>
          <w:rFonts w:ascii="Times New Roman" w:hAnsi="Times New Roman" w:cs="Times New Roman"/>
        </w:rPr>
        <w:t>Hellsmark</w:t>
      </w:r>
      <w:proofErr w:type="spellEnd"/>
      <w:r w:rsidRPr="0030247E">
        <w:rPr>
          <w:rFonts w:ascii="Times New Roman" w:hAnsi="Times New Roman" w:cs="Times New Roman"/>
        </w:rPr>
        <w:t xml:space="preserve">, H. (2022). Transformative innovation policy: A systematic review. </w:t>
      </w:r>
      <w:r w:rsidRPr="0030247E">
        <w:rPr>
          <w:rFonts w:ascii="Times New Roman" w:hAnsi="Times New Roman" w:cs="Times New Roman"/>
          <w:i/>
          <w:iCs/>
        </w:rPr>
        <w:t>Environmental Innovation and Societal Transitions</w:t>
      </w:r>
      <w:r w:rsidRPr="0030247E">
        <w:rPr>
          <w:rFonts w:ascii="Times New Roman" w:hAnsi="Times New Roman" w:cs="Times New Roman"/>
        </w:rPr>
        <w:t xml:space="preserve">, </w:t>
      </w:r>
      <w:r w:rsidRPr="0030247E">
        <w:rPr>
          <w:rFonts w:ascii="Times New Roman" w:hAnsi="Times New Roman" w:cs="Times New Roman"/>
          <w:i/>
          <w:iCs/>
        </w:rPr>
        <w:t>43</w:t>
      </w:r>
      <w:r w:rsidRPr="0030247E">
        <w:rPr>
          <w:rFonts w:ascii="Times New Roman" w:hAnsi="Times New Roman" w:cs="Times New Roman"/>
        </w:rPr>
        <w:t xml:space="preserve">, 14–33. </w:t>
      </w:r>
      <w:hyperlink r:id="rId15" w:history="1">
        <w:r w:rsidRPr="0030247E">
          <w:rPr>
            <w:rStyle w:val="Hyperlink"/>
            <w:rFonts w:ascii="Times New Roman" w:hAnsi="Times New Roman" w:cs="Times New Roman"/>
          </w:rPr>
          <w:t>https://doi.org/10.1016/j.eist.2022.02.001</w:t>
        </w:r>
      </w:hyperlink>
    </w:p>
    <w:p w14:paraId="51CAF282" w14:textId="77777777" w:rsidR="006515E9" w:rsidRPr="0030247E" w:rsidRDefault="006515E9" w:rsidP="006515E9">
      <w:pPr>
        <w:spacing w:after="0"/>
        <w:ind w:hanging="720"/>
        <w:rPr>
          <w:rFonts w:ascii="Times New Roman" w:hAnsi="Times New Roman" w:cs="Times New Roman"/>
        </w:rPr>
      </w:pPr>
      <w:proofErr w:type="spellStart"/>
      <w:r w:rsidRPr="0030247E">
        <w:rPr>
          <w:rFonts w:ascii="Times New Roman" w:hAnsi="Times New Roman" w:cs="Times New Roman"/>
        </w:rPr>
        <w:t>Hoskisson</w:t>
      </w:r>
      <w:proofErr w:type="spellEnd"/>
      <w:r w:rsidRPr="0030247E">
        <w:rPr>
          <w:rFonts w:ascii="Times New Roman" w:hAnsi="Times New Roman" w:cs="Times New Roman"/>
        </w:rPr>
        <w:t xml:space="preserve">, R. E., Eden, L., Lau, C. M., &amp; Wright, M. (2000). Strategy in emerging economies. </w:t>
      </w:r>
      <w:r w:rsidRPr="0030247E">
        <w:rPr>
          <w:rFonts w:ascii="Times New Roman" w:hAnsi="Times New Roman" w:cs="Times New Roman"/>
          <w:i/>
          <w:iCs/>
        </w:rPr>
        <w:t>Academy of Management Journal</w:t>
      </w:r>
      <w:r w:rsidRPr="0030247E">
        <w:rPr>
          <w:rFonts w:ascii="Times New Roman" w:hAnsi="Times New Roman" w:cs="Times New Roman"/>
        </w:rPr>
        <w:t xml:space="preserve">, </w:t>
      </w:r>
      <w:r w:rsidRPr="0030247E">
        <w:rPr>
          <w:rFonts w:ascii="Times New Roman" w:hAnsi="Times New Roman" w:cs="Times New Roman"/>
          <w:i/>
          <w:iCs/>
        </w:rPr>
        <w:t>43</w:t>
      </w:r>
      <w:r w:rsidRPr="0030247E">
        <w:rPr>
          <w:rFonts w:ascii="Times New Roman" w:hAnsi="Times New Roman" w:cs="Times New Roman"/>
        </w:rPr>
        <w:t xml:space="preserve">(3), 249–267. </w:t>
      </w:r>
      <w:hyperlink r:id="rId16" w:history="1">
        <w:r w:rsidRPr="0030247E">
          <w:rPr>
            <w:rStyle w:val="Hyperlink"/>
            <w:rFonts w:ascii="Times New Roman" w:hAnsi="Times New Roman" w:cs="Times New Roman"/>
          </w:rPr>
          <w:t>https://doi.org/10.5465/1556404</w:t>
        </w:r>
      </w:hyperlink>
      <w:r w:rsidRPr="0030247E">
        <w:rPr>
          <w:rFonts w:ascii="Times New Roman" w:hAnsi="Times New Roman" w:cs="Times New Roman"/>
        </w:rPr>
        <w:t xml:space="preserve"> </w:t>
      </w:r>
    </w:p>
    <w:p w14:paraId="71C6576A" w14:textId="77777777" w:rsidR="006515E9" w:rsidRPr="0030247E" w:rsidRDefault="006515E9" w:rsidP="006515E9">
      <w:pPr>
        <w:spacing w:after="0"/>
        <w:ind w:hanging="720"/>
        <w:rPr>
          <w:rFonts w:ascii="Times New Roman" w:hAnsi="Times New Roman" w:cs="Times New Roman"/>
        </w:rPr>
      </w:pPr>
      <w:r w:rsidRPr="0030247E">
        <w:rPr>
          <w:rFonts w:ascii="Times New Roman" w:hAnsi="Times New Roman" w:cs="Times New Roman"/>
        </w:rPr>
        <w:t xml:space="preserve">Hudson, B., Hunter, D., &amp; Peckham, S. (2019). Policy failure and the policy implementation gap: Can policy support programs help? </w:t>
      </w:r>
      <w:r w:rsidRPr="0030247E">
        <w:rPr>
          <w:rFonts w:ascii="Times New Roman" w:hAnsi="Times New Roman" w:cs="Times New Roman"/>
          <w:i/>
          <w:iCs/>
        </w:rPr>
        <w:t>Policy Design and Practice</w:t>
      </w:r>
      <w:r w:rsidRPr="0030247E">
        <w:rPr>
          <w:rFonts w:ascii="Times New Roman" w:hAnsi="Times New Roman" w:cs="Times New Roman"/>
        </w:rPr>
        <w:t xml:space="preserve">, </w:t>
      </w:r>
      <w:r w:rsidRPr="0030247E">
        <w:rPr>
          <w:rFonts w:ascii="Times New Roman" w:hAnsi="Times New Roman" w:cs="Times New Roman"/>
          <w:i/>
          <w:iCs/>
        </w:rPr>
        <w:t>2</w:t>
      </w:r>
      <w:r w:rsidRPr="0030247E">
        <w:rPr>
          <w:rFonts w:ascii="Times New Roman" w:hAnsi="Times New Roman" w:cs="Times New Roman"/>
        </w:rPr>
        <w:t xml:space="preserve">(1), 1–14. </w:t>
      </w:r>
    </w:p>
    <w:p w14:paraId="611476D1" w14:textId="77777777" w:rsidR="006515E9" w:rsidRPr="0030247E" w:rsidRDefault="006515E9" w:rsidP="006515E9">
      <w:pPr>
        <w:spacing w:after="0"/>
        <w:ind w:hanging="720"/>
        <w:rPr>
          <w:rFonts w:ascii="Times New Roman" w:hAnsi="Times New Roman" w:cs="Times New Roman"/>
        </w:rPr>
      </w:pPr>
      <w:r w:rsidRPr="0030247E">
        <w:rPr>
          <w:rFonts w:ascii="Times New Roman" w:hAnsi="Times New Roman" w:cs="Times New Roman"/>
        </w:rPr>
        <w:t xml:space="preserve">Khan, A. R., &amp; Shahriar, K. (2016). A critical insight into policy implementation and implementation performance. </w:t>
      </w:r>
      <w:r w:rsidRPr="0030247E">
        <w:rPr>
          <w:rFonts w:ascii="Times New Roman" w:hAnsi="Times New Roman" w:cs="Times New Roman"/>
          <w:i/>
          <w:iCs/>
        </w:rPr>
        <w:t>Public Policy and Administration</w:t>
      </w:r>
      <w:r w:rsidRPr="0030247E">
        <w:rPr>
          <w:rFonts w:ascii="Times New Roman" w:hAnsi="Times New Roman" w:cs="Times New Roman"/>
        </w:rPr>
        <w:t xml:space="preserve">, </w:t>
      </w:r>
      <w:r w:rsidRPr="0030247E">
        <w:rPr>
          <w:rFonts w:ascii="Times New Roman" w:hAnsi="Times New Roman" w:cs="Times New Roman"/>
          <w:i/>
          <w:iCs/>
        </w:rPr>
        <w:t>15</w:t>
      </w:r>
      <w:r w:rsidRPr="0030247E">
        <w:rPr>
          <w:rFonts w:ascii="Times New Roman" w:hAnsi="Times New Roman" w:cs="Times New Roman"/>
        </w:rPr>
        <w:t xml:space="preserve">(4), 527–547. </w:t>
      </w:r>
    </w:p>
    <w:p w14:paraId="691F0CC2" w14:textId="77777777" w:rsidR="006515E9" w:rsidRPr="0030247E" w:rsidRDefault="006515E9" w:rsidP="006515E9">
      <w:pPr>
        <w:spacing w:after="0"/>
        <w:ind w:hanging="720"/>
        <w:rPr>
          <w:rFonts w:ascii="Times New Roman" w:hAnsi="Times New Roman" w:cs="Times New Roman"/>
        </w:rPr>
      </w:pPr>
      <w:r w:rsidRPr="0030247E">
        <w:rPr>
          <w:rFonts w:ascii="Times New Roman" w:hAnsi="Times New Roman" w:cs="Times New Roman"/>
        </w:rPr>
        <w:t xml:space="preserve">Krammer, S. M. S. (2017). Greasing the wheels of change: Bribery, institutions, and new product introductions in emerging markets. </w:t>
      </w:r>
      <w:r w:rsidRPr="0030247E">
        <w:rPr>
          <w:rFonts w:ascii="Times New Roman" w:hAnsi="Times New Roman" w:cs="Times New Roman"/>
          <w:i/>
          <w:iCs/>
        </w:rPr>
        <w:t>Journal of Management</w:t>
      </w:r>
      <w:r w:rsidRPr="0030247E">
        <w:rPr>
          <w:rFonts w:ascii="Times New Roman" w:hAnsi="Times New Roman" w:cs="Times New Roman"/>
        </w:rPr>
        <w:t xml:space="preserve">, </w:t>
      </w:r>
      <w:r w:rsidRPr="0030247E">
        <w:rPr>
          <w:rFonts w:ascii="Times New Roman" w:hAnsi="Times New Roman" w:cs="Times New Roman"/>
          <w:i/>
          <w:iCs/>
        </w:rPr>
        <w:t>43</w:t>
      </w:r>
      <w:r w:rsidRPr="0030247E">
        <w:rPr>
          <w:rFonts w:ascii="Times New Roman" w:hAnsi="Times New Roman" w:cs="Times New Roman"/>
        </w:rPr>
        <w:t xml:space="preserve">(4), 1039–1066. </w:t>
      </w:r>
    </w:p>
    <w:p w14:paraId="673970B3" w14:textId="77777777" w:rsidR="006515E9" w:rsidRPr="0030247E" w:rsidRDefault="006515E9" w:rsidP="006515E9">
      <w:pPr>
        <w:spacing w:after="0"/>
        <w:ind w:hanging="720"/>
        <w:rPr>
          <w:rFonts w:ascii="Times New Roman" w:hAnsi="Times New Roman" w:cs="Times New Roman"/>
        </w:rPr>
      </w:pPr>
      <w:r w:rsidRPr="0030247E">
        <w:rPr>
          <w:rFonts w:ascii="Times New Roman" w:hAnsi="Times New Roman" w:cs="Times New Roman"/>
        </w:rPr>
        <w:t xml:space="preserve">Lane, J. E. (2013). The principal–agent approach to politics: Policy implementation and public policy making. </w:t>
      </w:r>
      <w:r w:rsidRPr="0030247E">
        <w:rPr>
          <w:rFonts w:ascii="Times New Roman" w:hAnsi="Times New Roman" w:cs="Times New Roman"/>
          <w:i/>
          <w:iCs/>
        </w:rPr>
        <w:t>Open Journal of Political Science</w:t>
      </w:r>
      <w:r w:rsidRPr="0030247E">
        <w:rPr>
          <w:rFonts w:ascii="Times New Roman" w:hAnsi="Times New Roman" w:cs="Times New Roman"/>
        </w:rPr>
        <w:t xml:space="preserve">, </w:t>
      </w:r>
      <w:r w:rsidRPr="0030247E">
        <w:rPr>
          <w:rFonts w:ascii="Times New Roman" w:hAnsi="Times New Roman" w:cs="Times New Roman"/>
          <w:i/>
          <w:iCs/>
        </w:rPr>
        <w:t>3</w:t>
      </w:r>
      <w:r w:rsidRPr="0030247E">
        <w:rPr>
          <w:rFonts w:ascii="Times New Roman" w:hAnsi="Times New Roman" w:cs="Times New Roman"/>
        </w:rPr>
        <w:t xml:space="preserve">(2), 85–89. </w:t>
      </w:r>
    </w:p>
    <w:p w14:paraId="21A57765" w14:textId="77777777" w:rsidR="006515E9" w:rsidRPr="0030247E" w:rsidRDefault="006515E9" w:rsidP="006515E9">
      <w:pPr>
        <w:spacing w:after="0"/>
        <w:ind w:hanging="720"/>
        <w:rPr>
          <w:rFonts w:ascii="Times New Roman" w:hAnsi="Times New Roman" w:cs="Times New Roman"/>
        </w:rPr>
      </w:pPr>
      <w:proofErr w:type="spellStart"/>
      <w:r w:rsidRPr="00B40AA8">
        <w:rPr>
          <w:rFonts w:ascii="Times New Roman" w:hAnsi="Times New Roman" w:cs="Times New Roman"/>
        </w:rPr>
        <w:t>Lebbar</w:t>
      </w:r>
      <w:proofErr w:type="spellEnd"/>
      <w:r w:rsidRPr="00B40AA8">
        <w:rPr>
          <w:rFonts w:ascii="Times New Roman" w:hAnsi="Times New Roman" w:cs="Times New Roman"/>
        </w:rPr>
        <w:t>, H., &amp; El-</w:t>
      </w:r>
      <w:proofErr w:type="spellStart"/>
      <w:r w:rsidRPr="00B40AA8">
        <w:rPr>
          <w:rFonts w:ascii="Times New Roman" w:hAnsi="Times New Roman" w:cs="Times New Roman"/>
        </w:rPr>
        <w:t>Aroui</w:t>
      </w:r>
      <w:proofErr w:type="spellEnd"/>
      <w:r w:rsidRPr="00B40AA8">
        <w:rPr>
          <w:rFonts w:ascii="Times New Roman" w:hAnsi="Times New Roman" w:cs="Times New Roman"/>
        </w:rPr>
        <w:t xml:space="preserve">, M.-A. (2026). CSR performance in global context: Institutional determinants in developed, developing, and emerging economies. </w:t>
      </w:r>
      <w:r w:rsidRPr="00B40AA8">
        <w:rPr>
          <w:rFonts w:ascii="Times New Roman" w:hAnsi="Times New Roman" w:cs="Times New Roman"/>
          <w:i/>
          <w:iCs/>
        </w:rPr>
        <w:t>Social Responsibility Journal</w:t>
      </w:r>
      <w:r w:rsidRPr="00B40AA8">
        <w:rPr>
          <w:rFonts w:ascii="Times New Roman" w:hAnsi="Times New Roman" w:cs="Times New Roman"/>
        </w:rPr>
        <w:t xml:space="preserve">, </w:t>
      </w:r>
      <w:r w:rsidRPr="00B40AA8">
        <w:rPr>
          <w:rFonts w:ascii="Times New Roman" w:hAnsi="Times New Roman" w:cs="Times New Roman"/>
          <w:i/>
          <w:iCs/>
        </w:rPr>
        <w:t>22</w:t>
      </w:r>
      <w:r w:rsidRPr="00B40AA8">
        <w:rPr>
          <w:rFonts w:ascii="Times New Roman" w:hAnsi="Times New Roman" w:cs="Times New Roman"/>
        </w:rPr>
        <w:t xml:space="preserve">(2), 315–337. </w:t>
      </w:r>
      <w:hyperlink r:id="rId17" w:history="1">
        <w:r w:rsidRPr="00B40AA8">
          <w:rPr>
            <w:rStyle w:val="Hyperlink"/>
            <w:rFonts w:ascii="Times New Roman" w:hAnsi="Times New Roman" w:cs="Times New Roman"/>
          </w:rPr>
          <w:t>https://doi.org/10.1108/SRJ-04-2025-0386</w:t>
        </w:r>
      </w:hyperlink>
    </w:p>
    <w:p w14:paraId="63E21489" w14:textId="77777777" w:rsidR="006515E9" w:rsidRPr="0030247E" w:rsidRDefault="006515E9" w:rsidP="006515E9">
      <w:pPr>
        <w:spacing w:after="0"/>
        <w:ind w:hanging="720"/>
        <w:rPr>
          <w:rFonts w:ascii="Times New Roman" w:hAnsi="Times New Roman" w:cs="Times New Roman"/>
        </w:rPr>
      </w:pPr>
      <w:r w:rsidRPr="0030247E">
        <w:rPr>
          <w:rFonts w:ascii="Times New Roman" w:hAnsi="Times New Roman" w:cs="Times New Roman"/>
        </w:rPr>
        <w:t xml:space="preserve">Macdonald, A. (2019). “Somehow this whole process became so artificial”: Exploring the transitional justice implementation gap in Uganda. </w:t>
      </w:r>
      <w:r w:rsidRPr="0030247E">
        <w:rPr>
          <w:rFonts w:ascii="Times New Roman" w:hAnsi="Times New Roman" w:cs="Times New Roman"/>
          <w:i/>
          <w:iCs/>
        </w:rPr>
        <w:t>International Journal of Transitional Justice</w:t>
      </w:r>
      <w:r w:rsidRPr="0030247E">
        <w:rPr>
          <w:rFonts w:ascii="Times New Roman" w:hAnsi="Times New Roman" w:cs="Times New Roman"/>
        </w:rPr>
        <w:t xml:space="preserve">, </w:t>
      </w:r>
      <w:r w:rsidRPr="0030247E">
        <w:rPr>
          <w:rFonts w:ascii="Times New Roman" w:hAnsi="Times New Roman" w:cs="Times New Roman"/>
          <w:i/>
          <w:iCs/>
        </w:rPr>
        <w:t>13</w:t>
      </w:r>
      <w:r w:rsidRPr="0030247E">
        <w:rPr>
          <w:rFonts w:ascii="Times New Roman" w:hAnsi="Times New Roman" w:cs="Times New Roman"/>
        </w:rPr>
        <w:t xml:space="preserve">(2), 225–245. </w:t>
      </w:r>
      <w:hyperlink r:id="rId18" w:history="1">
        <w:r w:rsidRPr="0030247E">
          <w:rPr>
            <w:rStyle w:val="Hyperlink"/>
            <w:rFonts w:ascii="Times New Roman" w:hAnsi="Times New Roman" w:cs="Times New Roman"/>
          </w:rPr>
          <w:t>https://doi.org/10.1093/ijtj/ijz006</w:t>
        </w:r>
      </w:hyperlink>
      <w:r w:rsidRPr="0030247E">
        <w:rPr>
          <w:rFonts w:ascii="Times New Roman" w:hAnsi="Times New Roman" w:cs="Times New Roman"/>
        </w:rPr>
        <w:t xml:space="preserve"> </w:t>
      </w:r>
    </w:p>
    <w:p w14:paraId="733ACA78" w14:textId="77777777" w:rsidR="006515E9" w:rsidRPr="0030247E" w:rsidRDefault="006515E9" w:rsidP="006515E9">
      <w:pPr>
        <w:spacing w:after="0"/>
        <w:ind w:hanging="720"/>
        <w:rPr>
          <w:rFonts w:ascii="Times New Roman" w:hAnsi="Times New Roman" w:cs="Times New Roman"/>
        </w:rPr>
      </w:pPr>
      <w:r w:rsidRPr="0030247E">
        <w:rPr>
          <w:rFonts w:ascii="Times New Roman" w:hAnsi="Times New Roman" w:cs="Times New Roman"/>
        </w:rPr>
        <w:t xml:space="preserve">Maheswari, N. R., </w:t>
      </w:r>
      <w:proofErr w:type="spellStart"/>
      <w:r w:rsidRPr="0030247E">
        <w:rPr>
          <w:rFonts w:ascii="Times New Roman" w:hAnsi="Times New Roman" w:cs="Times New Roman"/>
        </w:rPr>
        <w:t>Hariyanto</w:t>
      </w:r>
      <w:proofErr w:type="spellEnd"/>
      <w:r w:rsidRPr="0030247E">
        <w:rPr>
          <w:rFonts w:ascii="Times New Roman" w:hAnsi="Times New Roman" w:cs="Times New Roman"/>
        </w:rPr>
        <w:t xml:space="preserve">, T., &amp; </w:t>
      </w:r>
      <w:proofErr w:type="spellStart"/>
      <w:r w:rsidRPr="0030247E">
        <w:rPr>
          <w:rFonts w:ascii="Times New Roman" w:hAnsi="Times New Roman" w:cs="Times New Roman"/>
        </w:rPr>
        <w:t>Ndung</w:t>
      </w:r>
      <w:proofErr w:type="spellEnd"/>
      <w:r w:rsidRPr="0030247E">
        <w:rPr>
          <w:rFonts w:ascii="Times New Roman" w:hAnsi="Times New Roman" w:cs="Times New Roman"/>
        </w:rPr>
        <w:t xml:space="preserve">, Y. (2025). Implementation of internal bureaucratic reform policy. </w:t>
      </w:r>
      <w:r w:rsidRPr="0030247E">
        <w:rPr>
          <w:rFonts w:ascii="Times New Roman" w:hAnsi="Times New Roman" w:cs="Times New Roman"/>
          <w:i/>
          <w:iCs/>
        </w:rPr>
        <w:t>International Journal of Research in Social Science and Humanities</w:t>
      </w:r>
      <w:r w:rsidRPr="0030247E">
        <w:rPr>
          <w:rFonts w:ascii="Times New Roman" w:hAnsi="Times New Roman" w:cs="Times New Roman"/>
        </w:rPr>
        <w:t xml:space="preserve">, </w:t>
      </w:r>
      <w:r w:rsidRPr="0030247E">
        <w:rPr>
          <w:rFonts w:ascii="Times New Roman" w:hAnsi="Times New Roman" w:cs="Times New Roman"/>
          <w:i/>
          <w:iCs/>
        </w:rPr>
        <w:t>6</w:t>
      </w:r>
      <w:r w:rsidRPr="0030247E">
        <w:rPr>
          <w:rFonts w:ascii="Times New Roman" w:hAnsi="Times New Roman" w:cs="Times New Roman"/>
        </w:rPr>
        <w:t xml:space="preserve">(3). </w:t>
      </w:r>
    </w:p>
    <w:p w14:paraId="317663B7" w14:textId="77777777" w:rsidR="006515E9" w:rsidRPr="0030247E" w:rsidRDefault="006515E9" w:rsidP="006515E9">
      <w:pPr>
        <w:spacing w:after="0"/>
        <w:ind w:hanging="720"/>
        <w:rPr>
          <w:rFonts w:ascii="Times New Roman" w:hAnsi="Times New Roman" w:cs="Times New Roman"/>
        </w:rPr>
      </w:pPr>
      <w:r w:rsidRPr="0030247E">
        <w:rPr>
          <w:rFonts w:ascii="Times New Roman" w:hAnsi="Times New Roman" w:cs="Times New Roman"/>
        </w:rPr>
        <w:t xml:space="preserve">Massey, A. (2009). Policy mimesis in the context of global governance. </w:t>
      </w:r>
      <w:r w:rsidRPr="0030247E">
        <w:rPr>
          <w:rFonts w:ascii="Times New Roman" w:hAnsi="Times New Roman" w:cs="Times New Roman"/>
          <w:i/>
          <w:iCs/>
        </w:rPr>
        <w:t>Policy Studies</w:t>
      </w:r>
      <w:r w:rsidRPr="0030247E">
        <w:rPr>
          <w:rFonts w:ascii="Times New Roman" w:hAnsi="Times New Roman" w:cs="Times New Roman"/>
        </w:rPr>
        <w:t xml:space="preserve">, </w:t>
      </w:r>
      <w:r w:rsidRPr="0030247E">
        <w:rPr>
          <w:rFonts w:ascii="Times New Roman" w:hAnsi="Times New Roman" w:cs="Times New Roman"/>
          <w:i/>
          <w:iCs/>
        </w:rPr>
        <w:t>30</w:t>
      </w:r>
      <w:r w:rsidRPr="0030247E">
        <w:rPr>
          <w:rFonts w:ascii="Times New Roman" w:hAnsi="Times New Roman" w:cs="Times New Roman"/>
        </w:rPr>
        <w:t xml:space="preserve">(3), 383–395. Meyer, K. E., &amp; Peng, M. W. (2015). Theoretical foundations of emerging economy business research. </w:t>
      </w:r>
      <w:r w:rsidRPr="0030247E">
        <w:rPr>
          <w:rFonts w:ascii="Times New Roman" w:hAnsi="Times New Roman" w:cs="Times New Roman"/>
          <w:i/>
          <w:iCs/>
        </w:rPr>
        <w:t>Journal of International Business Studies</w:t>
      </w:r>
      <w:r w:rsidRPr="0030247E">
        <w:rPr>
          <w:rFonts w:ascii="Times New Roman" w:hAnsi="Times New Roman" w:cs="Times New Roman"/>
        </w:rPr>
        <w:t xml:space="preserve">, </w:t>
      </w:r>
      <w:r w:rsidRPr="0030247E">
        <w:rPr>
          <w:rFonts w:ascii="Times New Roman" w:hAnsi="Times New Roman" w:cs="Times New Roman"/>
          <w:i/>
          <w:iCs/>
        </w:rPr>
        <w:t>46</w:t>
      </w:r>
      <w:r w:rsidRPr="0030247E">
        <w:rPr>
          <w:rFonts w:ascii="Times New Roman" w:hAnsi="Times New Roman" w:cs="Times New Roman"/>
        </w:rPr>
        <w:t xml:space="preserve">(1), 1–22. </w:t>
      </w:r>
    </w:p>
    <w:p w14:paraId="25DC42B7" w14:textId="77777777" w:rsidR="006515E9" w:rsidRPr="0030247E" w:rsidRDefault="006515E9" w:rsidP="006515E9">
      <w:pPr>
        <w:spacing w:after="0"/>
        <w:ind w:hanging="720"/>
        <w:rPr>
          <w:rFonts w:ascii="Times New Roman" w:hAnsi="Times New Roman" w:cs="Times New Roman"/>
        </w:rPr>
      </w:pPr>
      <w:r w:rsidRPr="0030247E">
        <w:rPr>
          <w:rFonts w:ascii="Times New Roman" w:hAnsi="Times New Roman" w:cs="Times New Roman"/>
        </w:rPr>
        <w:lastRenderedPageBreak/>
        <w:t xml:space="preserve">Meyer, K. E., Estrin, S., Bhaumik, S. K., &amp; Peng, M. W. (2020). Institutions, resources, and entry strategies in emerging economies. In </w:t>
      </w:r>
      <w:r w:rsidRPr="0030247E">
        <w:rPr>
          <w:rFonts w:ascii="Times New Roman" w:hAnsi="Times New Roman" w:cs="Times New Roman"/>
          <w:i/>
          <w:iCs/>
        </w:rPr>
        <w:t>Multinational enterprises and emerging economies</w:t>
      </w:r>
      <w:r w:rsidRPr="0030247E">
        <w:rPr>
          <w:rFonts w:ascii="Times New Roman" w:hAnsi="Times New Roman" w:cs="Times New Roman"/>
        </w:rPr>
        <w:t xml:space="preserve"> (123–147).</w:t>
      </w:r>
    </w:p>
    <w:p w14:paraId="0DF83B27" w14:textId="77777777" w:rsidR="006515E9" w:rsidRPr="0030247E" w:rsidRDefault="006515E9" w:rsidP="006515E9">
      <w:pPr>
        <w:spacing w:after="0"/>
        <w:ind w:hanging="720"/>
        <w:rPr>
          <w:rFonts w:ascii="Times New Roman" w:hAnsi="Times New Roman" w:cs="Times New Roman"/>
        </w:rPr>
      </w:pPr>
      <w:r w:rsidRPr="0030247E">
        <w:rPr>
          <w:rFonts w:ascii="Times New Roman" w:hAnsi="Times New Roman" w:cs="Times New Roman"/>
        </w:rPr>
        <w:t xml:space="preserve">O’Toole, L. J. (2004). The theory–practice issue in policy implementation research. </w:t>
      </w:r>
      <w:r w:rsidRPr="0030247E">
        <w:rPr>
          <w:rFonts w:ascii="Times New Roman" w:hAnsi="Times New Roman" w:cs="Times New Roman"/>
          <w:i/>
          <w:iCs/>
        </w:rPr>
        <w:t>Public Administration</w:t>
      </w:r>
      <w:r w:rsidRPr="0030247E">
        <w:rPr>
          <w:rFonts w:ascii="Times New Roman" w:hAnsi="Times New Roman" w:cs="Times New Roman"/>
        </w:rPr>
        <w:t xml:space="preserve">, </w:t>
      </w:r>
      <w:r w:rsidRPr="0030247E">
        <w:rPr>
          <w:rFonts w:ascii="Times New Roman" w:hAnsi="Times New Roman" w:cs="Times New Roman"/>
          <w:i/>
          <w:iCs/>
        </w:rPr>
        <w:t>82</w:t>
      </w:r>
      <w:r w:rsidRPr="0030247E">
        <w:rPr>
          <w:rFonts w:ascii="Times New Roman" w:hAnsi="Times New Roman" w:cs="Times New Roman"/>
        </w:rPr>
        <w:t xml:space="preserve">(2), 309–329. </w:t>
      </w:r>
    </w:p>
    <w:p w14:paraId="07020463" w14:textId="77777777" w:rsidR="006515E9" w:rsidRPr="0030247E" w:rsidRDefault="006515E9" w:rsidP="006515E9">
      <w:pPr>
        <w:spacing w:after="0"/>
        <w:ind w:hanging="720"/>
        <w:rPr>
          <w:rFonts w:ascii="Times New Roman" w:hAnsi="Times New Roman" w:cs="Times New Roman"/>
        </w:rPr>
      </w:pPr>
      <w:r w:rsidRPr="0030247E">
        <w:rPr>
          <w:rFonts w:ascii="Times New Roman" w:hAnsi="Times New Roman" w:cs="Times New Roman"/>
        </w:rPr>
        <w:t xml:space="preserve">Oliveros, V., &amp; Schuster, C. (2018). Merit, tenure, and bureaucratic behavior: Evidence from a conjoint experiment in the Dominican Republic. </w:t>
      </w:r>
      <w:r w:rsidRPr="0030247E">
        <w:rPr>
          <w:rFonts w:ascii="Times New Roman" w:hAnsi="Times New Roman" w:cs="Times New Roman"/>
          <w:i/>
          <w:iCs/>
        </w:rPr>
        <w:t>Comparative Political Studies</w:t>
      </w:r>
      <w:r w:rsidRPr="0030247E">
        <w:rPr>
          <w:rFonts w:ascii="Times New Roman" w:hAnsi="Times New Roman" w:cs="Times New Roman"/>
        </w:rPr>
        <w:t xml:space="preserve">, </w:t>
      </w:r>
      <w:r w:rsidRPr="0030247E">
        <w:rPr>
          <w:rFonts w:ascii="Times New Roman" w:hAnsi="Times New Roman" w:cs="Times New Roman"/>
          <w:i/>
          <w:iCs/>
        </w:rPr>
        <w:t>51</w:t>
      </w:r>
      <w:r w:rsidRPr="0030247E">
        <w:rPr>
          <w:rFonts w:ascii="Times New Roman" w:hAnsi="Times New Roman" w:cs="Times New Roman"/>
        </w:rPr>
        <w:t xml:space="preserve">(6), 759–792. </w:t>
      </w:r>
    </w:p>
    <w:p w14:paraId="736F0CCC" w14:textId="77777777" w:rsidR="006515E9" w:rsidRPr="0030247E" w:rsidRDefault="006515E9" w:rsidP="006515E9">
      <w:pPr>
        <w:spacing w:after="0"/>
        <w:ind w:hanging="720"/>
        <w:rPr>
          <w:rFonts w:ascii="Times New Roman" w:hAnsi="Times New Roman" w:cs="Times New Roman"/>
          <w:color w:val="EE0000"/>
        </w:rPr>
      </w:pPr>
      <w:r w:rsidRPr="009468DA">
        <w:rPr>
          <w:rFonts w:ascii="Times New Roman" w:hAnsi="Times New Roman" w:cs="Times New Roman"/>
          <w:color w:val="EE0000"/>
        </w:rPr>
        <w:t xml:space="preserve">Pedroza, L., &amp; Arrighi, J.-T. (2025). Perspectives on the implementation gap in citizenship policy. </w:t>
      </w:r>
      <w:r w:rsidRPr="009468DA">
        <w:rPr>
          <w:rFonts w:ascii="Times New Roman" w:hAnsi="Times New Roman" w:cs="Times New Roman"/>
          <w:i/>
          <w:iCs/>
          <w:color w:val="EE0000"/>
        </w:rPr>
        <w:t>Comparative Migration Studies</w:t>
      </w:r>
      <w:r w:rsidRPr="009468DA">
        <w:rPr>
          <w:rFonts w:ascii="Times New Roman" w:hAnsi="Times New Roman" w:cs="Times New Roman"/>
          <w:color w:val="EE0000"/>
        </w:rPr>
        <w:t xml:space="preserve">, </w:t>
      </w:r>
      <w:r w:rsidRPr="009468DA">
        <w:rPr>
          <w:rFonts w:ascii="Times New Roman" w:hAnsi="Times New Roman" w:cs="Times New Roman"/>
          <w:i/>
          <w:iCs/>
          <w:color w:val="EE0000"/>
        </w:rPr>
        <w:t>13</w:t>
      </w:r>
      <w:r w:rsidRPr="009468DA">
        <w:rPr>
          <w:rFonts w:ascii="Times New Roman" w:hAnsi="Times New Roman" w:cs="Times New Roman"/>
          <w:color w:val="EE0000"/>
        </w:rPr>
        <w:t xml:space="preserve">(6), 1-15. </w:t>
      </w:r>
      <w:hyperlink r:id="rId19" w:history="1">
        <w:r w:rsidRPr="009468DA">
          <w:rPr>
            <w:rStyle w:val="Hyperlink"/>
            <w:rFonts w:ascii="Times New Roman" w:hAnsi="Times New Roman" w:cs="Times New Roman"/>
          </w:rPr>
          <w:t>https://doi.org/10.1186/s40878-025-00424-4</w:t>
        </w:r>
      </w:hyperlink>
      <w:r w:rsidRPr="0030247E">
        <w:rPr>
          <w:rFonts w:ascii="Times New Roman" w:hAnsi="Times New Roman" w:cs="Times New Roman"/>
          <w:color w:val="EE0000"/>
        </w:rPr>
        <w:t xml:space="preserve"> </w:t>
      </w:r>
    </w:p>
    <w:p w14:paraId="064AEF37" w14:textId="77777777" w:rsidR="006515E9" w:rsidRPr="0030247E" w:rsidRDefault="006515E9" w:rsidP="006515E9">
      <w:pPr>
        <w:spacing w:after="0"/>
        <w:ind w:hanging="720"/>
        <w:rPr>
          <w:rFonts w:ascii="Times New Roman" w:hAnsi="Times New Roman" w:cs="Times New Roman"/>
        </w:rPr>
      </w:pPr>
      <w:r w:rsidRPr="0030247E">
        <w:rPr>
          <w:rFonts w:ascii="Times New Roman" w:hAnsi="Times New Roman" w:cs="Times New Roman"/>
        </w:rPr>
        <w:t xml:space="preserve">Pepinsky, T. B., Pierskalla, J. H., &amp; Sacks, A. (2017). Bureaucracy and service delivery. </w:t>
      </w:r>
      <w:r w:rsidRPr="0030247E">
        <w:rPr>
          <w:rFonts w:ascii="Times New Roman" w:hAnsi="Times New Roman" w:cs="Times New Roman"/>
          <w:i/>
          <w:iCs/>
        </w:rPr>
        <w:t>Annual Review of Political Science</w:t>
      </w:r>
      <w:r w:rsidRPr="0030247E">
        <w:rPr>
          <w:rFonts w:ascii="Times New Roman" w:hAnsi="Times New Roman" w:cs="Times New Roman"/>
        </w:rPr>
        <w:t xml:space="preserve">, </w:t>
      </w:r>
      <w:r w:rsidRPr="0030247E">
        <w:rPr>
          <w:rFonts w:ascii="Times New Roman" w:hAnsi="Times New Roman" w:cs="Times New Roman"/>
          <w:i/>
          <w:iCs/>
        </w:rPr>
        <w:t>20</w:t>
      </w:r>
      <w:r w:rsidRPr="0030247E">
        <w:rPr>
          <w:rFonts w:ascii="Times New Roman" w:hAnsi="Times New Roman" w:cs="Times New Roman"/>
        </w:rPr>
        <w:t xml:space="preserve">, 249–268. </w:t>
      </w:r>
    </w:p>
    <w:p w14:paraId="03C7C343" w14:textId="77777777" w:rsidR="006515E9" w:rsidRPr="0030247E" w:rsidRDefault="006515E9" w:rsidP="006515E9">
      <w:pPr>
        <w:spacing w:after="0"/>
        <w:ind w:hanging="720"/>
        <w:rPr>
          <w:rFonts w:ascii="Times New Roman" w:hAnsi="Times New Roman" w:cs="Times New Roman"/>
        </w:rPr>
      </w:pPr>
      <w:r w:rsidRPr="0030247E">
        <w:rPr>
          <w:rFonts w:ascii="Times New Roman" w:hAnsi="Times New Roman" w:cs="Times New Roman"/>
        </w:rPr>
        <w:t xml:space="preserve">Sætren, H. (2005). Facts and myths about research on public policy implementation: Out of fashion, allegedly dead, but still very much alive and relevant. </w:t>
      </w:r>
      <w:r w:rsidRPr="0030247E">
        <w:rPr>
          <w:rFonts w:ascii="Times New Roman" w:hAnsi="Times New Roman" w:cs="Times New Roman"/>
          <w:i/>
          <w:iCs/>
        </w:rPr>
        <w:t>Policy Studies Journal</w:t>
      </w:r>
      <w:r w:rsidRPr="0030247E">
        <w:rPr>
          <w:rFonts w:ascii="Times New Roman" w:hAnsi="Times New Roman" w:cs="Times New Roman"/>
        </w:rPr>
        <w:t xml:space="preserve">, </w:t>
      </w:r>
      <w:r w:rsidRPr="0030247E">
        <w:rPr>
          <w:rFonts w:ascii="Times New Roman" w:hAnsi="Times New Roman" w:cs="Times New Roman"/>
          <w:i/>
          <w:iCs/>
        </w:rPr>
        <w:t>33</w:t>
      </w:r>
      <w:r w:rsidRPr="0030247E">
        <w:rPr>
          <w:rFonts w:ascii="Times New Roman" w:hAnsi="Times New Roman" w:cs="Times New Roman"/>
        </w:rPr>
        <w:t xml:space="preserve">(4), 559–582. </w:t>
      </w:r>
    </w:p>
    <w:p w14:paraId="219A903F" w14:textId="77777777" w:rsidR="006515E9" w:rsidRPr="00BD2BA8" w:rsidRDefault="006515E9" w:rsidP="006515E9">
      <w:pPr>
        <w:spacing w:after="0"/>
        <w:ind w:hanging="720"/>
        <w:rPr>
          <w:rFonts w:ascii="Times New Roman" w:hAnsi="Times New Roman" w:cs="Times New Roman"/>
          <w:color w:val="000000" w:themeColor="text1"/>
        </w:rPr>
      </w:pPr>
      <w:r w:rsidRPr="00BD2BA8">
        <w:rPr>
          <w:rFonts w:ascii="Times New Roman" w:hAnsi="Times New Roman" w:cs="Times New Roman"/>
          <w:color w:val="000000" w:themeColor="text1"/>
        </w:rPr>
        <w:t xml:space="preserve">Sandfort, J. R., &amp; Moulton, S. (2020). Replication or innovation? Structuration in policy implementation. </w:t>
      </w:r>
      <w:r w:rsidRPr="00BD2BA8">
        <w:rPr>
          <w:rFonts w:ascii="Times New Roman" w:hAnsi="Times New Roman" w:cs="Times New Roman"/>
          <w:i/>
          <w:iCs/>
          <w:color w:val="000000" w:themeColor="text1"/>
        </w:rPr>
        <w:t>Perspectives on Public Management and Governance</w:t>
      </w:r>
      <w:r w:rsidRPr="00BD2BA8">
        <w:rPr>
          <w:rFonts w:ascii="Times New Roman" w:hAnsi="Times New Roman" w:cs="Times New Roman"/>
          <w:color w:val="000000" w:themeColor="text1"/>
        </w:rPr>
        <w:t xml:space="preserve">, </w:t>
      </w:r>
      <w:r w:rsidRPr="00BD2BA8">
        <w:rPr>
          <w:rFonts w:ascii="Times New Roman" w:hAnsi="Times New Roman" w:cs="Times New Roman"/>
          <w:i/>
          <w:iCs/>
          <w:color w:val="000000" w:themeColor="text1"/>
        </w:rPr>
        <w:t>3</w:t>
      </w:r>
      <w:r w:rsidRPr="00BD2BA8">
        <w:rPr>
          <w:rFonts w:ascii="Times New Roman" w:hAnsi="Times New Roman" w:cs="Times New Roman"/>
          <w:color w:val="000000" w:themeColor="text1"/>
        </w:rPr>
        <w:t xml:space="preserve">(2), 141–154. </w:t>
      </w:r>
      <w:hyperlink r:id="rId20" w:history="1">
        <w:r w:rsidRPr="00BD2BA8">
          <w:rPr>
            <w:rStyle w:val="Hyperlink"/>
            <w:rFonts w:ascii="Times New Roman" w:hAnsi="Times New Roman" w:cs="Times New Roman"/>
            <w:color w:val="000000" w:themeColor="text1"/>
          </w:rPr>
          <w:t>https://doi.org/10.1093/ppmgov/gvz029</w:t>
        </w:r>
      </w:hyperlink>
    </w:p>
    <w:p w14:paraId="419C8F7D" w14:textId="77777777" w:rsidR="006515E9" w:rsidRPr="0030247E" w:rsidRDefault="006515E9" w:rsidP="006515E9">
      <w:pPr>
        <w:spacing w:after="0"/>
        <w:ind w:hanging="720"/>
        <w:rPr>
          <w:rFonts w:ascii="Times New Roman" w:hAnsi="Times New Roman" w:cs="Times New Roman"/>
        </w:rPr>
      </w:pPr>
      <w:proofErr w:type="spellStart"/>
      <w:r w:rsidRPr="0030247E">
        <w:rPr>
          <w:rFonts w:ascii="Times New Roman" w:hAnsi="Times New Roman" w:cs="Times New Roman"/>
        </w:rPr>
        <w:t>Schillemans</w:t>
      </w:r>
      <w:proofErr w:type="spellEnd"/>
      <w:r w:rsidRPr="0030247E">
        <w:rPr>
          <w:rFonts w:ascii="Times New Roman" w:hAnsi="Times New Roman" w:cs="Times New Roman"/>
        </w:rPr>
        <w:t xml:space="preserve">, T., &amp; Busuioc, M. (2014). Predicting public sector accountability: From agency drift to forum drift. </w:t>
      </w:r>
      <w:r w:rsidRPr="0030247E">
        <w:rPr>
          <w:rFonts w:ascii="Times New Roman" w:hAnsi="Times New Roman" w:cs="Times New Roman"/>
          <w:i/>
          <w:iCs/>
        </w:rPr>
        <w:t>Journal of Public Administration Research and Theory</w:t>
      </w:r>
      <w:r w:rsidRPr="0030247E">
        <w:rPr>
          <w:rFonts w:ascii="Times New Roman" w:hAnsi="Times New Roman" w:cs="Times New Roman"/>
        </w:rPr>
        <w:t xml:space="preserve">, </w:t>
      </w:r>
      <w:r w:rsidRPr="0030247E">
        <w:rPr>
          <w:rFonts w:ascii="Times New Roman" w:hAnsi="Times New Roman" w:cs="Times New Roman"/>
          <w:i/>
          <w:iCs/>
        </w:rPr>
        <w:t>25</w:t>
      </w:r>
      <w:r w:rsidRPr="0030247E">
        <w:rPr>
          <w:rFonts w:ascii="Times New Roman" w:hAnsi="Times New Roman" w:cs="Times New Roman"/>
        </w:rPr>
        <w:t xml:space="preserve">(1), 191–215. </w:t>
      </w:r>
      <w:hyperlink r:id="rId21" w:history="1">
        <w:r w:rsidRPr="0030247E">
          <w:rPr>
            <w:rStyle w:val="Hyperlink"/>
            <w:rFonts w:ascii="Times New Roman" w:hAnsi="Times New Roman" w:cs="Times New Roman"/>
          </w:rPr>
          <w:t>https://doi.org/10.1093/jopart/muu035</w:t>
        </w:r>
      </w:hyperlink>
      <w:r w:rsidRPr="0030247E">
        <w:rPr>
          <w:rFonts w:ascii="Times New Roman" w:hAnsi="Times New Roman" w:cs="Times New Roman"/>
        </w:rPr>
        <w:t xml:space="preserve"> </w:t>
      </w:r>
    </w:p>
    <w:p w14:paraId="2E3976A4" w14:textId="77777777" w:rsidR="006515E9" w:rsidRPr="0030247E" w:rsidRDefault="006515E9" w:rsidP="006515E9">
      <w:pPr>
        <w:spacing w:after="0"/>
        <w:ind w:hanging="720"/>
        <w:rPr>
          <w:rFonts w:ascii="Times New Roman" w:hAnsi="Times New Roman" w:cs="Times New Roman"/>
        </w:rPr>
      </w:pPr>
      <w:r w:rsidRPr="0030247E">
        <w:rPr>
          <w:rFonts w:ascii="Times New Roman" w:hAnsi="Times New Roman" w:cs="Times New Roman"/>
        </w:rPr>
        <w:t xml:space="preserve">Shi, Z., Li, B., &amp; </w:t>
      </w:r>
      <w:proofErr w:type="spellStart"/>
      <w:r w:rsidRPr="0030247E">
        <w:rPr>
          <w:rFonts w:ascii="Times New Roman" w:hAnsi="Times New Roman" w:cs="Times New Roman"/>
        </w:rPr>
        <w:t>Bilți</w:t>
      </w:r>
      <w:proofErr w:type="spellEnd"/>
      <w:r w:rsidRPr="0030247E">
        <w:rPr>
          <w:rFonts w:ascii="Times New Roman" w:hAnsi="Times New Roman" w:cs="Times New Roman"/>
        </w:rPr>
        <w:t xml:space="preserve">, R. (2025). Constraints to sustainable energy technology implementation: Insights from an emerging economy using ISM-MICMAC analysis. </w:t>
      </w:r>
      <w:r w:rsidRPr="0030247E">
        <w:rPr>
          <w:rFonts w:ascii="Times New Roman" w:hAnsi="Times New Roman" w:cs="Times New Roman"/>
          <w:i/>
          <w:iCs/>
        </w:rPr>
        <w:t>PLOS ONE</w:t>
      </w:r>
      <w:r w:rsidRPr="0030247E">
        <w:rPr>
          <w:rFonts w:ascii="Times New Roman" w:hAnsi="Times New Roman" w:cs="Times New Roman"/>
        </w:rPr>
        <w:t xml:space="preserve">, </w:t>
      </w:r>
      <w:r w:rsidRPr="0030247E">
        <w:rPr>
          <w:rFonts w:ascii="Times New Roman" w:hAnsi="Times New Roman" w:cs="Times New Roman"/>
          <w:i/>
          <w:iCs/>
        </w:rPr>
        <w:t>20</w:t>
      </w:r>
      <w:r w:rsidRPr="0030247E">
        <w:rPr>
          <w:rFonts w:ascii="Times New Roman" w:hAnsi="Times New Roman" w:cs="Times New Roman"/>
        </w:rPr>
        <w:t xml:space="preserve">(9), e0301234. </w:t>
      </w:r>
    </w:p>
    <w:p w14:paraId="6D894F50" w14:textId="77777777" w:rsidR="006515E9" w:rsidRPr="0030247E" w:rsidRDefault="006515E9" w:rsidP="006515E9">
      <w:pPr>
        <w:spacing w:after="0"/>
        <w:ind w:hanging="720"/>
        <w:rPr>
          <w:rFonts w:ascii="Times New Roman" w:hAnsi="Times New Roman" w:cs="Times New Roman"/>
        </w:rPr>
      </w:pPr>
      <w:r w:rsidRPr="0030247E">
        <w:rPr>
          <w:rFonts w:ascii="Times New Roman" w:hAnsi="Times New Roman" w:cs="Times New Roman"/>
        </w:rPr>
        <w:t xml:space="preserve">Sil, R., &amp; Katzenstein, P. J. (2010). Analytic eclecticism in the study of world politics: A methodological introduction. </w:t>
      </w:r>
      <w:r w:rsidRPr="0030247E">
        <w:rPr>
          <w:rFonts w:ascii="Times New Roman" w:hAnsi="Times New Roman" w:cs="Times New Roman"/>
          <w:i/>
          <w:iCs/>
        </w:rPr>
        <w:t>Perspectives on Politics</w:t>
      </w:r>
      <w:r w:rsidRPr="0030247E">
        <w:rPr>
          <w:rFonts w:ascii="Times New Roman" w:hAnsi="Times New Roman" w:cs="Times New Roman"/>
        </w:rPr>
        <w:t xml:space="preserve">, </w:t>
      </w:r>
      <w:r w:rsidRPr="0030247E">
        <w:rPr>
          <w:rFonts w:ascii="Times New Roman" w:hAnsi="Times New Roman" w:cs="Times New Roman"/>
          <w:i/>
          <w:iCs/>
        </w:rPr>
        <w:t>8</w:t>
      </w:r>
      <w:r w:rsidRPr="0030247E">
        <w:rPr>
          <w:rFonts w:ascii="Times New Roman" w:hAnsi="Times New Roman" w:cs="Times New Roman"/>
        </w:rPr>
        <w:t xml:space="preserve">(2), 411–431. </w:t>
      </w:r>
      <w:hyperlink r:id="rId22" w:history="1">
        <w:r w:rsidRPr="0030247E">
          <w:rPr>
            <w:rStyle w:val="Hyperlink"/>
            <w:rFonts w:ascii="Times New Roman" w:hAnsi="Times New Roman" w:cs="Times New Roman"/>
          </w:rPr>
          <w:t>https://doi.org/10.1017/S1537592710001179</w:t>
        </w:r>
      </w:hyperlink>
      <w:r w:rsidRPr="0030247E">
        <w:rPr>
          <w:rFonts w:ascii="Times New Roman" w:hAnsi="Times New Roman" w:cs="Times New Roman"/>
        </w:rPr>
        <w:t xml:space="preserve"> </w:t>
      </w:r>
    </w:p>
    <w:p w14:paraId="47B492D1" w14:textId="77777777" w:rsidR="006515E9" w:rsidRPr="0030247E" w:rsidRDefault="006515E9" w:rsidP="006515E9">
      <w:pPr>
        <w:spacing w:after="0"/>
        <w:ind w:hanging="720"/>
        <w:rPr>
          <w:rFonts w:ascii="Times New Roman" w:hAnsi="Times New Roman" w:cs="Times New Roman"/>
        </w:rPr>
      </w:pPr>
      <w:r w:rsidRPr="0030247E">
        <w:rPr>
          <w:rFonts w:ascii="Times New Roman" w:hAnsi="Times New Roman" w:cs="Times New Roman"/>
        </w:rPr>
        <w:t xml:space="preserve">Singh, S., Paul, J., &amp; Dhir, S. (2021). Innovation implementation in Asia-Pacific countries: A review and research agenda. </w:t>
      </w:r>
      <w:r w:rsidRPr="0030247E">
        <w:rPr>
          <w:rFonts w:ascii="Times New Roman" w:hAnsi="Times New Roman" w:cs="Times New Roman"/>
          <w:i/>
          <w:iCs/>
        </w:rPr>
        <w:t>Asia Pacific Business Review</w:t>
      </w:r>
      <w:r w:rsidRPr="0030247E">
        <w:rPr>
          <w:rFonts w:ascii="Times New Roman" w:hAnsi="Times New Roman" w:cs="Times New Roman"/>
        </w:rPr>
        <w:t xml:space="preserve">, </w:t>
      </w:r>
      <w:r w:rsidRPr="0030247E">
        <w:rPr>
          <w:rFonts w:ascii="Times New Roman" w:hAnsi="Times New Roman" w:cs="Times New Roman"/>
          <w:i/>
          <w:iCs/>
        </w:rPr>
        <w:t>27</w:t>
      </w:r>
      <w:r w:rsidRPr="0030247E">
        <w:rPr>
          <w:rFonts w:ascii="Times New Roman" w:hAnsi="Times New Roman" w:cs="Times New Roman"/>
        </w:rPr>
        <w:t xml:space="preserve">(1), 1–28. </w:t>
      </w:r>
    </w:p>
    <w:p w14:paraId="75714559" w14:textId="77777777" w:rsidR="006515E9" w:rsidRPr="0030247E" w:rsidRDefault="006515E9" w:rsidP="006515E9">
      <w:pPr>
        <w:spacing w:after="0"/>
        <w:ind w:hanging="720"/>
        <w:rPr>
          <w:rFonts w:ascii="Times New Roman" w:hAnsi="Times New Roman" w:cs="Times New Roman"/>
        </w:rPr>
      </w:pPr>
      <w:r w:rsidRPr="0030247E">
        <w:rPr>
          <w:rFonts w:ascii="Times New Roman" w:hAnsi="Times New Roman" w:cs="Times New Roman"/>
        </w:rPr>
        <w:t xml:space="preserve">Stone, D. (2016). Understanding the transfer of policy failure: Bricolage, experimentalism and translation. </w:t>
      </w:r>
      <w:r w:rsidRPr="0030247E">
        <w:rPr>
          <w:rFonts w:ascii="Times New Roman" w:hAnsi="Times New Roman" w:cs="Times New Roman"/>
          <w:i/>
          <w:iCs/>
        </w:rPr>
        <w:t>Policy and Politics</w:t>
      </w:r>
      <w:r w:rsidRPr="0030247E">
        <w:rPr>
          <w:rFonts w:ascii="Times New Roman" w:hAnsi="Times New Roman" w:cs="Times New Roman"/>
        </w:rPr>
        <w:t xml:space="preserve">, </w:t>
      </w:r>
      <w:r w:rsidRPr="0030247E">
        <w:rPr>
          <w:rFonts w:ascii="Times New Roman" w:hAnsi="Times New Roman" w:cs="Times New Roman"/>
          <w:i/>
          <w:iCs/>
        </w:rPr>
        <w:t>45</w:t>
      </w:r>
      <w:r w:rsidRPr="0030247E">
        <w:rPr>
          <w:rFonts w:ascii="Times New Roman" w:hAnsi="Times New Roman" w:cs="Times New Roman"/>
        </w:rPr>
        <w:t xml:space="preserve">(1), 55–70. </w:t>
      </w:r>
    </w:p>
    <w:p w14:paraId="157E56FA" w14:textId="77777777" w:rsidR="006515E9" w:rsidRPr="0030247E" w:rsidRDefault="006515E9" w:rsidP="006515E9">
      <w:pPr>
        <w:spacing w:after="0"/>
        <w:ind w:hanging="720"/>
        <w:rPr>
          <w:rFonts w:ascii="Times New Roman" w:hAnsi="Times New Roman" w:cs="Times New Roman"/>
        </w:rPr>
      </w:pPr>
      <w:proofErr w:type="spellStart"/>
      <w:r w:rsidRPr="0030247E">
        <w:rPr>
          <w:rFonts w:ascii="Times New Roman" w:hAnsi="Times New Roman" w:cs="Times New Roman"/>
        </w:rPr>
        <w:t>Sulistyawati</w:t>
      </w:r>
      <w:proofErr w:type="spellEnd"/>
      <w:r w:rsidRPr="0030247E">
        <w:rPr>
          <w:rFonts w:ascii="Times New Roman" w:hAnsi="Times New Roman" w:cs="Times New Roman"/>
        </w:rPr>
        <w:t xml:space="preserve">, A. I., &amp; Nugroho, A. H. D. (2025). Policy diffusion of environmental performance: Economic and institutional determinants in emerging markets. </w:t>
      </w:r>
      <w:r w:rsidRPr="0030247E">
        <w:rPr>
          <w:rFonts w:ascii="Times New Roman" w:hAnsi="Times New Roman" w:cs="Times New Roman"/>
          <w:i/>
          <w:iCs/>
        </w:rPr>
        <w:t>Advances in Environmental Innovation</w:t>
      </w:r>
      <w:r w:rsidRPr="0030247E">
        <w:rPr>
          <w:rFonts w:ascii="Times New Roman" w:hAnsi="Times New Roman" w:cs="Times New Roman"/>
        </w:rPr>
        <w:t xml:space="preserve">, </w:t>
      </w:r>
      <w:r w:rsidRPr="0030247E">
        <w:rPr>
          <w:rFonts w:ascii="Times New Roman" w:hAnsi="Times New Roman" w:cs="Times New Roman"/>
          <w:i/>
          <w:iCs/>
        </w:rPr>
        <w:t>4</w:t>
      </w:r>
      <w:r w:rsidRPr="0030247E">
        <w:rPr>
          <w:rFonts w:ascii="Times New Roman" w:hAnsi="Times New Roman" w:cs="Times New Roman"/>
        </w:rPr>
        <w:t xml:space="preserve">(1), 45–68. </w:t>
      </w:r>
    </w:p>
    <w:p w14:paraId="2ADB812D" w14:textId="77777777" w:rsidR="006515E9" w:rsidRDefault="006515E9" w:rsidP="006515E9">
      <w:pPr>
        <w:spacing w:after="0"/>
        <w:ind w:hanging="720"/>
        <w:rPr>
          <w:rFonts w:ascii="Times New Roman" w:hAnsi="Times New Roman" w:cs="Times New Roman"/>
        </w:rPr>
      </w:pPr>
      <w:proofErr w:type="spellStart"/>
      <w:r w:rsidRPr="0031548F">
        <w:rPr>
          <w:rFonts w:ascii="Times New Roman" w:hAnsi="Times New Roman" w:cs="Times New Roman"/>
        </w:rPr>
        <w:t>Umasugi</w:t>
      </w:r>
      <w:proofErr w:type="spellEnd"/>
      <w:r w:rsidRPr="0031548F">
        <w:rPr>
          <w:rFonts w:ascii="Times New Roman" w:hAnsi="Times New Roman" w:cs="Times New Roman"/>
        </w:rPr>
        <w:t>, M. (2025). Bureaucratic Reform and Public Policy Dynamics: Evaluation Study of One Data Indonesia Program. </w:t>
      </w:r>
      <w:r w:rsidRPr="0031548F">
        <w:rPr>
          <w:rFonts w:ascii="Times New Roman" w:hAnsi="Times New Roman" w:cs="Times New Roman"/>
          <w:i/>
          <w:iCs/>
        </w:rPr>
        <w:t>International Journal of Community Service (IJCS)</w:t>
      </w:r>
      <w:r w:rsidRPr="0031548F">
        <w:rPr>
          <w:rFonts w:ascii="Times New Roman" w:hAnsi="Times New Roman" w:cs="Times New Roman"/>
        </w:rPr>
        <w:t>, </w:t>
      </w:r>
      <w:r w:rsidRPr="0031548F">
        <w:rPr>
          <w:rFonts w:ascii="Times New Roman" w:hAnsi="Times New Roman" w:cs="Times New Roman"/>
          <w:i/>
          <w:iCs/>
        </w:rPr>
        <w:t>4</w:t>
      </w:r>
      <w:r w:rsidRPr="0031548F">
        <w:rPr>
          <w:rFonts w:ascii="Times New Roman" w:hAnsi="Times New Roman" w:cs="Times New Roman"/>
        </w:rPr>
        <w:t>(1), 01–21. https://doi.org/10.55299/ijcs.v4i1.1279</w:t>
      </w:r>
    </w:p>
    <w:p w14:paraId="41F75258" w14:textId="77777777" w:rsidR="006515E9" w:rsidRPr="0030247E" w:rsidRDefault="006515E9" w:rsidP="006515E9">
      <w:pPr>
        <w:spacing w:after="0"/>
        <w:ind w:hanging="720"/>
        <w:rPr>
          <w:rFonts w:ascii="Times New Roman" w:hAnsi="Times New Roman" w:cs="Times New Roman"/>
        </w:rPr>
      </w:pPr>
      <w:proofErr w:type="spellStart"/>
      <w:r w:rsidRPr="0030247E">
        <w:rPr>
          <w:rFonts w:ascii="Times New Roman" w:hAnsi="Times New Roman" w:cs="Times New Roman"/>
        </w:rPr>
        <w:t>Voorn</w:t>
      </w:r>
      <w:proofErr w:type="spellEnd"/>
      <w:r w:rsidRPr="0030247E">
        <w:rPr>
          <w:rFonts w:ascii="Times New Roman" w:hAnsi="Times New Roman" w:cs="Times New Roman"/>
        </w:rPr>
        <w:t xml:space="preserve">, B., Van </w:t>
      </w:r>
      <w:proofErr w:type="spellStart"/>
      <w:r w:rsidRPr="0030247E">
        <w:rPr>
          <w:rFonts w:ascii="Times New Roman" w:hAnsi="Times New Roman" w:cs="Times New Roman"/>
        </w:rPr>
        <w:t>Genugten</w:t>
      </w:r>
      <w:proofErr w:type="spellEnd"/>
      <w:r w:rsidRPr="0030247E">
        <w:rPr>
          <w:rFonts w:ascii="Times New Roman" w:hAnsi="Times New Roman" w:cs="Times New Roman"/>
        </w:rPr>
        <w:t xml:space="preserve">, M., &amp; Van Thiel, S. (2019). Multiple principals, multiple problems: Implications for effective governance and a research agenda for joint service delivery. </w:t>
      </w:r>
      <w:r w:rsidRPr="0030247E">
        <w:rPr>
          <w:rFonts w:ascii="Times New Roman" w:hAnsi="Times New Roman" w:cs="Times New Roman"/>
          <w:i/>
          <w:iCs/>
        </w:rPr>
        <w:t>Public Administration</w:t>
      </w:r>
      <w:r w:rsidRPr="0030247E">
        <w:rPr>
          <w:rFonts w:ascii="Times New Roman" w:hAnsi="Times New Roman" w:cs="Times New Roman"/>
        </w:rPr>
        <w:t xml:space="preserve">, </w:t>
      </w:r>
      <w:r w:rsidRPr="0030247E">
        <w:rPr>
          <w:rFonts w:ascii="Times New Roman" w:hAnsi="Times New Roman" w:cs="Times New Roman"/>
          <w:i/>
          <w:iCs/>
        </w:rPr>
        <w:t>97</w:t>
      </w:r>
      <w:r w:rsidRPr="0030247E">
        <w:rPr>
          <w:rFonts w:ascii="Times New Roman" w:hAnsi="Times New Roman" w:cs="Times New Roman"/>
        </w:rPr>
        <w:t xml:space="preserve">(3), 671–685. </w:t>
      </w:r>
    </w:p>
    <w:p w14:paraId="481EE03F" w14:textId="77777777" w:rsidR="006515E9" w:rsidRPr="0030247E" w:rsidRDefault="006515E9" w:rsidP="006515E9">
      <w:pPr>
        <w:spacing w:after="0"/>
        <w:ind w:hanging="720"/>
        <w:rPr>
          <w:rFonts w:ascii="Times New Roman" w:hAnsi="Times New Roman" w:cs="Times New Roman"/>
        </w:rPr>
      </w:pPr>
      <w:proofErr w:type="spellStart"/>
      <w:r w:rsidRPr="0030247E">
        <w:rPr>
          <w:rFonts w:ascii="Times New Roman" w:hAnsi="Times New Roman" w:cs="Times New Roman"/>
        </w:rPr>
        <w:t>Wajdy</w:t>
      </w:r>
      <w:proofErr w:type="spellEnd"/>
      <w:r w:rsidRPr="0030247E">
        <w:rPr>
          <w:rFonts w:ascii="Times New Roman" w:hAnsi="Times New Roman" w:cs="Times New Roman"/>
        </w:rPr>
        <w:t xml:space="preserve">, M., </w:t>
      </w:r>
      <w:proofErr w:type="spellStart"/>
      <w:r w:rsidRPr="0030247E">
        <w:rPr>
          <w:rFonts w:ascii="Times New Roman" w:hAnsi="Times New Roman" w:cs="Times New Roman"/>
        </w:rPr>
        <w:t>Warsono</w:t>
      </w:r>
      <w:proofErr w:type="spellEnd"/>
      <w:r w:rsidRPr="0030247E">
        <w:rPr>
          <w:rFonts w:ascii="Times New Roman" w:hAnsi="Times New Roman" w:cs="Times New Roman"/>
        </w:rPr>
        <w:t xml:space="preserve">, H., </w:t>
      </w:r>
      <w:proofErr w:type="spellStart"/>
      <w:r w:rsidRPr="0030247E">
        <w:rPr>
          <w:rFonts w:ascii="Times New Roman" w:hAnsi="Times New Roman" w:cs="Times New Roman"/>
        </w:rPr>
        <w:t>Widiartanto</w:t>
      </w:r>
      <w:proofErr w:type="spellEnd"/>
      <w:r w:rsidRPr="0030247E">
        <w:rPr>
          <w:rFonts w:ascii="Times New Roman" w:hAnsi="Times New Roman" w:cs="Times New Roman"/>
        </w:rPr>
        <w:t xml:space="preserve">, W., </w:t>
      </w:r>
      <w:proofErr w:type="spellStart"/>
      <w:r w:rsidRPr="0030247E">
        <w:rPr>
          <w:rFonts w:ascii="Times New Roman" w:hAnsi="Times New Roman" w:cs="Times New Roman"/>
        </w:rPr>
        <w:t>Yuwono</w:t>
      </w:r>
      <w:proofErr w:type="spellEnd"/>
      <w:r w:rsidRPr="0030247E">
        <w:rPr>
          <w:rFonts w:ascii="Times New Roman" w:hAnsi="Times New Roman" w:cs="Times New Roman"/>
        </w:rPr>
        <w:t xml:space="preserve">, T., &amp; </w:t>
      </w:r>
      <w:proofErr w:type="spellStart"/>
      <w:r w:rsidRPr="0030247E">
        <w:rPr>
          <w:rFonts w:ascii="Times New Roman" w:hAnsi="Times New Roman" w:cs="Times New Roman"/>
        </w:rPr>
        <w:t>Atdiwaluyo</w:t>
      </w:r>
      <w:proofErr w:type="spellEnd"/>
      <w:r w:rsidRPr="0030247E">
        <w:rPr>
          <w:rFonts w:ascii="Times New Roman" w:hAnsi="Times New Roman" w:cs="Times New Roman"/>
        </w:rPr>
        <w:t xml:space="preserve">, S. (2021). The planning–implementation–reporting gap of the regional development accountability in Indonesia from principal–agent theory. In </w:t>
      </w:r>
      <w:r w:rsidRPr="0030247E">
        <w:rPr>
          <w:rFonts w:ascii="Times New Roman" w:hAnsi="Times New Roman" w:cs="Times New Roman"/>
          <w:i/>
          <w:iCs/>
        </w:rPr>
        <w:t xml:space="preserve">Proceedings of the 5th International Conference on Indonesian Social </w:t>
      </w:r>
      <w:r w:rsidRPr="0030247E">
        <w:rPr>
          <w:rFonts w:ascii="Times New Roman" w:hAnsi="Times New Roman" w:cs="Times New Roman"/>
          <w:i/>
          <w:iCs/>
        </w:rPr>
        <w:lastRenderedPageBreak/>
        <w:t>and Political Enquiries (ICISPE 2020)</w:t>
      </w:r>
      <w:r w:rsidRPr="0030247E">
        <w:rPr>
          <w:rFonts w:ascii="Times New Roman" w:hAnsi="Times New Roman" w:cs="Times New Roman"/>
        </w:rPr>
        <w:t xml:space="preserve"> (120–127). Atlantis Press. </w:t>
      </w:r>
      <w:hyperlink r:id="rId23" w:history="1">
        <w:r w:rsidRPr="0030247E">
          <w:rPr>
            <w:rStyle w:val="Hyperlink"/>
            <w:rFonts w:ascii="Times New Roman" w:hAnsi="Times New Roman" w:cs="Times New Roman"/>
          </w:rPr>
          <w:t>https://doi.org/10.2991/assehr.k.210129.017</w:t>
        </w:r>
      </w:hyperlink>
      <w:r w:rsidRPr="0030247E">
        <w:rPr>
          <w:rFonts w:ascii="Times New Roman" w:hAnsi="Times New Roman" w:cs="Times New Roman"/>
        </w:rPr>
        <w:t xml:space="preserve"> </w:t>
      </w:r>
    </w:p>
    <w:p w14:paraId="638DA867" w14:textId="77777777" w:rsidR="006515E9" w:rsidRPr="0030247E" w:rsidRDefault="006515E9" w:rsidP="006515E9">
      <w:pPr>
        <w:spacing w:after="0"/>
        <w:ind w:hanging="720"/>
        <w:rPr>
          <w:rFonts w:ascii="Times New Roman" w:hAnsi="Times New Roman" w:cs="Times New Roman"/>
        </w:rPr>
      </w:pPr>
      <w:r w:rsidRPr="0030247E">
        <w:rPr>
          <w:rFonts w:ascii="Times New Roman" w:hAnsi="Times New Roman" w:cs="Times New Roman"/>
        </w:rPr>
        <w:t xml:space="preserve">Waterman, R. W., &amp; Meier, K. J. (1998). Principal–agent models: An expansion? </w:t>
      </w:r>
      <w:r w:rsidRPr="0030247E">
        <w:rPr>
          <w:rFonts w:ascii="Times New Roman" w:hAnsi="Times New Roman" w:cs="Times New Roman"/>
          <w:i/>
          <w:iCs/>
        </w:rPr>
        <w:t>Journal of Public Administration Research and Theory</w:t>
      </w:r>
      <w:r w:rsidRPr="0030247E">
        <w:rPr>
          <w:rFonts w:ascii="Times New Roman" w:hAnsi="Times New Roman" w:cs="Times New Roman"/>
        </w:rPr>
        <w:t xml:space="preserve">, </w:t>
      </w:r>
      <w:r w:rsidRPr="0030247E">
        <w:rPr>
          <w:rFonts w:ascii="Times New Roman" w:hAnsi="Times New Roman" w:cs="Times New Roman"/>
          <w:i/>
          <w:iCs/>
        </w:rPr>
        <w:t>8</w:t>
      </w:r>
      <w:r w:rsidRPr="0030247E">
        <w:rPr>
          <w:rFonts w:ascii="Times New Roman" w:hAnsi="Times New Roman" w:cs="Times New Roman"/>
        </w:rPr>
        <w:t xml:space="preserve">(2), 173–202. </w:t>
      </w:r>
      <w:hyperlink r:id="rId24" w:history="1">
        <w:r w:rsidRPr="0030247E">
          <w:rPr>
            <w:rStyle w:val="Hyperlink"/>
            <w:rFonts w:ascii="Times New Roman" w:hAnsi="Times New Roman" w:cs="Times New Roman"/>
          </w:rPr>
          <w:t>https://doi.org/10.1093/oxfordjournals.jpart.a024379</w:t>
        </w:r>
      </w:hyperlink>
      <w:r w:rsidRPr="0030247E">
        <w:rPr>
          <w:rFonts w:ascii="Times New Roman" w:hAnsi="Times New Roman" w:cs="Times New Roman"/>
        </w:rPr>
        <w:t xml:space="preserve"> </w:t>
      </w:r>
    </w:p>
    <w:p w14:paraId="4C825740" w14:textId="77777777" w:rsidR="006515E9" w:rsidRPr="0030247E" w:rsidRDefault="006515E9" w:rsidP="006515E9">
      <w:pPr>
        <w:spacing w:after="0"/>
        <w:ind w:hanging="720"/>
        <w:rPr>
          <w:rFonts w:ascii="Times New Roman" w:hAnsi="Times New Roman" w:cs="Times New Roman"/>
        </w:rPr>
      </w:pPr>
      <w:r w:rsidRPr="0030247E">
        <w:rPr>
          <w:rFonts w:ascii="Times New Roman" w:hAnsi="Times New Roman" w:cs="Times New Roman"/>
        </w:rPr>
        <w:t xml:space="preserve">Williams, M. J. (2020). Beyond state capacity: Bureaucratic performance, policy implementation and reform. </w:t>
      </w:r>
      <w:r w:rsidRPr="0030247E">
        <w:rPr>
          <w:rFonts w:ascii="Times New Roman" w:hAnsi="Times New Roman" w:cs="Times New Roman"/>
          <w:i/>
          <w:iCs/>
        </w:rPr>
        <w:t>Journal of Institutional Economics</w:t>
      </w:r>
      <w:r w:rsidRPr="0030247E">
        <w:rPr>
          <w:rFonts w:ascii="Times New Roman" w:hAnsi="Times New Roman" w:cs="Times New Roman"/>
        </w:rPr>
        <w:t xml:space="preserve">, </w:t>
      </w:r>
      <w:r w:rsidRPr="0030247E">
        <w:rPr>
          <w:rFonts w:ascii="Times New Roman" w:hAnsi="Times New Roman" w:cs="Times New Roman"/>
          <w:i/>
          <w:iCs/>
        </w:rPr>
        <w:t>16</w:t>
      </w:r>
      <w:r w:rsidRPr="0030247E">
        <w:rPr>
          <w:rFonts w:ascii="Times New Roman" w:hAnsi="Times New Roman" w:cs="Times New Roman"/>
        </w:rPr>
        <w:t xml:space="preserve">(3), 339–356. </w:t>
      </w:r>
      <w:hyperlink r:id="rId25" w:history="1">
        <w:r w:rsidRPr="0030247E">
          <w:rPr>
            <w:rStyle w:val="Hyperlink"/>
            <w:rFonts w:ascii="Times New Roman" w:hAnsi="Times New Roman" w:cs="Times New Roman"/>
          </w:rPr>
          <w:t>https://doi.org/10.1017/S1744137420000018</w:t>
        </w:r>
      </w:hyperlink>
      <w:r w:rsidRPr="0030247E">
        <w:rPr>
          <w:rFonts w:ascii="Times New Roman" w:hAnsi="Times New Roman" w:cs="Times New Roman"/>
        </w:rPr>
        <w:t xml:space="preserve"> </w:t>
      </w:r>
    </w:p>
    <w:p w14:paraId="3F5A184D" w14:textId="77777777" w:rsidR="006515E9" w:rsidRPr="0030247E" w:rsidRDefault="006515E9" w:rsidP="006515E9">
      <w:pPr>
        <w:spacing w:after="0"/>
        <w:ind w:hanging="720"/>
        <w:rPr>
          <w:rFonts w:ascii="Times New Roman" w:hAnsi="Times New Roman" w:cs="Times New Roman"/>
        </w:rPr>
      </w:pPr>
      <w:r w:rsidRPr="0030247E">
        <w:rPr>
          <w:rFonts w:ascii="Times New Roman" w:hAnsi="Times New Roman" w:cs="Times New Roman"/>
        </w:rPr>
        <w:t xml:space="preserve">Zhao, S., Liu, X., Andersson, U., &amp; </w:t>
      </w:r>
      <w:proofErr w:type="spellStart"/>
      <w:r w:rsidRPr="0030247E">
        <w:rPr>
          <w:rFonts w:ascii="Times New Roman" w:hAnsi="Times New Roman" w:cs="Times New Roman"/>
        </w:rPr>
        <w:t>Shenkar</w:t>
      </w:r>
      <w:proofErr w:type="spellEnd"/>
      <w:r w:rsidRPr="0030247E">
        <w:rPr>
          <w:rFonts w:ascii="Times New Roman" w:hAnsi="Times New Roman" w:cs="Times New Roman"/>
        </w:rPr>
        <w:t xml:space="preserve">, O. (2021). Knowledge management of emerging economy multinationals. </w:t>
      </w:r>
      <w:r w:rsidRPr="0030247E">
        <w:rPr>
          <w:rFonts w:ascii="Times New Roman" w:hAnsi="Times New Roman" w:cs="Times New Roman"/>
          <w:i/>
          <w:iCs/>
        </w:rPr>
        <w:t>Journal of World Business</w:t>
      </w:r>
      <w:r w:rsidRPr="0030247E">
        <w:rPr>
          <w:rFonts w:ascii="Times New Roman" w:hAnsi="Times New Roman" w:cs="Times New Roman"/>
        </w:rPr>
        <w:t xml:space="preserve">, </w:t>
      </w:r>
      <w:r w:rsidRPr="0030247E">
        <w:rPr>
          <w:rFonts w:ascii="Times New Roman" w:hAnsi="Times New Roman" w:cs="Times New Roman"/>
          <w:i/>
          <w:iCs/>
        </w:rPr>
        <w:t>56</w:t>
      </w:r>
      <w:r w:rsidRPr="0030247E">
        <w:rPr>
          <w:rFonts w:ascii="Times New Roman" w:hAnsi="Times New Roman" w:cs="Times New Roman"/>
        </w:rPr>
        <w:t>(6), 101237.</w:t>
      </w:r>
    </w:p>
    <w:p w14:paraId="1621A562" w14:textId="77777777" w:rsidR="006515E9" w:rsidRPr="00941AF7" w:rsidRDefault="006515E9" w:rsidP="006515E9">
      <w:pPr>
        <w:spacing w:after="0" w:line="360" w:lineRule="auto"/>
        <w:rPr>
          <w:rFonts w:ascii="Times New Roman" w:hAnsi="Times New Roman" w:cs="Times New Roman"/>
        </w:rPr>
      </w:pPr>
    </w:p>
    <w:sectPr w:rsidR="006515E9" w:rsidRPr="00941AF7">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06C73" w14:textId="77777777" w:rsidR="005E2DBF" w:rsidRDefault="005E2DBF" w:rsidP="00071938">
      <w:pPr>
        <w:spacing w:after="0" w:line="240" w:lineRule="auto"/>
      </w:pPr>
      <w:r>
        <w:separator/>
      </w:r>
    </w:p>
  </w:endnote>
  <w:endnote w:type="continuationSeparator" w:id="0">
    <w:p w14:paraId="797D95F8" w14:textId="77777777" w:rsidR="005E2DBF" w:rsidRDefault="005E2DBF" w:rsidP="00071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481B" w14:textId="77777777" w:rsidR="00EB356F" w:rsidRDefault="00EB3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CA728" w14:textId="77777777" w:rsidR="00EB356F" w:rsidRDefault="00EB35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E4C5" w14:textId="77777777" w:rsidR="00EB356F" w:rsidRDefault="00EB3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50B35" w14:textId="77777777" w:rsidR="005E2DBF" w:rsidRDefault="005E2DBF" w:rsidP="00071938">
      <w:pPr>
        <w:spacing w:after="0" w:line="240" w:lineRule="auto"/>
      </w:pPr>
      <w:r>
        <w:separator/>
      </w:r>
    </w:p>
  </w:footnote>
  <w:footnote w:type="continuationSeparator" w:id="0">
    <w:p w14:paraId="37EDCD6D" w14:textId="77777777" w:rsidR="005E2DBF" w:rsidRDefault="005E2DBF" w:rsidP="00071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A32B" w14:textId="2E8DA11D" w:rsidR="00EB356F" w:rsidRDefault="00000000">
    <w:pPr>
      <w:pStyle w:val="Header"/>
    </w:pPr>
    <w:r>
      <w:rPr>
        <w:noProof/>
      </w:rPr>
      <w:pict w14:anchorId="2B426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9A69" w14:textId="2AC0ACFF" w:rsidR="00EB356F" w:rsidRDefault="00000000">
    <w:pPr>
      <w:pStyle w:val="Header"/>
    </w:pPr>
    <w:r>
      <w:rPr>
        <w:noProof/>
      </w:rPr>
      <w:pict w14:anchorId="6BF17F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F802" w14:textId="0147279A" w:rsidR="00EB356F" w:rsidRDefault="00000000">
    <w:pPr>
      <w:pStyle w:val="Header"/>
    </w:pPr>
    <w:r>
      <w:rPr>
        <w:noProof/>
      </w:rPr>
      <w:pict w14:anchorId="08B42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221CD"/>
    <w:multiLevelType w:val="hybridMultilevel"/>
    <w:tmpl w:val="A2C61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010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FDF"/>
    <w:rsid w:val="00071938"/>
    <w:rsid w:val="000A103B"/>
    <w:rsid w:val="000E78F7"/>
    <w:rsid w:val="001A74A1"/>
    <w:rsid w:val="00264B57"/>
    <w:rsid w:val="002D65FC"/>
    <w:rsid w:val="003150EA"/>
    <w:rsid w:val="00327941"/>
    <w:rsid w:val="0034384F"/>
    <w:rsid w:val="00373853"/>
    <w:rsid w:val="00392830"/>
    <w:rsid w:val="003A4A4F"/>
    <w:rsid w:val="00462706"/>
    <w:rsid w:val="00485B65"/>
    <w:rsid w:val="004E7DF4"/>
    <w:rsid w:val="00525EA9"/>
    <w:rsid w:val="005B45A5"/>
    <w:rsid w:val="005E2DBF"/>
    <w:rsid w:val="00644348"/>
    <w:rsid w:val="006515E9"/>
    <w:rsid w:val="0067562A"/>
    <w:rsid w:val="006B3693"/>
    <w:rsid w:val="006F7FDF"/>
    <w:rsid w:val="007249D8"/>
    <w:rsid w:val="0078252C"/>
    <w:rsid w:val="00796D2D"/>
    <w:rsid w:val="007C3D5C"/>
    <w:rsid w:val="008A258E"/>
    <w:rsid w:val="00940FB0"/>
    <w:rsid w:val="009A07CA"/>
    <w:rsid w:val="009A5E12"/>
    <w:rsid w:val="009F1EC5"/>
    <w:rsid w:val="00A43AF9"/>
    <w:rsid w:val="00A64954"/>
    <w:rsid w:val="00A847A1"/>
    <w:rsid w:val="00AB7FCC"/>
    <w:rsid w:val="00B03047"/>
    <w:rsid w:val="00B71F39"/>
    <w:rsid w:val="00BF56CB"/>
    <w:rsid w:val="00C92BB9"/>
    <w:rsid w:val="00CB62E3"/>
    <w:rsid w:val="00CE799C"/>
    <w:rsid w:val="00CF393C"/>
    <w:rsid w:val="00D35B4F"/>
    <w:rsid w:val="00D67E23"/>
    <w:rsid w:val="00DE1E72"/>
    <w:rsid w:val="00DF06FC"/>
    <w:rsid w:val="00E17E16"/>
    <w:rsid w:val="00E46C69"/>
    <w:rsid w:val="00EB356F"/>
    <w:rsid w:val="00F30086"/>
    <w:rsid w:val="00FB60F6"/>
    <w:rsid w:val="00FE3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D2A0B"/>
  <w15:chartTrackingRefBased/>
  <w15:docId w15:val="{FE7E102D-660C-486C-BA92-7D60CE33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FDF"/>
  </w:style>
  <w:style w:type="paragraph" w:styleId="Heading1">
    <w:name w:val="heading 1"/>
    <w:basedOn w:val="Normal"/>
    <w:next w:val="Normal"/>
    <w:link w:val="Heading1Char"/>
    <w:uiPriority w:val="9"/>
    <w:qFormat/>
    <w:rsid w:val="006F7F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7F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7F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7F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7F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7F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F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F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F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F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7F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7F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7F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7F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7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FDF"/>
    <w:rPr>
      <w:rFonts w:eastAsiaTheme="majorEastAsia" w:cstheme="majorBidi"/>
      <w:color w:val="272727" w:themeColor="text1" w:themeTint="D8"/>
    </w:rPr>
  </w:style>
  <w:style w:type="paragraph" w:styleId="Title">
    <w:name w:val="Title"/>
    <w:basedOn w:val="Normal"/>
    <w:next w:val="Normal"/>
    <w:link w:val="TitleChar"/>
    <w:uiPriority w:val="10"/>
    <w:qFormat/>
    <w:rsid w:val="006F7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F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F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FDF"/>
    <w:pPr>
      <w:spacing w:before="160"/>
      <w:jc w:val="center"/>
    </w:pPr>
    <w:rPr>
      <w:i/>
      <w:iCs/>
      <w:color w:val="404040" w:themeColor="text1" w:themeTint="BF"/>
    </w:rPr>
  </w:style>
  <w:style w:type="character" w:customStyle="1" w:styleId="QuoteChar">
    <w:name w:val="Quote Char"/>
    <w:basedOn w:val="DefaultParagraphFont"/>
    <w:link w:val="Quote"/>
    <w:uiPriority w:val="29"/>
    <w:rsid w:val="006F7FDF"/>
    <w:rPr>
      <w:i/>
      <w:iCs/>
      <w:color w:val="404040" w:themeColor="text1" w:themeTint="BF"/>
    </w:rPr>
  </w:style>
  <w:style w:type="paragraph" w:styleId="ListParagraph">
    <w:name w:val="List Paragraph"/>
    <w:basedOn w:val="Normal"/>
    <w:uiPriority w:val="34"/>
    <w:qFormat/>
    <w:rsid w:val="006F7FDF"/>
    <w:pPr>
      <w:ind w:left="720"/>
      <w:contextualSpacing/>
    </w:pPr>
  </w:style>
  <w:style w:type="character" w:styleId="IntenseEmphasis">
    <w:name w:val="Intense Emphasis"/>
    <w:basedOn w:val="DefaultParagraphFont"/>
    <w:uiPriority w:val="21"/>
    <w:qFormat/>
    <w:rsid w:val="006F7FDF"/>
    <w:rPr>
      <w:i/>
      <w:iCs/>
      <w:color w:val="2F5496" w:themeColor="accent1" w:themeShade="BF"/>
    </w:rPr>
  </w:style>
  <w:style w:type="paragraph" w:styleId="IntenseQuote">
    <w:name w:val="Intense Quote"/>
    <w:basedOn w:val="Normal"/>
    <w:next w:val="Normal"/>
    <w:link w:val="IntenseQuoteChar"/>
    <w:uiPriority w:val="30"/>
    <w:qFormat/>
    <w:rsid w:val="006F7F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7FDF"/>
    <w:rPr>
      <w:i/>
      <w:iCs/>
      <w:color w:val="2F5496" w:themeColor="accent1" w:themeShade="BF"/>
    </w:rPr>
  </w:style>
  <w:style w:type="character" w:styleId="IntenseReference">
    <w:name w:val="Intense Reference"/>
    <w:basedOn w:val="DefaultParagraphFont"/>
    <w:uiPriority w:val="32"/>
    <w:qFormat/>
    <w:rsid w:val="006F7FDF"/>
    <w:rPr>
      <w:b/>
      <w:bCs/>
      <w:smallCaps/>
      <w:color w:val="2F5496" w:themeColor="accent1" w:themeShade="BF"/>
      <w:spacing w:val="5"/>
    </w:rPr>
  </w:style>
  <w:style w:type="character" w:styleId="Hyperlink">
    <w:name w:val="Hyperlink"/>
    <w:basedOn w:val="DefaultParagraphFont"/>
    <w:uiPriority w:val="99"/>
    <w:unhideWhenUsed/>
    <w:rsid w:val="006F7FDF"/>
    <w:rPr>
      <w:color w:val="0563C1" w:themeColor="hyperlink"/>
      <w:u w:val="single"/>
    </w:rPr>
  </w:style>
  <w:style w:type="paragraph" w:styleId="Header">
    <w:name w:val="header"/>
    <w:basedOn w:val="Normal"/>
    <w:link w:val="HeaderChar"/>
    <w:uiPriority w:val="99"/>
    <w:unhideWhenUsed/>
    <w:rsid w:val="00071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938"/>
  </w:style>
  <w:style w:type="paragraph" w:styleId="Footer">
    <w:name w:val="footer"/>
    <w:basedOn w:val="Normal"/>
    <w:link w:val="FooterChar"/>
    <w:uiPriority w:val="99"/>
    <w:unhideWhenUsed/>
    <w:rsid w:val="00071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938"/>
  </w:style>
  <w:style w:type="character" w:styleId="UnresolvedMention">
    <w:name w:val="Unresolved Mention"/>
    <w:basedOn w:val="DefaultParagraphFont"/>
    <w:uiPriority w:val="99"/>
    <w:semiHidden/>
    <w:unhideWhenUsed/>
    <w:rsid w:val="006B3693"/>
    <w:rPr>
      <w:color w:val="605E5C"/>
      <w:shd w:val="clear" w:color="auto" w:fill="E1DFDD"/>
    </w:rPr>
  </w:style>
  <w:style w:type="paragraph" w:styleId="NoSpacing">
    <w:name w:val="No Spacing"/>
    <w:uiPriority w:val="1"/>
    <w:qFormat/>
    <w:rsid w:val="00E17E16"/>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spol.13045" TargetMode="External"/><Relationship Id="rId18" Type="http://schemas.openxmlformats.org/officeDocument/2006/relationships/hyperlink" Target="https://doi.org/10.1093/ijtj/ijz006"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93/jopart/muu035" TargetMode="External"/><Relationship Id="rId7" Type="http://schemas.openxmlformats.org/officeDocument/2006/relationships/endnotes" Target="endnotes.xml"/><Relationship Id="rId12" Type="http://schemas.openxmlformats.org/officeDocument/2006/relationships/hyperlink" Target="https://doi.org/10.1093/heapol/czu055" TargetMode="External"/><Relationship Id="rId17" Type="http://schemas.openxmlformats.org/officeDocument/2006/relationships/hyperlink" Target="https://doi.org/10.1108/SRJ-04-2025-0386" TargetMode="External"/><Relationship Id="rId25" Type="http://schemas.openxmlformats.org/officeDocument/2006/relationships/hyperlink" Target="https://doi.org/10.1017/S174413742000001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5465/1556404" TargetMode="External"/><Relationship Id="rId20" Type="http://schemas.openxmlformats.org/officeDocument/2006/relationships/hyperlink" Target="https://doi.org/10.1093/ppmgov/gvz02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465/amr.2000.3363533" TargetMode="External"/><Relationship Id="rId24" Type="http://schemas.openxmlformats.org/officeDocument/2006/relationships/hyperlink" Target="https://doi.org/10.1093/oxfordjournals.jpart.a02437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eist.2022.02.001" TargetMode="External"/><Relationship Id="rId23" Type="http://schemas.openxmlformats.org/officeDocument/2006/relationships/hyperlink" Target="https://doi.org/10.2991/assehr.k.210129.017" TargetMode="External"/><Relationship Id="rId28" Type="http://schemas.openxmlformats.org/officeDocument/2006/relationships/footer" Target="footer1.xml"/><Relationship Id="rId10" Type="http://schemas.openxmlformats.org/officeDocument/2006/relationships/hyperlink" Target="https://doi.org/10.1086/685065" TargetMode="External"/><Relationship Id="rId19" Type="http://schemas.openxmlformats.org/officeDocument/2006/relationships/hyperlink" Target="https://doi.org/10.1186/s40878-025-00424-4"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186/s13012-020-01041-x" TargetMode="External"/><Relationship Id="rId14" Type="http://schemas.openxmlformats.org/officeDocument/2006/relationships/hyperlink" Target="https://doi.org/10.1111/gove.12745" TargetMode="External"/><Relationship Id="rId22" Type="http://schemas.openxmlformats.org/officeDocument/2006/relationships/hyperlink" Target="https://doi.org/10.1017/S1537592710001179"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111/joms.12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CD723-5923-4FC2-AAE9-AC7D30E6C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27</Pages>
  <Words>10736</Words>
  <Characters>61196</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2026-03-02T23:02:00Z</dcterms:created>
  <dcterms:modified xsi:type="dcterms:W3CDTF">2026-03-10T02:29:00Z</dcterms:modified>
</cp:coreProperties>
</file>