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5AB19" w14:textId="77777777" w:rsidR="00E8639B" w:rsidRPr="009D4DB8" w:rsidRDefault="00E8639B" w:rsidP="00E8639B">
      <w:pPr>
        <w:pStyle w:val="Author"/>
        <w:jc w:val="both"/>
        <w:rPr>
          <w:rFonts w:ascii="Arial" w:hAnsi="Arial" w:cs="Arial"/>
          <w:bCs/>
          <w:i/>
          <w:iCs/>
          <w:kern w:val="28"/>
          <w:sz w:val="20"/>
          <w:u w:val="single"/>
        </w:rPr>
      </w:pPr>
      <w:r w:rsidRPr="009D4DB8">
        <w:rPr>
          <w:rFonts w:ascii="Arial" w:hAnsi="Arial" w:cs="Arial"/>
          <w:bCs/>
          <w:i/>
          <w:iCs/>
          <w:kern w:val="28"/>
          <w:sz w:val="20"/>
          <w:u w:val="single"/>
        </w:rPr>
        <w:t>Original Research Article</w:t>
      </w:r>
    </w:p>
    <w:p w14:paraId="77D9B1B8" w14:textId="77777777" w:rsidR="00493AED" w:rsidRPr="00994095" w:rsidRDefault="00493AED" w:rsidP="00493AED">
      <w:pPr>
        <w:pStyle w:val="Author"/>
        <w:spacing w:line="240" w:lineRule="auto"/>
        <w:jc w:val="both"/>
        <w:rPr>
          <w:rFonts w:ascii="Arial" w:hAnsi="Arial" w:cs="Arial"/>
          <w:bCs/>
          <w:iCs/>
          <w:kern w:val="28"/>
          <w:sz w:val="36"/>
        </w:rPr>
      </w:pPr>
      <w:r w:rsidRPr="00994095">
        <w:rPr>
          <w:rFonts w:ascii="Arial" w:hAnsi="Arial" w:cs="Arial"/>
          <w:bCs/>
          <w:iCs/>
          <w:kern w:val="28"/>
          <w:sz w:val="36"/>
        </w:rPr>
        <w:t xml:space="preserve">Dose-Dependent Effect of </w:t>
      </w:r>
      <w:proofErr w:type="spellStart"/>
      <w:r w:rsidRPr="00994095">
        <w:rPr>
          <w:rFonts w:ascii="Arial" w:hAnsi="Arial" w:cs="Arial"/>
          <w:bCs/>
          <w:iCs/>
          <w:kern w:val="28"/>
          <w:sz w:val="36"/>
        </w:rPr>
        <w:t>Tetrabromobisphenol</w:t>
      </w:r>
      <w:proofErr w:type="spellEnd"/>
      <w:r w:rsidRPr="00994095">
        <w:rPr>
          <w:rFonts w:ascii="Arial" w:hAnsi="Arial" w:cs="Arial"/>
          <w:bCs/>
          <w:iCs/>
          <w:kern w:val="28"/>
          <w:sz w:val="36"/>
        </w:rPr>
        <w:t xml:space="preserve"> A bis (2-hydroxyethyl) ether (TBBPA-DHEE) Exposure on Behavioural Alterations in Adult Zebrafish (</w:t>
      </w:r>
      <w:r w:rsidRPr="00994095">
        <w:rPr>
          <w:rFonts w:ascii="Arial" w:hAnsi="Arial" w:cs="Arial"/>
          <w:bCs/>
          <w:i/>
          <w:iCs/>
          <w:kern w:val="28"/>
          <w:sz w:val="36"/>
        </w:rPr>
        <w:t>Danio rerio</w:t>
      </w:r>
      <w:r w:rsidRPr="00994095">
        <w:rPr>
          <w:rFonts w:ascii="Arial" w:hAnsi="Arial" w:cs="Arial"/>
          <w:bCs/>
          <w:iCs/>
          <w:kern w:val="28"/>
          <w:sz w:val="36"/>
        </w:rPr>
        <w:t>)</w:t>
      </w:r>
    </w:p>
    <w:p w14:paraId="39F7E8EF" w14:textId="77777777" w:rsidR="00A258C3" w:rsidRPr="00994095" w:rsidRDefault="00A258C3" w:rsidP="00441B6F">
      <w:pPr>
        <w:pStyle w:val="Author"/>
        <w:spacing w:line="240" w:lineRule="auto"/>
        <w:jc w:val="both"/>
        <w:rPr>
          <w:rFonts w:ascii="Arial" w:hAnsi="Arial" w:cs="Arial"/>
          <w:sz w:val="36"/>
        </w:rPr>
      </w:pPr>
    </w:p>
    <w:p w14:paraId="7EF3B615" w14:textId="5292D355" w:rsidR="00B01FCD" w:rsidRPr="00994095" w:rsidRDefault="00CC2AE7" w:rsidP="00441B6F">
      <w:pPr>
        <w:pStyle w:val="Copyright"/>
        <w:spacing w:after="0" w:line="240" w:lineRule="auto"/>
        <w:jc w:val="both"/>
        <w:rPr>
          <w:rFonts w:ascii="Arial" w:hAnsi="Arial" w:cs="Arial"/>
        </w:rPr>
        <w:sectPr w:rsidR="00B01FCD" w:rsidRPr="00994095" w:rsidSect="001606D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994095">
        <w:rPr>
          <w:rFonts w:ascii="Arial" w:hAnsi="Arial" w:cs="Arial"/>
          <w:noProof/>
        </w:rPr>
        <mc:AlternateContent>
          <mc:Choice Requires="wps">
            <w:drawing>
              <wp:inline distT="0" distB="0" distL="0" distR="0" wp14:anchorId="1F6F3148" wp14:editId="6C7B55AE">
                <wp:extent cx="5303520" cy="635"/>
                <wp:effectExtent l="9525" t="9525" r="11430" b="9525"/>
                <wp:docPr id="64408414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391FFD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159C9B10" w14:textId="0571D463" w:rsidR="00816D61" w:rsidRPr="00994095" w:rsidRDefault="00B01FCD" w:rsidP="00816D61">
      <w:pPr>
        <w:pStyle w:val="AbstHead"/>
        <w:spacing w:before="240" w:after="0" w:line="360" w:lineRule="auto"/>
        <w:jc w:val="both"/>
        <w:rPr>
          <w:rFonts w:ascii="Arial" w:hAnsi="Arial" w:cs="Arial"/>
        </w:rPr>
      </w:pPr>
      <w:r w:rsidRPr="00994095">
        <w:rPr>
          <w:rFonts w:ascii="Arial" w:hAnsi="Arial" w:cs="Arial"/>
        </w:rPr>
        <w:t>ABSTRACT</w:t>
      </w:r>
      <w:r w:rsidR="0066510A" w:rsidRPr="00994095">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994095" w14:paraId="0E22D2C8" w14:textId="77777777" w:rsidTr="001E44FE">
        <w:tc>
          <w:tcPr>
            <w:tcW w:w="9576" w:type="dxa"/>
            <w:shd w:val="clear" w:color="auto" w:fill="F2F2F2"/>
          </w:tcPr>
          <w:p w14:paraId="03F94D9B" w14:textId="0A1BA4B9" w:rsidR="00505F06" w:rsidRPr="00994095" w:rsidRDefault="00493AED" w:rsidP="00493AED">
            <w:pPr>
              <w:spacing w:line="360" w:lineRule="auto"/>
              <w:jc w:val="both"/>
              <w:rPr>
                <w:rFonts w:ascii="Arial" w:hAnsi="Arial" w:cs="Arial"/>
                <w:sz w:val="24"/>
                <w:szCs w:val="24"/>
              </w:rPr>
            </w:pPr>
            <w:r w:rsidRPr="00994095">
              <w:rPr>
                <w:rFonts w:ascii="Arial" w:hAnsi="Arial" w:cs="Arial"/>
                <w:sz w:val="24"/>
                <w:szCs w:val="24"/>
              </w:rPr>
              <w:t xml:space="preserve">Tetrabromobisphenol A (TBBPA) is the most widely used flame retardant, accounting for approximately 60% of the brominated flame retardant (BFR) market, owing to its flame resistance, thermal stability, and hydrolysis resistance. It may function as an endocrine disruptor, leading to adverse impacts such as embryonic complications, neurotoxicity, reproductive damage, and hepatotoxicity. TBBPA-DHEE remains one of the crucial derivatives and is increasingly used as a safer management option in electronics, thermoplastic polyesters, and circuit board coatings; however, research shows that it may pose toxic risks comparable to, or even greater than, those of its parent compound, although its neurotoxic effects are not yet fully understood. Thus, the current study evaluates the dose-dependent exposure and neurotoxic effect of TBBPA-DHEE. Further, behavioural analysis was performed, including the open field test (OFT), novel tank test (NTT), swimming behaviour test, and dark-light test (DLT), and results displayed that increased anxiety-like behaviour, impaired memory, and decreased locomotor activity could be observed in zebrafish exposed to medium and high concentrations of TBBPA-DHEE. In contrast, low concentration didn’t </w:t>
            </w:r>
            <w:commentRangeStart w:id="0"/>
            <w:r w:rsidRPr="00994095">
              <w:rPr>
                <w:rFonts w:ascii="Arial" w:hAnsi="Arial" w:cs="Arial"/>
                <w:sz w:val="24"/>
                <w:szCs w:val="24"/>
              </w:rPr>
              <w:t xml:space="preserve">display noticeable changes. Moreover, the study's findings show a significant dose-dependent increase in </w:t>
            </w:r>
            <w:r w:rsidR="00AF534D" w:rsidRPr="00994095">
              <w:rPr>
                <w:rFonts w:ascii="Arial" w:hAnsi="Arial" w:cs="Arial"/>
                <w:sz w:val="24"/>
                <w:szCs w:val="24"/>
              </w:rPr>
              <w:t>neurobehavioral</w:t>
            </w:r>
            <w:r w:rsidRPr="00994095">
              <w:rPr>
                <w:rFonts w:ascii="Arial" w:hAnsi="Arial" w:cs="Arial"/>
                <w:sz w:val="24"/>
                <w:szCs w:val="24"/>
              </w:rPr>
              <w:t xml:space="preserve"> dysfunction. Such a study provides deeper insights into TBBPA-DHEE-induced significant </w:t>
            </w:r>
            <w:r w:rsidR="00AF534D" w:rsidRPr="00994095">
              <w:rPr>
                <w:rFonts w:ascii="Arial" w:hAnsi="Arial" w:cs="Arial"/>
                <w:sz w:val="24"/>
                <w:szCs w:val="24"/>
              </w:rPr>
              <w:t>neurobehavioral</w:t>
            </w:r>
            <w:r w:rsidRPr="00994095">
              <w:rPr>
                <w:rFonts w:ascii="Arial" w:hAnsi="Arial" w:cs="Arial"/>
                <w:sz w:val="24"/>
                <w:szCs w:val="24"/>
              </w:rPr>
              <w:t xml:space="preserve"> dysfunctions in zebrafish in a dose-</w:t>
            </w:r>
            <w:r w:rsidRPr="00994095">
              <w:rPr>
                <w:rFonts w:ascii="Arial" w:hAnsi="Arial" w:cs="Arial"/>
                <w:sz w:val="24"/>
                <w:szCs w:val="24"/>
              </w:rPr>
              <w:lastRenderedPageBreak/>
              <w:t>dependent manner. It thus raises substantial concerns about the potential implications for human health.</w:t>
            </w:r>
            <w:commentRangeEnd w:id="0"/>
            <w:r w:rsidR="00AF534D">
              <w:rPr>
                <w:rStyle w:val="CommentReference"/>
                <w:rFonts w:ascii="Times New Roman" w:hAnsi="Times New Roman"/>
                <w:lang w:val="nb-NO" w:eastAsia="nb-NO"/>
              </w:rPr>
              <w:commentReference w:id="0"/>
            </w:r>
          </w:p>
        </w:tc>
      </w:tr>
    </w:tbl>
    <w:p w14:paraId="142BC894" w14:textId="7C1AE6EB" w:rsidR="0024282C" w:rsidRPr="00994095" w:rsidRDefault="00A24E7E" w:rsidP="00816D61">
      <w:pPr>
        <w:pStyle w:val="Body"/>
        <w:spacing w:line="360" w:lineRule="auto"/>
        <w:rPr>
          <w:rFonts w:ascii="Arial" w:hAnsi="Arial" w:cs="Arial"/>
          <w:i/>
        </w:rPr>
      </w:pPr>
      <w:r w:rsidRPr="00994095">
        <w:rPr>
          <w:rFonts w:ascii="Arial" w:hAnsi="Arial" w:cs="Arial"/>
          <w:i/>
        </w:rPr>
        <w:lastRenderedPageBreak/>
        <w:t xml:space="preserve">Keywords: </w:t>
      </w:r>
      <w:r w:rsidR="00493AED" w:rsidRPr="00994095">
        <w:rPr>
          <w:rFonts w:ascii="Arial" w:hAnsi="Arial" w:cs="Arial"/>
          <w:i/>
        </w:rPr>
        <w:t>TBBPA-DHEE; Neurotoxicant; Behavioural Impairment; Dose-Dependent; Zebrafish.</w:t>
      </w:r>
    </w:p>
    <w:p w14:paraId="24678A1F" w14:textId="6B7BBE23" w:rsidR="00790ADA" w:rsidRPr="00994095" w:rsidRDefault="00902823" w:rsidP="00493AED">
      <w:pPr>
        <w:pStyle w:val="AbstHead"/>
        <w:spacing w:after="0" w:line="360" w:lineRule="auto"/>
        <w:jc w:val="both"/>
        <w:rPr>
          <w:rFonts w:ascii="Arial" w:hAnsi="Arial" w:cs="Arial"/>
        </w:rPr>
      </w:pPr>
      <w:r w:rsidRPr="00994095">
        <w:rPr>
          <w:rFonts w:ascii="Arial" w:hAnsi="Arial" w:cs="Arial"/>
        </w:rPr>
        <w:t xml:space="preserve">1. </w:t>
      </w:r>
      <w:r w:rsidR="00B01FCD" w:rsidRPr="00994095">
        <w:rPr>
          <w:rFonts w:ascii="Arial" w:hAnsi="Arial" w:cs="Arial"/>
        </w:rPr>
        <w:t>INTRODUCTION</w:t>
      </w:r>
      <w:r w:rsidR="007F7B32" w:rsidRPr="00994095">
        <w:rPr>
          <w:rFonts w:ascii="Arial" w:hAnsi="Arial" w:cs="Arial"/>
        </w:rPr>
        <w:t xml:space="preserve"> </w:t>
      </w:r>
    </w:p>
    <w:p w14:paraId="5BB1F01E" w14:textId="0AE8C90D" w:rsidR="00493AED" w:rsidRPr="00994095" w:rsidRDefault="00493AED" w:rsidP="00493AED">
      <w:pPr>
        <w:spacing w:line="360" w:lineRule="auto"/>
        <w:jc w:val="both"/>
        <w:rPr>
          <w:rFonts w:ascii="Arial" w:hAnsi="Arial" w:cs="Arial"/>
          <w:lang w:val="en-IN"/>
        </w:rPr>
      </w:pPr>
      <w:r w:rsidRPr="00994095">
        <w:rPr>
          <w:rFonts w:ascii="Arial" w:hAnsi="Arial" w:cs="Arial"/>
        </w:rPr>
        <w:t xml:space="preserve">Among the widely used brominated flame retardants (BFR), Tetrabromobisphenol A (TBBPA) remains the most extensively utilized, occupying about 60% of the BFR market </w:t>
      </w:r>
      <w:r w:rsidR="00F35C9D" w:rsidRPr="00994095">
        <w:rPr>
          <w:rFonts w:ascii="Arial" w:hAnsi="Arial" w:cs="Arial"/>
          <w:szCs w:val="24"/>
        </w:rPr>
        <w:t>(Abdallah, 2016; Liu et al., 2019; Wang et al., 2019)</w:t>
      </w:r>
      <w:r w:rsidRPr="00994095">
        <w:rPr>
          <w:rFonts w:ascii="Arial" w:hAnsi="Arial" w:cs="Arial"/>
        </w:rPr>
        <w:t xml:space="preserve">. There has been an increasing demand for </w:t>
      </w:r>
      <w:proofErr w:type="spellStart"/>
      <w:r w:rsidRPr="00994095">
        <w:rPr>
          <w:rFonts w:ascii="Arial" w:hAnsi="Arial" w:cs="Arial"/>
        </w:rPr>
        <w:t>tetrabromobisphenol</w:t>
      </w:r>
      <w:proofErr w:type="spellEnd"/>
      <w:r w:rsidRPr="00994095">
        <w:rPr>
          <w:rFonts w:ascii="Arial" w:hAnsi="Arial" w:cs="Arial"/>
        </w:rPr>
        <w:t xml:space="preserve"> A (TBBPA) owing to its high flame-retardant efficiency, excellent thermal stability, and strong hydrolytic resistance. The global annual production of TBBPA is estimated at approximately 2.3 × 10⁴ to 4.5 × 10⁴ tons/year </w:t>
      </w:r>
      <w:r w:rsidR="00F35C9D" w:rsidRPr="00994095">
        <w:rPr>
          <w:rFonts w:ascii="Arial" w:hAnsi="Arial" w:cs="Arial"/>
          <w:szCs w:val="24"/>
        </w:rPr>
        <w:t>(US EPA, n.d.; Sunday et al., 2022).</w:t>
      </w:r>
      <w:r w:rsidR="00F35C9D" w:rsidRPr="00994095">
        <w:rPr>
          <w:rFonts w:ascii="Arial" w:hAnsi="Arial" w:cs="Arial"/>
          <w:b/>
          <w:bCs/>
          <w:szCs w:val="24"/>
        </w:rPr>
        <w:t xml:space="preserve"> </w:t>
      </w:r>
      <w:r w:rsidRPr="00994095">
        <w:rPr>
          <w:rFonts w:ascii="Arial" w:hAnsi="Arial" w:cs="Arial"/>
        </w:rPr>
        <w:t xml:space="preserve">In China, the annual market demand for TBBPA exhibited a rising trend, increasing from 5.21 × 10⁶ tons/year in 2014 to 6.43 × 10⁶ tons/year in 2017 </w:t>
      </w:r>
      <w:r w:rsidR="00F35C9D" w:rsidRPr="00994095">
        <w:rPr>
          <w:rFonts w:ascii="Arial" w:hAnsi="Arial" w:cs="Arial"/>
          <w:szCs w:val="24"/>
        </w:rPr>
        <w:t xml:space="preserve">(US EPA, n.d.; Liu et al., 2016; Sunday et al., 2022). </w:t>
      </w:r>
      <w:r w:rsidRPr="00994095">
        <w:rPr>
          <w:rFonts w:ascii="Arial" w:hAnsi="Arial" w:cs="Arial"/>
        </w:rPr>
        <w:t xml:space="preserve">Previous research has shown that it is a potent environmental endocrine disruptor and may lead to embryonic development toxicity, neurotoxicity, reproductive toxicity, and hepatotoxicity. TBBPA derivatives have occupied about 18% of the total production, and include </w:t>
      </w:r>
      <w:proofErr w:type="spellStart"/>
      <w:r w:rsidRPr="00994095">
        <w:rPr>
          <w:rFonts w:ascii="Arial" w:hAnsi="Arial" w:cs="Arial"/>
        </w:rPr>
        <w:t>tetrabromobisphenol</w:t>
      </w:r>
      <w:proofErr w:type="spellEnd"/>
      <w:r w:rsidRPr="00994095">
        <w:rPr>
          <w:rFonts w:ascii="Arial" w:hAnsi="Arial" w:cs="Arial"/>
        </w:rPr>
        <w:t xml:space="preserve"> A bis (2-hydroxyethyl ether), (TBBPA-BHEE), </w:t>
      </w:r>
      <w:proofErr w:type="spellStart"/>
      <w:r w:rsidRPr="00994095">
        <w:rPr>
          <w:rFonts w:ascii="Arial" w:hAnsi="Arial" w:cs="Arial"/>
        </w:rPr>
        <w:t>tetrabromobisphenol</w:t>
      </w:r>
      <w:proofErr w:type="spellEnd"/>
      <w:r w:rsidRPr="00994095">
        <w:rPr>
          <w:rFonts w:ascii="Arial" w:hAnsi="Arial" w:cs="Arial"/>
        </w:rPr>
        <w:t xml:space="preserve"> A bis (glycidyl ether) (TBBPA-BGE), </w:t>
      </w:r>
      <w:proofErr w:type="spellStart"/>
      <w:r w:rsidRPr="00994095">
        <w:rPr>
          <w:rFonts w:ascii="Arial" w:hAnsi="Arial" w:cs="Arial"/>
        </w:rPr>
        <w:t>tetrabromobisphenol</w:t>
      </w:r>
      <w:proofErr w:type="spellEnd"/>
      <w:r w:rsidRPr="00994095">
        <w:rPr>
          <w:rFonts w:ascii="Arial" w:hAnsi="Arial" w:cs="Arial"/>
        </w:rPr>
        <w:t xml:space="preserve"> A bis(</w:t>
      </w:r>
      <w:proofErr w:type="spellStart"/>
      <w:r w:rsidRPr="00994095">
        <w:rPr>
          <w:rFonts w:ascii="Arial" w:hAnsi="Arial" w:cs="Arial"/>
        </w:rPr>
        <w:t>allylether</w:t>
      </w:r>
      <w:proofErr w:type="spellEnd"/>
      <w:r w:rsidRPr="00994095">
        <w:rPr>
          <w:rFonts w:ascii="Arial" w:hAnsi="Arial" w:cs="Arial"/>
        </w:rPr>
        <w:t xml:space="preserve">) (TBBPA-BAE), </w:t>
      </w:r>
      <w:proofErr w:type="spellStart"/>
      <w:r w:rsidRPr="00994095">
        <w:rPr>
          <w:rFonts w:ascii="Arial" w:hAnsi="Arial" w:cs="Arial"/>
        </w:rPr>
        <w:t>tetrabromobisphenol</w:t>
      </w:r>
      <w:proofErr w:type="spellEnd"/>
      <w:r w:rsidRPr="00994095">
        <w:rPr>
          <w:rFonts w:ascii="Arial" w:hAnsi="Arial" w:cs="Arial"/>
        </w:rPr>
        <w:t xml:space="preserve"> A bis(</w:t>
      </w:r>
      <w:proofErr w:type="spellStart"/>
      <w:r w:rsidRPr="00994095">
        <w:rPr>
          <w:rFonts w:ascii="Arial" w:hAnsi="Arial" w:cs="Arial"/>
        </w:rPr>
        <w:t>dibromopropylether</w:t>
      </w:r>
      <w:proofErr w:type="spellEnd"/>
      <w:r w:rsidRPr="00994095">
        <w:rPr>
          <w:rFonts w:ascii="Arial" w:hAnsi="Arial" w:cs="Arial"/>
        </w:rPr>
        <w:t xml:space="preserve">) (TBBPA-BDBPE), and </w:t>
      </w:r>
      <w:bookmarkStart w:id="1" w:name="_Hlk198995448"/>
      <w:r w:rsidRPr="00994095">
        <w:rPr>
          <w:rFonts w:ascii="Arial" w:hAnsi="Arial" w:cs="Arial"/>
        </w:rPr>
        <w:t>Tetrabromobisphenol A bis (2-hydroxyethyl) ether (TBBPA-DHEE</w:t>
      </w:r>
      <w:bookmarkEnd w:id="1"/>
      <w:r w:rsidRPr="00994095">
        <w:rPr>
          <w:rFonts w:ascii="Arial" w:hAnsi="Arial" w:cs="Arial"/>
        </w:rPr>
        <w:t xml:space="preserve">) </w:t>
      </w:r>
      <w:r w:rsidR="00F35C9D" w:rsidRPr="00994095">
        <w:rPr>
          <w:rFonts w:ascii="Arial" w:hAnsi="Arial" w:cs="Arial"/>
          <w:szCs w:val="24"/>
        </w:rPr>
        <w:t xml:space="preserve">(Qu et al., 2016; Zhu et al., 2018; Okeke et al., 2023). </w:t>
      </w:r>
      <w:r w:rsidRPr="00994095">
        <w:rPr>
          <w:rFonts w:ascii="Arial" w:hAnsi="Arial" w:cs="Arial"/>
        </w:rPr>
        <w:t>Among these, TBBPA-DHEE remains one of the important derivatives mainly used in the production of materials like engineering polymers, thermoplastic polyesters, laminations for electric boards, coatings, and polystyrene foam, which are highly used nowadays, and its utilization is increasing day by day</w:t>
      </w:r>
      <w:r w:rsidR="00F35C9D" w:rsidRPr="00994095">
        <w:rPr>
          <w:rFonts w:ascii="Arial" w:hAnsi="Arial" w:cs="Arial"/>
          <w:szCs w:val="24"/>
        </w:rPr>
        <w:t xml:space="preserve"> (Tian et al., 2014; Sunday et al., 2022).</w:t>
      </w:r>
      <w:r w:rsidR="00F35C9D" w:rsidRPr="00994095">
        <w:rPr>
          <w:rFonts w:ascii="Arial" w:hAnsi="Arial" w:cs="Arial"/>
          <w:b/>
          <w:bCs/>
          <w:szCs w:val="24"/>
        </w:rPr>
        <w:t xml:space="preserve"> </w:t>
      </w:r>
      <w:r w:rsidRPr="00994095">
        <w:rPr>
          <w:rFonts w:ascii="Arial" w:hAnsi="Arial" w:cs="Arial"/>
        </w:rPr>
        <w:t xml:space="preserve">The dihydroxy molecule TBBPA-DHEE can be easily liberated in the environment </w:t>
      </w:r>
      <w:r w:rsidRPr="00994095">
        <w:rPr>
          <w:rFonts w:ascii="Arial" w:hAnsi="Arial" w:cs="Arial"/>
          <w:lang w:val="en-IN"/>
        </w:rPr>
        <w:t xml:space="preserve">during manufacturing, product use, and waste disposal. Due to its high stability, it can remain in the environment for an extended period. This raises concerns about its availability to living organisms, its long-term accumulation, and potential toxic effects on aquatic life. Due to its high stability, it can remain in the environment for an extended period. </w:t>
      </w:r>
      <w:r w:rsidRPr="00994095">
        <w:rPr>
          <w:rFonts w:ascii="Arial" w:hAnsi="Arial" w:cs="Arial"/>
        </w:rPr>
        <w:t xml:space="preserve">Its potential for biotoxicity, bioaccumulation, and environmental persistence has gained significant interest, classifying it as a pervasive pollutant and an environmental toxicant. Research has revealed that it has been found ubiquitously in water, air, soil, and even in living organisms </w:t>
      </w:r>
      <w:r w:rsidR="00F35C9D" w:rsidRPr="00994095">
        <w:rPr>
          <w:rFonts w:ascii="Arial" w:hAnsi="Arial" w:cs="Arial"/>
          <w:szCs w:val="24"/>
        </w:rPr>
        <w:t xml:space="preserve">(Luo et al., 2023; Ge and Yu, 2025). </w:t>
      </w:r>
      <w:r w:rsidRPr="00994095">
        <w:rPr>
          <w:rFonts w:ascii="Arial" w:hAnsi="Arial" w:cs="Arial"/>
        </w:rPr>
        <w:t xml:space="preserve">The structure of TBBPA-DHEE is similar to TBBPA, which has already shown subsequent risk to aquatic organisms as well as to humans. </w:t>
      </w:r>
      <w:r w:rsidRPr="00994095">
        <w:rPr>
          <w:rFonts w:ascii="Arial" w:hAnsi="Arial" w:cs="Arial"/>
        </w:rPr>
        <w:lastRenderedPageBreak/>
        <w:t xml:space="preserve">As per various in vitro and in vivo studies, TBBPA is known to induce several toxicological effects. Results of the neurotoxicity study reveal that it induces apoptosis and toxicity in the primary cell culture of mice, impaired uptake of neurotransmitters through the plasma membrane and motor activity in adult rats </w:t>
      </w:r>
      <w:r w:rsidR="00F35C9D" w:rsidRPr="00994095">
        <w:rPr>
          <w:rFonts w:ascii="Arial" w:hAnsi="Arial" w:cs="Arial"/>
          <w:szCs w:val="24"/>
        </w:rPr>
        <w:t xml:space="preserve">(Hendriks et al., 2012; Szychowski and </w:t>
      </w:r>
      <w:proofErr w:type="spellStart"/>
      <w:r w:rsidR="00F35C9D" w:rsidRPr="00994095">
        <w:rPr>
          <w:rFonts w:ascii="Arial" w:hAnsi="Arial" w:cs="Arial"/>
          <w:szCs w:val="24"/>
        </w:rPr>
        <w:t>Wójtowicz</w:t>
      </w:r>
      <w:proofErr w:type="spellEnd"/>
      <w:r w:rsidR="00F35C9D" w:rsidRPr="00994095">
        <w:rPr>
          <w:rFonts w:ascii="Arial" w:hAnsi="Arial" w:cs="Arial"/>
          <w:szCs w:val="24"/>
        </w:rPr>
        <w:t xml:space="preserve">, 2015). </w:t>
      </w:r>
      <w:r w:rsidRPr="00994095">
        <w:rPr>
          <w:rFonts w:ascii="Arial" w:hAnsi="Arial" w:cs="Arial"/>
        </w:rPr>
        <w:t>Another study showed that a single TBBPA exposure after birth may hinder neurodevelopment and synaptic plasticity in mice</w:t>
      </w:r>
      <w:r w:rsidR="00F35C9D" w:rsidRPr="00994095">
        <w:rPr>
          <w:rFonts w:ascii="Arial" w:hAnsi="Arial" w:cs="Arial"/>
        </w:rPr>
        <w:t xml:space="preserve"> </w:t>
      </w:r>
      <w:r w:rsidR="00F35C9D" w:rsidRPr="00994095">
        <w:rPr>
          <w:rFonts w:ascii="Arial" w:hAnsi="Arial" w:cs="Arial"/>
          <w:szCs w:val="24"/>
        </w:rPr>
        <w:t>(Luo et al., 2023; Okeke et al., 2023; Zhang et al., 2025).</w:t>
      </w:r>
    </w:p>
    <w:p w14:paraId="5455A057" w14:textId="776E47B7" w:rsidR="00493AED" w:rsidRPr="00994095" w:rsidRDefault="00493AED" w:rsidP="00493AED">
      <w:pPr>
        <w:spacing w:line="360" w:lineRule="auto"/>
        <w:jc w:val="both"/>
        <w:rPr>
          <w:rFonts w:ascii="Arial" w:hAnsi="Arial" w:cs="Arial"/>
        </w:rPr>
      </w:pPr>
      <w:r w:rsidRPr="00994095">
        <w:rPr>
          <w:rFonts w:ascii="Arial" w:hAnsi="Arial" w:cs="Arial"/>
        </w:rPr>
        <w:t xml:space="preserve">Thus, an effort has been made to explore and identify the possible risks and toxicological effects of TBBPA-DHEE. Currently, inadequate research has been done to study the risk and toxicity of TBBPA-DHEE on human health. Some research has shown that it has a neurotoxic effect and causes potential neurotoxicity by interrupting the secretion of dopamine and also altering the acetylcholinesterase activity. It may also lead to disruption of the neuroendocrine pathway and reproductive toxicity. The molecular mechanism behind the cytotoxic effect of TBBPA-DHEE on PC 12 cells is attributed to the activation of ROS-induced caspases and a reduction in GSH level </w:t>
      </w:r>
      <w:r w:rsidR="00F35C9D" w:rsidRPr="00994095">
        <w:rPr>
          <w:rFonts w:ascii="Arial" w:hAnsi="Arial" w:cs="Arial"/>
          <w:szCs w:val="24"/>
        </w:rPr>
        <w:t>(Liu et al., 2016; Liu et al., 2020; Luo et al., 2023).</w:t>
      </w:r>
      <w:r w:rsidRPr="00994095">
        <w:rPr>
          <w:rFonts w:ascii="Arial" w:hAnsi="Arial" w:cs="Arial"/>
        </w:rPr>
        <w:t xml:space="preserve"> Experiments conducted in TBBPA-exposed mice displayed impaired motor behaviour like elevated horizontal movement and an increase in freezing time in the Open field test (OFT) and altered spontaneous movement in the Y-maze test </w:t>
      </w:r>
      <w:r w:rsidR="00F35C9D" w:rsidRPr="00994095">
        <w:rPr>
          <w:rFonts w:ascii="Arial" w:hAnsi="Arial" w:cs="Arial"/>
        </w:rPr>
        <w:t xml:space="preserve">(Nakajima et al., 2009). </w:t>
      </w:r>
      <w:r w:rsidRPr="00994095">
        <w:rPr>
          <w:rFonts w:ascii="Arial" w:hAnsi="Arial" w:cs="Arial"/>
        </w:rPr>
        <w:t xml:space="preserve">Several toxicological studies due to TBBPA exposure have been reported in both rodents and aquatic organisms. However, only a few reports are available on the neurotoxicity effects of TBBPA-DHEE exposure to aquatic organisms </w:t>
      </w:r>
      <w:r w:rsidR="00F35C9D" w:rsidRPr="00994095">
        <w:rPr>
          <w:rFonts w:ascii="Arial" w:hAnsi="Arial" w:cs="Arial"/>
        </w:rPr>
        <w:t>(</w:t>
      </w:r>
      <w:r w:rsidR="00F35C9D" w:rsidRPr="00994095">
        <w:rPr>
          <w:rFonts w:ascii="Arial" w:hAnsi="Arial" w:cs="Arial"/>
          <w:szCs w:val="24"/>
        </w:rPr>
        <w:t>Chen et al., 2016</w:t>
      </w:r>
      <w:r w:rsidR="00F35C9D" w:rsidRPr="00994095">
        <w:rPr>
          <w:rFonts w:ascii="Arial" w:hAnsi="Arial" w:cs="Arial"/>
        </w:rPr>
        <w:t>).</w:t>
      </w:r>
    </w:p>
    <w:p w14:paraId="73F50397" w14:textId="32FF9EB9" w:rsidR="00493AED" w:rsidRPr="00994095" w:rsidRDefault="00493AED" w:rsidP="00493AED">
      <w:pPr>
        <w:spacing w:line="360" w:lineRule="auto"/>
        <w:jc w:val="both"/>
        <w:rPr>
          <w:rFonts w:ascii="Arial" w:hAnsi="Arial" w:cs="Arial"/>
        </w:rPr>
      </w:pPr>
      <w:r w:rsidRPr="00994095">
        <w:rPr>
          <w:rFonts w:ascii="Arial" w:hAnsi="Arial" w:cs="Arial"/>
        </w:rPr>
        <w:t>Zebrafish (</w:t>
      </w:r>
      <w:r w:rsidRPr="00994095">
        <w:rPr>
          <w:rFonts w:ascii="Arial" w:hAnsi="Arial" w:cs="Arial"/>
          <w:i/>
          <w:iCs/>
        </w:rPr>
        <w:t>Danio rerio</w:t>
      </w:r>
      <w:r w:rsidRPr="00994095">
        <w:rPr>
          <w:rFonts w:ascii="Arial" w:hAnsi="Arial" w:cs="Arial"/>
        </w:rPr>
        <w:t xml:space="preserve">), a vertebrate animal model, is extensively used for performing several behavioural assays. Apart from the inherent distinct characteristics, including low cost and maintenance, high fecundity, genetic similarity to humans, physiology, and development, it serves as an excellent model for the study of toxicological, developmental, </w:t>
      </w:r>
      <w:proofErr w:type="spellStart"/>
      <w:r w:rsidRPr="00994095">
        <w:rPr>
          <w:rFonts w:ascii="Arial" w:hAnsi="Arial" w:cs="Arial"/>
        </w:rPr>
        <w:t>neurobehavioural</w:t>
      </w:r>
      <w:proofErr w:type="spellEnd"/>
      <w:r w:rsidRPr="00994095">
        <w:rPr>
          <w:rFonts w:ascii="Arial" w:hAnsi="Arial" w:cs="Arial"/>
        </w:rPr>
        <w:t xml:space="preserve">, and reproductive research </w:t>
      </w:r>
      <w:r w:rsidR="00F35C9D" w:rsidRPr="00994095">
        <w:rPr>
          <w:rFonts w:ascii="Arial" w:hAnsi="Arial" w:cs="Arial"/>
        </w:rPr>
        <w:t xml:space="preserve">(Segner, 2009; Rosa et al., 2022). </w:t>
      </w:r>
      <w:r w:rsidRPr="00994095">
        <w:rPr>
          <w:rFonts w:ascii="Arial" w:hAnsi="Arial" w:cs="Arial"/>
        </w:rPr>
        <w:t xml:space="preserve">The etiology and pathogenicity of compounds inducing brain disorders can be explored due to their tractable genetics and sociability. Also, they possess parallel social behaviour that is under the regulation of identical pathways as those of mammals </w:t>
      </w:r>
      <w:r w:rsidR="00F35C9D" w:rsidRPr="00994095">
        <w:rPr>
          <w:rFonts w:ascii="Arial" w:hAnsi="Arial" w:cs="Arial"/>
        </w:rPr>
        <w:t>(</w:t>
      </w:r>
      <w:proofErr w:type="spellStart"/>
      <w:r w:rsidR="00F35C9D" w:rsidRPr="00994095">
        <w:rPr>
          <w:rFonts w:ascii="Arial" w:hAnsi="Arial" w:cs="Arial"/>
        </w:rPr>
        <w:t>Gerlai</w:t>
      </w:r>
      <w:proofErr w:type="spellEnd"/>
      <w:r w:rsidR="00F35C9D" w:rsidRPr="00994095">
        <w:rPr>
          <w:rFonts w:ascii="Arial" w:hAnsi="Arial" w:cs="Arial"/>
        </w:rPr>
        <w:t xml:space="preserve"> 2011; </w:t>
      </w:r>
      <w:proofErr w:type="spellStart"/>
      <w:r w:rsidR="00F35C9D" w:rsidRPr="00994095">
        <w:rPr>
          <w:rFonts w:ascii="Arial" w:hAnsi="Arial" w:cs="Arial"/>
        </w:rPr>
        <w:t>Kalueff</w:t>
      </w:r>
      <w:proofErr w:type="spellEnd"/>
      <w:r w:rsidR="00F35C9D" w:rsidRPr="00994095">
        <w:rPr>
          <w:rFonts w:ascii="Arial" w:hAnsi="Arial" w:cs="Arial"/>
        </w:rPr>
        <w:t xml:space="preserve"> et al., 2014)</w:t>
      </w:r>
      <w:r w:rsidRPr="00994095">
        <w:rPr>
          <w:rFonts w:ascii="Arial" w:hAnsi="Arial" w:cs="Arial"/>
        </w:rPr>
        <w:t xml:space="preserve">. However, subsequent research has been conducted to study several effects of TBBPA on various organisms. TBBPA-DHEE, being a derivative of TBBPA and possessing structural similarity, very less is known about its adverse effects on </w:t>
      </w:r>
      <w:proofErr w:type="spellStart"/>
      <w:r w:rsidRPr="00994095">
        <w:rPr>
          <w:rFonts w:ascii="Arial" w:hAnsi="Arial" w:cs="Arial"/>
        </w:rPr>
        <w:t>neurobehaviour</w:t>
      </w:r>
      <w:proofErr w:type="spellEnd"/>
      <w:r w:rsidRPr="00994095">
        <w:rPr>
          <w:rFonts w:ascii="Arial" w:hAnsi="Arial" w:cs="Arial"/>
        </w:rPr>
        <w:t xml:space="preserve"> and the associated possible hazards to the organisms </w:t>
      </w:r>
      <w:r w:rsidR="00F35C9D" w:rsidRPr="00994095">
        <w:rPr>
          <w:rFonts w:ascii="Arial" w:hAnsi="Arial" w:cs="Arial"/>
          <w:szCs w:val="24"/>
        </w:rPr>
        <w:t xml:space="preserve">(Feng et al.,2023; Luo et al., 2023). </w:t>
      </w:r>
      <w:r w:rsidRPr="00994095">
        <w:rPr>
          <w:rFonts w:ascii="Arial" w:hAnsi="Arial" w:cs="Arial"/>
        </w:rPr>
        <w:t xml:space="preserve">The neurotoxicity and behavioural alterations in adult zebrafish exposed to different concentrations of TBBPA-DHEE and the susceptibility of mature zebrafish to various concentrations were studied. The behavioural changes were investigated by performing and analyzing various behavioural assays. The </w:t>
      </w:r>
      <w:r w:rsidRPr="00994095">
        <w:rPr>
          <w:rFonts w:ascii="Arial" w:hAnsi="Arial" w:cs="Arial"/>
        </w:rPr>
        <w:lastRenderedPageBreak/>
        <w:t xml:space="preserve">findings of this study will help determine the concentration of TBBPA-DHEE that may be a potential risk in exerting </w:t>
      </w:r>
      <w:proofErr w:type="spellStart"/>
      <w:r w:rsidRPr="00994095">
        <w:rPr>
          <w:rFonts w:ascii="Arial" w:hAnsi="Arial" w:cs="Arial"/>
        </w:rPr>
        <w:t>neurobehavioural</w:t>
      </w:r>
      <w:proofErr w:type="spellEnd"/>
      <w:r w:rsidRPr="00994095">
        <w:rPr>
          <w:rFonts w:ascii="Arial" w:hAnsi="Arial" w:cs="Arial"/>
        </w:rPr>
        <w:t xml:space="preserve"> impairment and other neurotoxicity to aquatic organisms, as well as a possible risk factor and toxicant to humans when exposed for a prolonged period, determining the toxicity of TBBPA-DHEE. The current study aims to investigate the dose-dependent neurotoxic effect and behavioural impairment in adult zebrafish exposed to TBBPA-DHEE.</w:t>
      </w:r>
    </w:p>
    <w:p w14:paraId="1B3CEACB" w14:textId="3CB87552" w:rsidR="007F7B32" w:rsidRPr="00994095" w:rsidRDefault="00902823" w:rsidP="00493AED">
      <w:pPr>
        <w:pStyle w:val="AbstHead"/>
        <w:spacing w:after="0" w:line="360" w:lineRule="auto"/>
        <w:jc w:val="both"/>
        <w:rPr>
          <w:rFonts w:ascii="Arial" w:hAnsi="Arial" w:cs="Arial"/>
        </w:rPr>
      </w:pPr>
      <w:r w:rsidRPr="00994095">
        <w:rPr>
          <w:rFonts w:ascii="Arial" w:hAnsi="Arial" w:cs="Arial"/>
        </w:rPr>
        <w:t xml:space="preserve">2. </w:t>
      </w:r>
      <w:r w:rsidR="00493AED" w:rsidRPr="00994095">
        <w:rPr>
          <w:rFonts w:ascii="Arial" w:hAnsi="Arial" w:cs="Arial"/>
        </w:rPr>
        <w:t>Materials</w:t>
      </w:r>
      <w:r w:rsidRPr="00994095">
        <w:rPr>
          <w:rFonts w:ascii="Arial" w:hAnsi="Arial" w:cs="Arial"/>
        </w:rPr>
        <w:t xml:space="preserve"> and method</w:t>
      </w:r>
      <w:r w:rsidR="00000F8F" w:rsidRPr="00994095">
        <w:rPr>
          <w:rFonts w:ascii="Arial" w:hAnsi="Arial" w:cs="Arial"/>
        </w:rPr>
        <w:t xml:space="preserve">s </w:t>
      </w:r>
    </w:p>
    <w:p w14:paraId="3EE9EBFB"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2.1 Chemicals</w:t>
      </w:r>
    </w:p>
    <w:p w14:paraId="2F0ED31A" w14:textId="77777777" w:rsidR="00493AED" w:rsidRPr="00994095" w:rsidRDefault="00493AED" w:rsidP="00493AED">
      <w:pPr>
        <w:pStyle w:val="Body"/>
        <w:spacing w:line="360" w:lineRule="auto"/>
        <w:rPr>
          <w:rFonts w:ascii="Arial" w:hAnsi="Arial" w:cs="Arial"/>
        </w:rPr>
      </w:pPr>
      <w:r w:rsidRPr="00994095">
        <w:rPr>
          <w:rFonts w:ascii="Arial" w:hAnsi="Arial" w:cs="Arial"/>
        </w:rPr>
        <w:t>TBBPA-DHEE, with a purity of 98%, was purchased from Sigma-Aldrich (08320CN) and dissolved in dimethyl sulfoxide (DMSO), an organic solvent.</w:t>
      </w:r>
    </w:p>
    <w:p w14:paraId="66C55AE5"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2.2 Experimental animals</w:t>
      </w:r>
    </w:p>
    <w:p w14:paraId="7396C37B" w14:textId="04FD488C" w:rsidR="00493AED" w:rsidRPr="00994095" w:rsidRDefault="00493AED" w:rsidP="00F35C9D">
      <w:pPr>
        <w:pStyle w:val="Body"/>
        <w:spacing w:line="360" w:lineRule="auto"/>
        <w:rPr>
          <w:rFonts w:ascii="Arial" w:hAnsi="Arial" w:cs="Arial"/>
        </w:rPr>
      </w:pPr>
      <w:r w:rsidRPr="00994095">
        <w:rPr>
          <w:rFonts w:ascii="Arial" w:hAnsi="Arial" w:cs="Arial"/>
        </w:rPr>
        <w:t xml:space="preserve">All experimental procedures were conducted in strict accordance with the Committee for the Purpose of Control and Supervision of Experiments on Animals (CPCSEA) guidelines and standard zebrafish welfare protocols. The research was conducted in accordance with internationally accepted guidelines for the care and use of laboratory animals (e.g., Organization for Economic Cooperation and Development (OECD) Guidelines for the Testing of Chemicals, Section 4), and all efforts were made to minimize stress and ensure the welfare of the animals throughout the study. Three to four-month-old adult zebrafish wild strains were brought from the distributor Aqua Fish Culture. They were acclimatized for about two weeks under optimum pH and temperature of about 28.0 ± 2◦C and a 14:10 h of light: dark cycle. Proper aeration, filters, and deionized water were used for housing. All the water parameters, such as Hardness, salinity, and chloride content, were observed and maintained. Fishes were fed twice a day with food flakes, i.e., terabits </w:t>
      </w:r>
      <w:proofErr w:type="spellStart"/>
      <w:r w:rsidRPr="00994095">
        <w:rPr>
          <w:rFonts w:ascii="Arial" w:hAnsi="Arial" w:cs="Arial"/>
        </w:rPr>
        <w:t>taiyoto</w:t>
      </w:r>
      <w:proofErr w:type="spellEnd"/>
      <w:r w:rsidRPr="00994095">
        <w:rPr>
          <w:rFonts w:ascii="Arial" w:hAnsi="Arial" w:cs="Arial"/>
        </w:rPr>
        <w:t xml:space="preserve"> bits, as per their body weight. </w:t>
      </w:r>
      <w:r w:rsidR="00F35C9D" w:rsidRPr="00994095">
        <w:rPr>
          <w:rFonts w:ascii="Arial" w:hAnsi="Arial" w:cs="Arial"/>
        </w:rPr>
        <w:br w:type="page"/>
      </w:r>
    </w:p>
    <w:p w14:paraId="06FDE1D0"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lastRenderedPageBreak/>
        <w:t>2.3 Preparation of TBBPA-DHEE and experimental design</w:t>
      </w:r>
    </w:p>
    <w:p w14:paraId="54CCA434" w14:textId="2256FD80" w:rsidR="00493AED" w:rsidRPr="00994095" w:rsidRDefault="00493AED" w:rsidP="00493AED">
      <w:pPr>
        <w:pStyle w:val="Body"/>
        <w:spacing w:line="360" w:lineRule="auto"/>
        <w:rPr>
          <w:rFonts w:ascii="Arial" w:hAnsi="Arial" w:cs="Arial"/>
        </w:rPr>
      </w:pPr>
      <w:r w:rsidRPr="00994095">
        <w:rPr>
          <w:rFonts w:ascii="Arial" w:hAnsi="Arial" w:cs="Arial"/>
        </w:rPr>
        <w:t xml:space="preserve">TBBPA-DHEE was solubilized with DMSO, and a stock solution was prepared which was further diluted with distilled water. The adult zebrafish were randomly selected and divided into 5 groups, each with 10 fish placed in a 4-litre water tank. The 5 groups were divided as group-1 control, group-2 DMSO control, group-3 low (L, 5 mg/L), group-4 medium (M, 10 mg/L), and group-5 high (H, 20 mg/L) concentration of TBBPA-DHEE exposed group. The concentration, dosage, and duration of exposure were based on previously obtained data and the pilot study conducted on adult zebrafish using TBBPA-DHEE </w:t>
      </w:r>
      <w:r w:rsidR="008D6D19" w:rsidRPr="00994095">
        <w:rPr>
          <w:rFonts w:ascii="Arial" w:hAnsi="Arial" w:cs="Arial"/>
        </w:rPr>
        <w:t xml:space="preserve">(Okeke et al., 2023). </w:t>
      </w:r>
      <w:r w:rsidRPr="00994095">
        <w:rPr>
          <w:rFonts w:ascii="Arial" w:hAnsi="Arial" w:cs="Arial"/>
        </w:rPr>
        <w:t xml:space="preserve">The fish were exposed to the respective concentrations of TBBPA in different groups; during this period, half of the water in the tank was removed and replaced with fresh, dechlorinated water. </w:t>
      </w:r>
    </w:p>
    <w:p w14:paraId="0B1F88D0" w14:textId="3D6400E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2.4 Estimation of Fish Biometry</w:t>
      </w:r>
    </w:p>
    <w:p w14:paraId="53D03DE5" w14:textId="77777777" w:rsidR="00493AED" w:rsidRPr="00994095" w:rsidRDefault="00493AED" w:rsidP="00493AED">
      <w:pPr>
        <w:pStyle w:val="Body"/>
        <w:spacing w:line="360" w:lineRule="auto"/>
        <w:rPr>
          <w:rFonts w:ascii="Arial" w:hAnsi="Arial" w:cs="Arial"/>
        </w:rPr>
      </w:pPr>
      <w:r w:rsidRPr="00994095">
        <w:rPr>
          <w:rFonts w:ascii="Arial" w:hAnsi="Arial" w:cs="Arial"/>
        </w:rPr>
        <w:t xml:space="preserve">The final body weight and body length of different experimental groups were measured on the experiment's first and last day and analyzed using ANOVA. During the experiment, zebrafish from every group were placed in a water box filled with ice. Body measurements were taken to determine body weight and body length. Body length was calculated using ImageJ software (National Institutes of Health, Bethesda, MD, USA). </w:t>
      </w:r>
    </w:p>
    <w:p w14:paraId="76E36C14"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2.5 Behaviour study</w:t>
      </w:r>
    </w:p>
    <w:p w14:paraId="0DB63F11" w14:textId="77777777" w:rsidR="00493AED" w:rsidRPr="00994095" w:rsidRDefault="00493AED" w:rsidP="00493AED">
      <w:pPr>
        <w:pStyle w:val="Body"/>
        <w:spacing w:line="360" w:lineRule="auto"/>
        <w:rPr>
          <w:rFonts w:ascii="Arial" w:hAnsi="Arial" w:cs="Arial"/>
        </w:rPr>
      </w:pPr>
      <w:r w:rsidRPr="00994095">
        <w:rPr>
          <w:rFonts w:ascii="Arial" w:hAnsi="Arial" w:cs="Arial"/>
        </w:rPr>
        <w:t xml:space="preserve">The behavioural and cognitive assessment of zebrafish was done on the final day of the experiment. Fishes were relocated to the recording room before the recording and were acclimatized for about a week according to the environment. The following behavioural assessments were performed to </w:t>
      </w:r>
      <w:proofErr w:type="spellStart"/>
      <w:r w:rsidRPr="00994095">
        <w:rPr>
          <w:rFonts w:ascii="Arial" w:hAnsi="Arial" w:cs="Arial"/>
        </w:rPr>
        <w:t>analyse</w:t>
      </w:r>
      <w:proofErr w:type="spellEnd"/>
      <w:r w:rsidRPr="00994095">
        <w:rPr>
          <w:rFonts w:ascii="Arial" w:hAnsi="Arial" w:cs="Arial"/>
        </w:rPr>
        <w:t xml:space="preserve"> anxiety-related </w:t>
      </w:r>
      <w:proofErr w:type="spellStart"/>
      <w:r w:rsidRPr="00994095">
        <w:rPr>
          <w:rFonts w:ascii="Arial" w:hAnsi="Arial" w:cs="Arial"/>
        </w:rPr>
        <w:t>behaviour</w:t>
      </w:r>
      <w:proofErr w:type="spellEnd"/>
      <w:r w:rsidRPr="00994095">
        <w:rPr>
          <w:rFonts w:ascii="Arial" w:hAnsi="Arial" w:cs="Arial"/>
        </w:rPr>
        <w:t xml:space="preserve"> and locomotory behaviour. The duration and setup of recording varied depending on the different tests and were performed using a digital imaging system, a Logitech B525 HD webcam, and a laptop. The recordings were </w:t>
      </w:r>
      <w:proofErr w:type="spellStart"/>
      <w:r w:rsidRPr="00994095">
        <w:rPr>
          <w:rFonts w:ascii="Arial" w:hAnsi="Arial" w:cs="Arial"/>
        </w:rPr>
        <w:t>analysed</w:t>
      </w:r>
      <w:proofErr w:type="spellEnd"/>
      <w:r w:rsidRPr="00994095">
        <w:rPr>
          <w:rFonts w:ascii="Arial" w:hAnsi="Arial" w:cs="Arial"/>
        </w:rPr>
        <w:t xml:space="preserve"> with the help of Toxtrac software and ImageJ. </w:t>
      </w:r>
    </w:p>
    <w:p w14:paraId="239E3623"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 xml:space="preserve">2.5.1 Open field test </w:t>
      </w:r>
    </w:p>
    <w:p w14:paraId="29AF9892" w14:textId="08D0B195" w:rsidR="00493AED" w:rsidRPr="00994095" w:rsidRDefault="00493AED" w:rsidP="00493AED">
      <w:pPr>
        <w:pStyle w:val="Body"/>
        <w:spacing w:line="360" w:lineRule="auto"/>
        <w:rPr>
          <w:rFonts w:ascii="Arial" w:hAnsi="Arial" w:cs="Arial"/>
        </w:rPr>
      </w:pPr>
      <w:r w:rsidRPr="00994095">
        <w:rPr>
          <w:rFonts w:ascii="Arial" w:hAnsi="Arial" w:cs="Arial"/>
        </w:rPr>
        <w:t xml:space="preserve">This test is used for </w:t>
      </w:r>
      <w:proofErr w:type="spellStart"/>
      <w:r w:rsidRPr="00994095">
        <w:rPr>
          <w:rFonts w:ascii="Arial" w:hAnsi="Arial" w:cs="Arial"/>
        </w:rPr>
        <w:t>analysing</w:t>
      </w:r>
      <w:proofErr w:type="spellEnd"/>
      <w:r w:rsidRPr="00994095">
        <w:rPr>
          <w:rFonts w:ascii="Arial" w:hAnsi="Arial" w:cs="Arial"/>
        </w:rPr>
        <w:t xml:space="preserve"> anxiety-related </w:t>
      </w:r>
      <w:proofErr w:type="spellStart"/>
      <w:r w:rsidRPr="00994095">
        <w:rPr>
          <w:rFonts w:ascii="Arial" w:hAnsi="Arial" w:cs="Arial"/>
        </w:rPr>
        <w:t>behaviour</w:t>
      </w:r>
      <w:proofErr w:type="spellEnd"/>
      <w:r w:rsidRPr="00994095">
        <w:rPr>
          <w:rFonts w:ascii="Arial" w:hAnsi="Arial" w:cs="Arial"/>
        </w:rPr>
        <w:t xml:space="preserve"> in zebrafish, also known as thigmotaxis.  An organism's ability to explore the borders and corners of a tank rather than staying in the </w:t>
      </w:r>
      <w:proofErr w:type="spellStart"/>
      <w:r w:rsidRPr="00994095">
        <w:rPr>
          <w:rFonts w:ascii="Arial" w:hAnsi="Arial" w:cs="Arial"/>
        </w:rPr>
        <w:t>centre</w:t>
      </w:r>
      <w:proofErr w:type="spellEnd"/>
      <w:r w:rsidRPr="00994095">
        <w:rPr>
          <w:rFonts w:ascii="Arial" w:hAnsi="Arial" w:cs="Arial"/>
        </w:rPr>
        <w:t xml:space="preserve"> is observed and recorded as described previously </w:t>
      </w:r>
      <w:r w:rsidR="008D6D19" w:rsidRPr="00994095">
        <w:rPr>
          <w:rFonts w:ascii="Arial" w:hAnsi="Arial" w:cs="Arial"/>
        </w:rPr>
        <w:t xml:space="preserve">(Nahar and </w:t>
      </w:r>
      <w:r w:rsidR="008D6D19" w:rsidRPr="00994095">
        <w:rPr>
          <w:rFonts w:ascii="Arial" w:hAnsi="Arial" w:cs="Arial"/>
          <w:szCs w:val="24"/>
        </w:rPr>
        <w:t xml:space="preserve">Jat, 2021; Nahar et al., 2024). </w:t>
      </w:r>
      <w:r w:rsidRPr="00994095">
        <w:rPr>
          <w:rFonts w:ascii="Arial" w:hAnsi="Arial" w:cs="Arial"/>
        </w:rPr>
        <w:t xml:space="preserve">Adult fish were placed in an open tank of dimensions 37 cm in length, 29 cm in width, and 18cm in height, made up of acrylic glass filled with 2 L of water. A single fish </w:t>
      </w:r>
      <w:r w:rsidRPr="00994095">
        <w:rPr>
          <w:rFonts w:ascii="Arial" w:hAnsi="Arial" w:cs="Arial"/>
        </w:rPr>
        <w:lastRenderedPageBreak/>
        <w:t>from each group was placed in the tank, and recordings were made for approximately 6 min for each group. The total and average distance, speed covered, and the frozen events of different groups are obtained using Toxtrac software (https://sourceforge.net/projects/toxtrac/). The endpoints measured include average speed, mobility average speed, total distance, frozen events, and explored area/ total no. of areas. Average speed is the mean swimming velocity of the fish measured over the entire test duration, which includes active swimming, pauses, freezing or immobility episodes. Average mobility speed measures the mean velocity only during periods when the fish is actively moving. The explored area measures the proportion or absolute area of the arena that the fish visits at least once during the test period, and the total number of areas refers to the arena subdivision into predefined zones or grids (e.g., center vs periphery).</w:t>
      </w:r>
    </w:p>
    <w:p w14:paraId="507CD595" w14:textId="77777777" w:rsidR="00493AED" w:rsidRPr="00994095" w:rsidRDefault="00493AED" w:rsidP="00493AED">
      <w:pPr>
        <w:pStyle w:val="Body"/>
        <w:spacing w:line="360" w:lineRule="auto"/>
        <w:rPr>
          <w:rFonts w:ascii="Arial" w:hAnsi="Arial" w:cs="Arial"/>
          <w:b/>
          <w:bCs/>
        </w:rPr>
      </w:pPr>
      <w:r w:rsidRPr="00994095">
        <w:rPr>
          <w:rFonts w:ascii="Arial" w:hAnsi="Arial" w:cs="Arial"/>
          <w:b/>
          <w:bCs/>
        </w:rPr>
        <w:t>2.5.2 Novel tank test</w:t>
      </w:r>
    </w:p>
    <w:p w14:paraId="601A85FA" w14:textId="064CAA5A" w:rsidR="00493AED" w:rsidRPr="00994095" w:rsidRDefault="00493AED" w:rsidP="00493AED">
      <w:pPr>
        <w:pStyle w:val="Body"/>
        <w:spacing w:line="360" w:lineRule="auto"/>
        <w:rPr>
          <w:rFonts w:ascii="Arial" w:hAnsi="Arial" w:cs="Arial"/>
        </w:rPr>
      </w:pPr>
      <w:r w:rsidRPr="00994095">
        <w:rPr>
          <w:rFonts w:ascii="Arial" w:hAnsi="Arial" w:cs="Arial"/>
        </w:rPr>
        <w:t xml:space="preserve">OFT, also known as a Geotaxis tank, is known for the animal’s ability to react in an alien environment by diving into the bottom of the tank, increasing frozen time and number, and reducing exploration. In the novel tank, time spent in the lower zone of the tank is increased with increased anxiety, as described previously </w:t>
      </w:r>
      <w:r w:rsidR="008D6D19" w:rsidRPr="00994095">
        <w:rPr>
          <w:rFonts w:ascii="Arial" w:hAnsi="Arial" w:cs="Arial"/>
          <w:szCs w:val="24"/>
        </w:rPr>
        <w:t xml:space="preserve">(Nahar and Jat, 2021). </w:t>
      </w:r>
      <w:r w:rsidRPr="00994095">
        <w:rPr>
          <w:rFonts w:ascii="Arial" w:hAnsi="Arial" w:cs="Arial"/>
        </w:rPr>
        <w:t>Test tanks were transferred to the behavioural testing room, and recording was done between 9:00 am to 1:00 pm. The novel tank is a trapezoid tank of about 1.5 L with dimensions of 27.9 cm at the top, a height of 15.2 cm, and a width of 6.4cm from the top and 5.1 cm from the bottom, in which water is filled maximally up to 1L and is divided into two equal portions by a horizontal line drawn from outside. The camera is set in the front, facing the front view of the tank.  Fish spending more time in the lower zone is believed to be under more stress. Each fish is recorded for about 6 min of every group using a camera, and the following endpoints, i.e., latency to the upper half of the tank, transitions to the upper half, time spent, and freezing time, were determined.</w:t>
      </w:r>
    </w:p>
    <w:p w14:paraId="7492A148"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2.5.3 Light-dark test</w:t>
      </w:r>
    </w:p>
    <w:p w14:paraId="384242B7" w14:textId="259ED33E" w:rsidR="00493AED" w:rsidRPr="00994095" w:rsidRDefault="00493AED" w:rsidP="00493AED">
      <w:pPr>
        <w:pStyle w:val="Body"/>
        <w:spacing w:line="360" w:lineRule="auto"/>
        <w:rPr>
          <w:rFonts w:ascii="Arial" w:hAnsi="Arial" w:cs="Arial"/>
        </w:rPr>
      </w:pPr>
      <w:r w:rsidRPr="00994095">
        <w:rPr>
          <w:rFonts w:ascii="Arial" w:hAnsi="Arial" w:cs="Arial"/>
        </w:rPr>
        <w:t xml:space="preserve">This is also known as the scototaxis behaviour test. The apparatus consists of a dark and a light chamber made up of an acrylic sheet and is divided into two equal-sized chambers.  Dimensions of the tank include 15cm (H) x 10cm (W) x 40cm (L), and it is partitioned by two small central sliding doors through which the fish is placed before starting the experiment, and the door is opened to record the preference and time spent by the fish in each zone. The recording is done for about 6 minutes using a video recording camera. The different endpoints, </w:t>
      </w:r>
      <w:r w:rsidRPr="00994095">
        <w:rPr>
          <w:rFonts w:ascii="Arial" w:hAnsi="Arial" w:cs="Arial"/>
        </w:rPr>
        <w:lastRenderedPageBreak/>
        <w:t xml:space="preserve">such as time spent and transitions in the light zone and dark zone, and the overall preference of the zone, are obtained through the assessment </w:t>
      </w:r>
      <w:r w:rsidR="008D6D19" w:rsidRPr="00994095">
        <w:rPr>
          <w:rFonts w:ascii="Arial" w:hAnsi="Arial" w:cs="Arial"/>
        </w:rPr>
        <w:t>(Magno et al., 2015).</w:t>
      </w:r>
    </w:p>
    <w:p w14:paraId="61062E2F"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2.5.4 Swimming test tank</w:t>
      </w:r>
    </w:p>
    <w:p w14:paraId="4526BAC2" w14:textId="49703D19" w:rsidR="00493AED" w:rsidRPr="00994095" w:rsidRDefault="00493AED" w:rsidP="00493AED">
      <w:pPr>
        <w:pStyle w:val="Body"/>
        <w:spacing w:line="360" w:lineRule="auto"/>
        <w:rPr>
          <w:rFonts w:ascii="Arial" w:hAnsi="Arial" w:cs="Arial"/>
        </w:rPr>
      </w:pPr>
      <w:r w:rsidRPr="00994095">
        <w:rPr>
          <w:rFonts w:ascii="Arial" w:hAnsi="Arial" w:cs="Arial"/>
        </w:rPr>
        <w:t xml:space="preserve">The swimming test is performed to analyze the fish's motor coordination and social behaviour. The test is performed in an apparatus of about 20 cm in diameter holding a capacity of about 700 ml of water. It involves placing fish in groups with a paper 324-cm2 grid divided into 36 blocks placed underneath the apparatus. Fish from each group were placed in a tank altogether, and the recording was done for about 30 minutes with an interval of 30 seconds. The image analysis was done using the image tool program GeoGebra (https://www.geogebra.org/geometry/tbdrcyd2). The endpoints obtained from this assessment include the nearest neighbor distance and area occupied by the fish, as described previously </w:t>
      </w:r>
      <w:r w:rsidR="008D6D19" w:rsidRPr="00994095">
        <w:rPr>
          <w:rFonts w:ascii="Arial" w:hAnsi="Arial" w:cs="Arial"/>
          <w:szCs w:val="24"/>
        </w:rPr>
        <w:t xml:space="preserve">(Nahar and Jat, 2021). </w:t>
      </w:r>
    </w:p>
    <w:p w14:paraId="79D77DB7"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2.6 Statistical Analysis</w:t>
      </w:r>
    </w:p>
    <w:p w14:paraId="52C83570" w14:textId="5AFEBC22" w:rsidR="00790ADA" w:rsidRPr="00994095" w:rsidRDefault="00493AED" w:rsidP="00493AED">
      <w:pPr>
        <w:pStyle w:val="Body"/>
        <w:spacing w:after="0" w:line="360" w:lineRule="auto"/>
        <w:rPr>
          <w:rFonts w:ascii="Arial" w:hAnsi="Arial" w:cs="Arial"/>
        </w:rPr>
      </w:pPr>
      <w:r w:rsidRPr="00994095">
        <w:rPr>
          <w:rFonts w:ascii="Arial" w:hAnsi="Arial" w:cs="Arial"/>
        </w:rPr>
        <w:t xml:space="preserve">All the experimental data are represented as Mean ± SEM. One-way ANOVA followed by Tukey’s post-hoc test was used to analyze the behavioural alterations among different groups (*p &lt; 0.05, **P &lt; 0.01, ***p &lt; 0.001, ns; non-significant). GraphPad Prism software version 9.5.1 (GraphPad Software, San Diego, CA, USA) was used for graphical analysis and data interpretation. </w:t>
      </w:r>
    </w:p>
    <w:p w14:paraId="65B6E267" w14:textId="77777777" w:rsidR="00902823" w:rsidRPr="00994095" w:rsidRDefault="00000F8F" w:rsidP="00493AED">
      <w:pPr>
        <w:pStyle w:val="Head1"/>
        <w:spacing w:after="0" w:line="360" w:lineRule="auto"/>
        <w:jc w:val="both"/>
        <w:rPr>
          <w:rFonts w:ascii="Arial" w:hAnsi="Arial" w:cs="Arial"/>
        </w:rPr>
      </w:pPr>
      <w:r w:rsidRPr="00994095">
        <w:rPr>
          <w:rFonts w:ascii="Arial" w:hAnsi="Arial" w:cs="Arial"/>
        </w:rPr>
        <w:t>3</w:t>
      </w:r>
      <w:r w:rsidR="00902823" w:rsidRPr="00994095">
        <w:rPr>
          <w:rFonts w:ascii="Arial" w:hAnsi="Arial" w:cs="Arial"/>
        </w:rPr>
        <w:t xml:space="preserve">. </w:t>
      </w:r>
      <w:r w:rsidRPr="00994095">
        <w:rPr>
          <w:rFonts w:ascii="Arial" w:hAnsi="Arial" w:cs="Arial"/>
        </w:rPr>
        <w:t>results and discussion</w:t>
      </w:r>
    </w:p>
    <w:p w14:paraId="069EADA6" w14:textId="77777777" w:rsidR="00974A6B" w:rsidRPr="00994095" w:rsidRDefault="00974A6B" w:rsidP="00974A6B">
      <w:pPr>
        <w:spacing w:line="360" w:lineRule="auto"/>
        <w:jc w:val="both"/>
        <w:rPr>
          <w:rFonts w:ascii="Arial" w:hAnsi="Arial" w:cs="Arial"/>
          <w:sz w:val="22"/>
          <w:szCs w:val="22"/>
        </w:rPr>
      </w:pPr>
      <w:r w:rsidRPr="00994095">
        <w:rPr>
          <w:rFonts w:ascii="Arial" w:hAnsi="Arial" w:cs="Arial"/>
          <w:b/>
          <w:bCs/>
          <w:sz w:val="22"/>
          <w:szCs w:val="22"/>
        </w:rPr>
        <w:t>3.1 Morphometric Analysis</w:t>
      </w:r>
    </w:p>
    <w:p w14:paraId="6B7B8110" w14:textId="5891D73A" w:rsidR="00974A6B" w:rsidRPr="00994095" w:rsidRDefault="00974A6B" w:rsidP="00EB4862">
      <w:pPr>
        <w:spacing w:before="240" w:line="360" w:lineRule="auto"/>
        <w:jc w:val="both"/>
        <w:rPr>
          <w:rFonts w:ascii="Arial" w:hAnsi="Arial" w:cs="Arial"/>
        </w:rPr>
      </w:pPr>
      <w:r w:rsidRPr="00994095">
        <w:rPr>
          <w:rFonts w:ascii="Arial" w:hAnsi="Arial" w:cs="Arial"/>
        </w:rPr>
        <w:t xml:space="preserve">Morphometric analysis identifies the alterations in the size and shape of organisms. </w:t>
      </w:r>
      <w:r w:rsidRPr="00994095">
        <w:rPr>
          <w:rFonts w:ascii="Arial" w:hAnsi="Arial" w:cs="Arial"/>
          <w:lang w:val="en-IN"/>
        </w:rPr>
        <w:t xml:space="preserve">Adult zebrafish were exposed to low, medium, and high levels of TBBPA-DHEE, and their growth was compared to control and DMSO-exposed groups. </w:t>
      </w:r>
      <w:r w:rsidRPr="00994095">
        <w:rPr>
          <w:rFonts w:ascii="Arial" w:hAnsi="Arial" w:cs="Arial"/>
        </w:rPr>
        <w:t>A significant reduction in body weight was observed in the TBBPA-DHEE–exposed groups relative to both control and DMSO groups. The weight decreased further with an increased dose of TBBPA-DHEE (Fig.1A)</w:t>
      </w:r>
      <w:r w:rsidRPr="00994095">
        <w:rPr>
          <w:rFonts w:ascii="Arial" w:hAnsi="Arial" w:cs="Arial"/>
          <w:lang w:val="en-IN"/>
        </w:rPr>
        <w:t>.</w:t>
      </w:r>
      <w:r w:rsidRPr="00994095">
        <w:rPr>
          <w:rFonts w:ascii="Arial" w:hAnsi="Arial" w:cs="Arial"/>
        </w:rPr>
        <w:t xml:space="preserve"> In contrast, body length showed only minimal alterations across exposed groups. A slight increase in body length was observed in the TBBPA–DHEE group exposed to different concentrations as compared to the control and DMSO group (Fig.1B). </w:t>
      </w:r>
      <w:r w:rsidR="00816D61" w:rsidRPr="00994095">
        <w:rPr>
          <w:rFonts w:ascii="Arial" w:hAnsi="Arial" w:cs="Arial"/>
        </w:rPr>
        <w:br w:type="page"/>
      </w:r>
      <w:r w:rsidR="00EB4862" w:rsidRPr="00994095">
        <w:rPr>
          <w:rFonts w:ascii="Arial" w:hAnsi="Arial" w:cs="Arial"/>
          <w:noProof/>
          <w:sz w:val="24"/>
          <w:szCs w:val="24"/>
          <w:lang w:val="en-IN"/>
        </w:rPr>
        <w:lastRenderedPageBreak/>
        <w:drawing>
          <wp:anchor distT="0" distB="0" distL="114300" distR="114300" simplePos="0" relativeHeight="251228160" behindDoc="0" locked="0" layoutInCell="1" allowOverlap="1" wp14:anchorId="5890B4AB" wp14:editId="5505ABDE">
            <wp:simplePos x="0" y="0"/>
            <wp:positionH relativeFrom="column">
              <wp:posOffset>2757805</wp:posOffset>
            </wp:positionH>
            <wp:positionV relativeFrom="paragraph">
              <wp:posOffset>635</wp:posOffset>
            </wp:positionV>
            <wp:extent cx="2302510" cy="2302510"/>
            <wp:effectExtent l="0" t="0" r="0" b="0"/>
            <wp:wrapSquare wrapText="bothSides"/>
            <wp:docPr id="1736812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2510" cy="2302510"/>
                    </a:xfrm>
                    <a:prstGeom prst="rect">
                      <a:avLst/>
                    </a:prstGeom>
                    <a:noFill/>
                  </pic:spPr>
                </pic:pic>
              </a:graphicData>
            </a:graphic>
            <wp14:sizeRelH relativeFrom="margin">
              <wp14:pctWidth>0</wp14:pctWidth>
            </wp14:sizeRelH>
            <wp14:sizeRelV relativeFrom="margin">
              <wp14:pctHeight>0</wp14:pctHeight>
            </wp14:sizeRelV>
          </wp:anchor>
        </w:drawing>
      </w:r>
      <w:commentRangeStart w:id="2"/>
      <w:r w:rsidR="00EB4862" w:rsidRPr="00994095">
        <w:rPr>
          <w:rFonts w:ascii="Arial" w:hAnsi="Arial" w:cs="Arial"/>
          <w:noProof/>
          <w:sz w:val="24"/>
          <w:szCs w:val="24"/>
        </w:rPr>
        <w:drawing>
          <wp:anchor distT="0" distB="0" distL="114300" distR="114300" simplePos="0" relativeHeight="251127808" behindDoc="0" locked="0" layoutInCell="1" allowOverlap="1" wp14:anchorId="4F03719C" wp14:editId="0606ECDB">
            <wp:simplePos x="0" y="0"/>
            <wp:positionH relativeFrom="column">
              <wp:posOffset>280760</wp:posOffset>
            </wp:positionH>
            <wp:positionV relativeFrom="paragraph">
              <wp:posOffset>453</wp:posOffset>
            </wp:positionV>
            <wp:extent cx="2303145" cy="2303145"/>
            <wp:effectExtent l="0" t="0" r="0" b="0"/>
            <wp:wrapSquare wrapText="bothSides"/>
            <wp:docPr id="193138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3145" cy="2303145"/>
                    </a:xfrm>
                    <a:prstGeom prst="rect">
                      <a:avLst/>
                    </a:prstGeom>
                    <a:noFill/>
                  </pic:spPr>
                </pic:pic>
              </a:graphicData>
            </a:graphic>
          </wp:anchor>
        </w:drawing>
      </w:r>
      <w:commentRangeEnd w:id="2"/>
      <w:r w:rsidR="00AF534D">
        <w:rPr>
          <w:rStyle w:val="CommentReference"/>
          <w:rFonts w:ascii="Times New Roman" w:hAnsi="Times New Roman"/>
          <w:lang w:val="nb-NO" w:eastAsia="nb-NO"/>
        </w:rPr>
        <w:commentReference w:id="2"/>
      </w:r>
      <w:r w:rsidRPr="00994095">
        <w:rPr>
          <w:rFonts w:ascii="Arial" w:hAnsi="Arial" w:cs="Arial"/>
          <w:b/>
          <w:bCs/>
          <w:lang w:val="en-IN"/>
        </w:rPr>
        <w:t>Fig. 1. Effect of TBBPA-DHEE on morphometric parameters, initial/final body weight, and body length. A) Body weight, B) body length</w:t>
      </w:r>
      <w:r w:rsidRPr="00994095">
        <w:rPr>
          <w:rFonts w:ascii="Arial" w:hAnsi="Arial" w:cs="Arial"/>
          <w:lang w:val="en-IN"/>
        </w:rPr>
        <w:t xml:space="preserve">. </w:t>
      </w:r>
      <w:r w:rsidRPr="00994095">
        <w:rPr>
          <w:rFonts w:ascii="Arial" w:hAnsi="Arial" w:cs="Arial"/>
          <w:i/>
          <w:iCs/>
          <w:sz w:val="18"/>
          <w:szCs w:val="18"/>
          <w:lang w:val="en-IN"/>
        </w:rPr>
        <w:t xml:space="preserve">Data expressed as mean ± SEM (n = 10 fish/group). *P &lt; 0.05, **P &lt; 0.01, ***P = 0.001; compared to control group </w:t>
      </w:r>
    </w:p>
    <w:p w14:paraId="178F3504" w14:textId="56A97F42" w:rsidR="00974A6B" w:rsidRPr="00994095" w:rsidRDefault="00974A6B" w:rsidP="00816D61">
      <w:pPr>
        <w:spacing w:before="240" w:line="360" w:lineRule="auto"/>
        <w:jc w:val="both"/>
        <w:rPr>
          <w:rFonts w:ascii="Arial" w:hAnsi="Arial" w:cs="Arial"/>
          <w:sz w:val="22"/>
          <w:szCs w:val="22"/>
        </w:rPr>
      </w:pPr>
      <w:r w:rsidRPr="00994095">
        <w:rPr>
          <w:rFonts w:ascii="Arial" w:hAnsi="Arial" w:cs="Arial"/>
          <w:b/>
          <w:bCs/>
          <w:sz w:val="22"/>
          <w:szCs w:val="22"/>
        </w:rPr>
        <w:t>3.2 Effect of TBBPA-DHEE on the exploratory behaviour of zebrafish in the Open field tank</w:t>
      </w:r>
    </w:p>
    <w:p w14:paraId="6BF18695" w14:textId="13D31F60" w:rsidR="00974A6B" w:rsidRPr="00994095" w:rsidRDefault="00974A6B" w:rsidP="00974A6B">
      <w:pPr>
        <w:spacing w:line="360" w:lineRule="auto"/>
        <w:jc w:val="both"/>
        <w:rPr>
          <w:rFonts w:ascii="Arial" w:hAnsi="Arial" w:cs="Arial"/>
        </w:rPr>
      </w:pPr>
      <w:r w:rsidRPr="00994095">
        <w:rPr>
          <w:rFonts w:ascii="Arial" w:hAnsi="Arial" w:cs="Arial"/>
        </w:rPr>
        <w:t xml:space="preserve">The effect of TBBPA-DHEE on anxiety and exploratory behaviour was assessed. In OFT, fish exposed to low, medium, and high doses of TBBPA-DHEE exhibit alterations in average and mobility average speed. The average speed and mobility average speed were decreased in high and medium dose groups as compared to the low, DMSO control and control groups (Fig. 2A, 2B).  Also, total distance travelled was significantly reduced in exposed group as compared to control group (Fig. 2C). Explored area/Total no. of areas showed less exploration area with increasing concentration of TBBPA-DHEE as compared to the control and DMSO group (Fig. 2D). Freezing behaviour demonstrated a dose-dependent increase in freezing events following TBBPA-DHEE exposure. </w:t>
      </w:r>
      <w:r w:rsidRPr="00994095">
        <w:rPr>
          <w:rFonts w:ascii="Arial" w:hAnsi="Arial" w:cs="Arial"/>
          <w:lang w:val="en-IN"/>
        </w:rPr>
        <w:t xml:space="preserve">Zebrafish exposed to the highest concentration exhibited the highest number of freezing episodes, followed by the medium and low concentration groups, when compared with the control and DMSO-exposed groups </w:t>
      </w:r>
      <w:r w:rsidRPr="00994095">
        <w:rPr>
          <w:rFonts w:ascii="Arial" w:hAnsi="Arial" w:cs="Arial"/>
        </w:rPr>
        <w:t>(Fig. 2E)</w:t>
      </w:r>
      <w:r w:rsidRPr="00994095">
        <w:rPr>
          <w:rFonts w:ascii="Arial" w:hAnsi="Arial" w:cs="Arial"/>
          <w:lang w:val="en-IN"/>
        </w:rPr>
        <w:t>.</w:t>
      </w:r>
      <w:r w:rsidRPr="00994095">
        <w:rPr>
          <w:rFonts w:ascii="Arial" w:hAnsi="Arial" w:cs="Arial"/>
        </w:rPr>
        <w:t xml:space="preserve"> The trajectory pattern of the behaviour obtained through OFT is displayed (Fig. 2F). The exploratory pattern in the open field tank displays a preference for the peripheral zone, restricting its movement towards central zone in the TBBPA-exposed group as compared to control and DMSO-exposed group (Table 1).</w:t>
      </w:r>
    </w:p>
    <w:p w14:paraId="0D20BC42" w14:textId="0438E25A" w:rsidR="00EB4862" w:rsidRDefault="00EB4862" w:rsidP="00EB4862">
      <w:pPr>
        <w:rPr>
          <w:rFonts w:ascii="Arial" w:hAnsi="Arial" w:cs="Arial"/>
        </w:rPr>
      </w:pPr>
      <w:r w:rsidRPr="00994095">
        <w:rPr>
          <w:rFonts w:ascii="Arial" w:hAnsi="Arial" w:cs="Arial"/>
          <w:noProof/>
        </w:rPr>
        <w:lastRenderedPageBreak/>
        <w:drawing>
          <wp:anchor distT="0" distB="0" distL="114300" distR="114300" simplePos="0" relativeHeight="251282432" behindDoc="0" locked="0" layoutInCell="1" allowOverlap="1" wp14:anchorId="5C631566" wp14:editId="1D2EB8B1">
            <wp:simplePos x="0" y="0"/>
            <wp:positionH relativeFrom="margin">
              <wp:posOffset>2759710</wp:posOffset>
            </wp:positionH>
            <wp:positionV relativeFrom="paragraph">
              <wp:posOffset>3808730</wp:posOffset>
            </wp:positionV>
            <wp:extent cx="2957830" cy="2035175"/>
            <wp:effectExtent l="0" t="0" r="0" b="0"/>
            <wp:wrapSquare wrapText="bothSides"/>
            <wp:docPr id="1740710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7830"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4095">
        <w:rPr>
          <w:rFonts w:ascii="Arial" w:hAnsi="Arial" w:cs="Arial"/>
          <w:i/>
          <w:iCs/>
          <w:noProof/>
          <w:sz w:val="18"/>
          <w:szCs w:val="18"/>
        </w:rPr>
        <w:drawing>
          <wp:anchor distT="0" distB="0" distL="114300" distR="114300" simplePos="0" relativeHeight="251985920" behindDoc="0" locked="0" layoutInCell="1" allowOverlap="1" wp14:anchorId="0CCB91FF" wp14:editId="5362B458">
            <wp:simplePos x="0" y="0"/>
            <wp:positionH relativeFrom="column">
              <wp:posOffset>230233</wp:posOffset>
            </wp:positionH>
            <wp:positionV relativeFrom="paragraph">
              <wp:posOffset>3911872</wp:posOffset>
            </wp:positionV>
            <wp:extent cx="2448000" cy="1947600"/>
            <wp:effectExtent l="0" t="0" r="9525" b="0"/>
            <wp:wrapSquare wrapText="bothSides"/>
            <wp:docPr id="151422239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4222399" name="Picture 151422239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8000" cy="1947600"/>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Cs w:val="24"/>
        </w:rPr>
        <w:drawing>
          <wp:anchor distT="0" distB="0" distL="114300" distR="114300" simplePos="0" relativeHeight="251962368" behindDoc="0" locked="0" layoutInCell="1" allowOverlap="1" wp14:anchorId="4187E5D7" wp14:editId="3BA8993D">
            <wp:simplePos x="0" y="0"/>
            <wp:positionH relativeFrom="margin">
              <wp:align>right</wp:align>
            </wp:positionH>
            <wp:positionV relativeFrom="paragraph">
              <wp:posOffset>1905000</wp:posOffset>
            </wp:positionV>
            <wp:extent cx="2487295" cy="1947545"/>
            <wp:effectExtent l="0" t="0" r="8255" b="0"/>
            <wp:wrapSquare wrapText="bothSides"/>
            <wp:docPr id="214211280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2112805" name="Picture 214211280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7295" cy="1947545"/>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b/>
          <w:bCs/>
          <w:noProof/>
          <w:sz w:val="24"/>
          <w:szCs w:val="24"/>
        </w:rPr>
        <w:drawing>
          <wp:anchor distT="0" distB="0" distL="114300" distR="114300" simplePos="0" relativeHeight="251247616" behindDoc="0" locked="0" layoutInCell="1" allowOverlap="1" wp14:anchorId="279A1555" wp14:editId="112B3B42">
            <wp:simplePos x="0" y="0"/>
            <wp:positionH relativeFrom="margin">
              <wp:align>left</wp:align>
            </wp:positionH>
            <wp:positionV relativeFrom="paragraph">
              <wp:posOffset>1907630</wp:posOffset>
            </wp:positionV>
            <wp:extent cx="2448000" cy="1947600"/>
            <wp:effectExtent l="0" t="0" r="9525" b="0"/>
            <wp:wrapSquare wrapText="bothSides"/>
            <wp:docPr id="156557956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8000" cy="1947600"/>
                    </a:xfrm>
                    <a:prstGeom prst="rect">
                      <a:avLst/>
                    </a:prstGeom>
                    <a:noFill/>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Cs w:val="24"/>
        </w:rPr>
        <w:drawing>
          <wp:anchor distT="0" distB="0" distL="114300" distR="114300" simplePos="0" relativeHeight="251936768" behindDoc="0" locked="0" layoutInCell="1" allowOverlap="1" wp14:anchorId="1C165DD6" wp14:editId="31DCC62F">
            <wp:simplePos x="0" y="0"/>
            <wp:positionH relativeFrom="column">
              <wp:posOffset>2605768</wp:posOffset>
            </wp:positionH>
            <wp:positionV relativeFrom="paragraph">
              <wp:posOffset>363</wp:posOffset>
            </wp:positionV>
            <wp:extent cx="2449195" cy="1947545"/>
            <wp:effectExtent l="0" t="0" r="8255" b="0"/>
            <wp:wrapSquare wrapText="bothSides"/>
            <wp:docPr id="6518534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853424" name="Picture 6518534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9195" cy="1947545"/>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24"/>
          <w:szCs w:val="24"/>
          <w:lang w:val="en-IN"/>
        </w:rPr>
        <w:drawing>
          <wp:anchor distT="0" distB="0" distL="114300" distR="114300" simplePos="0" relativeHeight="251825152" behindDoc="0" locked="0" layoutInCell="1" allowOverlap="1" wp14:anchorId="4885E6EF" wp14:editId="169F2C0C">
            <wp:simplePos x="0" y="0"/>
            <wp:positionH relativeFrom="margin">
              <wp:posOffset>129540</wp:posOffset>
            </wp:positionH>
            <wp:positionV relativeFrom="paragraph">
              <wp:posOffset>0</wp:posOffset>
            </wp:positionV>
            <wp:extent cx="2448000" cy="1947600"/>
            <wp:effectExtent l="0" t="0" r="9525" b="0"/>
            <wp:wrapSquare wrapText="bothSides"/>
            <wp:docPr id="70822937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8000" cy="1947600"/>
                    </a:xfrm>
                    <a:prstGeom prst="rect">
                      <a:avLst/>
                    </a:prstGeom>
                    <a:noFill/>
                  </pic:spPr>
                </pic:pic>
              </a:graphicData>
            </a:graphic>
            <wp14:sizeRelH relativeFrom="margin">
              <wp14:pctWidth>0</wp14:pctWidth>
            </wp14:sizeRelH>
            <wp14:sizeRelV relativeFrom="margin">
              <wp14:pctHeight>0</wp14:pctHeight>
            </wp14:sizeRelV>
          </wp:anchor>
        </w:drawing>
      </w:r>
    </w:p>
    <w:p w14:paraId="58D21998" w14:textId="12E4C7E3" w:rsidR="00EB4862" w:rsidRDefault="00981A15" w:rsidP="00EB4862">
      <w:pPr>
        <w:jc w:val="both"/>
        <w:rPr>
          <w:rFonts w:ascii="Arial" w:hAnsi="Arial" w:cs="Arial"/>
          <w:i/>
          <w:iCs/>
          <w:sz w:val="18"/>
          <w:szCs w:val="18"/>
          <w:lang w:val="en-IN"/>
        </w:rPr>
      </w:pPr>
      <w:commentRangeStart w:id="3"/>
      <w:r w:rsidRPr="00994095">
        <w:rPr>
          <w:rFonts w:ascii="Arial" w:hAnsi="Arial" w:cs="Arial"/>
          <w:b/>
          <w:bCs/>
          <w:lang w:val="en-IN"/>
        </w:rPr>
        <w:t xml:space="preserve">Fig. 2. Effect of TBBPA-DHEE in open field test. A) Total distance travelled in the arena, B) Mobility average speed, C) Number of frozen events, D) Explored/ Total number of areas, E) Average speed, F) </w:t>
      </w:r>
      <w:proofErr w:type="spellStart"/>
      <w:r w:rsidRPr="00994095">
        <w:rPr>
          <w:rFonts w:ascii="Arial" w:hAnsi="Arial" w:cs="Arial"/>
          <w:b/>
          <w:bCs/>
          <w:lang w:val="en-IN"/>
        </w:rPr>
        <w:t>ToxTrac</w:t>
      </w:r>
      <w:proofErr w:type="spellEnd"/>
      <w:r w:rsidRPr="00994095">
        <w:rPr>
          <w:rFonts w:ascii="Arial" w:hAnsi="Arial" w:cs="Arial"/>
          <w:b/>
          <w:bCs/>
          <w:lang w:val="en-IN"/>
        </w:rPr>
        <w:t xml:space="preserve">-based trajectory </w:t>
      </w:r>
      <w:proofErr w:type="spellStart"/>
      <w:r w:rsidRPr="00994095">
        <w:rPr>
          <w:rFonts w:ascii="Arial" w:hAnsi="Arial" w:cs="Arial"/>
          <w:b/>
          <w:bCs/>
          <w:lang w:val="en-IN"/>
        </w:rPr>
        <w:t>videograph</w:t>
      </w:r>
      <w:proofErr w:type="spellEnd"/>
      <w:r w:rsidRPr="00994095">
        <w:rPr>
          <w:rFonts w:ascii="Arial" w:hAnsi="Arial" w:cs="Arial"/>
          <w:b/>
          <w:bCs/>
          <w:lang w:val="en-IN"/>
        </w:rPr>
        <w:t xml:space="preserve"> displaying exploratory </w:t>
      </w:r>
      <w:proofErr w:type="spellStart"/>
      <w:r w:rsidRPr="00994095">
        <w:rPr>
          <w:rFonts w:ascii="Arial" w:hAnsi="Arial" w:cs="Arial"/>
          <w:b/>
          <w:bCs/>
          <w:lang w:val="en-IN"/>
        </w:rPr>
        <w:t>behavior</w:t>
      </w:r>
      <w:proofErr w:type="spellEnd"/>
      <w:r w:rsidRPr="00994095">
        <w:rPr>
          <w:rFonts w:ascii="Arial" w:hAnsi="Arial" w:cs="Arial"/>
          <w:b/>
          <w:bCs/>
          <w:lang w:val="en-IN"/>
        </w:rPr>
        <w:t xml:space="preserve"> of zebrafish in the open field test.</w:t>
      </w:r>
      <w:r w:rsidRPr="00994095">
        <w:rPr>
          <w:rFonts w:ascii="Arial" w:hAnsi="Arial" w:cs="Arial"/>
          <w:lang w:val="en-IN"/>
        </w:rPr>
        <w:t xml:space="preserve"> </w:t>
      </w:r>
      <w:r w:rsidRPr="00994095">
        <w:rPr>
          <w:rFonts w:ascii="Arial" w:hAnsi="Arial" w:cs="Arial"/>
          <w:i/>
          <w:iCs/>
          <w:sz w:val="18"/>
          <w:szCs w:val="18"/>
          <w:lang w:val="en-IN"/>
        </w:rPr>
        <w:t>Data expressed as mean ± SEM (n = 10 fish/group). *</w:t>
      </w:r>
      <w:r w:rsidR="008D073E" w:rsidRPr="00994095">
        <w:rPr>
          <w:rFonts w:ascii="Arial" w:hAnsi="Arial" w:cs="Arial"/>
          <w:i/>
          <w:iCs/>
          <w:sz w:val="18"/>
          <w:szCs w:val="18"/>
          <w:lang w:val="en-IN"/>
        </w:rPr>
        <w:t>p</w:t>
      </w:r>
      <w:r w:rsidRPr="00994095">
        <w:rPr>
          <w:rFonts w:ascii="Arial" w:hAnsi="Arial" w:cs="Arial"/>
          <w:i/>
          <w:iCs/>
          <w:sz w:val="18"/>
          <w:szCs w:val="18"/>
          <w:lang w:val="en-IN"/>
        </w:rPr>
        <w:t>&lt; 0.05, **</w:t>
      </w:r>
      <w:r w:rsidR="008D073E" w:rsidRPr="00994095">
        <w:rPr>
          <w:rFonts w:ascii="Arial" w:hAnsi="Arial" w:cs="Arial"/>
          <w:i/>
          <w:iCs/>
          <w:sz w:val="18"/>
          <w:szCs w:val="18"/>
          <w:lang w:val="en-IN"/>
        </w:rPr>
        <w:t>p</w:t>
      </w:r>
      <w:r w:rsidRPr="00994095">
        <w:rPr>
          <w:rFonts w:ascii="Arial" w:hAnsi="Arial" w:cs="Arial"/>
          <w:i/>
          <w:iCs/>
          <w:sz w:val="18"/>
          <w:szCs w:val="18"/>
          <w:lang w:val="en-IN"/>
        </w:rPr>
        <w:t xml:space="preserve"> &lt; 0.01, ***</w:t>
      </w:r>
      <w:r w:rsidR="008D073E" w:rsidRPr="00994095">
        <w:rPr>
          <w:rFonts w:ascii="Arial" w:hAnsi="Arial" w:cs="Arial"/>
          <w:i/>
          <w:iCs/>
          <w:sz w:val="18"/>
          <w:szCs w:val="18"/>
          <w:lang w:val="en-IN"/>
        </w:rPr>
        <w:t>p</w:t>
      </w:r>
      <w:r w:rsidRPr="00994095">
        <w:rPr>
          <w:rFonts w:ascii="Arial" w:hAnsi="Arial" w:cs="Arial"/>
          <w:i/>
          <w:iCs/>
          <w:sz w:val="18"/>
          <w:szCs w:val="18"/>
          <w:lang w:val="en-IN"/>
        </w:rPr>
        <w:t xml:space="preserve"> </w:t>
      </w:r>
      <w:r w:rsidR="008D073E" w:rsidRPr="00994095">
        <w:rPr>
          <w:rFonts w:ascii="Arial" w:hAnsi="Arial" w:cs="Arial"/>
          <w:i/>
          <w:iCs/>
          <w:sz w:val="18"/>
          <w:szCs w:val="18"/>
          <w:lang w:val="en-IN"/>
        </w:rPr>
        <w:t>&lt;</w:t>
      </w:r>
      <w:r w:rsidRPr="00994095">
        <w:rPr>
          <w:rFonts w:ascii="Arial" w:hAnsi="Arial" w:cs="Arial"/>
          <w:i/>
          <w:iCs/>
          <w:sz w:val="18"/>
          <w:szCs w:val="18"/>
          <w:lang w:val="en-IN"/>
        </w:rPr>
        <w:t xml:space="preserve">0.001; compared to control group </w:t>
      </w:r>
      <w:commentRangeEnd w:id="3"/>
      <w:r w:rsidR="00AF534D">
        <w:rPr>
          <w:rStyle w:val="CommentReference"/>
          <w:rFonts w:ascii="Times New Roman" w:hAnsi="Times New Roman"/>
          <w:lang w:val="nb-NO" w:eastAsia="nb-NO"/>
        </w:rPr>
        <w:commentReference w:id="3"/>
      </w:r>
      <w:r w:rsidR="00EB4862">
        <w:rPr>
          <w:rFonts w:ascii="Arial" w:hAnsi="Arial" w:cs="Arial"/>
          <w:i/>
          <w:iCs/>
          <w:sz w:val="18"/>
          <w:szCs w:val="18"/>
          <w:lang w:val="en-IN"/>
        </w:rPr>
        <w:br w:type="page"/>
      </w:r>
    </w:p>
    <w:p w14:paraId="2A18AC5D" w14:textId="4BA74BBD" w:rsidR="00981A15" w:rsidRPr="00994095" w:rsidRDefault="00981A15" w:rsidP="008D073E">
      <w:pPr>
        <w:tabs>
          <w:tab w:val="left" w:pos="1080"/>
        </w:tabs>
        <w:spacing w:before="240" w:after="240"/>
        <w:jc w:val="both"/>
        <w:rPr>
          <w:rFonts w:ascii="Arial" w:hAnsi="Arial" w:cs="Arial"/>
          <w:b/>
        </w:rPr>
      </w:pPr>
      <w:r w:rsidRPr="00994095">
        <w:rPr>
          <w:rFonts w:ascii="Arial" w:hAnsi="Arial" w:cs="Arial"/>
          <w:b/>
        </w:rPr>
        <w:lastRenderedPageBreak/>
        <w:t>Table 1.</w:t>
      </w:r>
      <w:r w:rsidRPr="00994095">
        <w:rPr>
          <w:rFonts w:ascii="Arial" w:hAnsi="Arial" w:cs="Arial"/>
          <w:b/>
        </w:rPr>
        <w:tab/>
        <w:t>Effect of TBBPA-DHEE on different endpoints of open field behavior in adult zebrafish</w:t>
      </w:r>
    </w:p>
    <w:tbl>
      <w:tblPr>
        <w:tblStyle w:val="TableGrid"/>
        <w:tblW w:w="9380" w:type="dxa"/>
        <w:tblInd w:w="-589" w:type="dxa"/>
        <w:tblLayout w:type="fixed"/>
        <w:tblLook w:val="01E0" w:firstRow="1" w:lastRow="1" w:firstColumn="1" w:lastColumn="1" w:noHBand="0" w:noVBand="0"/>
      </w:tblPr>
      <w:tblGrid>
        <w:gridCol w:w="1787"/>
        <w:gridCol w:w="1610"/>
        <w:gridCol w:w="1619"/>
        <w:gridCol w:w="1488"/>
        <w:gridCol w:w="1445"/>
        <w:gridCol w:w="1431"/>
      </w:tblGrid>
      <w:tr w:rsidR="00981A15" w:rsidRPr="00994095" w14:paraId="1CF7793C" w14:textId="77777777" w:rsidTr="00981A15">
        <w:trPr>
          <w:trHeight w:val="460"/>
        </w:trPr>
        <w:tc>
          <w:tcPr>
            <w:tcW w:w="1787" w:type="dxa"/>
          </w:tcPr>
          <w:p w14:paraId="17580ABB" w14:textId="77777777" w:rsidR="00981A15" w:rsidRPr="00994095" w:rsidRDefault="00981A15" w:rsidP="008D073E">
            <w:pPr>
              <w:pStyle w:val="TableParagraph"/>
              <w:spacing w:after="240" w:line="230" w:lineRule="exact"/>
              <w:ind w:left="542" w:hanging="51"/>
              <w:rPr>
                <w:rFonts w:ascii="Arial" w:hAnsi="Arial" w:cs="Arial"/>
                <w:b/>
                <w:sz w:val="20"/>
                <w:szCs w:val="20"/>
              </w:rPr>
            </w:pPr>
            <w:r w:rsidRPr="00994095">
              <w:rPr>
                <w:rFonts w:ascii="Arial" w:hAnsi="Arial" w:cs="Arial"/>
                <w:b/>
                <w:spacing w:val="-2"/>
                <w:sz w:val="20"/>
                <w:szCs w:val="20"/>
              </w:rPr>
              <w:t>Behavioral endpoints</w:t>
            </w:r>
          </w:p>
        </w:tc>
        <w:tc>
          <w:tcPr>
            <w:tcW w:w="1610" w:type="dxa"/>
          </w:tcPr>
          <w:p w14:paraId="27A06F6B" w14:textId="77777777" w:rsidR="00981A15" w:rsidRPr="00994095" w:rsidRDefault="00981A15" w:rsidP="008D073E">
            <w:pPr>
              <w:pStyle w:val="TableParagraph"/>
              <w:spacing w:after="240"/>
              <w:ind w:left="128" w:right="3"/>
              <w:jc w:val="center"/>
              <w:rPr>
                <w:rFonts w:ascii="Arial" w:hAnsi="Arial" w:cs="Arial"/>
                <w:b/>
                <w:sz w:val="20"/>
                <w:szCs w:val="20"/>
              </w:rPr>
            </w:pPr>
            <w:r w:rsidRPr="00994095">
              <w:rPr>
                <w:rFonts w:ascii="Arial" w:hAnsi="Arial" w:cs="Arial"/>
                <w:b/>
                <w:spacing w:val="-2"/>
                <w:sz w:val="20"/>
                <w:szCs w:val="20"/>
              </w:rPr>
              <w:t>Control</w:t>
            </w:r>
          </w:p>
        </w:tc>
        <w:tc>
          <w:tcPr>
            <w:tcW w:w="1619" w:type="dxa"/>
          </w:tcPr>
          <w:p w14:paraId="50DF1A49" w14:textId="77777777" w:rsidR="00981A15" w:rsidRPr="00994095" w:rsidRDefault="00981A15" w:rsidP="008D073E">
            <w:pPr>
              <w:pStyle w:val="TableParagraph"/>
              <w:spacing w:after="240"/>
              <w:ind w:left="32" w:right="6"/>
              <w:jc w:val="center"/>
              <w:rPr>
                <w:rFonts w:ascii="Arial" w:hAnsi="Arial" w:cs="Arial"/>
                <w:b/>
                <w:sz w:val="20"/>
                <w:szCs w:val="20"/>
              </w:rPr>
            </w:pPr>
            <w:r w:rsidRPr="00994095">
              <w:rPr>
                <w:rFonts w:ascii="Arial" w:hAnsi="Arial" w:cs="Arial"/>
                <w:b/>
                <w:sz w:val="20"/>
                <w:szCs w:val="20"/>
              </w:rPr>
              <w:t>DMSO</w:t>
            </w:r>
            <w:r w:rsidRPr="00994095">
              <w:rPr>
                <w:rFonts w:ascii="Arial" w:hAnsi="Arial" w:cs="Arial"/>
                <w:b/>
                <w:spacing w:val="-7"/>
                <w:sz w:val="20"/>
                <w:szCs w:val="20"/>
              </w:rPr>
              <w:t xml:space="preserve"> </w:t>
            </w:r>
            <w:r w:rsidRPr="00994095">
              <w:rPr>
                <w:rFonts w:ascii="Arial" w:hAnsi="Arial" w:cs="Arial"/>
                <w:b/>
                <w:spacing w:val="-2"/>
                <w:sz w:val="20"/>
                <w:szCs w:val="20"/>
              </w:rPr>
              <w:t>Control</w:t>
            </w:r>
          </w:p>
        </w:tc>
        <w:tc>
          <w:tcPr>
            <w:tcW w:w="1488" w:type="dxa"/>
          </w:tcPr>
          <w:p w14:paraId="1A004820" w14:textId="77777777" w:rsidR="00981A15" w:rsidRPr="00994095" w:rsidRDefault="00981A15" w:rsidP="008D073E">
            <w:pPr>
              <w:pStyle w:val="TableParagraph"/>
              <w:spacing w:after="240"/>
              <w:ind w:left="16" w:right="3"/>
              <w:jc w:val="center"/>
              <w:rPr>
                <w:rFonts w:ascii="Arial" w:hAnsi="Arial" w:cs="Arial"/>
                <w:b/>
                <w:sz w:val="20"/>
                <w:szCs w:val="20"/>
              </w:rPr>
            </w:pPr>
            <w:r w:rsidRPr="00994095">
              <w:rPr>
                <w:rFonts w:ascii="Arial" w:hAnsi="Arial" w:cs="Arial"/>
                <w:b/>
                <w:sz w:val="20"/>
                <w:szCs w:val="20"/>
              </w:rPr>
              <w:t>Low</w:t>
            </w:r>
            <w:r w:rsidRPr="00994095">
              <w:rPr>
                <w:rFonts w:ascii="Arial" w:hAnsi="Arial" w:cs="Arial"/>
                <w:b/>
                <w:spacing w:val="-4"/>
                <w:sz w:val="20"/>
                <w:szCs w:val="20"/>
              </w:rPr>
              <w:t xml:space="preserve"> Dose</w:t>
            </w:r>
          </w:p>
        </w:tc>
        <w:tc>
          <w:tcPr>
            <w:tcW w:w="1445" w:type="dxa"/>
          </w:tcPr>
          <w:p w14:paraId="17DBB2CB" w14:textId="77777777" w:rsidR="00981A15" w:rsidRPr="00994095" w:rsidRDefault="00981A15" w:rsidP="008D073E">
            <w:pPr>
              <w:pStyle w:val="TableParagraph"/>
              <w:spacing w:after="240"/>
              <w:ind w:right="6"/>
              <w:jc w:val="center"/>
              <w:rPr>
                <w:rFonts w:ascii="Arial" w:hAnsi="Arial" w:cs="Arial"/>
                <w:b/>
                <w:sz w:val="20"/>
                <w:szCs w:val="20"/>
              </w:rPr>
            </w:pPr>
            <w:r w:rsidRPr="00994095">
              <w:rPr>
                <w:rFonts w:ascii="Arial" w:hAnsi="Arial" w:cs="Arial"/>
                <w:b/>
                <w:sz w:val="20"/>
                <w:szCs w:val="20"/>
              </w:rPr>
              <w:t>Medium</w:t>
            </w:r>
            <w:r w:rsidRPr="00994095">
              <w:rPr>
                <w:rFonts w:ascii="Arial" w:hAnsi="Arial" w:cs="Arial"/>
                <w:b/>
                <w:spacing w:val="-8"/>
                <w:sz w:val="20"/>
                <w:szCs w:val="20"/>
              </w:rPr>
              <w:t xml:space="preserve"> </w:t>
            </w:r>
            <w:r w:rsidRPr="00994095">
              <w:rPr>
                <w:rFonts w:ascii="Arial" w:hAnsi="Arial" w:cs="Arial"/>
                <w:b/>
                <w:spacing w:val="-4"/>
                <w:sz w:val="20"/>
                <w:szCs w:val="20"/>
              </w:rPr>
              <w:t>Dose</w:t>
            </w:r>
          </w:p>
        </w:tc>
        <w:tc>
          <w:tcPr>
            <w:tcW w:w="1431" w:type="dxa"/>
          </w:tcPr>
          <w:p w14:paraId="6266CDF1" w14:textId="77777777" w:rsidR="00981A15" w:rsidRPr="00994095" w:rsidRDefault="00981A15" w:rsidP="008D073E">
            <w:pPr>
              <w:pStyle w:val="TableParagraph"/>
              <w:spacing w:after="240"/>
              <w:ind w:right="1"/>
              <w:jc w:val="center"/>
              <w:rPr>
                <w:rFonts w:ascii="Arial" w:hAnsi="Arial" w:cs="Arial"/>
                <w:b/>
                <w:sz w:val="20"/>
                <w:szCs w:val="20"/>
              </w:rPr>
            </w:pPr>
            <w:r w:rsidRPr="00994095">
              <w:rPr>
                <w:rFonts w:ascii="Arial" w:hAnsi="Arial" w:cs="Arial"/>
                <w:b/>
                <w:sz w:val="20"/>
                <w:szCs w:val="20"/>
              </w:rPr>
              <w:t>High</w:t>
            </w:r>
            <w:r w:rsidRPr="00994095">
              <w:rPr>
                <w:rFonts w:ascii="Arial" w:hAnsi="Arial" w:cs="Arial"/>
                <w:b/>
                <w:spacing w:val="-6"/>
                <w:sz w:val="20"/>
                <w:szCs w:val="20"/>
              </w:rPr>
              <w:t xml:space="preserve"> </w:t>
            </w:r>
            <w:r w:rsidRPr="00994095">
              <w:rPr>
                <w:rFonts w:ascii="Arial" w:hAnsi="Arial" w:cs="Arial"/>
                <w:b/>
                <w:spacing w:val="-4"/>
                <w:sz w:val="20"/>
                <w:szCs w:val="20"/>
              </w:rPr>
              <w:t>Dose</w:t>
            </w:r>
          </w:p>
        </w:tc>
      </w:tr>
      <w:tr w:rsidR="00981A15" w:rsidRPr="00994095" w14:paraId="65250209" w14:textId="77777777" w:rsidTr="00981A15">
        <w:trPr>
          <w:trHeight w:val="460"/>
        </w:trPr>
        <w:tc>
          <w:tcPr>
            <w:tcW w:w="1787" w:type="dxa"/>
          </w:tcPr>
          <w:p w14:paraId="5CF2AEBD"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pacing w:val="-2"/>
                <w:sz w:val="20"/>
                <w:szCs w:val="20"/>
              </w:rPr>
              <w:t>Average</w:t>
            </w:r>
            <w:r w:rsidRPr="00994095">
              <w:rPr>
                <w:rFonts w:ascii="Arial" w:hAnsi="Arial" w:cs="Arial"/>
                <w:b/>
                <w:spacing w:val="-6"/>
                <w:sz w:val="20"/>
                <w:szCs w:val="20"/>
              </w:rPr>
              <w:t xml:space="preserve"> </w:t>
            </w:r>
            <w:r w:rsidRPr="00994095">
              <w:rPr>
                <w:rFonts w:ascii="Arial" w:hAnsi="Arial" w:cs="Arial"/>
                <w:b/>
                <w:spacing w:val="-2"/>
                <w:sz w:val="20"/>
                <w:szCs w:val="20"/>
              </w:rPr>
              <w:t>speed</w:t>
            </w:r>
          </w:p>
        </w:tc>
        <w:tc>
          <w:tcPr>
            <w:tcW w:w="1610" w:type="dxa"/>
          </w:tcPr>
          <w:p w14:paraId="65266E7C"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138.44</w:t>
            </w:r>
            <w:r w:rsidRPr="00994095">
              <w:rPr>
                <w:rFonts w:ascii="Arial" w:hAnsi="Arial" w:cs="Arial"/>
                <w:spacing w:val="-2"/>
                <w:sz w:val="20"/>
                <w:szCs w:val="20"/>
              </w:rPr>
              <w:t xml:space="preserve"> </w:t>
            </w:r>
            <w:r w:rsidRPr="00994095">
              <w:rPr>
                <w:rFonts w:ascii="Arial" w:hAnsi="Arial" w:cs="Arial"/>
                <w:sz w:val="20"/>
                <w:szCs w:val="20"/>
              </w:rPr>
              <w:t>±</w:t>
            </w:r>
            <w:r w:rsidRPr="00994095">
              <w:rPr>
                <w:rFonts w:ascii="Arial" w:hAnsi="Arial" w:cs="Arial"/>
                <w:spacing w:val="-2"/>
                <w:sz w:val="20"/>
                <w:szCs w:val="20"/>
              </w:rPr>
              <w:t xml:space="preserve"> 11.87</w:t>
            </w:r>
          </w:p>
        </w:tc>
        <w:tc>
          <w:tcPr>
            <w:tcW w:w="1619" w:type="dxa"/>
          </w:tcPr>
          <w:p w14:paraId="0E69857C"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125.11</w:t>
            </w:r>
            <w:r w:rsidRPr="00994095">
              <w:rPr>
                <w:rFonts w:ascii="Arial" w:hAnsi="Arial" w:cs="Arial"/>
                <w:spacing w:val="-5"/>
                <w:sz w:val="20"/>
                <w:szCs w:val="20"/>
              </w:rPr>
              <w:t xml:space="preserve"> </w:t>
            </w:r>
            <w:r w:rsidRPr="00994095">
              <w:rPr>
                <w:rFonts w:ascii="Arial" w:hAnsi="Arial" w:cs="Arial"/>
                <w:sz w:val="20"/>
                <w:szCs w:val="20"/>
              </w:rPr>
              <w:t>±</w:t>
            </w:r>
            <w:r w:rsidRPr="00994095">
              <w:rPr>
                <w:rFonts w:ascii="Arial" w:hAnsi="Arial" w:cs="Arial"/>
                <w:spacing w:val="-7"/>
                <w:sz w:val="20"/>
                <w:szCs w:val="20"/>
              </w:rPr>
              <w:t xml:space="preserve"> </w:t>
            </w:r>
            <w:r w:rsidRPr="00994095">
              <w:rPr>
                <w:rFonts w:ascii="Arial" w:hAnsi="Arial" w:cs="Arial"/>
                <w:spacing w:val="-2"/>
                <w:sz w:val="20"/>
                <w:szCs w:val="20"/>
              </w:rPr>
              <w:t>22.91</w:t>
            </w:r>
          </w:p>
        </w:tc>
        <w:tc>
          <w:tcPr>
            <w:tcW w:w="1488" w:type="dxa"/>
          </w:tcPr>
          <w:p w14:paraId="013291E2"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72.07</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14.48</w:t>
            </w:r>
          </w:p>
        </w:tc>
        <w:tc>
          <w:tcPr>
            <w:tcW w:w="1445" w:type="dxa"/>
          </w:tcPr>
          <w:p w14:paraId="0C13488C"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62.91</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7.59</w:t>
            </w:r>
            <w:r w:rsidRPr="00994095">
              <w:rPr>
                <w:rFonts w:ascii="Arial" w:hAnsi="Arial" w:cs="Arial"/>
                <w:b/>
                <w:spacing w:val="-2"/>
                <w:sz w:val="20"/>
                <w:szCs w:val="20"/>
                <w:vertAlign w:val="superscript"/>
              </w:rPr>
              <w:t>*</w:t>
            </w:r>
          </w:p>
        </w:tc>
        <w:tc>
          <w:tcPr>
            <w:tcW w:w="1431" w:type="dxa"/>
          </w:tcPr>
          <w:p w14:paraId="5AD2D43D"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88.46</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5.27</w:t>
            </w:r>
            <w:r w:rsidRPr="00994095">
              <w:rPr>
                <w:rFonts w:ascii="Arial" w:hAnsi="Arial" w:cs="Arial"/>
                <w:spacing w:val="-2"/>
                <w:sz w:val="20"/>
                <w:szCs w:val="20"/>
                <w:vertAlign w:val="superscript"/>
              </w:rPr>
              <w:t>**</w:t>
            </w:r>
          </w:p>
        </w:tc>
      </w:tr>
      <w:tr w:rsidR="00981A15" w:rsidRPr="00994095" w14:paraId="3994CDCA" w14:textId="77777777" w:rsidTr="00981A15">
        <w:trPr>
          <w:trHeight w:val="460"/>
        </w:trPr>
        <w:tc>
          <w:tcPr>
            <w:tcW w:w="1787" w:type="dxa"/>
          </w:tcPr>
          <w:p w14:paraId="57CBFB92"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z w:val="20"/>
                <w:szCs w:val="20"/>
              </w:rPr>
              <w:t>Mobility</w:t>
            </w:r>
            <w:r w:rsidRPr="00994095">
              <w:rPr>
                <w:rFonts w:ascii="Arial" w:hAnsi="Arial" w:cs="Arial"/>
                <w:b/>
                <w:spacing w:val="-7"/>
                <w:sz w:val="20"/>
                <w:szCs w:val="20"/>
              </w:rPr>
              <w:t xml:space="preserve"> </w:t>
            </w:r>
            <w:r w:rsidRPr="00994095">
              <w:rPr>
                <w:rFonts w:ascii="Arial" w:hAnsi="Arial" w:cs="Arial"/>
                <w:b/>
                <w:spacing w:val="-2"/>
                <w:sz w:val="20"/>
                <w:szCs w:val="20"/>
              </w:rPr>
              <w:t>Speed</w:t>
            </w:r>
          </w:p>
        </w:tc>
        <w:tc>
          <w:tcPr>
            <w:tcW w:w="1610" w:type="dxa"/>
          </w:tcPr>
          <w:p w14:paraId="477EE3E2"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147.33</w:t>
            </w:r>
            <w:r w:rsidRPr="00994095">
              <w:rPr>
                <w:rFonts w:ascii="Arial" w:hAnsi="Arial" w:cs="Arial"/>
                <w:spacing w:val="-2"/>
                <w:sz w:val="20"/>
                <w:szCs w:val="20"/>
              </w:rPr>
              <w:t xml:space="preserve"> </w:t>
            </w:r>
            <w:r w:rsidRPr="00994095">
              <w:rPr>
                <w:rFonts w:ascii="Arial" w:hAnsi="Arial" w:cs="Arial"/>
                <w:sz w:val="20"/>
                <w:szCs w:val="20"/>
              </w:rPr>
              <w:t>±</w:t>
            </w:r>
            <w:r w:rsidRPr="00994095">
              <w:rPr>
                <w:rFonts w:ascii="Arial" w:hAnsi="Arial" w:cs="Arial"/>
                <w:spacing w:val="-5"/>
                <w:sz w:val="20"/>
                <w:szCs w:val="20"/>
              </w:rPr>
              <w:t xml:space="preserve"> </w:t>
            </w:r>
            <w:r w:rsidRPr="00994095">
              <w:rPr>
                <w:rFonts w:ascii="Arial" w:hAnsi="Arial" w:cs="Arial"/>
                <w:spacing w:val="-2"/>
                <w:sz w:val="20"/>
                <w:szCs w:val="20"/>
              </w:rPr>
              <w:t>49.69</w:t>
            </w:r>
          </w:p>
        </w:tc>
        <w:tc>
          <w:tcPr>
            <w:tcW w:w="1619" w:type="dxa"/>
          </w:tcPr>
          <w:p w14:paraId="69F938C1"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142.34</w:t>
            </w:r>
            <w:r w:rsidRPr="00994095">
              <w:rPr>
                <w:rFonts w:ascii="Arial" w:hAnsi="Arial" w:cs="Arial"/>
                <w:spacing w:val="-2"/>
                <w:sz w:val="20"/>
                <w:szCs w:val="20"/>
              </w:rPr>
              <w:t xml:space="preserve"> </w:t>
            </w:r>
            <w:r w:rsidRPr="00994095">
              <w:rPr>
                <w:rFonts w:ascii="Arial" w:hAnsi="Arial" w:cs="Arial"/>
                <w:sz w:val="20"/>
                <w:szCs w:val="20"/>
              </w:rPr>
              <w:t>±</w:t>
            </w:r>
            <w:r w:rsidRPr="00994095">
              <w:rPr>
                <w:rFonts w:ascii="Arial" w:hAnsi="Arial" w:cs="Arial"/>
                <w:spacing w:val="-5"/>
                <w:sz w:val="20"/>
                <w:szCs w:val="20"/>
              </w:rPr>
              <w:t xml:space="preserve"> </w:t>
            </w:r>
            <w:r w:rsidRPr="00994095">
              <w:rPr>
                <w:rFonts w:ascii="Arial" w:hAnsi="Arial" w:cs="Arial"/>
                <w:spacing w:val="-2"/>
                <w:sz w:val="20"/>
                <w:szCs w:val="20"/>
              </w:rPr>
              <w:t>35.30</w:t>
            </w:r>
          </w:p>
        </w:tc>
        <w:tc>
          <w:tcPr>
            <w:tcW w:w="1488" w:type="dxa"/>
          </w:tcPr>
          <w:p w14:paraId="19033449"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74.14</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10.29</w:t>
            </w:r>
            <w:r w:rsidRPr="00994095">
              <w:rPr>
                <w:rFonts w:ascii="Arial" w:hAnsi="Arial" w:cs="Arial"/>
                <w:b/>
                <w:spacing w:val="-2"/>
                <w:sz w:val="20"/>
                <w:szCs w:val="20"/>
                <w:vertAlign w:val="superscript"/>
              </w:rPr>
              <w:t>**</w:t>
            </w:r>
          </w:p>
        </w:tc>
        <w:tc>
          <w:tcPr>
            <w:tcW w:w="1445" w:type="dxa"/>
          </w:tcPr>
          <w:p w14:paraId="2AF984C6"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64.68</w:t>
            </w:r>
            <w:r w:rsidRPr="00994095">
              <w:rPr>
                <w:rFonts w:ascii="Arial" w:hAnsi="Arial" w:cs="Arial"/>
                <w:spacing w:val="-2"/>
                <w:sz w:val="20"/>
                <w:szCs w:val="20"/>
              </w:rPr>
              <w:t xml:space="preserve"> </w:t>
            </w:r>
            <w:r w:rsidRPr="00994095">
              <w:rPr>
                <w:rFonts w:ascii="Arial" w:hAnsi="Arial" w:cs="Arial"/>
                <w:sz w:val="20"/>
                <w:szCs w:val="20"/>
              </w:rPr>
              <w:t>±</w:t>
            </w:r>
            <w:r w:rsidRPr="00994095">
              <w:rPr>
                <w:rFonts w:ascii="Arial" w:hAnsi="Arial" w:cs="Arial"/>
                <w:spacing w:val="58"/>
                <w:sz w:val="20"/>
                <w:szCs w:val="20"/>
              </w:rPr>
              <w:t xml:space="preserve"> </w:t>
            </w:r>
            <w:r w:rsidRPr="00994095">
              <w:rPr>
                <w:rFonts w:ascii="Arial" w:hAnsi="Arial" w:cs="Arial"/>
                <w:spacing w:val="-2"/>
                <w:sz w:val="20"/>
                <w:szCs w:val="20"/>
              </w:rPr>
              <w:t>8.89</w:t>
            </w:r>
            <w:r w:rsidRPr="00994095">
              <w:rPr>
                <w:rFonts w:ascii="Arial" w:hAnsi="Arial" w:cs="Arial"/>
                <w:b/>
                <w:spacing w:val="-2"/>
                <w:sz w:val="20"/>
                <w:szCs w:val="20"/>
                <w:vertAlign w:val="superscript"/>
              </w:rPr>
              <w:t>**</w:t>
            </w:r>
          </w:p>
        </w:tc>
        <w:tc>
          <w:tcPr>
            <w:tcW w:w="1431" w:type="dxa"/>
          </w:tcPr>
          <w:p w14:paraId="416778DF"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96.34</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15.26</w:t>
            </w:r>
            <w:r w:rsidRPr="00994095">
              <w:rPr>
                <w:rFonts w:ascii="Arial" w:hAnsi="Arial" w:cs="Arial"/>
                <w:b/>
                <w:spacing w:val="-2"/>
                <w:sz w:val="20"/>
                <w:szCs w:val="20"/>
                <w:vertAlign w:val="superscript"/>
              </w:rPr>
              <w:t>*</w:t>
            </w:r>
          </w:p>
        </w:tc>
      </w:tr>
      <w:tr w:rsidR="00981A15" w:rsidRPr="00994095" w14:paraId="4124737D" w14:textId="77777777" w:rsidTr="00981A15">
        <w:trPr>
          <w:trHeight w:val="460"/>
        </w:trPr>
        <w:tc>
          <w:tcPr>
            <w:tcW w:w="1787" w:type="dxa"/>
          </w:tcPr>
          <w:p w14:paraId="1CA7A2DD"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pacing w:val="-4"/>
                <w:sz w:val="20"/>
                <w:szCs w:val="20"/>
              </w:rPr>
              <w:t>Total</w:t>
            </w:r>
            <w:r w:rsidRPr="00994095">
              <w:rPr>
                <w:rFonts w:ascii="Arial" w:hAnsi="Arial" w:cs="Arial"/>
                <w:b/>
                <w:spacing w:val="-2"/>
                <w:sz w:val="20"/>
                <w:szCs w:val="20"/>
              </w:rPr>
              <w:t xml:space="preserve"> Distance</w:t>
            </w:r>
          </w:p>
        </w:tc>
        <w:tc>
          <w:tcPr>
            <w:tcW w:w="1610" w:type="dxa"/>
          </w:tcPr>
          <w:p w14:paraId="661FC203" w14:textId="77777777" w:rsidR="00981A15" w:rsidRPr="00994095" w:rsidRDefault="00981A15" w:rsidP="00284525">
            <w:pPr>
              <w:pStyle w:val="TableParagraph"/>
              <w:ind w:right="4"/>
              <w:rPr>
                <w:rFonts w:ascii="Arial" w:hAnsi="Arial" w:cs="Arial"/>
                <w:sz w:val="20"/>
                <w:szCs w:val="20"/>
              </w:rPr>
            </w:pPr>
            <w:r w:rsidRPr="00994095">
              <w:rPr>
                <w:rFonts w:ascii="Arial" w:hAnsi="Arial" w:cs="Arial"/>
                <w:sz w:val="20"/>
                <w:szCs w:val="20"/>
              </w:rPr>
              <w:t>25958.68</w:t>
            </w:r>
            <w:r w:rsidRPr="00994095">
              <w:rPr>
                <w:rFonts w:ascii="Arial" w:hAnsi="Arial" w:cs="Arial"/>
                <w:spacing w:val="-4"/>
                <w:sz w:val="20"/>
                <w:szCs w:val="20"/>
              </w:rPr>
              <w:t xml:space="preserve"> </w:t>
            </w:r>
            <w:r w:rsidRPr="00994095">
              <w:rPr>
                <w:rFonts w:ascii="Arial" w:hAnsi="Arial" w:cs="Arial"/>
                <w:spacing w:val="-10"/>
                <w:sz w:val="20"/>
                <w:szCs w:val="20"/>
              </w:rPr>
              <w:t>±</w:t>
            </w:r>
          </w:p>
          <w:p w14:paraId="6B62E319" w14:textId="77777777" w:rsidR="00981A15" w:rsidRPr="00994095" w:rsidRDefault="00981A15" w:rsidP="00284525">
            <w:pPr>
              <w:pStyle w:val="TableParagraph"/>
              <w:spacing w:line="210" w:lineRule="exact"/>
              <w:ind w:left="128"/>
              <w:rPr>
                <w:rFonts w:ascii="Arial" w:hAnsi="Arial" w:cs="Arial"/>
                <w:sz w:val="20"/>
                <w:szCs w:val="20"/>
              </w:rPr>
            </w:pPr>
            <w:r w:rsidRPr="00994095">
              <w:rPr>
                <w:rFonts w:ascii="Arial" w:hAnsi="Arial" w:cs="Arial"/>
                <w:spacing w:val="-2"/>
                <w:sz w:val="20"/>
                <w:szCs w:val="20"/>
              </w:rPr>
              <w:t>3212.38</w:t>
            </w:r>
          </w:p>
        </w:tc>
        <w:tc>
          <w:tcPr>
            <w:tcW w:w="1619" w:type="dxa"/>
          </w:tcPr>
          <w:p w14:paraId="4BAF3982"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23173.7</w:t>
            </w:r>
            <w:r w:rsidRPr="00994095">
              <w:rPr>
                <w:rFonts w:ascii="Arial" w:hAnsi="Arial" w:cs="Arial"/>
                <w:spacing w:val="-5"/>
                <w:sz w:val="20"/>
                <w:szCs w:val="20"/>
              </w:rPr>
              <w:t xml:space="preserve"> </w:t>
            </w:r>
            <w:r w:rsidRPr="00994095">
              <w:rPr>
                <w:rFonts w:ascii="Arial" w:hAnsi="Arial" w:cs="Arial"/>
                <w:spacing w:val="-10"/>
                <w:sz w:val="20"/>
                <w:szCs w:val="20"/>
              </w:rPr>
              <w:t>±</w:t>
            </w:r>
          </w:p>
          <w:p w14:paraId="1C3DFAC8" w14:textId="77777777" w:rsidR="00981A15" w:rsidRPr="00994095" w:rsidRDefault="00981A15" w:rsidP="00284525">
            <w:pPr>
              <w:pStyle w:val="TableParagraph"/>
              <w:spacing w:line="210" w:lineRule="exact"/>
              <w:rPr>
                <w:rFonts w:ascii="Arial" w:hAnsi="Arial" w:cs="Arial"/>
                <w:sz w:val="20"/>
                <w:szCs w:val="20"/>
              </w:rPr>
            </w:pPr>
            <w:r w:rsidRPr="00994095">
              <w:rPr>
                <w:rFonts w:ascii="Arial" w:hAnsi="Arial" w:cs="Arial"/>
                <w:spacing w:val="-2"/>
                <w:sz w:val="20"/>
                <w:szCs w:val="20"/>
              </w:rPr>
              <w:t>3330.34</w:t>
            </w:r>
          </w:p>
        </w:tc>
        <w:tc>
          <w:tcPr>
            <w:tcW w:w="1488" w:type="dxa"/>
          </w:tcPr>
          <w:p w14:paraId="10CA9A3C" w14:textId="77777777" w:rsidR="00981A15" w:rsidRPr="00994095" w:rsidRDefault="00981A15" w:rsidP="00284525">
            <w:pPr>
              <w:pStyle w:val="TableParagraph"/>
              <w:rPr>
                <w:rFonts w:ascii="Arial" w:hAnsi="Arial" w:cs="Arial"/>
                <w:sz w:val="20"/>
                <w:szCs w:val="20"/>
              </w:rPr>
            </w:pPr>
            <w:r w:rsidRPr="00994095">
              <w:rPr>
                <w:rFonts w:ascii="Arial" w:hAnsi="Arial" w:cs="Arial"/>
                <w:spacing w:val="-2"/>
                <w:sz w:val="20"/>
                <w:szCs w:val="20"/>
              </w:rPr>
              <w:t>12149.52±</w:t>
            </w:r>
          </w:p>
          <w:p w14:paraId="478B9F87" w14:textId="77777777" w:rsidR="00981A15" w:rsidRPr="00994095" w:rsidRDefault="00981A15" w:rsidP="00284525">
            <w:pPr>
              <w:pStyle w:val="TableParagraph"/>
              <w:spacing w:line="210" w:lineRule="exact"/>
              <w:rPr>
                <w:rFonts w:ascii="Arial" w:hAnsi="Arial" w:cs="Arial"/>
                <w:b/>
                <w:sz w:val="20"/>
                <w:szCs w:val="20"/>
              </w:rPr>
            </w:pPr>
            <w:r w:rsidRPr="00994095">
              <w:rPr>
                <w:rFonts w:ascii="Arial" w:hAnsi="Arial" w:cs="Arial"/>
                <w:spacing w:val="-2"/>
                <w:sz w:val="20"/>
                <w:szCs w:val="20"/>
              </w:rPr>
              <w:t>4189.75</w:t>
            </w:r>
            <w:r w:rsidRPr="00994095">
              <w:rPr>
                <w:rFonts w:ascii="Arial" w:hAnsi="Arial" w:cs="Arial"/>
                <w:b/>
                <w:spacing w:val="-2"/>
                <w:sz w:val="20"/>
                <w:szCs w:val="20"/>
                <w:vertAlign w:val="superscript"/>
              </w:rPr>
              <w:t>*</w:t>
            </w:r>
          </w:p>
        </w:tc>
        <w:tc>
          <w:tcPr>
            <w:tcW w:w="1445" w:type="dxa"/>
          </w:tcPr>
          <w:p w14:paraId="5273CC91"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11358.73</w:t>
            </w:r>
            <w:r w:rsidRPr="00994095">
              <w:rPr>
                <w:rFonts w:ascii="Arial" w:hAnsi="Arial" w:cs="Arial"/>
                <w:spacing w:val="-13"/>
                <w:sz w:val="20"/>
                <w:szCs w:val="20"/>
              </w:rPr>
              <w:t xml:space="preserve"> </w:t>
            </w:r>
            <w:r w:rsidRPr="00994095">
              <w:rPr>
                <w:rFonts w:ascii="Arial" w:hAnsi="Arial" w:cs="Arial"/>
                <w:spacing w:val="-10"/>
                <w:sz w:val="20"/>
                <w:szCs w:val="20"/>
              </w:rPr>
              <w:t>±</w:t>
            </w:r>
          </w:p>
          <w:p w14:paraId="3F7BBE4D" w14:textId="77777777" w:rsidR="00981A15" w:rsidRPr="00994095" w:rsidRDefault="00981A15" w:rsidP="00284525">
            <w:pPr>
              <w:pStyle w:val="TableParagraph"/>
              <w:spacing w:line="210" w:lineRule="exact"/>
              <w:ind w:left="298"/>
              <w:rPr>
                <w:rFonts w:ascii="Arial" w:hAnsi="Arial" w:cs="Arial"/>
                <w:b/>
                <w:sz w:val="20"/>
                <w:szCs w:val="20"/>
              </w:rPr>
            </w:pPr>
            <w:r w:rsidRPr="00994095">
              <w:rPr>
                <w:rFonts w:ascii="Arial" w:hAnsi="Arial" w:cs="Arial"/>
                <w:spacing w:val="-2"/>
                <w:sz w:val="20"/>
                <w:szCs w:val="20"/>
              </w:rPr>
              <w:t>1562.54</w:t>
            </w:r>
            <w:r w:rsidRPr="00994095">
              <w:rPr>
                <w:rFonts w:ascii="Arial" w:hAnsi="Arial" w:cs="Arial"/>
                <w:b/>
                <w:spacing w:val="-2"/>
                <w:sz w:val="20"/>
                <w:szCs w:val="20"/>
                <w:vertAlign w:val="superscript"/>
              </w:rPr>
              <w:t>***</w:t>
            </w:r>
          </w:p>
        </w:tc>
        <w:tc>
          <w:tcPr>
            <w:tcW w:w="1431" w:type="dxa"/>
          </w:tcPr>
          <w:p w14:paraId="094071D5"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16765.67</w:t>
            </w:r>
            <w:r w:rsidRPr="00994095">
              <w:rPr>
                <w:rFonts w:ascii="Arial" w:hAnsi="Arial" w:cs="Arial"/>
                <w:spacing w:val="-5"/>
                <w:sz w:val="20"/>
                <w:szCs w:val="20"/>
              </w:rPr>
              <w:t xml:space="preserve"> </w:t>
            </w:r>
            <w:r w:rsidRPr="00994095">
              <w:rPr>
                <w:rFonts w:ascii="Arial" w:hAnsi="Arial" w:cs="Arial"/>
                <w:spacing w:val="-10"/>
                <w:sz w:val="20"/>
                <w:szCs w:val="20"/>
              </w:rPr>
              <w:t>±</w:t>
            </w:r>
          </w:p>
          <w:p w14:paraId="085BB466" w14:textId="77777777" w:rsidR="00981A15" w:rsidRPr="00994095" w:rsidRDefault="00981A15" w:rsidP="00284525">
            <w:pPr>
              <w:pStyle w:val="TableParagraph"/>
              <w:spacing w:line="210" w:lineRule="exact"/>
              <w:ind w:left="322"/>
              <w:rPr>
                <w:rFonts w:ascii="Arial" w:hAnsi="Arial" w:cs="Arial"/>
                <w:b/>
                <w:sz w:val="20"/>
                <w:szCs w:val="20"/>
              </w:rPr>
            </w:pPr>
            <w:r w:rsidRPr="00994095">
              <w:rPr>
                <w:rFonts w:ascii="Arial" w:hAnsi="Arial" w:cs="Arial"/>
                <w:spacing w:val="-2"/>
                <w:sz w:val="20"/>
                <w:szCs w:val="20"/>
              </w:rPr>
              <w:t>1958.66</w:t>
            </w:r>
            <w:r w:rsidRPr="00994095">
              <w:rPr>
                <w:rFonts w:ascii="Arial" w:hAnsi="Arial" w:cs="Arial"/>
                <w:b/>
                <w:spacing w:val="-2"/>
                <w:sz w:val="20"/>
                <w:szCs w:val="20"/>
                <w:vertAlign w:val="superscript"/>
              </w:rPr>
              <w:t>**</w:t>
            </w:r>
          </w:p>
        </w:tc>
      </w:tr>
      <w:tr w:rsidR="00981A15" w:rsidRPr="00994095" w14:paraId="29804650" w14:textId="77777777" w:rsidTr="00981A15">
        <w:trPr>
          <w:trHeight w:val="458"/>
        </w:trPr>
        <w:tc>
          <w:tcPr>
            <w:tcW w:w="1787" w:type="dxa"/>
          </w:tcPr>
          <w:p w14:paraId="2E6F525C"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pacing w:val="-2"/>
                <w:sz w:val="20"/>
                <w:szCs w:val="20"/>
              </w:rPr>
              <w:t>Explored</w:t>
            </w:r>
            <w:r w:rsidRPr="00994095">
              <w:rPr>
                <w:rFonts w:ascii="Arial" w:hAnsi="Arial" w:cs="Arial"/>
                <w:b/>
                <w:spacing w:val="2"/>
                <w:sz w:val="20"/>
                <w:szCs w:val="20"/>
              </w:rPr>
              <w:t xml:space="preserve"> </w:t>
            </w:r>
            <w:r w:rsidRPr="00994095">
              <w:rPr>
                <w:rFonts w:ascii="Arial" w:hAnsi="Arial" w:cs="Arial"/>
                <w:b/>
                <w:spacing w:val="-4"/>
                <w:sz w:val="20"/>
                <w:szCs w:val="20"/>
              </w:rPr>
              <w:t>area</w:t>
            </w:r>
          </w:p>
        </w:tc>
        <w:tc>
          <w:tcPr>
            <w:tcW w:w="1610" w:type="dxa"/>
          </w:tcPr>
          <w:p w14:paraId="7FB765FD" w14:textId="77777777" w:rsidR="00981A15" w:rsidRPr="00994095" w:rsidRDefault="00981A15" w:rsidP="00284525">
            <w:pPr>
              <w:pStyle w:val="TableParagraph"/>
              <w:ind w:right="1"/>
              <w:rPr>
                <w:rFonts w:ascii="Arial" w:hAnsi="Arial" w:cs="Arial"/>
                <w:sz w:val="20"/>
                <w:szCs w:val="20"/>
              </w:rPr>
            </w:pPr>
            <w:r w:rsidRPr="00994095">
              <w:rPr>
                <w:rFonts w:ascii="Arial" w:hAnsi="Arial" w:cs="Arial"/>
                <w:sz w:val="20"/>
                <w:szCs w:val="20"/>
              </w:rPr>
              <w:t>179</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11.46</w:t>
            </w:r>
          </w:p>
        </w:tc>
        <w:tc>
          <w:tcPr>
            <w:tcW w:w="1619" w:type="dxa"/>
          </w:tcPr>
          <w:p w14:paraId="39D0A18F"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155</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16.60</w:t>
            </w:r>
            <w:r w:rsidRPr="00994095">
              <w:rPr>
                <w:rFonts w:ascii="Arial" w:hAnsi="Arial" w:cs="Arial"/>
                <w:b/>
                <w:spacing w:val="-2"/>
                <w:sz w:val="20"/>
                <w:szCs w:val="20"/>
                <w:vertAlign w:val="superscript"/>
              </w:rPr>
              <w:t>*</w:t>
            </w:r>
          </w:p>
        </w:tc>
        <w:tc>
          <w:tcPr>
            <w:tcW w:w="1488" w:type="dxa"/>
          </w:tcPr>
          <w:p w14:paraId="13D2AE2A" w14:textId="77777777" w:rsidR="00981A15" w:rsidRPr="00994095" w:rsidRDefault="00981A15" w:rsidP="00284525">
            <w:pPr>
              <w:pStyle w:val="TableParagraph"/>
              <w:ind w:right="1"/>
              <w:rPr>
                <w:rFonts w:ascii="Arial" w:hAnsi="Arial" w:cs="Arial"/>
                <w:sz w:val="20"/>
                <w:szCs w:val="20"/>
              </w:rPr>
            </w:pPr>
            <w:r w:rsidRPr="00994095">
              <w:rPr>
                <w:rFonts w:ascii="Arial" w:hAnsi="Arial" w:cs="Arial"/>
                <w:sz w:val="20"/>
                <w:szCs w:val="20"/>
              </w:rPr>
              <w:t>138</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35.64</w:t>
            </w:r>
          </w:p>
        </w:tc>
        <w:tc>
          <w:tcPr>
            <w:tcW w:w="1445" w:type="dxa"/>
          </w:tcPr>
          <w:p w14:paraId="1470321D" w14:textId="77777777" w:rsidR="00981A15" w:rsidRPr="00994095" w:rsidRDefault="00981A15" w:rsidP="00284525">
            <w:pPr>
              <w:pStyle w:val="TableParagraph"/>
              <w:ind w:right="6"/>
              <w:rPr>
                <w:rFonts w:ascii="Arial" w:hAnsi="Arial" w:cs="Arial"/>
                <w:b/>
                <w:sz w:val="20"/>
                <w:szCs w:val="20"/>
              </w:rPr>
            </w:pPr>
            <w:r w:rsidRPr="00994095">
              <w:rPr>
                <w:rFonts w:ascii="Arial" w:hAnsi="Arial" w:cs="Arial"/>
                <w:sz w:val="20"/>
                <w:szCs w:val="20"/>
              </w:rPr>
              <w:t>83</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16.41</w:t>
            </w:r>
            <w:r w:rsidRPr="00994095">
              <w:rPr>
                <w:rFonts w:ascii="Arial" w:hAnsi="Arial" w:cs="Arial"/>
                <w:b/>
                <w:spacing w:val="-2"/>
                <w:sz w:val="20"/>
                <w:szCs w:val="20"/>
                <w:vertAlign w:val="superscript"/>
              </w:rPr>
              <w:t>*</w:t>
            </w:r>
          </w:p>
        </w:tc>
        <w:tc>
          <w:tcPr>
            <w:tcW w:w="1431" w:type="dxa"/>
          </w:tcPr>
          <w:p w14:paraId="2F3F467F" w14:textId="77777777" w:rsidR="00981A15" w:rsidRPr="00994095" w:rsidRDefault="00981A15" w:rsidP="00284525">
            <w:pPr>
              <w:pStyle w:val="TableParagraph"/>
              <w:ind w:right="1"/>
              <w:rPr>
                <w:rFonts w:ascii="Arial" w:hAnsi="Arial" w:cs="Arial"/>
                <w:sz w:val="20"/>
                <w:szCs w:val="20"/>
              </w:rPr>
            </w:pPr>
            <w:r w:rsidRPr="00994095">
              <w:rPr>
                <w:rFonts w:ascii="Arial" w:hAnsi="Arial" w:cs="Arial"/>
                <w:sz w:val="20"/>
                <w:szCs w:val="20"/>
              </w:rPr>
              <w:t>52</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30.67</w:t>
            </w:r>
          </w:p>
        </w:tc>
      </w:tr>
      <w:tr w:rsidR="00981A15" w:rsidRPr="00994095" w14:paraId="0E3EBFD6" w14:textId="77777777" w:rsidTr="00981A15">
        <w:trPr>
          <w:trHeight w:val="460"/>
        </w:trPr>
        <w:tc>
          <w:tcPr>
            <w:tcW w:w="1787" w:type="dxa"/>
          </w:tcPr>
          <w:p w14:paraId="39162C2D"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z w:val="20"/>
                <w:szCs w:val="20"/>
              </w:rPr>
              <w:t>Total</w:t>
            </w:r>
            <w:r w:rsidRPr="00994095">
              <w:rPr>
                <w:rFonts w:ascii="Arial" w:hAnsi="Arial" w:cs="Arial"/>
                <w:b/>
                <w:spacing w:val="-9"/>
                <w:sz w:val="20"/>
                <w:szCs w:val="20"/>
              </w:rPr>
              <w:t xml:space="preserve"> </w:t>
            </w:r>
            <w:r w:rsidRPr="00994095">
              <w:rPr>
                <w:rFonts w:ascii="Arial" w:hAnsi="Arial" w:cs="Arial"/>
                <w:b/>
                <w:sz w:val="20"/>
                <w:szCs w:val="20"/>
              </w:rPr>
              <w:t>no.</w:t>
            </w:r>
            <w:r w:rsidRPr="00994095">
              <w:rPr>
                <w:rFonts w:ascii="Arial" w:hAnsi="Arial" w:cs="Arial"/>
                <w:b/>
                <w:spacing w:val="-10"/>
                <w:sz w:val="20"/>
                <w:szCs w:val="20"/>
              </w:rPr>
              <w:t xml:space="preserve"> </w:t>
            </w:r>
            <w:r w:rsidRPr="00994095">
              <w:rPr>
                <w:rFonts w:ascii="Arial" w:hAnsi="Arial" w:cs="Arial"/>
                <w:b/>
                <w:sz w:val="20"/>
                <w:szCs w:val="20"/>
              </w:rPr>
              <w:t>of</w:t>
            </w:r>
            <w:r w:rsidRPr="00994095">
              <w:rPr>
                <w:rFonts w:ascii="Arial" w:hAnsi="Arial" w:cs="Arial"/>
                <w:b/>
                <w:spacing w:val="-7"/>
                <w:sz w:val="20"/>
                <w:szCs w:val="20"/>
              </w:rPr>
              <w:t xml:space="preserve"> </w:t>
            </w:r>
            <w:r w:rsidRPr="00994095">
              <w:rPr>
                <w:rFonts w:ascii="Arial" w:hAnsi="Arial" w:cs="Arial"/>
                <w:b/>
                <w:spacing w:val="-4"/>
                <w:sz w:val="20"/>
                <w:szCs w:val="20"/>
              </w:rPr>
              <w:t>area</w:t>
            </w:r>
          </w:p>
        </w:tc>
        <w:tc>
          <w:tcPr>
            <w:tcW w:w="1610" w:type="dxa"/>
          </w:tcPr>
          <w:p w14:paraId="22A98E45" w14:textId="77777777" w:rsidR="00981A15" w:rsidRPr="00994095" w:rsidRDefault="00981A15" w:rsidP="00284525">
            <w:pPr>
              <w:pStyle w:val="TableParagraph"/>
              <w:ind w:right="4"/>
              <w:rPr>
                <w:rFonts w:ascii="Arial" w:hAnsi="Arial" w:cs="Arial"/>
                <w:sz w:val="20"/>
                <w:szCs w:val="20"/>
              </w:rPr>
            </w:pPr>
            <w:r w:rsidRPr="00994095">
              <w:rPr>
                <w:rFonts w:ascii="Arial" w:hAnsi="Arial" w:cs="Arial"/>
                <w:sz w:val="20"/>
                <w:szCs w:val="20"/>
              </w:rPr>
              <w:t>617</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24.48</w:t>
            </w:r>
          </w:p>
        </w:tc>
        <w:tc>
          <w:tcPr>
            <w:tcW w:w="1619" w:type="dxa"/>
          </w:tcPr>
          <w:p w14:paraId="5DC3B153" w14:textId="77777777" w:rsidR="00981A15" w:rsidRPr="00994095" w:rsidRDefault="00981A15" w:rsidP="00284525">
            <w:pPr>
              <w:pStyle w:val="TableParagraph"/>
              <w:ind w:left="32" w:right="3"/>
              <w:rPr>
                <w:rFonts w:ascii="Arial" w:hAnsi="Arial" w:cs="Arial"/>
                <w:b/>
                <w:sz w:val="20"/>
                <w:szCs w:val="20"/>
              </w:rPr>
            </w:pPr>
            <w:r w:rsidRPr="00994095">
              <w:rPr>
                <w:rFonts w:ascii="Arial" w:hAnsi="Arial" w:cs="Arial"/>
                <w:sz w:val="20"/>
                <w:szCs w:val="20"/>
              </w:rPr>
              <w:t>571</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20.28</w:t>
            </w:r>
            <w:r w:rsidRPr="00994095">
              <w:rPr>
                <w:rFonts w:ascii="Arial" w:hAnsi="Arial" w:cs="Arial"/>
                <w:b/>
                <w:spacing w:val="-2"/>
                <w:sz w:val="20"/>
                <w:szCs w:val="20"/>
                <w:vertAlign w:val="superscript"/>
              </w:rPr>
              <w:t>**</w:t>
            </w:r>
          </w:p>
        </w:tc>
        <w:tc>
          <w:tcPr>
            <w:tcW w:w="1488" w:type="dxa"/>
          </w:tcPr>
          <w:p w14:paraId="3776A933" w14:textId="77777777" w:rsidR="00981A15" w:rsidRPr="00994095" w:rsidRDefault="00981A15" w:rsidP="00284525">
            <w:pPr>
              <w:pStyle w:val="TableParagraph"/>
              <w:ind w:left="16"/>
              <w:rPr>
                <w:rFonts w:ascii="Arial" w:hAnsi="Arial" w:cs="Arial"/>
                <w:sz w:val="20"/>
                <w:szCs w:val="20"/>
              </w:rPr>
            </w:pPr>
            <w:r w:rsidRPr="00994095">
              <w:rPr>
                <w:rFonts w:ascii="Arial" w:hAnsi="Arial" w:cs="Arial"/>
                <w:sz w:val="20"/>
                <w:szCs w:val="20"/>
              </w:rPr>
              <w:t>382</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2"/>
                <w:sz w:val="20"/>
                <w:szCs w:val="20"/>
              </w:rPr>
              <w:t xml:space="preserve"> 33.45</w:t>
            </w:r>
          </w:p>
        </w:tc>
        <w:tc>
          <w:tcPr>
            <w:tcW w:w="1445" w:type="dxa"/>
          </w:tcPr>
          <w:p w14:paraId="5E45E084" w14:textId="77777777" w:rsidR="00981A15" w:rsidRPr="00994095" w:rsidRDefault="00981A15" w:rsidP="00284525">
            <w:pPr>
              <w:pStyle w:val="TableParagraph"/>
              <w:ind w:left="6" w:right="6"/>
              <w:rPr>
                <w:rFonts w:ascii="Arial" w:hAnsi="Arial" w:cs="Arial"/>
                <w:b/>
                <w:sz w:val="20"/>
                <w:szCs w:val="20"/>
              </w:rPr>
            </w:pPr>
            <w:r w:rsidRPr="00994095">
              <w:rPr>
                <w:rFonts w:ascii="Arial" w:hAnsi="Arial" w:cs="Arial"/>
                <w:sz w:val="20"/>
                <w:szCs w:val="20"/>
              </w:rPr>
              <w:t>222</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35.09</w:t>
            </w:r>
            <w:r w:rsidRPr="00994095">
              <w:rPr>
                <w:rFonts w:ascii="Arial" w:hAnsi="Arial" w:cs="Arial"/>
                <w:b/>
                <w:spacing w:val="-2"/>
                <w:sz w:val="20"/>
                <w:szCs w:val="20"/>
                <w:vertAlign w:val="superscript"/>
              </w:rPr>
              <w:t>*</w:t>
            </w:r>
          </w:p>
        </w:tc>
        <w:tc>
          <w:tcPr>
            <w:tcW w:w="1431" w:type="dxa"/>
          </w:tcPr>
          <w:p w14:paraId="39C323BC" w14:textId="77777777" w:rsidR="00981A15" w:rsidRPr="00994095" w:rsidRDefault="00981A15" w:rsidP="00284525">
            <w:pPr>
              <w:pStyle w:val="TableParagraph"/>
              <w:ind w:right="1"/>
              <w:rPr>
                <w:rFonts w:ascii="Arial" w:hAnsi="Arial" w:cs="Arial"/>
                <w:sz w:val="20"/>
                <w:szCs w:val="20"/>
              </w:rPr>
            </w:pPr>
            <w:r w:rsidRPr="00994095">
              <w:rPr>
                <w:rFonts w:ascii="Arial" w:hAnsi="Arial" w:cs="Arial"/>
                <w:sz w:val="20"/>
                <w:szCs w:val="20"/>
              </w:rPr>
              <w:t>196</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45.34</w:t>
            </w:r>
          </w:p>
        </w:tc>
      </w:tr>
      <w:tr w:rsidR="00981A15" w:rsidRPr="00994095" w14:paraId="1C2D8F41" w14:textId="77777777" w:rsidTr="00981A15">
        <w:trPr>
          <w:trHeight w:val="460"/>
        </w:trPr>
        <w:tc>
          <w:tcPr>
            <w:tcW w:w="1787" w:type="dxa"/>
          </w:tcPr>
          <w:p w14:paraId="185234BC"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z w:val="20"/>
                <w:szCs w:val="20"/>
              </w:rPr>
              <w:t>Frozen</w:t>
            </w:r>
            <w:r w:rsidRPr="00994095">
              <w:rPr>
                <w:rFonts w:ascii="Arial" w:hAnsi="Arial" w:cs="Arial"/>
                <w:b/>
                <w:spacing w:val="-11"/>
                <w:sz w:val="20"/>
                <w:szCs w:val="20"/>
              </w:rPr>
              <w:t xml:space="preserve"> </w:t>
            </w:r>
            <w:r w:rsidRPr="00994095">
              <w:rPr>
                <w:rFonts w:ascii="Arial" w:hAnsi="Arial" w:cs="Arial"/>
                <w:b/>
                <w:spacing w:val="-2"/>
                <w:sz w:val="20"/>
                <w:szCs w:val="20"/>
              </w:rPr>
              <w:t>events</w:t>
            </w:r>
          </w:p>
        </w:tc>
        <w:tc>
          <w:tcPr>
            <w:tcW w:w="1610" w:type="dxa"/>
          </w:tcPr>
          <w:p w14:paraId="24BDC86C"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3.62</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1.52</w:t>
            </w:r>
          </w:p>
        </w:tc>
        <w:tc>
          <w:tcPr>
            <w:tcW w:w="1619" w:type="dxa"/>
          </w:tcPr>
          <w:p w14:paraId="1FBE8C96"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3.33</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0.88</w:t>
            </w:r>
            <w:r w:rsidRPr="00994095">
              <w:rPr>
                <w:rFonts w:ascii="Arial" w:hAnsi="Arial" w:cs="Arial"/>
                <w:b/>
                <w:spacing w:val="-2"/>
                <w:sz w:val="20"/>
                <w:szCs w:val="20"/>
                <w:vertAlign w:val="superscript"/>
              </w:rPr>
              <w:t>**</w:t>
            </w:r>
          </w:p>
        </w:tc>
        <w:tc>
          <w:tcPr>
            <w:tcW w:w="1488" w:type="dxa"/>
          </w:tcPr>
          <w:p w14:paraId="6C24168E"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15.37</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5.14</w:t>
            </w:r>
          </w:p>
        </w:tc>
        <w:tc>
          <w:tcPr>
            <w:tcW w:w="1445" w:type="dxa"/>
          </w:tcPr>
          <w:p w14:paraId="3F822B0A"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39.36</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3.49</w:t>
            </w:r>
            <w:r w:rsidRPr="00994095">
              <w:rPr>
                <w:rFonts w:ascii="Arial" w:hAnsi="Arial" w:cs="Arial"/>
                <w:b/>
                <w:spacing w:val="-2"/>
                <w:sz w:val="20"/>
                <w:szCs w:val="20"/>
                <w:vertAlign w:val="superscript"/>
              </w:rPr>
              <w:t>**</w:t>
            </w:r>
          </w:p>
        </w:tc>
        <w:tc>
          <w:tcPr>
            <w:tcW w:w="1431" w:type="dxa"/>
          </w:tcPr>
          <w:p w14:paraId="7FB9F65F"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53.90</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4.064</w:t>
            </w:r>
            <w:r w:rsidRPr="00994095">
              <w:rPr>
                <w:rFonts w:ascii="Arial" w:hAnsi="Arial" w:cs="Arial"/>
                <w:b/>
                <w:spacing w:val="-2"/>
                <w:sz w:val="20"/>
                <w:szCs w:val="20"/>
                <w:vertAlign w:val="superscript"/>
              </w:rPr>
              <w:t>*</w:t>
            </w:r>
          </w:p>
        </w:tc>
      </w:tr>
    </w:tbl>
    <w:p w14:paraId="1ADD6417" w14:textId="2C309072" w:rsidR="00981A15" w:rsidRPr="00994095" w:rsidRDefault="00981A15" w:rsidP="008D073E">
      <w:pPr>
        <w:pStyle w:val="BodyText"/>
        <w:spacing w:before="3" w:after="0" w:line="360" w:lineRule="auto"/>
        <w:jc w:val="both"/>
        <w:rPr>
          <w:rFonts w:ascii="Arial" w:hAnsi="Arial" w:cs="Arial"/>
          <w:i/>
          <w:iCs/>
          <w:sz w:val="18"/>
          <w:szCs w:val="18"/>
        </w:rPr>
      </w:pPr>
      <w:r w:rsidRPr="00994095">
        <w:rPr>
          <w:rFonts w:ascii="Arial" w:hAnsi="Arial" w:cs="Arial"/>
          <w:i/>
          <w:iCs/>
          <w:sz w:val="18"/>
          <w:szCs w:val="18"/>
        </w:rPr>
        <w:t>*Data</w:t>
      </w:r>
      <w:r w:rsidRPr="00994095">
        <w:rPr>
          <w:rFonts w:ascii="Arial" w:hAnsi="Arial" w:cs="Arial"/>
          <w:i/>
          <w:iCs/>
          <w:spacing w:val="-13"/>
          <w:sz w:val="18"/>
          <w:szCs w:val="18"/>
        </w:rPr>
        <w:t xml:space="preserve"> </w:t>
      </w:r>
      <w:r w:rsidRPr="00994095">
        <w:rPr>
          <w:rFonts w:ascii="Arial" w:hAnsi="Arial" w:cs="Arial"/>
          <w:i/>
          <w:iCs/>
          <w:sz w:val="18"/>
          <w:szCs w:val="18"/>
        </w:rPr>
        <w:t>are</w:t>
      </w:r>
      <w:r w:rsidRPr="00994095">
        <w:rPr>
          <w:rFonts w:ascii="Arial" w:hAnsi="Arial" w:cs="Arial"/>
          <w:i/>
          <w:iCs/>
          <w:spacing w:val="-12"/>
          <w:sz w:val="18"/>
          <w:szCs w:val="18"/>
        </w:rPr>
        <w:t xml:space="preserve"> </w:t>
      </w:r>
      <w:r w:rsidRPr="00994095">
        <w:rPr>
          <w:rFonts w:ascii="Arial" w:hAnsi="Arial" w:cs="Arial"/>
          <w:i/>
          <w:iCs/>
          <w:sz w:val="18"/>
          <w:szCs w:val="18"/>
        </w:rPr>
        <w:t>represented</w:t>
      </w:r>
      <w:r w:rsidRPr="00994095">
        <w:rPr>
          <w:rFonts w:ascii="Arial" w:hAnsi="Arial" w:cs="Arial"/>
          <w:i/>
          <w:iCs/>
          <w:spacing w:val="-13"/>
          <w:sz w:val="18"/>
          <w:szCs w:val="18"/>
        </w:rPr>
        <w:t xml:space="preserve"> </w:t>
      </w:r>
      <w:r w:rsidRPr="00994095">
        <w:rPr>
          <w:rFonts w:ascii="Arial" w:hAnsi="Arial" w:cs="Arial"/>
          <w:i/>
          <w:iCs/>
          <w:sz w:val="18"/>
          <w:szCs w:val="18"/>
        </w:rPr>
        <w:t>as</w:t>
      </w:r>
      <w:r w:rsidRPr="00994095">
        <w:rPr>
          <w:rFonts w:ascii="Arial" w:hAnsi="Arial" w:cs="Arial"/>
          <w:i/>
          <w:iCs/>
          <w:spacing w:val="-12"/>
          <w:sz w:val="18"/>
          <w:szCs w:val="18"/>
        </w:rPr>
        <w:t xml:space="preserve"> </w:t>
      </w:r>
      <w:r w:rsidRPr="00994095">
        <w:rPr>
          <w:rFonts w:ascii="Arial" w:hAnsi="Arial" w:cs="Arial"/>
          <w:i/>
          <w:iCs/>
          <w:sz w:val="18"/>
          <w:szCs w:val="18"/>
        </w:rPr>
        <w:t>mean</w:t>
      </w:r>
      <w:r w:rsidRPr="00994095">
        <w:rPr>
          <w:rFonts w:ascii="Arial" w:hAnsi="Arial" w:cs="Arial"/>
          <w:i/>
          <w:iCs/>
          <w:spacing w:val="-13"/>
          <w:sz w:val="18"/>
          <w:szCs w:val="18"/>
        </w:rPr>
        <w:t xml:space="preserve"> </w:t>
      </w:r>
      <w:r w:rsidRPr="00994095">
        <w:rPr>
          <w:rFonts w:ascii="Arial" w:hAnsi="Arial" w:cs="Arial"/>
          <w:i/>
          <w:iCs/>
          <w:sz w:val="18"/>
          <w:szCs w:val="18"/>
        </w:rPr>
        <w:t>±</w:t>
      </w:r>
      <w:r w:rsidRPr="00994095">
        <w:rPr>
          <w:rFonts w:ascii="Arial" w:hAnsi="Arial" w:cs="Arial"/>
          <w:i/>
          <w:iCs/>
          <w:spacing w:val="-12"/>
          <w:sz w:val="18"/>
          <w:szCs w:val="18"/>
        </w:rPr>
        <w:t xml:space="preserve"> </w:t>
      </w:r>
      <w:r w:rsidRPr="00994095">
        <w:rPr>
          <w:rFonts w:ascii="Arial" w:hAnsi="Arial" w:cs="Arial"/>
          <w:i/>
          <w:iCs/>
          <w:sz w:val="18"/>
          <w:szCs w:val="18"/>
        </w:rPr>
        <w:t>SEM.</w:t>
      </w:r>
      <w:r w:rsidRPr="00994095">
        <w:rPr>
          <w:rFonts w:ascii="Arial" w:hAnsi="Arial" w:cs="Arial"/>
          <w:i/>
          <w:iCs/>
          <w:spacing w:val="-13"/>
          <w:sz w:val="18"/>
          <w:szCs w:val="18"/>
        </w:rPr>
        <w:t xml:space="preserve"> </w:t>
      </w:r>
      <w:r w:rsidRPr="00994095">
        <w:rPr>
          <w:rFonts w:ascii="Arial" w:hAnsi="Arial" w:cs="Arial"/>
          <w:i/>
          <w:iCs/>
          <w:sz w:val="18"/>
          <w:szCs w:val="18"/>
        </w:rPr>
        <w:t>Experimental</w:t>
      </w:r>
      <w:r w:rsidRPr="00994095">
        <w:rPr>
          <w:rFonts w:ascii="Arial" w:hAnsi="Arial" w:cs="Arial"/>
          <w:i/>
          <w:iCs/>
          <w:spacing w:val="-12"/>
          <w:sz w:val="18"/>
          <w:szCs w:val="18"/>
        </w:rPr>
        <w:t xml:space="preserve"> </w:t>
      </w:r>
      <w:r w:rsidRPr="00994095">
        <w:rPr>
          <w:rFonts w:ascii="Arial" w:hAnsi="Arial" w:cs="Arial"/>
          <w:i/>
          <w:iCs/>
          <w:sz w:val="18"/>
          <w:szCs w:val="18"/>
        </w:rPr>
        <w:t>groups</w:t>
      </w:r>
      <w:r w:rsidRPr="00994095">
        <w:rPr>
          <w:rFonts w:ascii="Arial" w:hAnsi="Arial" w:cs="Arial"/>
          <w:i/>
          <w:iCs/>
          <w:spacing w:val="-13"/>
          <w:sz w:val="18"/>
          <w:szCs w:val="18"/>
        </w:rPr>
        <w:t xml:space="preserve"> </w:t>
      </w:r>
      <w:r w:rsidRPr="00994095">
        <w:rPr>
          <w:rFonts w:ascii="Arial" w:hAnsi="Arial" w:cs="Arial"/>
          <w:i/>
          <w:iCs/>
          <w:sz w:val="18"/>
          <w:szCs w:val="18"/>
        </w:rPr>
        <w:t>are</w:t>
      </w:r>
      <w:r w:rsidRPr="00994095">
        <w:rPr>
          <w:rFonts w:ascii="Arial" w:hAnsi="Arial" w:cs="Arial"/>
          <w:i/>
          <w:iCs/>
          <w:spacing w:val="-12"/>
          <w:sz w:val="18"/>
          <w:szCs w:val="18"/>
        </w:rPr>
        <w:t xml:space="preserve"> </w:t>
      </w:r>
      <w:r w:rsidRPr="00994095">
        <w:rPr>
          <w:rFonts w:ascii="Arial" w:hAnsi="Arial" w:cs="Arial"/>
          <w:i/>
          <w:iCs/>
          <w:sz w:val="18"/>
          <w:szCs w:val="18"/>
        </w:rPr>
        <w:t>compared</w:t>
      </w:r>
      <w:r w:rsidRPr="00994095">
        <w:rPr>
          <w:rFonts w:ascii="Arial" w:hAnsi="Arial" w:cs="Arial"/>
          <w:i/>
          <w:iCs/>
          <w:spacing w:val="-13"/>
          <w:sz w:val="18"/>
          <w:szCs w:val="18"/>
        </w:rPr>
        <w:t xml:space="preserve"> </w:t>
      </w:r>
      <w:r w:rsidRPr="00994095">
        <w:rPr>
          <w:rFonts w:ascii="Arial" w:hAnsi="Arial" w:cs="Arial"/>
          <w:i/>
          <w:iCs/>
          <w:sz w:val="18"/>
          <w:szCs w:val="18"/>
        </w:rPr>
        <w:t>with</w:t>
      </w:r>
      <w:r w:rsidRPr="00994095">
        <w:rPr>
          <w:rFonts w:ascii="Arial" w:hAnsi="Arial" w:cs="Arial"/>
          <w:i/>
          <w:iCs/>
          <w:spacing w:val="-12"/>
          <w:sz w:val="18"/>
          <w:szCs w:val="18"/>
        </w:rPr>
        <w:t xml:space="preserve"> </w:t>
      </w:r>
      <w:r w:rsidRPr="00994095">
        <w:rPr>
          <w:rFonts w:ascii="Arial" w:hAnsi="Arial" w:cs="Arial"/>
          <w:i/>
          <w:iCs/>
          <w:sz w:val="18"/>
          <w:szCs w:val="18"/>
        </w:rPr>
        <w:t>control</w:t>
      </w:r>
      <w:r w:rsidRPr="00994095">
        <w:rPr>
          <w:rFonts w:ascii="Arial" w:hAnsi="Arial" w:cs="Arial"/>
          <w:i/>
          <w:iCs/>
          <w:spacing w:val="-13"/>
          <w:sz w:val="18"/>
          <w:szCs w:val="18"/>
        </w:rPr>
        <w:t xml:space="preserve"> </w:t>
      </w:r>
      <w:r w:rsidRPr="00994095">
        <w:rPr>
          <w:rFonts w:ascii="Arial" w:hAnsi="Arial" w:cs="Arial"/>
          <w:i/>
          <w:iCs/>
          <w:sz w:val="18"/>
          <w:szCs w:val="18"/>
        </w:rPr>
        <w:t>animals</w:t>
      </w:r>
      <w:r w:rsidRPr="00994095">
        <w:rPr>
          <w:rFonts w:ascii="Arial" w:hAnsi="Arial" w:cs="Arial"/>
          <w:i/>
          <w:iCs/>
          <w:spacing w:val="-12"/>
          <w:sz w:val="18"/>
          <w:szCs w:val="18"/>
        </w:rPr>
        <w:t xml:space="preserve"> </w:t>
      </w:r>
      <w:r w:rsidRPr="00994095">
        <w:rPr>
          <w:rFonts w:ascii="Arial" w:hAnsi="Arial" w:cs="Arial"/>
          <w:i/>
          <w:iCs/>
          <w:sz w:val="18"/>
          <w:szCs w:val="18"/>
        </w:rPr>
        <w:t>using</w:t>
      </w:r>
      <w:r w:rsidRPr="00994095">
        <w:rPr>
          <w:rFonts w:ascii="Arial" w:hAnsi="Arial" w:cs="Arial"/>
          <w:i/>
          <w:iCs/>
          <w:spacing w:val="-13"/>
          <w:sz w:val="18"/>
          <w:szCs w:val="18"/>
        </w:rPr>
        <w:t xml:space="preserve"> </w:t>
      </w:r>
      <w:r w:rsidRPr="00994095">
        <w:rPr>
          <w:rFonts w:ascii="Arial" w:hAnsi="Arial" w:cs="Arial"/>
          <w:i/>
          <w:iCs/>
          <w:sz w:val="18"/>
          <w:szCs w:val="18"/>
        </w:rPr>
        <w:t>one-way</w:t>
      </w:r>
      <w:r w:rsidRPr="00994095">
        <w:rPr>
          <w:rFonts w:ascii="Arial" w:hAnsi="Arial" w:cs="Arial"/>
          <w:i/>
          <w:iCs/>
          <w:spacing w:val="-18"/>
          <w:sz w:val="18"/>
          <w:szCs w:val="18"/>
        </w:rPr>
        <w:t xml:space="preserve"> </w:t>
      </w:r>
      <w:r w:rsidRPr="00994095">
        <w:rPr>
          <w:rFonts w:ascii="Arial" w:hAnsi="Arial" w:cs="Arial"/>
          <w:i/>
          <w:iCs/>
          <w:sz w:val="18"/>
          <w:szCs w:val="18"/>
        </w:rPr>
        <w:t>ANOVA followed</w:t>
      </w:r>
      <w:r w:rsidRPr="00994095">
        <w:rPr>
          <w:rFonts w:ascii="Arial" w:hAnsi="Arial" w:cs="Arial"/>
          <w:i/>
          <w:iCs/>
          <w:spacing w:val="4"/>
          <w:sz w:val="18"/>
          <w:szCs w:val="18"/>
        </w:rPr>
        <w:t xml:space="preserve"> </w:t>
      </w:r>
      <w:r w:rsidRPr="00994095">
        <w:rPr>
          <w:rFonts w:ascii="Arial" w:hAnsi="Arial" w:cs="Arial"/>
          <w:i/>
          <w:iCs/>
          <w:sz w:val="18"/>
          <w:szCs w:val="18"/>
        </w:rPr>
        <w:t>by</w:t>
      </w:r>
      <w:r w:rsidRPr="00994095">
        <w:rPr>
          <w:rFonts w:ascii="Arial" w:hAnsi="Arial" w:cs="Arial"/>
          <w:i/>
          <w:iCs/>
          <w:spacing w:val="5"/>
          <w:sz w:val="18"/>
          <w:szCs w:val="18"/>
        </w:rPr>
        <w:t xml:space="preserve"> </w:t>
      </w:r>
      <w:r w:rsidRPr="00994095">
        <w:rPr>
          <w:rFonts w:ascii="Arial" w:hAnsi="Arial" w:cs="Arial"/>
          <w:i/>
          <w:iCs/>
          <w:sz w:val="18"/>
          <w:szCs w:val="18"/>
        </w:rPr>
        <w:t>a</w:t>
      </w:r>
      <w:r w:rsidRPr="00994095">
        <w:rPr>
          <w:rFonts w:ascii="Arial" w:hAnsi="Arial" w:cs="Arial"/>
          <w:i/>
          <w:iCs/>
          <w:spacing w:val="2"/>
          <w:sz w:val="18"/>
          <w:szCs w:val="18"/>
        </w:rPr>
        <w:t xml:space="preserve"> </w:t>
      </w:r>
      <w:r w:rsidRPr="00994095">
        <w:rPr>
          <w:rFonts w:ascii="Arial" w:hAnsi="Arial" w:cs="Arial"/>
          <w:i/>
          <w:iCs/>
          <w:sz w:val="18"/>
          <w:szCs w:val="18"/>
        </w:rPr>
        <w:t>post</w:t>
      </w:r>
      <w:r w:rsidRPr="00994095">
        <w:rPr>
          <w:rFonts w:ascii="Arial" w:hAnsi="Arial" w:cs="Arial"/>
          <w:i/>
          <w:iCs/>
          <w:spacing w:val="4"/>
          <w:sz w:val="18"/>
          <w:szCs w:val="18"/>
        </w:rPr>
        <w:t xml:space="preserve"> </w:t>
      </w:r>
      <w:r w:rsidRPr="00994095">
        <w:rPr>
          <w:rFonts w:ascii="Arial" w:hAnsi="Arial" w:cs="Arial"/>
          <w:i/>
          <w:iCs/>
          <w:sz w:val="18"/>
          <w:szCs w:val="18"/>
        </w:rPr>
        <w:t>hoc</w:t>
      </w:r>
      <w:r w:rsidRPr="00994095">
        <w:rPr>
          <w:rFonts w:ascii="Arial" w:hAnsi="Arial" w:cs="Arial"/>
          <w:i/>
          <w:iCs/>
          <w:spacing w:val="3"/>
          <w:sz w:val="18"/>
          <w:szCs w:val="18"/>
        </w:rPr>
        <w:t xml:space="preserve"> </w:t>
      </w:r>
      <w:r w:rsidRPr="00994095">
        <w:rPr>
          <w:rFonts w:ascii="Arial" w:hAnsi="Arial" w:cs="Arial"/>
          <w:i/>
          <w:iCs/>
          <w:sz w:val="18"/>
          <w:szCs w:val="18"/>
        </w:rPr>
        <w:t>test,</w:t>
      </w:r>
      <w:r w:rsidRPr="00994095">
        <w:rPr>
          <w:rFonts w:ascii="Arial" w:hAnsi="Arial" w:cs="Arial"/>
          <w:i/>
          <w:iCs/>
          <w:spacing w:val="4"/>
          <w:sz w:val="18"/>
          <w:szCs w:val="18"/>
        </w:rPr>
        <w:t xml:space="preserve"> </w:t>
      </w:r>
      <w:r w:rsidRPr="00994095">
        <w:rPr>
          <w:rFonts w:ascii="Arial" w:hAnsi="Arial" w:cs="Arial"/>
          <w:i/>
          <w:iCs/>
          <w:sz w:val="18"/>
          <w:szCs w:val="18"/>
        </w:rPr>
        <w:t>showing</w:t>
      </w:r>
      <w:r w:rsidRPr="00994095">
        <w:rPr>
          <w:rFonts w:ascii="Arial" w:hAnsi="Arial" w:cs="Arial"/>
          <w:i/>
          <w:iCs/>
          <w:spacing w:val="4"/>
          <w:sz w:val="18"/>
          <w:szCs w:val="18"/>
        </w:rPr>
        <w:t xml:space="preserve"> </w:t>
      </w:r>
      <w:r w:rsidRPr="00994095">
        <w:rPr>
          <w:rFonts w:ascii="Arial" w:hAnsi="Arial" w:cs="Arial"/>
          <w:i/>
          <w:iCs/>
          <w:sz w:val="18"/>
          <w:szCs w:val="18"/>
        </w:rPr>
        <w:t>significant</w:t>
      </w:r>
      <w:r w:rsidRPr="00994095">
        <w:rPr>
          <w:rFonts w:ascii="Arial" w:hAnsi="Arial" w:cs="Arial"/>
          <w:i/>
          <w:iCs/>
          <w:spacing w:val="4"/>
          <w:sz w:val="18"/>
          <w:szCs w:val="18"/>
        </w:rPr>
        <w:t xml:space="preserve"> </w:t>
      </w:r>
      <w:r w:rsidRPr="00994095">
        <w:rPr>
          <w:rFonts w:ascii="Arial" w:hAnsi="Arial" w:cs="Arial"/>
          <w:i/>
          <w:iCs/>
          <w:sz w:val="18"/>
          <w:szCs w:val="18"/>
        </w:rPr>
        <w:t>difference</w:t>
      </w:r>
      <w:r w:rsidRPr="00994095">
        <w:rPr>
          <w:rFonts w:ascii="Arial" w:hAnsi="Arial" w:cs="Arial"/>
          <w:i/>
          <w:iCs/>
          <w:spacing w:val="2"/>
          <w:sz w:val="18"/>
          <w:szCs w:val="18"/>
        </w:rPr>
        <w:t xml:space="preserve"> </w:t>
      </w:r>
      <w:r w:rsidRPr="00994095">
        <w:rPr>
          <w:rFonts w:ascii="Arial" w:hAnsi="Arial" w:cs="Arial"/>
          <w:i/>
          <w:iCs/>
          <w:sz w:val="18"/>
          <w:szCs w:val="18"/>
        </w:rPr>
        <w:t>at</w:t>
      </w:r>
      <w:r w:rsidRPr="00994095">
        <w:rPr>
          <w:rFonts w:ascii="Arial" w:hAnsi="Arial" w:cs="Arial"/>
          <w:i/>
          <w:iCs/>
          <w:spacing w:val="3"/>
          <w:sz w:val="18"/>
          <w:szCs w:val="18"/>
        </w:rPr>
        <w:t xml:space="preserve"> </w:t>
      </w:r>
      <w:r w:rsidRPr="00994095">
        <w:rPr>
          <w:rFonts w:ascii="Arial" w:hAnsi="Arial" w:cs="Arial"/>
          <w:i/>
          <w:iCs/>
          <w:sz w:val="18"/>
          <w:szCs w:val="18"/>
        </w:rPr>
        <w:t>p</w:t>
      </w:r>
      <w:r w:rsidRPr="00994095">
        <w:rPr>
          <w:rFonts w:ascii="Arial" w:hAnsi="Arial" w:cs="Arial"/>
          <w:i/>
          <w:iCs/>
          <w:spacing w:val="5"/>
          <w:sz w:val="18"/>
          <w:szCs w:val="18"/>
        </w:rPr>
        <w:t xml:space="preserve"> </w:t>
      </w:r>
      <w:r w:rsidRPr="00994095">
        <w:rPr>
          <w:rFonts w:ascii="Arial" w:hAnsi="Arial" w:cs="Arial"/>
          <w:i/>
          <w:iCs/>
          <w:sz w:val="18"/>
          <w:szCs w:val="18"/>
        </w:rPr>
        <w:t>values:</w:t>
      </w:r>
      <w:r w:rsidRPr="00994095">
        <w:rPr>
          <w:rFonts w:ascii="Arial" w:hAnsi="Arial" w:cs="Arial"/>
          <w:i/>
          <w:iCs/>
          <w:spacing w:val="3"/>
          <w:sz w:val="18"/>
          <w:szCs w:val="18"/>
        </w:rPr>
        <w:t xml:space="preserve"> </w:t>
      </w:r>
      <w:r w:rsidRPr="00994095">
        <w:rPr>
          <w:rFonts w:ascii="Arial" w:hAnsi="Arial" w:cs="Arial"/>
          <w:i/>
          <w:iCs/>
          <w:sz w:val="18"/>
          <w:szCs w:val="18"/>
        </w:rPr>
        <w:t>*</w:t>
      </w:r>
      <w:r w:rsidRPr="00994095">
        <w:rPr>
          <w:rFonts w:ascii="Arial" w:hAnsi="Arial" w:cs="Arial"/>
          <w:i/>
          <w:iCs/>
          <w:spacing w:val="5"/>
          <w:sz w:val="18"/>
          <w:szCs w:val="18"/>
        </w:rPr>
        <w:t xml:space="preserve"> </w:t>
      </w:r>
      <w:r w:rsidRPr="00994095">
        <w:rPr>
          <w:rFonts w:ascii="Arial" w:hAnsi="Arial" w:cs="Arial"/>
          <w:i/>
          <w:iCs/>
          <w:sz w:val="18"/>
          <w:szCs w:val="18"/>
        </w:rPr>
        <w:t>shows</w:t>
      </w:r>
      <w:r w:rsidRPr="00994095">
        <w:rPr>
          <w:rFonts w:ascii="Arial" w:hAnsi="Arial" w:cs="Arial"/>
          <w:i/>
          <w:iCs/>
          <w:spacing w:val="2"/>
          <w:sz w:val="18"/>
          <w:szCs w:val="18"/>
        </w:rPr>
        <w:t xml:space="preserve"> </w:t>
      </w:r>
      <w:r w:rsidRPr="00994095">
        <w:rPr>
          <w:rFonts w:ascii="Arial" w:hAnsi="Arial" w:cs="Arial"/>
          <w:i/>
          <w:iCs/>
          <w:sz w:val="18"/>
          <w:szCs w:val="18"/>
        </w:rPr>
        <w:t>p&lt;</w:t>
      </w:r>
      <w:r w:rsidRPr="00994095">
        <w:rPr>
          <w:rFonts w:ascii="Arial" w:hAnsi="Arial" w:cs="Arial"/>
          <w:i/>
          <w:iCs/>
          <w:spacing w:val="2"/>
          <w:sz w:val="18"/>
          <w:szCs w:val="18"/>
        </w:rPr>
        <w:t xml:space="preserve"> </w:t>
      </w:r>
      <w:r w:rsidRPr="00994095">
        <w:rPr>
          <w:rFonts w:ascii="Arial" w:hAnsi="Arial" w:cs="Arial"/>
          <w:i/>
          <w:iCs/>
          <w:sz w:val="18"/>
          <w:szCs w:val="18"/>
        </w:rPr>
        <w:t>0.05,</w:t>
      </w:r>
      <w:r w:rsidRPr="00994095">
        <w:rPr>
          <w:rFonts w:ascii="Arial" w:hAnsi="Arial" w:cs="Arial"/>
          <w:i/>
          <w:iCs/>
          <w:spacing w:val="1"/>
          <w:sz w:val="18"/>
          <w:szCs w:val="18"/>
        </w:rPr>
        <w:t xml:space="preserve"> </w:t>
      </w:r>
      <w:r w:rsidRPr="00994095">
        <w:rPr>
          <w:rFonts w:ascii="Arial" w:hAnsi="Arial" w:cs="Arial"/>
          <w:i/>
          <w:iCs/>
          <w:sz w:val="18"/>
          <w:szCs w:val="18"/>
        </w:rPr>
        <w:t>**</w:t>
      </w:r>
      <w:r w:rsidRPr="00994095">
        <w:rPr>
          <w:rFonts w:ascii="Arial" w:hAnsi="Arial" w:cs="Arial"/>
          <w:i/>
          <w:iCs/>
          <w:spacing w:val="5"/>
          <w:sz w:val="18"/>
          <w:szCs w:val="18"/>
        </w:rPr>
        <w:t xml:space="preserve"> </w:t>
      </w:r>
      <w:r w:rsidRPr="00994095">
        <w:rPr>
          <w:rFonts w:ascii="Arial" w:hAnsi="Arial" w:cs="Arial"/>
          <w:i/>
          <w:iCs/>
          <w:sz w:val="18"/>
          <w:szCs w:val="18"/>
        </w:rPr>
        <w:t>indicates</w:t>
      </w:r>
      <w:r w:rsidRPr="00994095">
        <w:rPr>
          <w:rFonts w:ascii="Arial" w:hAnsi="Arial" w:cs="Arial"/>
          <w:i/>
          <w:iCs/>
          <w:spacing w:val="2"/>
          <w:sz w:val="18"/>
          <w:szCs w:val="18"/>
        </w:rPr>
        <w:t xml:space="preserve"> </w:t>
      </w:r>
      <w:r w:rsidRPr="00994095">
        <w:rPr>
          <w:rFonts w:ascii="Arial" w:hAnsi="Arial" w:cs="Arial"/>
          <w:i/>
          <w:iCs/>
          <w:sz w:val="18"/>
          <w:szCs w:val="18"/>
        </w:rPr>
        <w:t>p&lt;0.01,</w:t>
      </w:r>
      <w:r w:rsidRPr="00994095">
        <w:rPr>
          <w:rFonts w:ascii="Arial" w:hAnsi="Arial" w:cs="Arial"/>
          <w:i/>
          <w:iCs/>
          <w:spacing w:val="1"/>
          <w:sz w:val="18"/>
          <w:szCs w:val="18"/>
        </w:rPr>
        <w:t xml:space="preserve"> </w:t>
      </w:r>
      <w:r w:rsidRPr="00994095">
        <w:rPr>
          <w:rFonts w:ascii="Arial" w:hAnsi="Arial" w:cs="Arial"/>
          <w:i/>
          <w:iCs/>
          <w:spacing w:val="-5"/>
          <w:sz w:val="18"/>
          <w:szCs w:val="18"/>
        </w:rPr>
        <w:t>and</w:t>
      </w:r>
      <w:r w:rsidRPr="00994095">
        <w:rPr>
          <w:rFonts w:ascii="Arial" w:hAnsi="Arial" w:cs="Arial"/>
          <w:i/>
          <w:iCs/>
          <w:sz w:val="18"/>
          <w:szCs w:val="18"/>
        </w:rPr>
        <w:t>, ***</w:t>
      </w:r>
      <w:r w:rsidRPr="00994095">
        <w:rPr>
          <w:rFonts w:ascii="Arial" w:hAnsi="Arial" w:cs="Arial"/>
          <w:i/>
          <w:iCs/>
          <w:spacing w:val="-3"/>
          <w:sz w:val="18"/>
          <w:szCs w:val="18"/>
        </w:rPr>
        <w:t xml:space="preserve"> </w:t>
      </w:r>
      <w:r w:rsidRPr="00994095">
        <w:rPr>
          <w:rFonts w:ascii="Arial" w:hAnsi="Arial" w:cs="Arial"/>
          <w:i/>
          <w:iCs/>
          <w:sz w:val="18"/>
          <w:szCs w:val="18"/>
        </w:rPr>
        <w:t>represents</w:t>
      </w:r>
      <w:r w:rsidRPr="00994095">
        <w:rPr>
          <w:rFonts w:ascii="Arial" w:hAnsi="Arial" w:cs="Arial"/>
          <w:i/>
          <w:iCs/>
          <w:spacing w:val="-3"/>
          <w:sz w:val="18"/>
          <w:szCs w:val="18"/>
        </w:rPr>
        <w:t xml:space="preserve"> </w:t>
      </w:r>
      <w:r w:rsidRPr="00994095">
        <w:rPr>
          <w:rFonts w:ascii="Arial" w:hAnsi="Arial" w:cs="Arial"/>
          <w:i/>
          <w:iCs/>
          <w:sz w:val="18"/>
          <w:szCs w:val="18"/>
        </w:rPr>
        <w:t>p&lt;</w:t>
      </w:r>
      <w:r w:rsidRPr="00994095">
        <w:rPr>
          <w:rFonts w:ascii="Arial" w:hAnsi="Arial" w:cs="Arial"/>
          <w:i/>
          <w:iCs/>
          <w:spacing w:val="-4"/>
          <w:sz w:val="18"/>
          <w:szCs w:val="18"/>
        </w:rPr>
        <w:t>0.001</w:t>
      </w:r>
    </w:p>
    <w:p w14:paraId="3043D120" w14:textId="204F1C73" w:rsidR="008D073E" w:rsidRPr="00994095" w:rsidRDefault="008D073E" w:rsidP="008D073E">
      <w:pPr>
        <w:spacing w:before="240" w:line="360" w:lineRule="auto"/>
        <w:rPr>
          <w:rFonts w:ascii="Arial" w:hAnsi="Arial" w:cs="Arial"/>
          <w:i/>
          <w:iCs/>
          <w:sz w:val="18"/>
          <w:szCs w:val="18"/>
        </w:rPr>
      </w:pPr>
      <w:r w:rsidRPr="00994095">
        <w:rPr>
          <w:rFonts w:ascii="Arial" w:hAnsi="Arial" w:cs="Arial"/>
          <w:b/>
          <w:bCs/>
          <w:sz w:val="22"/>
          <w:szCs w:val="22"/>
        </w:rPr>
        <w:t>3.3 Effect of TBBPA-DHEE</w:t>
      </w:r>
      <w:r w:rsidRPr="00994095">
        <w:rPr>
          <w:rFonts w:ascii="Arial" w:hAnsi="Arial" w:cs="Arial"/>
          <w:sz w:val="22"/>
          <w:szCs w:val="22"/>
        </w:rPr>
        <w:t xml:space="preserve"> </w:t>
      </w:r>
      <w:r w:rsidRPr="00994095">
        <w:rPr>
          <w:rFonts w:ascii="Arial" w:hAnsi="Arial" w:cs="Arial"/>
          <w:b/>
          <w:bCs/>
          <w:sz w:val="22"/>
          <w:szCs w:val="22"/>
        </w:rPr>
        <w:t xml:space="preserve">on zebrafish displaying anxiety-like behaviour in the </w:t>
      </w:r>
      <w:bookmarkStart w:id="4" w:name="_Hlk198996939"/>
      <w:r w:rsidRPr="00994095">
        <w:rPr>
          <w:rFonts w:ascii="Arial" w:hAnsi="Arial" w:cs="Arial"/>
          <w:b/>
          <w:bCs/>
          <w:sz w:val="22"/>
          <w:szCs w:val="22"/>
        </w:rPr>
        <w:t>Novel tank test</w:t>
      </w:r>
      <w:bookmarkEnd w:id="4"/>
    </w:p>
    <w:p w14:paraId="1A9EF457" w14:textId="77777777" w:rsidR="006B7E30" w:rsidRDefault="008D073E" w:rsidP="006B7E30">
      <w:pPr>
        <w:spacing w:line="360" w:lineRule="auto"/>
        <w:jc w:val="both"/>
        <w:rPr>
          <w:rFonts w:ascii="Arial" w:hAnsi="Arial" w:cs="Arial"/>
        </w:rPr>
      </w:pPr>
      <w:r w:rsidRPr="00994095">
        <w:rPr>
          <w:rFonts w:ascii="Arial" w:hAnsi="Arial" w:cs="Arial"/>
        </w:rPr>
        <w:t xml:space="preserve">NTT was performed to analyze the anxiety-like and cognitive behaviour among different groups of zebrafish exposed to TBBPA-DHEE. The impaired behaviour was assessed by the amount of time spent in the upper zone as compared to the lower zone. </w:t>
      </w:r>
      <w:r w:rsidRPr="00994095">
        <w:rPr>
          <w:rFonts w:ascii="Arial" w:hAnsi="Arial" w:cs="Arial"/>
          <w:lang w:val="en-IN"/>
        </w:rPr>
        <w:t xml:space="preserve">A significant reduction in time spent in the upper zone exposed to medium and high doses of TBBPA compared with the control and DMSO groups, whereas in the low dose TBBPA group, a slight increase in upper zone occupancy could be observed </w:t>
      </w:r>
      <w:r w:rsidRPr="00994095">
        <w:rPr>
          <w:rFonts w:ascii="Arial" w:hAnsi="Arial" w:cs="Arial"/>
        </w:rPr>
        <w:t xml:space="preserve">(Fig. 3A). Also, the latency to enter in the upper zone and the number of erratic movements were markedly increased in the high dose TBBPA group, followed by the medium and low dose groups, as compared to control and DMSO (Fig. 3B, 3C). </w:t>
      </w:r>
      <w:r w:rsidRPr="00994095">
        <w:rPr>
          <w:rFonts w:ascii="Arial" w:hAnsi="Arial" w:cs="Arial"/>
          <w:lang w:val="en-IN"/>
        </w:rPr>
        <w:t xml:space="preserve">A similar dose-dependent trend was observed in the number of transitions between zones, with significantly higher transitions in TBBPA-exposed fish, particularly at higher concentrations </w:t>
      </w:r>
      <w:r w:rsidRPr="00994095">
        <w:rPr>
          <w:rFonts w:ascii="Arial" w:hAnsi="Arial" w:cs="Arial"/>
        </w:rPr>
        <w:t>(Fig. 3D). The trajectory pattern of the behaviour obtained through NTT is displayed (Fig. 3E, Table 2).</w:t>
      </w:r>
    </w:p>
    <w:p w14:paraId="7873756E" w14:textId="49409CF7" w:rsidR="006B7E30" w:rsidRPr="006B7E30" w:rsidRDefault="006B7E30" w:rsidP="00EB4862">
      <w:pPr>
        <w:spacing w:line="360" w:lineRule="auto"/>
        <w:jc w:val="both"/>
        <w:rPr>
          <w:rFonts w:ascii="Arial" w:hAnsi="Arial" w:cs="Arial"/>
        </w:rPr>
      </w:pPr>
      <w:r w:rsidRPr="00994095">
        <w:rPr>
          <w:rFonts w:ascii="Arial" w:hAnsi="Arial" w:cs="Arial"/>
          <w:noProof/>
          <w:sz w:val="32"/>
          <w:szCs w:val="32"/>
        </w:rPr>
        <w:lastRenderedPageBreak/>
        <w:drawing>
          <wp:anchor distT="0" distB="0" distL="114300" distR="114300" simplePos="0" relativeHeight="251558912" behindDoc="0" locked="0" layoutInCell="1" allowOverlap="1" wp14:anchorId="17881F42" wp14:editId="72B26C5C">
            <wp:simplePos x="0" y="0"/>
            <wp:positionH relativeFrom="margin">
              <wp:posOffset>2846070</wp:posOffset>
            </wp:positionH>
            <wp:positionV relativeFrom="paragraph">
              <wp:posOffset>1922780</wp:posOffset>
            </wp:positionV>
            <wp:extent cx="2530475" cy="1958340"/>
            <wp:effectExtent l="0" t="0" r="3175" b="3810"/>
            <wp:wrapSquare wrapText="bothSides"/>
            <wp:docPr id="13345854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4585413" name="Picture 1334585413"/>
                    <pic:cNvPicPr/>
                  </pic:nvPicPr>
                  <pic:blipFill>
                    <a:blip r:embed="rId26">
                      <a:extLst>
                        <a:ext uri="{28A0092B-C50C-407E-A947-70E740481C1C}">
                          <a14:useLocalDpi xmlns:a14="http://schemas.microsoft.com/office/drawing/2010/main" val="0"/>
                        </a:ext>
                      </a:extLst>
                    </a:blip>
                    <a:stretch>
                      <a:fillRect/>
                    </a:stretch>
                  </pic:blipFill>
                  <pic:spPr>
                    <a:xfrm>
                      <a:off x="0" y="0"/>
                      <a:ext cx="2530475" cy="1958340"/>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32"/>
          <w:szCs w:val="32"/>
        </w:rPr>
        <w:drawing>
          <wp:anchor distT="0" distB="0" distL="114300" distR="114300" simplePos="0" relativeHeight="252217344" behindDoc="0" locked="0" layoutInCell="1" allowOverlap="1" wp14:anchorId="3E801895" wp14:editId="39133859">
            <wp:simplePos x="0" y="0"/>
            <wp:positionH relativeFrom="margin">
              <wp:posOffset>149134</wp:posOffset>
            </wp:positionH>
            <wp:positionV relativeFrom="paragraph">
              <wp:posOffset>2126705</wp:posOffset>
            </wp:positionV>
            <wp:extent cx="2530475" cy="1958975"/>
            <wp:effectExtent l="0" t="0" r="3175" b="3175"/>
            <wp:wrapSquare wrapText="bothSides"/>
            <wp:docPr id="22284679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846798" name="Picture 222846798"/>
                    <pic:cNvPicPr/>
                  </pic:nvPicPr>
                  <pic:blipFill>
                    <a:blip r:embed="rId27">
                      <a:extLst>
                        <a:ext uri="{28A0092B-C50C-407E-A947-70E740481C1C}">
                          <a14:useLocalDpi xmlns:a14="http://schemas.microsoft.com/office/drawing/2010/main" val="0"/>
                        </a:ext>
                      </a:extLst>
                    </a:blip>
                    <a:stretch>
                      <a:fillRect/>
                    </a:stretch>
                  </pic:blipFill>
                  <pic:spPr>
                    <a:xfrm>
                      <a:off x="0" y="0"/>
                      <a:ext cx="2530475" cy="1958975"/>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32"/>
          <w:szCs w:val="32"/>
        </w:rPr>
        <w:drawing>
          <wp:anchor distT="0" distB="0" distL="114300" distR="114300" simplePos="0" relativeHeight="252213248" behindDoc="0" locked="0" layoutInCell="1" allowOverlap="1" wp14:anchorId="261E489F" wp14:editId="41E95ED9">
            <wp:simplePos x="0" y="0"/>
            <wp:positionH relativeFrom="margin">
              <wp:align>left</wp:align>
            </wp:positionH>
            <wp:positionV relativeFrom="paragraph">
              <wp:posOffset>181</wp:posOffset>
            </wp:positionV>
            <wp:extent cx="2682875" cy="2045970"/>
            <wp:effectExtent l="0" t="0" r="3175" b="0"/>
            <wp:wrapSquare wrapText="bothSides"/>
            <wp:docPr id="202245210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2452106" name="Picture 2022452106"/>
                    <pic:cNvPicPr/>
                  </pic:nvPicPr>
                  <pic:blipFill>
                    <a:blip r:embed="rId28">
                      <a:extLst>
                        <a:ext uri="{28A0092B-C50C-407E-A947-70E740481C1C}">
                          <a14:useLocalDpi xmlns:a14="http://schemas.microsoft.com/office/drawing/2010/main" val="0"/>
                        </a:ext>
                      </a:extLst>
                    </a:blip>
                    <a:stretch>
                      <a:fillRect/>
                    </a:stretch>
                  </pic:blipFill>
                  <pic:spPr>
                    <a:xfrm>
                      <a:off x="0" y="0"/>
                      <a:ext cx="2682875" cy="2045970"/>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32"/>
          <w:szCs w:val="32"/>
        </w:rPr>
        <w:drawing>
          <wp:anchor distT="0" distB="0" distL="114300" distR="114300" simplePos="0" relativeHeight="252215296" behindDoc="0" locked="0" layoutInCell="1" allowOverlap="1" wp14:anchorId="2E629F0E" wp14:editId="2A8BDFA6">
            <wp:simplePos x="0" y="0"/>
            <wp:positionH relativeFrom="margin">
              <wp:posOffset>2812505</wp:posOffset>
            </wp:positionH>
            <wp:positionV relativeFrom="paragraph">
              <wp:posOffset>0</wp:posOffset>
            </wp:positionV>
            <wp:extent cx="2307590" cy="1861185"/>
            <wp:effectExtent l="0" t="0" r="0" b="5715"/>
            <wp:wrapSquare wrapText="bothSides"/>
            <wp:docPr id="47351300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513003" name="Picture 473513003"/>
                    <pic:cNvPicPr/>
                  </pic:nvPicPr>
                  <pic:blipFill>
                    <a:blip r:embed="rId29">
                      <a:extLst>
                        <a:ext uri="{28A0092B-C50C-407E-A947-70E740481C1C}">
                          <a14:useLocalDpi xmlns:a14="http://schemas.microsoft.com/office/drawing/2010/main" val="0"/>
                        </a:ext>
                      </a:extLst>
                    </a:blip>
                    <a:stretch>
                      <a:fillRect/>
                    </a:stretch>
                  </pic:blipFill>
                  <pic:spPr>
                    <a:xfrm>
                      <a:off x="0" y="0"/>
                      <a:ext cx="2307590" cy="1861185"/>
                    </a:xfrm>
                    <a:prstGeom prst="rect">
                      <a:avLst/>
                    </a:prstGeom>
                  </pic:spPr>
                </pic:pic>
              </a:graphicData>
            </a:graphic>
            <wp14:sizeRelH relativeFrom="margin">
              <wp14:pctWidth>0</wp14:pctWidth>
            </wp14:sizeRelH>
            <wp14:sizeRelV relativeFrom="margin">
              <wp14:pctHeight>0</wp14:pctHeight>
            </wp14:sizeRelV>
          </wp:anchor>
        </w:drawing>
      </w:r>
    </w:p>
    <w:p w14:paraId="32DF24CC" w14:textId="63AA2E23" w:rsidR="008876B8" w:rsidRPr="006B7E30" w:rsidRDefault="008D073E" w:rsidP="006B7E30">
      <w:pPr>
        <w:spacing w:line="360" w:lineRule="auto"/>
        <w:jc w:val="both"/>
        <w:rPr>
          <w:rFonts w:ascii="Arial" w:hAnsi="Arial" w:cs="Arial"/>
          <w:i/>
          <w:iCs/>
        </w:rPr>
      </w:pPr>
      <w:r w:rsidRPr="006B7E30">
        <w:rPr>
          <w:rFonts w:ascii="Arial" w:hAnsi="Arial" w:cs="Arial"/>
          <w:b/>
          <w:bCs/>
          <w:lang w:val="en-IN"/>
        </w:rPr>
        <w:t xml:space="preserve">Fig. 3. </w:t>
      </w:r>
      <w:r w:rsidR="006B7E30" w:rsidRPr="006B7E30">
        <w:rPr>
          <w:rFonts w:ascii="Arial" w:hAnsi="Arial" w:cs="Arial"/>
          <w:b/>
          <w:bCs/>
          <w:szCs w:val="24"/>
        </w:rPr>
        <w:t>Effect of TBBPA in novel tank test concerning these endpoints, A) Time spent in each zone B) Latency to enter the top zone, C) Number of erratic movements, D) Number of transitions</w:t>
      </w:r>
      <w:r w:rsidR="006B7E30" w:rsidRPr="006B7E30">
        <w:rPr>
          <w:rFonts w:ascii="Arial" w:hAnsi="Arial" w:cs="Arial"/>
          <w:szCs w:val="24"/>
        </w:rPr>
        <w:t xml:space="preserve">. </w:t>
      </w:r>
      <w:r w:rsidR="006B7E30" w:rsidRPr="006B7E30">
        <w:rPr>
          <w:rFonts w:ascii="Arial" w:hAnsi="Arial" w:cs="Arial"/>
          <w:i/>
          <w:iCs/>
          <w:szCs w:val="24"/>
        </w:rPr>
        <w:t xml:space="preserve">Data expressed as mean ± SEM (n = 10 fish/group). </w:t>
      </w:r>
      <w:r w:rsidRPr="006B7E30">
        <w:rPr>
          <w:rFonts w:ascii="Arial" w:hAnsi="Arial" w:cs="Arial"/>
          <w:i/>
          <w:iCs/>
          <w:sz w:val="18"/>
          <w:szCs w:val="18"/>
          <w:lang w:val="en-IN"/>
        </w:rPr>
        <w:t xml:space="preserve">p &lt; 0.05, **p &lt; 0.01; ***p&lt;0.001, compared to control group </w:t>
      </w:r>
    </w:p>
    <w:p w14:paraId="4B45A62A" w14:textId="78E6CCEA" w:rsidR="008D073E" w:rsidRPr="00994095" w:rsidRDefault="008876B8" w:rsidP="008876B8">
      <w:pPr>
        <w:spacing w:before="240"/>
        <w:jc w:val="both"/>
        <w:rPr>
          <w:rFonts w:ascii="Arial" w:hAnsi="Arial" w:cs="Arial"/>
          <w:i/>
          <w:iCs/>
          <w:sz w:val="18"/>
          <w:szCs w:val="18"/>
          <w:lang w:val="en-IN"/>
        </w:rPr>
      </w:pPr>
      <w:r w:rsidRPr="00994095">
        <w:rPr>
          <w:rFonts w:ascii="Arial" w:hAnsi="Arial" w:cs="Arial"/>
          <w:b/>
        </w:rPr>
        <w:t>Table 2. Effect on different endpoints of novel tank test in adult zebrafish following exposure to TBBPA-DHEE</w:t>
      </w:r>
    </w:p>
    <w:tbl>
      <w:tblPr>
        <w:tblStyle w:val="TableGrid"/>
        <w:tblpPr w:leftFromText="180" w:rightFromText="180" w:vertAnchor="text" w:horzAnchor="margin" w:tblpXSpec="center" w:tblpY="130"/>
        <w:tblW w:w="11908" w:type="dxa"/>
        <w:tblLayout w:type="fixed"/>
        <w:tblLook w:val="01E0" w:firstRow="1" w:lastRow="1" w:firstColumn="1" w:lastColumn="1" w:noHBand="0" w:noVBand="0"/>
      </w:tblPr>
      <w:tblGrid>
        <w:gridCol w:w="1560"/>
        <w:gridCol w:w="993"/>
        <w:gridCol w:w="992"/>
        <w:gridCol w:w="992"/>
        <w:gridCol w:w="1134"/>
        <w:gridCol w:w="1276"/>
        <w:gridCol w:w="992"/>
        <w:gridCol w:w="992"/>
        <w:gridCol w:w="993"/>
        <w:gridCol w:w="992"/>
        <w:gridCol w:w="992"/>
      </w:tblGrid>
      <w:tr w:rsidR="006B7E30" w:rsidRPr="00994095" w14:paraId="5FE67B22" w14:textId="77777777" w:rsidTr="006B7E30">
        <w:trPr>
          <w:trHeight w:val="460"/>
        </w:trPr>
        <w:tc>
          <w:tcPr>
            <w:tcW w:w="1560" w:type="dxa"/>
          </w:tcPr>
          <w:p w14:paraId="5FCD3925" w14:textId="77777777" w:rsidR="006B7E30" w:rsidRPr="00994095" w:rsidRDefault="006B7E30" w:rsidP="006B7E30">
            <w:pPr>
              <w:pStyle w:val="TableParagraph"/>
              <w:spacing w:line="230" w:lineRule="atLeast"/>
              <w:ind w:left="256" w:hanging="51"/>
              <w:rPr>
                <w:rFonts w:ascii="Arial" w:hAnsi="Arial" w:cs="Arial"/>
                <w:b/>
                <w:sz w:val="20"/>
                <w:szCs w:val="20"/>
              </w:rPr>
            </w:pPr>
            <w:r w:rsidRPr="00994095">
              <w:rPr>
                <w:rFonts w:ascii="Arial" w:hAnsi="Arial" w:cs="Arial"/>
                <w:b/>
                <w:spacing w:val="-2"/>
                <w:sz w:val="20"/>
                <w:szCs w:val="20"/>
              </w:rPr>
              <w:t>Behavioral endpoints</w:t>
            </w:r>
          </w:p>
        </w:tc>
        <w:tc>
          <w:tcPr>
            <w:tcW w:w="1985" w:type="dxa"/>
            <w:gridSpan w:val="2"/>
          </w:tcPr>
          <w:p w14:paraId="5F163AA6" w14:textId="77777777" w:rsidR="006B7E30" w:rsidRPr="00994095" w:rsidRDefault="006B7E30" w:rsidP="006B7E30">
            <w:pPr>
              <w:pStyle w:val="TableParagraph"/>
              <w:ind w:left="458"/>
              <w:rPr>
                <w:rFonts w:ascii="Arial" w:hAnsi="Arial" w:cs="Arial"/>
                <w:b/>
                <w:sz w:val="20"/>
                <w:szCs w:val="20"/>
              </w:rPr>
            </w:pPr>
            <w:r w:rsidRPr="00994095">
              <w:rPr>
                <w:rFonts w:ascii="Arial" w:hAnsi="Arial" w:cs="Arial"/>
                <w:b/>
                <w:spacing w:val="-2"/>
                <w:sz w:val="20"/>
                <w:szCs w:val="20"/>
              </w:rPr>
              <w:t>Control</w:t>
            </w:r>
          </w:p>
        </w:tc>
        <w:tc>
          <w:tcPr>
            <w:tcW w:w="2126" w:type="dxa"/>
            <w:gridSpan w:val="2"/>
          </w:tcPr>
          <w:p w14:paraId="72D4D5F5" w14:textId="77777777" w:rsidR="006B7E30" w:rsidRPr="00994095" w:rsidRDefault="006B7E30" w:rsidP="006B7E30">
            <w:pPr>
              <w:pStyle w:val="TableParagraph"/>
              <w:ind w:left="68"/>
              <w:rPr>
                <w:rFonts w:ascii="Arial" w:hAnsi="Arial" w:cs="Arial"/>
                <w:b/>
                <w:sz w:val="20"/>
                <w:szCs w:val="20"/>
              </w:rPr>
            </w:pPr>
            <w:r w:rsidRPr="00994095">
              <w:rPr>
                <w:rFonts w:ascii="Arial" w:hAnsi="Arial" w:cs="Arial"/>
                <w:b/>
                <w:sz w:val="20"/>
                <w:szCs w:val="20"/>
              </w:rPr>
              <w:t xml:space="preserve">   DMSO</w:t>
            </w:r>
            <w:r w:rsidRPr="00994095">
              <w:rPr>
                <w:rFonts w:ascii="Arial" w:hAnsi="Arial" w:cs="Arial"/>
                <w:b/>
                <w:spacing w:val="-7"/>
                <w:sz w:val="20"/>
                <w:szCs w:val="20"/>
              </w:rPr>
              <w:t xml:space="preserve"> </w:t>
            </w:r>
            <w:r w:rsidRPr="00994095">
              <w:rPr>
                <w:rFonts w:ascii="Arial" w:hAnsi="Arial" w:cs="Arial"/>
                <w:b/>
                <w:spacing w:val="-2"/>
                <w:sz w:val="20"/>
                <w:szCs w:val="20"/>
              </w:rPr>
              <w:t>control</w:t>
            </w:r>
          </w:p>
        </w:tc>
        <w:tc>
          <w:tcPr>
            <w:tcW w:w="2268" w:type="dxa"/>
            <w:gridSpan w:val="2"/>
          </w:tcPr>
          <w:p w14:paraId="6A21082B" w14:textId="77777777" w:rsidR="006B7E30" w:rsidRPr="00994095" w:rsidRDefault="006B7E30" w:rsidP="006B7E30">
            <w:pPr>
              <w:pStyle w:val="TableParagraph"/>
              <w:ind w:left="200"/>
              <w:rPr>
                <w:rFonts w:ascii="Arial" w:hAnsi="Arial" w:cs="Arial"/>
                <w:b/>
                <w:sz w:val="20"/>
                <w:szCs w:val="20"/>
              </w:rPr>
            </w:pPr>
            <w:r w:rsidRPr="00994095">
              <w:rPr>
                <w:rFonts w:ascii="Arial" w:hAnsi="Arial" w:cs="Arial"/>
                <w:b/>
                <w:sz w:val="20"/>
                <w:szCs w:val="20"/>
              </w:rPr>
              <w:t xml:space="preserve">       Low</w:t>
            </w:r>
            <w:r w:rsidRPr="00994095">
              <w:rPr>
                <w:rFonts w:ascii="Arial" w:hAnsi="Arial" w:cs="Arial"/>
                <w:b/>
                <w:spacing w:val="-4"/>
                <w:sz w:val="20"/>
                <w:szCs w:val="20"/>
              </w:rPr>
              <w:t xml:space="preserve"> Dose</w:t>
            </w:r>
          </w:p>
        </w:tc>
        <w:tc>
          <w:tcPr>
            <w:tcW w:w="1985" w:type="dxa"/>
            <w:gridSpan w:val="2"/>
          </w:tcPr>
          <w:p w14:paraId="104356AE" w14:textId="77777777" w:rsidR="006B7E30" w:rsidRPr="00994095" w:rsidRDefault="006B7E30" w:rsidP="006B7E30">
            <w:pPr>
              <w:pStyle w:val="TableParagraph"/>
              <w:ind w:left="60"/>
              <w:rPr>
                <w:rFonts w:ascii="Arial" w:hAnsi="Arial" w:cs="Arial"/>
                <w:b/>
                <w:sz w:val="20"/>
                <w:szCs w:val="20"/>
              </w:rPr>
            </w:pPr>
            <w:r w:rsidRPr="00994095">
              <w:rPr>
                <w:rFonts w:ascii="Arial" w:hAnsi="Arial" w:cs="Arial"/>
                <w:b/>
                <w:sz w:val="20"/>
                <w:szCs w:val="20"/>
              </w:rPr>
              <w:t xml:space="preserve">   Medium</w:t>
            </w:r>
            <w:r w:rsidRPr="00994095">
              <w:rPr>
                <w:rFonts w:ascii="Arial" w:hAnsi="Arial" w:cs="Arial"/>
                <w:b/>
                <w:spacing w:val="-8"/>
                <w:sz w:val="20"/>
                <w:szCs w:val="20"/>
              </w:rPr>
              <w:t xml:space="preserve"> </w:t>
            </w:r>
            <w:r w:rsidRPr="00994095">
              <w:rPr>
                <w:rFonts w:ascii="Arial" w:hAnsi="Arial" w:cs="Arial"/>
                <w:b/>
                <w:spacing w:val="-4"/>
                <w:sz w:val="20"/>
                <w:szCs w:val="20"/>
              </w:rPr>
              <w:t>Dose</w:t>
            </w:r>
          </w:p>
        </w:tc>
        <w:tc>
          <w:tcPr>
            <w:tcW w:w="1984" w:type="dxa"/>
            <w:gridSpan w:val="2"/>
          </w:tcPr>
          <w:p w14:paraId="02610AC3" w14:textId="77777777" w:rsidR="006B7E30" w:rsidRPr="00994095" w:rsidRDefault="006B7E30" w:rsidP="006B7E30">
            <w:pPr>
              <w:pStyle w:val="TableParagraph"/>
              <w:ind w:left="429"/>
              <w:rPr>
                <w:rFonts w:ascii="Arial" w:hAnsi="Arial" w:cs="Arial"/>
                <w:b/>
                <w:sz w:val="20"/>
                <w:szCs w:val="20"/>
              </w:rPr>
            </w:pPr>
            <w:r w:rsidRPr="00994095">
              <w:rPr>
                <w:rFonts w:ascii="Arial" w:hAnsi="Arial" w:cs="Arial"/>
                <w:b/>
                <w:sz w:val="20"/>
                <w:szCs w:val="20"/>
              </w:rPr>
              <w:t>High</w:t>
            </w:r>
            <w:r w:rsidRPr="00994095">
              <w:rPr>
                <w:rFonts w:ascii="Arial" w:hAnsi="Arial" w:cs="Arial"/>
                <w:b/>
                <w:spacing w:val="-6"/>
                <w:sz w:val="20"/>
                <w:szCs w:val="20"/>
              </w:rPr>
              <w:t xml:space="preserve"> </w:t>
            </w:r>
            <w:r w:rsidRPr="00994095">
              <w:rPr>
                <w:rFonts w:ascii="Arial" w:hAnsi="Arial" w:cs="Arial"/>
                <w:b/>
                <w:spacing w:val="-4"/>
                <w:sz w:val="20"/>
                <w:szCs w:val="20"/>
              </w:rPr>
              <w:t>Dose</w:t>
            </w:r>
          </w:p>
        </w:tc>
      </w:tr>
      <w:tr w:rsidR="006B7E30" w:rsidRPr="00994095" w14:paraId="655BE108" w14:textId="77777777" w:rsidTr="006B7E30">
        <w:trPr>
          <w:trHeight w:val="467"/>
        </w:trPr>
        <w:tc>
          <w:tcPr>
            <w:tcW w:w="1560" w:type="dxa"/>
          </w:tcPr>
          <w:p w14:paraId="280EAC36" w14:textId="77777777" w:rsidR="006B7E30" w:rsidRPr="00994095" w:rsidRDefault="006B7E30" w:rsidP="006B7E30">
            <w:pPr>
              <w:pStyle w:val="TableParagraph"/>
              <w:rPr>
                <w:rFonts w:ascii="Arial" w:hAnsi="Arial" w:cs="Arial"/>
                <w:sz w:val="20"/>
                <w:szCs w:val="20"/>
              </w:rPr>
            </w:pPr>
          </w:p>
        </w:tc>
        <w:tc>
          <w:tcPr>
            <w:tcW w:w="993" w:type="dxa"/>
          </w:tcPr>
          <w:p w14:paraId="55F14A77" w14:textId="77777777" w:rsidR="006B7E30" w:rsidRPr="00994095" w:rsidRDefault="006B7E30" w:rsidP="006B7E30">
            <w:pPr>
              <w:pStyle w:val="TableParagraph"/>
              <w:ind w:left="101"/>
              <w:rPr>
                <w:rFonts w:ascii="Arial" w:hAnsi="Arial" w:cs="Arial"/>
                <w:b/>
                <w:sz w:val="20"/>
                <w:szCs w:val="20"/>
              </w:rPr>
            </w:pPr>
            <w:r w:rsidRPr="00994095">
              <w:rPr>
                <w:rFonts w:ascii="Arial" w:hAnsi="Arial" w:cs="Arial"/>
                <w:b/>
                <w:spacing w:val="-2"/>
                <w:sz w:val="20"/>
                <w:szCs w:val="20"/>
              </w:rPr>
              <w:t>Lower</w:t>
            </w:r>
          </w:p>
        </w:tc>
        <w:tc>
          <w:tcPr>
            <w:tcW w:w="992" w:type="dxa"/>
          </w:tcPr>
          <w:p w14:paraId="24C28F93" w14:textId="77777777" w:rsidR="006B7E30" w:rsidRPr="00994095" w:rsidRDefault="006B7E30" w:rsidP="006B7E30">
            <w:pPr>
              <w:pStyle w:val="TableParagraph"/>
              <w:ind w:left="179"/>
              <w:rPr>
                <w:rFonts w:ascii="Arial" w:hAnsi="Arial" w:cs="Arial"/>
                <w:b/>
                <w:sz w:val="20"/>
                <w:szCs w:val="20"/>
              </w:rPr>
            </w:pPr>
            <w:r w:rsidRPr="00994095">
              <w:rPr>
                <w:rFonts w:ascii="Arial" w:hAnsi="Arial" w:cs="Arial"/>
                <w:b/>
                <w:spacing w:val="-2"/>
                <w:sz w:val="20"/>
                <w:szCs w:val="20"/>
              </w:rPr>
              <w:t>Upper</w:t>
            </w:r>
          </w:p>
        </w:tc>
        <w:tc>
          <w:tcPr>
            <w:tcW w:w="992" w:type="dxa"/>
          </w:tcPr>
          <w:p w14:paraId="570AB3CC" w14:textId="77777777" w:rsidR="006B7E30" w:rsidRPr="00994095" w:rsidRDefault="006B7E30" w:rsidP="006B7E30">
            <w:pPr>
              <w:pStyle w:val="TableParagraph"/>
              <w:ind w:left="166"/>
              <w:rPr>
                <w:rFonts w:ascii="Arial" w:hAnsi="Arial" w:cs="Arial"/>
                <w:b/>
                <w:sz w:val="20"/>
                <w:szCs w:val="20"/>
              </w:rPr>
            </w:pPr>
            <w:r w:rsidRPr="00994095">
              <w:rPr>
                <w:rFonts w:ascii="Arial" w:hAnsi="Arial" w:cs="Arial"/>
                <w:b/>
                <w:spacing w:val="-2"/>
                <w:sz w:val="20"/>
                <w:szCs w:val="20"/>
              </w:rPr>
              <w:t>Lower</w:t>
            </w:r>
          </w:p>
        </w:tc>
        <w:tc>
          <w:tcPr>
            <w:tcW w:w="1134" w:type="dxa"/>
          </w:tcPr>
          <w:p w14:paraId="50A07831" w14:textId="77777777" w:rsidR="006B7E30" w:rsidRPr="00994095" w:rsidRDefault="006B7E30" w:rsidP="006B7E30">
            <w:pPr>
              <w:pStyle w:val="TableParagraph"/>
              <w:ind w:left="275"/>
              <w:rPr>
                <w:rFonts w:ascii="Arial" w:hAnsi="Arial" w:cs="Arial"/>
                <w:b/>
                <w:sz w:val="20"/>
                <w:szCs w:val="20"/>
              </w:rPr>
            </w:pPr>
            <w:r w:rsidRPr="00994095">
              <w:rPr>
                <w:rFonts w:ascii="Arial" w:hAnsi="Arial" w:cs="Arial"/>
                <w:b/>
                <w:spacing w:val="-4"/>
                <w:sz w:val="20"/>
                <w:szCs w:val="20"/>
              </w:rPr>
              <w:t>Upper</w:t>
            </w:r>
          </w:p>
        </w:tc>
        <w:tc>
          <w:tcPr>
            <w:tcW w:w="1276" w:type="dxa"/>
          </w:tcPr>
          <w:p w14:paraId="372FDCE6" w14:textId="77777777" w:rsidR="006B7E30" w:rsidRPr="00994095" w:rsidRDefault="006B7E30" w:rsidP="006B7E30">
            <w:pPr>
              <w:pStyle w:val="TableParagraph"/>
              <w:ind w:left="318"/>
              <w:rPr>
                <w:rFonts w:ascii="Arial" w:hAnsi="Arial" w:cs="Arial"/>
                <w:b/>
                <w:sz w:val="20"/>
                <w:szCs w:val="20"/>
              </w:rPr>
            </w:pPr>
            <w:r w:rsidRPr="00994095">
              <w:rPr>
                <w:rFonts w:ascii="Arial" w:hAnsi="Arial" w:cs="Arial"/>
                <w:b/>
                <w:spacing w:val="-2"/>
                <w:sz w:val="20"/>
                <w:szCs w:val="20"/>
              </w:rPr>
              <w:t>Lower</w:t>
            </w:r>
          </w:p>
        </w:tc>
        <w:tc>
          <w:tcPr>
            <w:tcW w:w="992" w:type="dxa"/>
          </w:tcPr>
          <w:p w14:paraId="423A2903" w14:textId="77777777" w:rsidR="006B7E30" w:rsidRPr="00994095" w:rsidRDefault="006B7E30" w:rsidP="006B7E30">
            <w:pPr>
              <w:pStyle w:val="TableParagraph"/>
              <w:ind w:left="203"/>
              <w:rPr>
                <w:rFonts w:ascii="Arial" w:hAnsi="Arial" w:cs="Arial"/>
                <w:b/>
                <w:sz w:val="20"/>
                <w:szCs w:val="20"/>
              </w:rPr>
            </w:pPr>
            <w:r w:rsidRPr="00994095">
              <w:rPr>
                <w:rFonts w:ascii="Arial" w:hAnsi="Arial" w:cs="Arial"/>
                <w:b/>
                <w:spacing w:val="-2"/>
                <w:sz w:val="20"/>
                <w:szCs w:val="20"/>
              </w:rPr>
              <w:t>Upper</w:t>
            </w:r>
          </w:p>
        </w:tc>
        <w:tc>
          <w:tcPr>
            <w:tcW w:w="992" w:type="dxa"/>
          </w:tcPr>
          <w:p w14:paraId="4C44408A" w14:textId="77777777" w:rsidR="006B7E30" w:rsidRPr="00994095" w:rsidRDefault="006B7E30" w:rsidP="006B7E30">
            <w:pPr>
              <w:pStyle w:val="TableParagraph"/>
              <w:ind w:left="180"/>
              <w:rPr>
                <w:rFonts w:ascii="Arial" w:hAnsi="Arial" w:cs="Arial"/>
                <w:b/>
                <w:sz w:val="20"/>
                <w:szCs w:val="20"/>
              </w:rPr>
            </w:pPr>
            <w:r w:rsidRPr="00994095">
              <w:rPr>
                <w:rFonts w:ascii="Arial" w:hAnsi="Arial" w:cs="Arial"/>
                <w:b/>
                <w:spacing w:val="-2"/>
                <w:sz w:val="20"/>
                <w:szCs w:val="20"/>
              </w:rPr>
              <w:t>Lower</w:t>
            </w:r>
          </w:p>
        </w:tc>
        <w:tc>
          <w:tcPr>
            <w:tcW w:w="993" w:type="dxa"/>
          </w:tcPr>
          <w:p w14:paraId="716CCFE9" w14:textId="77777777" w:rsidR="006B7E30" w:rsidRPr="00994095" w:rsidRDefault="006B7E30" w:rsidP="006B7E30">
            <w:pPr>
              <w:pStyle w:val="TableParagraph"/>
              <w:ind w:left="131"/>
              <w:rPr>
                <w:rFonts w:ascii="Arial" w:hAnsi="Arial" w:cs="Arial"/>
                <w:b/>
                <w:sz w:val="20"/>
                <w:szCs w:val="20"/>
              </w:rPr>
            </w:pPr>
            <w:r w:rsidRPr="00994095">
              <w:rPr>
                <w:rFonts w:ascii="Arial" w:hAnsi="Arial" w:cs="Arial"/>
                <w:b/>
                <w:spacing w:val="-2"/>
                <w:sz w:val="20"/>
                <w:szCs w:val="20"/>
              </w:rPr>
              <w:t>Upper</w:t>
            </w:r>
          </w:p>
        </w:tc>
        <w:tc>
          <w:tcPr>
            <w:tcW w:w="992" w:type="dxa"/>
          </w:tcPr>
          <w:p w14:paraId="76711F6B" w14:textId="77777777" w:rsidR="006B7E30" w:rsidRPr="00994095" w:rsidRDefault="006B7E30" w:rsidP="006B7E30">
            <w:pPr>
              <w:pStyle w:val="TableParagraph"/>
              <w:ind w:left="124"/>
              <w:rPr>
                <w:rFonts w:ascii="Arial" w:hAnsi="Arial" w:cs="Arial"/>
                <w:b/>
                <w:sz w:val="20"/>
                <w:szCs w:val="20"/>
              </w:rPr>
            </w:pPr>
            <w:r w:rsidRPr="00994095">
              <w:rPr>
                <w:rFonts w:ascii="Arial" w:hAnsi="Arial" w:cs="Arial"/>
                <w:b/>
                <w:spacing w:val="-2"/>
                <w:sz w:val="20"/>
                <w:szCs w:val="20"/>
              </w:rPr>
              <w:t>Lower</w:t>
            </w:r>
          </w:p>
        </w:tc>
        <w:tc>
          <w:tcPr>
            <w:tcW w:w="992" w:type="dxa"/>
          </w:tcPr>
          <w:p w14:paraId="6CCF3CC9" w14:textId="77777777" w:rsidR="006B7E30" w:rsidRPr="00994095" w:rsidRDefault="006B7E30" w:rsidP="006B7E30">
            <w:pPr>
              <w:pStyle w:val="TableParagraph"/>
              <w:ind w:left="134"/>
              <w:rPr>
                <w:rFonts w:ascii="Arial" w:hAnsi="Arial" w:cs="Arial"/>
                <w:b/>
                <w:sz w:val="20"/>
                <w:szCs w:val="20"/>
              </w:rPr>
            </w:pPr>
            <w:r w:rsidRPr="00994095">
              <w:rPr>
                <w:rFonts w:ascii="Arial" w:hAnsi="Arial" w:cs="Arial"/>
                <w:b/>
                <w:spacing w:val="-2"/>
                <w:sz w:val="20"/>
                <w:szCs w:val="20"/>
              </w:rPr>
              <w:t>Upper</w:t>
            </w:r>
          </w:p>
        </w:tc>
      </w:tr>
      <w:tr w:rsidR="006B7E30" w:rsidRPr="00994095" w14:paraId="0131DC2A" w14:textId="77777777" w:rsidTr="006B7E30">
        <w:trPr>
          <w:trHeight w:val="839"/>
        </w:trPr>
        <w:tc>
          <w:tcPr>
            <w:tcW w:w="1560" w:type="dxa"/>
          </w:tcPr>
          <w:p w14:paraId="10D4CD0C" w14:textId="77777777" w:rsidR="006B7E30" w:rsidRPr="00994095" w:rsidRDefault="006B7E30" w:rsidP="006B7E30">
            <w:pPr>
              <w:pStyle w:val="TableParagraph"/>
              <w:ind w:right="175"/>
              <w:rPr>
                <w:rFonts w:ascii="Arial" w:hAnsi="Arial" w:cs="Arial"/>
                <w:b/>
                <w:sz w:val="20"/>
                <w:szCs w:val="20"/>
              </w:rPr>
            </w:pPr>
            <w:r w:rsidRPr="00994095">
              <w:rPr>
                <w:rFonts w:ascii="Arial" w:hAnsi="Arial" w:cs="Arial"/>
                <w:b/>
                <w:spacing w:val="-4"/>
                <w:sz w:val="20"/>
                <w:szCs w:val="20"/>
              </w:rPr>
              <w:t xml:space="preserve">Time </w:t>
            </w:r>
            <w:r w:rsidRPr="00994095">
              <w:rPr>
                <w:rFonts w:ascii="Arial" w:hAnsi="Arial" w:cs="Arial"/>
                <w:b/>
                <w:sz w:val="20"/>
                <w:szCs w:val="20"/>
              </w:rPr>
              <w:t>Spent in each</w:t>
            </w:r>
            <w:r w:rsidRPr="00994095">
              <w:rPr>
                <w:rFonts w:ascii="Arial" w:hAnsi="Arial" w:cs="Arial"/>
                <w:b/>
                <w:spacing w:val="-13"/>
                <w:sz w:val="20"/>
                <w:szCs w:val="20"/>
              </w:rPr>
              <w:t xml:space="preserve"> </w:t>
            </w:r>
            <w:r w:rsidRPr="00994095">
              <w:rPr>
                <w:rFonts w:ascii="Arial" w:hAnsi="Arial" w:cs="Arial"/>
                <w:b/>
                <w:sz w:val="20"/>
                <w:szCs w:val="20"/>
              </w:rPr>
              <w:t>zone (sec)</w:t>
            </w:r>
          </w:p>
        </w:tc>
        <w:tc>
          <w:tcPr>
            <w:tcW w:w="993" w:type="dxa"/>
          </w:tcPr>
          <w:p w14:paraId="4ECAF05E" w14:textId="77777777" w:rsidR="006B7E30" w:rsidRPr="00994095" w:rsidRDefault="006B7E30" w:rsidP="006B7E30">
            <w:pPr>
              <w:pStyle w:val="TableParagraph"/>
              <w:ind w:left="58"/>
              <w:rPr>
                <w:rFonts w:ascii="Arial" w:hAnsi="Arial" w:cs="Arial"/>
                <w:sz w:val="20"/>
                <w:szCs w:val="20"/>
              </w:rPr>
            </w:pPr>
            <w:r w:rsidRPr="00994095">
              <w:rPr>
                <w:rFonts w:ascii="Arial" w:hAnsi="Arial" w:cs="Arial"/>
                <w:spacing w:val="-2"/>
                <w:sz w:val="20"/>
                <w:szCs w:val="20"/>
              </w:rPr>
              <w:t>192.25±</w:t>
            </w:r>
          </w:p>
          <w:p w14:paraId="5A742A07" w14:textId="77777777" w:rsidR="006B7E30" w:rsidRPr="00994095" w:rsidRDefault="006B7E30" w:rsidP="006B7E30">
            <w:pPr>
              <w:pStyle w:val="TableParagraph"/>
              <w:ind w:left="113"/>
              <w:rPr>
                <w:rFonts w:ascii="Arial" w:hAnsi="Arial" w:cs="Arial"/>
                <w:sz w:val="20"/>
                <w:szCs w:val="20"/>
              </w:rPr>
            </w:pPr>
            <w:r w:rsidRPr="00994095">
              <w:rPr>
                <w:rFonts w:ascii="Arial" w:hAnsi="Arial" w:cs="Arial"/>
                <w:spacing w:val="-2"/>
                <w:sz w:val="20"/>
                <w:szCs w:val="20"/>
              </w:rPr>
              <w:t>29.06</w:t>
            </w:r>
          </w:p>
        </w:tc>
        <w:tc>
          <w:tcPr>
            <w:tcW w:w="992" w:type="dxa"/>
          </w:tcPr>
          <w:p w14:paraId="357D2D41" w14:textId="77777777" w:rsidR="006B7E30" w:rsidRPr="00994095" w:rsidRDefault="006B7E30" w:rsidP="006B7E30">
            <w:pPr>
              <w:pStyle w:val="TableParagraph"/>
              <w:rPr>
                <w:rFonts w:ascii="Arial" w:hAnsi="Arial" w:cs="Arial"/>
                <w:sz w:val="20"/>
                <w:szCs w:val="20"/>
              </w:rPr>
            </w:pPr>
            <w:r w:rsidRPr="00994095">
              <w:rPr>
                <w:rFonts w:ascii="Arial" w:hAnsi="Arial" w:cs="Arial"/>
                <w:spacing w:val="-2"/>
                <w:sz w:val="20"/>
                <w:szCs w:val="20"/>
              </w:rPr>
              <w:t>167.75±</w:t>
            </w:r>
          </w:p>
          <w:p w14:paraId="1E3DE0DF" w14:textId="77777777" w:rsidR="006B7E30" w:rsidRPr="00994095" w:rsidRDefault="006B7E30" w:rsidP="006B7E30">
            <w:pPr>
              <w:pStyle w:val="TableParagraph"/>
              <w:ind w:left="148"/>
              <w:rPr>
                <w:rFonts w:ascii="Arial" w:hAnsi="Arial" w:cs="Arial"/>
                <w:sz w:val="20"/>
                <w:szCs w:val="20"/>
              </w:rPr>
            </w:pPr>
            <w:r w:rsidRPr="00994095">
              <w:rPr>
                <w:rFonts w:ascii="Arial" w:hAnsi="Arial" w:cs="Arial"/>
                <w:spacing w:val="-2"/>
                <w:sz w:val="20"/>
                <w:szCs w:val="20"/>
              </w:rPr>
              <w:t>13.38</w:t>
            </w:r>
          </w:p>
        </w:tc>
        <w:tc>
          <w:tcPr>
            <w:tcW w:w="992" w:type="dxa"/>
          </w:tcPr>
          <w:p w14:paraId="46E87EB6" w14:textId="77777777" w:rsidR="006B7E30" w:rsidRPr="00994095" w:rsidRDefault="006B7E30" w:rsidP="006B7E30">
            <w:pPr>
              <w:pStyle w:val="TableParagraph"/>
              <w:rPr>
                <w:rFonts w:ascii="Arial" w:hAnsi="Arial" w:cs="Arial"/>
                <w:sz w:val="20"/>
                <w:szCs w:val="20"/>
              </w:rPr>
            </w:pPr>
            <w:r w:rsidRPr="00994095">
              <w:rPr>
                <w:rFonts w:ascii="Arial" w:hAnsi="Arial" w:cs="Arial"/>
                <w:sz w:val="20"/>
                <w:szCs w:val="20"/>
              </w:rPr>
              <w:t xml:space="preserve"> 185.75</w:t>
            </w:r>
            <w:r w:rsidRPr="00994095">
              <w:rPr>
                <w:rFonts w:ascii="Arial" w:hAnsi="Arial" w:cs="Arial"/>
                <w:spacing w:val="-10"/>
                <w:sz w:val="20"/>
                <w:szCs w:val="20"/>
              </w:rPr>
              <w:t>±</w:t>
            </w:r>
          </w:p>
          <w:p w14:paraId="6051F2B1" w14:textId="77777777" w:rsidR="006B7E30" w:rsidRPr="00994095" w:rsidRDefault="006B7E30" w:rsidP="006B7E30">
            <w:pPr>
              <w:pStyle w:val="TableParagraph"/>
              <w:ind w:left="104"/>
              <w:rPr>
                <w:rFonts w:ascii="Arial" w:hAnsi="Arial" w:cs="Arial"/>
                <w:sz w:val="20"/>
                <w:szCs w:val="20"/>
              </w:rPr>
            </w:pPr>
            <w:r w:rsidRPr="00994095">
              <w:rPr>
                <w:rFonts w:ascii="Arial" w:hAnsi="Arial" w:cs="Arial"/>
                <w:spacing w:val="-2"/>
                <w:sz w:val="20"/>
                <w:szCs w:val="20"/>
              </w:rPr>
              <w:t>34.86</w:t>
            </w:r>
          </w:p>
        </w:tc>
        <w:tc>
          <w:tcPr>
            <w:tcW w:w="1134" w:type="dxa"/>
          </w:tcPr>
          <w:p w14:paraId="42D863B1" w14:textId="77777777" w:rsidR="006B7E30" w:rsidRPr="00994095" w:rsidRDefault="006B7E30" w:rsidP="006B7E30">
            <w:pPr>
              <w:pStyle w:val="TableParagraph"/>
              <w:ind w:left="42"/>
              <w:rPr>
                <w:rFonts w:ascii="Arial" w:hAnsi="Arial" w:cs="Arial"/>
                <w:sz w:val="20"/>
                <w:szCs w:val="20"/>
              </w:rPr>
            </w:pPr>
            <w:r w:rsidRPr="00994095">
              <w:rPr>
                <w:rFonts w:ascii="Arial" w:hAnsi="Arial" w:cs="Arial"/>
                <w:spacing w:val="-2"/>
                <w:sz w:val="20"/>
                <w:szCs w:val="20"/>
              </w:rPr>
              <w:t xml:space="preserve"> 174.25±</w:t>
            </w:r>
          </w:p>
          <w:p w14:paraId="02754CA7" w14:textId="77777777" w:rsidR="006B7E30" w:rsidRPr="00994095" w:rsidRDefault="006B7E30" w:rsidP="006B7E30">
            <w:pPr>
              <w:pStyle w:val="TableParagraph"/>
              <w:ind w:left="66"/>
              <w:rPr>
                <w:rFonts w:ascii="Arial" w:hAnsi="Arial" w:cs="Arial"/>
                <w:b/>
                <w:sz w:val="20"/>
                <w:szCs w:val="20"/>
              </w:rPr>
            </w:pPr>
            <w:r w:rsidRPr="00994095">
              <w:rPr>
                <w:rFonts w:ascii="Arial" w:hAnsi="Arial" w:cs="Arial"/>
                <w:spacing w:val="-2"/>
                <w:sz w:val="20"/>
                <w:szCs w:val="20"/>
              </w:rPr>
              <w:t>11.86</w:t>
            </w:r>
            <w:r w:rsidRPr="00994095">
              <w:rPr>
                <w:rFonts w:ascii="Arial" w:hAnsi="Arial" w:cs="Arial"/>
                <w:b/>
                <w:spacing w:val="-2"/>
                <w:sz w:val="20"/>
                <w:szCs w:val="20"/>
                <w:vertAlign w:val="superscript"/>
              </w:rPr>
              <w:t>*</w:t>
            </w:r>
          </w:p>
        </w:tc>
        <w:tc>
          <w:tcPr>
            <w:tcW w:w="1276" w:type="dxa"/>
          </w:tcPr>
          <w:p w14:paraId="690A63DA" w14:textId="77777777" w:rsidR="006B7E30" w:rsidRPr="00994095" w:rsidRDefault="006B7E30" w:rsidP="006B7E30">
            <w:pPr>
              <w:pStyle w:val="TableParagraph"/>
              <w:ind w:left="32"/>
              <w:rPr>
                <w:rFonts w:ascii="Arial" w:hAnsi="Arial" w:cs="Arial"/>
                <w:sz w:val="20"/>
                <w:szCs w:val="20"/>
              </w:rPr>
            </w:pPr>
            <w:r w:rsidRPr="00994095">
              <w:rPr>
                <w:rFonts w:ascii="Arial" w:hAnsi="Arial" w:cs="Arial"/>
                <w:spacing w:val="-2"/>
                <w:sz w:val="20"/>
                <w:szCs w:val="20"/>
              </w:rPr>
              <w:t xml:space="preserve">   225.19±</w:t>
            </w:r>
          </w:p>
          <w:p w14:paraId="4EA5A373" w14:textId="77777777" w:rsidR="006B7E30" w:rsidRPr="00994095" w:rsidRDefault="006B7E30" w:rsidP="006B7E30">
            <w:pPr>
              <w:pStyle w:val="TableParagraph"/>
              <w:ind w:left="135"/>
              <w:rPr>
                <w:rFonts w:ascii="Arial" w:hAnsi="Arial" w:cs="Arial"/>
                <w:sz w:val="20"/>
                <w:szCs w:val="20"/>
              </w:rPr>
            </w:pPr>
            <w:r w:rsidRPr="00994095">
              <w:rPr>
                <w:rFonts w:ascii="Arial" w:hAnsi="Arial" w:cs="Arial"/>
                <w:spacing w:val="-2"/>
                <w:sz w:val="20"/>
                <w:szCs w:val="20"/>
              </w:rPr>
              <w:t xml:space="preserve"> 34.79</w:t>
            </w:r>
          </w:p>
        </w:tc>
        <w:tc>
          <w:tcPr>
            <w:tcW w:w="992" w:type="dxa"/>
          </w:tcPr>
          <w:p w14:paraId="437C49EB" w14:textId="77777777" w:rsidR="006B7E30" w:rsidRPr="00994095" w:rsidRDefault="006B7E30" w:rsidP="006B7E30">
            <w:pPr>
              <w:pStyle w:val="TableParagraph"/>
              <w:rPr>
                <w:rFonts w:ascii="Arial" w:hAnsi="Arial" w:cs="Arial"/>
                <w:sz w:val="20"/>
                <w:szCs w:val="20"/>
              </w:rPr>
            </w:pPr>
            <w:r w:rsidRPr="00994095">
              <w:rPr>
                <w:rFonts w:ascii="Arial" w:hAnsi="Arial" w:cs="Arial"/>
                <w:spacing w:val="-2"/>
                <w:sz w:val="20"/>
                <w:szCs w:val="20"/>
              </w:rPr>
              <w:t>134.81±</w:t>
            </w:r>
          </w:p>
          <w:p w14:paraId="122C9FBB" w14:textId="77777777" w:rsidR="006B7E30" w:rsidRPr="00994095" w:rsidRDefault="006B7E30" w:rsidP="006B7E30">
            <w:pPr>
              <w:pStyle w:val="TableParagraph"/>
              <w:ind w:left="73"/>
              <w:rPr>
                <w:rFonts w:ascii="Arial" w:hAnsi="Arial" w:cs="Arial"/>
                <w:b/>
                <w:sz w:val="20"/>
                <w:szCs w:val="20"/>
              </w:rPr>
            </w:pPr>
            <w:r w:rsidRPr="00994095">
              <w:rPr>
                <w:rFonts w:ascii="Arial" w:hAnsi="Arial" w:cs="Arial"/>
                <w:spacing w:val="-2"/>
                <w:sz w:val="20"/>
                <w:szCs w:val="20"/>
              </w:rPr>
              <w:t xml:space="preserve">   7.18</w:t>
            </w:r>
            <w:r w:rsidRPr="00994095">
              <w:rPr>
                <w:rFonts w:ascii="Arial" w:hAnsi="Arial" w:cs="Arial"/>
                <w:b/>
                <w:spacing w:val="-2"/>
                <w:sz w:val="20"/>
                <w:szCs w:val="20"/>
                <w:vertAlign w:val="superscript"/>
              </w:rPr>
              <w:t>**</w:t>
            </w:r>
          </w:p>
        </w:tc>
        <w:tc>
          <w:tcPr>
            <w:tcW w:w="992" w:type="dxa"/>
          </w:tcPr>
          <w:p w14:paraId="54F876DD" w14:textId="77777777" w:rsidR="006B7E30" w:rsidRPr="00994095" w:rsidRDefault="006B7E30" w:rsidP="006B7E30">
            <w:pPr>
              <w:pStyle w:val="TableParagraph"/>
              <w:rPr>
                <w:rFonts w:ascii="Arial" w:hAnsi="Arial" w:cs="Arial"/>
                <w:sz w:val="20"/>
                <w:szCs w:val="20"/>
              </w:rPr>
            </w:pPr>
            <w:r w:rsidRPr="00994095">
              <w:rPr>
                <w:rFonts w:ascii="Arial" w:hAnsi="Arial" w:cs="Arial"/>
                <w:sz w:val="20"/>
                <w:szCs w:val="20"/>
              </w:rPr>
              <w:t xml:space="preserve">284.75 </w:t>
            </w:r>
            <w:r w:rsidRPr="00994095">
              <w:rPr>
                <w:rFonts w:ascii="Arial" w:hAnsi="Arial" w:cs="Arial"/>
                <w:spacing w:val="-10"/>
                <w:sz w:val="20"/>
                <w:szCs w:val="20"/>
              </w:rPr>
              <w:t>±</w:t>
            </w:r>
          </w:p>
          <w:p w14:paraId="5AF4E363" w14:textId="77777777" w:rsidR="006B7E30" w:rsidRPr="00994095" w:rsidRDefault="006B7E30" w:rsidP="006B7E30">
            <w:pPr>
              <w:pStyle w:val="TableParagraph"/>
              <w:ind w:left="115"/>
              <w:rPr>
                <w:rFonts w:ascii="Arial" w:hAnsi="Arial" w:cs="Arial"/>
                <w:b/>
                <w:sz w:val="20"/>
                <w:szCs w:val="20"/>
              </w:rPr>
            </w:pPr>
            <w:r w:rsidRPr="00994095">
              <w:rPr>
                <w:rFonts w:ascii="Arial" w:hAnsi="Arial" w:cs="Arial"/>
                <w:spacing w:val="-2"/>
                <w:sz w:val="20"/>
                <w:szCs w:val="20"/>
              </w:rPr>
              <w:t>16.02</w:t>
            </w:r>
            <w:r w:rsidRPr="00994095">
              <w:rPr>
                <w:rFonts w:ascii="Arial" w:hAnsi="Arial" w:cs="Arial"/>
                <w:b/>
                <w:spacing w:val="-2"/>
                <w:sz w:val="20"/>
                <w:szCs w:val="20"/>
                <w:vertAlign w:val="superscript"/>
              </w:rPr>
              <w:t>*</w:t>
            </w:r>
          </w:p>
        </w:tc>
        <w:tc>
          <w:tcPr>
            <w:tcW w:w="993" w:type="dxa"/>
          </w:tcPr>
          <w:p w14:paraId="7FC42467" w14:textId="77777777" w:rsidR="006B7E30" w:rsidRPr="00994095" w:rsidRDefault="006B7E30" w:rsidP="006B7E30">
            <w:pPr>
              <w:pStyle w:val="TableParagraph"/>
              <w:rPr>
                <w:rFonts w:ascii="Arial" w:hAnsi="Arial" w:cs="Arial"/>
                <w:sz w:val="20"/>
                <w:szCs w:val="20"/>
              </w:rPr>
            </w:pPr>
            <w:r w:rsidRPr="00994095">
              <w:rPr>
                <w:rFonts w:ascii="Arial" w:hAnsi="Arial" w:cs="Arial"/>
                <w:spacing w:val="-2"/>
                <w:sz w:val="20"/>
                <w:szCs w:val="20"/>
              </w:rPr>
              <w:t xml:space="preserve"> 75.25±</w:t>
            </w:r>
          </w:p>
          <w:p w14:paraId="22B582A6" w14:textId="77777777" w:rsidR="006B7E30" w:rsidRPr="00994095" w:rsidRDefault="006B7E30" w:rsidP="006B7E30">
            <w:pPr>
              <w:pStyle w:val="TableParagraph"/>
              <w:ind w:left="196"/>
              <w:rPr>
                <w:rFonts w:ascii="Arial" w:hAnsi="Arial" w:cs="Arial"/>
                <w:b/>
                <w:sz w:val="20"/>
                <w:szCs w:val="20"/>
              </w:rPr>
            </w:pPr>
            <w:r w:rsidRPr="00994095">
              <w:rPr>
                <w:rFonts w:ascii="Arial" w:hAnsi="Arial" w:cs="Arial"/>
                <w:spacing w:val="-2"/>
                <w:sz w:val="20"/>
                <w:szCs w:val="20"/>
              </w:rPr>
              <w:t>8.30</w:t>
            </w:r>
            <w:r w:rsidRPr="00994095">
              <w:rPr>
                <w:rFonts w:ascii="Arial" w:hAnsi="Arial" w:cs="Arial"/>
                <w:b/>
                <w:spacing w:val="-2"/>
                <w:sz w:val="20"/>
                <w:szCs w:val="20"/>
                <w:vertAlign w:val="superscript"/>
              </w:rPr>
              <w:t>*</w:t>
            </w:r>
          </w:p>
        </w:tc>
        <w:tc>
          <w:tcPr>
            <w:tcW w:w="992" w:type="dxa"/>
          </w:tcPr>
          <w:p w14:paraId="2861DE44" w14:textId="77777777" w:rsidR="006B7E30" w:rsidRPr="00994095" w:rsidRDefault="006B7E30" w:rsidP="006B7E30">
            <w:pPr>
              <w:pStyle w:val="TableParagraph"/>
              <w:rPr>
                <w:rFonts w:ascii="Arial" w:hAnsi="Arial" w:cs="Arial"/>
                <w:sz w:val="20"/>
                <w:szCs w:val="20"/>
              </w:rPr>
            </w:pPr>
            <w:r w:rsidRPr="00994095">
              <w:rPr>
                <w:rFonts w:ascii="Arial" w:hAnsi="Arial" w:cs="Arial"/>
                <w:spacing w:val="-2"/>
                <w:sz w:val="20"/>
                <w:szCs w:val="20"/>
              </w:rPr>
              <w:t>327.95±</w:t>
            </w:r>
          </w:p>
          <w:p w14:paraId="4D98A6E0" w14:textId="77777777" w:rsidR="006B7E30" w:rsidRPr="00994095" w:rsidRDefault="006B7E30" w:rsidP="006B7E30">
            <w:pPr>
              <w:pStyle w:val="TableParagraph"/>
              <w:ind w:left="232"/>
              <w:rPr>
                <w:rFonts w:ascii="Arial" w:hAnsi="Arial" w:cs="Arial"/>
                <w:b/>
                <w:sz w:val="20"/>
                <w:szCs w:val="20"/>
              </w:rPr>
            </w:pPr>
            <w:r w:rsidRPr="00994095">
              <w:rPr>
                <w:rFonts w:ascii="Arial" w:hAnsi="Arial" w:cs="Arial"/>
                <w:spacing w:val="-2"/>
                <w:sz w:val="20"/>
                <w:szCs w:val="20"/>
              </w:rPr>
              <w:t>12.03</w:t>
            </w:r>
            <w:r w:rsidRPr="00994095">
              <w:rPr>
                <w:rFonts w:ascii="Arial" w:hAnsi="Arial" w:cs="Arial"/>
                <w:b/>
                <w:spacing w:val="-2"/>
                <w:sz w:val="20"/>
                <w:szCs w:val="20"/>
                <w:vertAlign w:val="superscript"/>
              </w:rPr>
              <w:t>*</w:t>
            </w:r>
          </w:p>
        </w:tc>
        <w:tc>
          <w:tcPr>
            <w:tcW w:w="992" w:type="dxa"/>
          </w:tcPr>
          <w:p w14:paraId="7446C6D9" w14:textId="77777777" w:rsidR="006B7E30" w:rsidRPr="00994095" w:rsidRDefault="006B7E30" w:rsidP="006B7E30">
            <w:pPr>
              <w:pStyle w:val="TableParagraph"/>
              <w:rPr>
                <w:rFonts w:ascii="Arial" w:hAnsi="Arial" w:cs="Arial"/>
                <w:sz w:val="20"/>
                <w:szCs w:val="20"/>
              </w:rPr>
            </w:pPr>
            <w:r w:rsidRPr="00994095">
              <w:rPr>
                <w:rFonts w:ascii="Arial" w:hAnsi="Arial" w:cs="Arial"/>
                <w:sz w:val="20"/>
                <w:szCs w:val="20"/>
              </w:rPr>
              <w:t xml:space="preserve">32.05 </w:t>
            </w:r>
            <w:r w:rsidRPr="00994095">
              <w:rPr>
                <w:rFonts w:ascii="Arial" w:hAnsi="Arial" w:cs="Arial"/>
                <w:spacing w:val="-10"/>
                <w:sz w:val="20"/>
                <w:szCs w:val="20"/>
              </w:rPr>
              <w:t>±</w:t>
            </w:r>
          </w:p>
          <w:p w14:paraId="5A476D1D" w14:textId="77777777" w:rsidR="006B7E30" w:rsidRPr="00994095" w:rsidRDefault="006B7E30" w:rsidP="006B7E30">
            <w:pPr>
              <w:pStyle w:val="TableParagraph"/>
              <w:ind w:left="165"/>
              <w:rPr>
                <w:rFonts w:ascii="Arial" w:hAnsi="Arial" w:cs="Arial"/>
                <w:b/>
                <w:sz w:val="20"/>
                <w:szCs w:val="20"/>
              </w:rPr>
            </w:pPr>
            <w:r w:rsidRPr="00994095">
              <w:rPr>
                <w:rFonts w:ascii="Arial" w:hAnsi="Arial" w:cs="Arial"/>
                <w:spacing w:val="-2"/>
                <w:sz w:val="20"/>
                <w:szCs w:val="20"/>
              </w:rPr>
              <w:t>7.38</w:t>
            </w:r>
            <w:r w:rsidRPr="00994095">
              <w:rPr>
                <w:rFonts w:ascii="Arial" w:hAnsi="Arial" w:cs="Arial"/>
                <w:b/>
                <w:spacing w:val="-2"/>
                <w:sz w:val="20"/>
                <w:szCs w:val="20"/>
                <w:vertAlign w:val="superscript"/>
              </w:rPr>
              <w:t>**</w:t>
            </w:r>
          </w:p>
        </w:tc>
      </w:tr>
      <w:tr w:rsidR="006B7E30" w:rsidRPr="00994095" w14:paraId="11E23141" w14:textId="77777777" w:rsidTr="006B7E30">
        <w:trPr>
          <w:trHeight w:val="837"/>
        </w:trPr>
        <w:tc>
          <w:tcPr>
            <w:tcW w:w="1560" w:type="dxa"/>
          </w:tcPr>
          <w:p w14:paraId="70D7D693" w14:textId="77777777" w:rsidR="006B7E30" w:rsidRPr="00994095" w:rsidRDefault="006B7E30" w:rsidP="006B7E30">
            <w:pPr>
              <w:pStyle w:val="TableParagraph"/>
              <w:ind w:right="155"/>
              <w:rPr>
                <w:rFonts w:ascii="Arial" w:hAnsi="Arial" w:cs="Arial"/>
                <w:b/>
                <w:sz w:val="20"/>
                <w:szCs w:val="20"/>
              </w:rPr>
            </w:pPr>
            <w:r w:rsidRPr="00994095">
              <w:rPr>
                <w:rFonts w:ascii="Arial" w:hAnsi="Arial" w:cs="Arial"/>
                <w:b/>
                <w:sz w:val="20"/>
                <w:szCs w:val="20"/>
              </w:rPr>
              <w:t>Latency</w:t>
            </w:r>
            <w:r w:rsidRPr="00994095">
              <w:rPr>
                <w:rFonts w:ascii="Arial" w:hAnsi="Arial" w:cs="Arial"/>
                <w:b/>
                <w:spacing w:val="-13"/>
                <w:sz w:val="20"/>
                <w:szCs w:val="20"/>
              </w:rPr>
              <w:t xml:space="preserve"> </w:t>
            </w:r>
            <w:r w:rsidRPr="00994095">
              <w:rPr>
                <w:rFonts w:ascii="Arial" w:hAnsi="Arial" w:cs="Arial"/>
                <w:b/>
                <w:sz w:val="20"/>
                <w:szCs w:val="20"/>
              </w:rPr>
              <w:t xml:space="preserve">to enter the top zone </w:t>
            </w:r>
          </w:p>
        </w:tc>
        <w:tc>
          <w:tcPr>
            <w:tcW w:w="1985" w:type="dxa"/>
            <w:gridSpan w:val="2"/>
          </w:tcPr>
          <w:p w14:paraId="234FC2C3" w14:textId="77777777" w:rsidR="006B7E30" w:rsidRPr="00994095" w:rsidRDefault="006B7E30" w:rsidP="006B7E30">
            <w:pPr>
              <w:pStyle w:val="TableParagraph"/>
              <w:ind w:left="242"/>
              <w:rPr>
                <w:rFonts w:ascii="Arial" w:hAnsi="Arial" w:cs="Arial"/>
                <w:sz w:val="20"/>
                <w:szCs w:val="20"/>
              </w:rPr>
            </w:pPr>
            <w:r w:rsidRPr="00994095">
              <w:rPr>
                <w:rFonts w:ascii="Arial" w:hAnsi="Arial" w:cs="Arial"/>
                <w:sz w:val="20"/>
                <w:szCs w:val="20"/>
              </w:rPr>
              <w:t>4.58</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1.62</w:t>
            </w:r>
          </w:p>
        </w:tc>
        <w:tc>
          <w:tcPr>
            <w:tcW w:w="2126" w:type="dxa"/>
            <w:gridSpan w:val="2"/>
          </w:tcPr>
          <w:p w14:paraId="45EF6D82" w14:textId="77777777" w:rsidR="006B7E30" w:rsidRPr="00994095" w:rsidRDefault="006B7E30" w:rsidP="006B7E30">
            <w:pPr>
              <w:pStyle w:val="TableParagraph"/>
              <w:ind w:left="176"/>
              <w:rPr>
                <w:rFonts w:ascii="Arial" w:hAnsi="Arial" w:cs="Arial"/>
                <w:b/>
                <w:sz w:val="20"/>
                <w:szCs w:val="20"/>
              </w:rPr>
            </w:pPr>
            <w:r w:rsidRPr="00994095">
              <w:rPr>
                <w:rFonts w:ascii="Arial" w:hAnsi="Arial" w:cs="Arial"/>
                <w:sz w:val="20"/>
                <w:szCs w:val="20"/>
              </w:rPr>
              <w:t>5.38</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1.91</w:t>
            </w:r>
            <w:r w:rsidRPr="00994095">
              <w:rPr>
                <w:rFonts w:ascii="Arial" w:hAnsi="Arial" w:cs="Arial"/>
                <w:b/>
                <w:spacing w:val="-2"/>
                <w:sz w:val="20"/>
                <w:szCs w:val="20"/>
                <w:vertAlign w:val="superscript"/>
              </w:rPr>
              <w:t>**</w:t>
            </w:r>
          </w:p>
        </w:tc>
        <w:tc>
          <w:tcPr>
            <w:tcW w:w="2268" w:type="dxa"/>
            <w:gridSpan w:val="2"/>
          </w:tcPr>
          <w:p w14:paraId="0D48F6B0" w14:textId="77777777" w:rsidR="006B7E30" w:rsidRPr="00994095" w:rsidRDefault="006B7E30" w:rsidP="006B7E30">
            <w:pPr>
              <w:pStyle w:val="TableParagraph"/>
              <w:ind w:left="375"/>
              <w:rPr>
                <w:rFonts w:ascii="Arial" w:hAnsi="Arial" w:cs="Arial"/>
                <w:sz w:val="20"/>
                <w:szCs w:val="20"/>
              </w:rPr>
            </w:pPr>
            <w:r w:rsidRPr="00994095">
              <w:rPr>
                <w:rFonts w:ascii="Arial" w:hAnsi="Arial" w:cs="Arial"/>
                <w:sz w:val="20"/>
                <w:szCs w:val="20"/>
              </w:rPr>
              <w:t>19.00</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3.29</w:t>
            </w:r>
          </w:p>
        </w:tc>
        <w:tc>
          <w:tcPr>
            <w:tcW w:w="1985" w:type="dxa"/>
            <w:gridSpan w:val="2"/>
          </w:tcPr>
          <w:p w14:paraId="432C64FA" w14:textId="77777777" w:rsidR="006B7E30" w:rsidRPr="00994095" w:rsidRDefault="006B7E30" w:rsidP="006B7E30">
            <w:pPr>
              <w:pStyle w:val="TableParagraph"/>
              <w:ind w:left="408"/>
              <w:rPr>
                <w:rFonts w:ascii="Arial" w:hAnsi="Arial" w:cs="Arial"/>
                <w:sz w:val="20"/>
                <w:szCs w:val="20"/>
              </w:rPr>
            </w:pPr>
            <w:r w:rsidRPr="00994095">
              <w:rPr>
                <w:rFonts w:ascii="Arial" w:hAnsi="Arial" w:cs="Arial"/>
                <w:sz w:val="20"/>
                <w:szCs w:val="20"/>
              </w:rPr>
              <w:t>16.50</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6.91</w:t>
            </w:r>
          </w:p>
        </w:tc>
        <w:tc>
          <w:tcPr>
            <w:tcW w:w="1984" w:type="dxa"/>
            <w:gridSpan w:val="2"/>
          </w:tcPr>
          <w:p w14:paraId="192A96A7" w14:textId="77777777" w:rsidR="006B7E30" w:rsidRPr="00994095" w:rsidRDefault="006B7E30" w:rsidP="006B7E30">
            <w:pPr>
              <w:pStyle w:val="TableParagraph"/>
              <w:ind w:left="367"/>
              <w:rPr>
                <w:rFonts w:ascii="Arial" w:hAnsi="Arial" w:cs="Arial"/>
                <w:sz w:val="20"/>
                <w:szCs w:val="20"/>
              </w:rPr>
            </w:pPr>
            <w:r w:rsidRPr="00994095">
              <w:rPr>
                <w:rFonts w:ascii="Arial" w:hAnsi="Arial" w:cs="Arial"/>
                <w:sz w:val="20"/>
                <w:szCs w:val="20"/>
              </w:rPr>
              <w:t>11.50</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5.52</w:t>
            </w:r>
          </w:p>
        </w:tc>
      </w:tr>
      <w:tr w:rsidR="006B7E30" w:rsidRPr="00994095" w14:paraId="26B5CE42" w14:textId="77777777" w:rsidTr="006B7E30">
        <w:trPr>
          <w:trHeight w:val="460"/>
        </w:trPr>
        <w:tc>
          <w:tcPr>
            <w:tcW w:w="1560" w:type="dxa"/>
          </w:tcPr>
          <w:p w14:paraId="2D884103" w14:textId="77777777" w:rsidR="006B7E30" w:rsidRPr="00994095" w:rsidRDefault="006B7E30" w:rsidP="006B7E30">
            <w:pPr>
              <w:pStyle w:val="TableParagraph"/>
              <w:spacing w:line="230" w:lineRule="atLeast"/>
              <w:rPr>
                <w:rFonts w:ascii="Arial" w:hAnsi="Arial" w:cs="Arial"/>
                <w:b/>
                <w:sz w:val="20"/>
                <w:szCs w:val="20"/>
              </w:rPr>
            </w:pPr>
            <w:r w:rsidRPr="00994095">
              <w:rPr>
                <w:rFonts w:ascii="Arial" w:hAnsi="Arial" w:cs="Arial"/>
                <w:b/>
                <w:sz w:val="20"/>
                <w:szCs w:val="20"/>
              </w:rPr>
              <w:t xml:space="preserve">No. of </w:t>
            </w:r>
            <w:r w:rsidRPr="00994095">
              <w:rPr>
                <w:rFonts w:ascii="Arial" w:hAnsi="Arial" w:cs="Arial"/>
                <w:b/>
                <w:spacing w:val="-4"/>
                <w:sz w:val="20"/>
                <w:szCs w:val="20"/>
              </w:rPr>
              <w:t>Transitions</w:t>
            </w:r>
          </w:p>
        </w:tc>
        <w:tc>
          <w:tcPr>
            <w:tcW w:w="1985" w:type="dxa"/>
            <w:gridSpan w:val="2"/>
          </w:tcPr>
          <w:p w14:paraId="5F32E4FB" w14:textId="77777777" w:rsidR="006B7E30" w:rsidRPr="00994095" w:rsidRDefault="006B7E30" w:rsidP="006B7E30">
            <w:pPr>
              <w:pStyle w:val="TableParagraph"/>
              <w:ind w:left="290"/>
              <w:rPr>
                <w:rFonts w:ascii="Arial" w:hAnsi="Arial" w:cs="Arial"/>
                <w:sz w:val="20"/>
                <w:szCs w:val="20"/>
              </w:rPr>
            </w:pPr>
            <w:r w:rsidRPr="00994095">
              <w:rPr>
                <w:rFonts w:ascii="Arial" w:hAnsi="Arial" w:cs="Arial"/>
                <w:sz w:val="20"/>
                <w:szCs w:val="20"/>
              </w:rPr>
              <w:t>5.75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1.70</w:t>
            </w:r>
          </w:p>
        </w:tc>
        <w:tc>
          <w:tcPr>
            <w:tcW w:w="2126" w:type="dxa"/>
            <w:gridSpan w:val="2"/>
          </w:tcPr>
          <w:p w14:paraId="3E8769AB" w14:textId="77777777" w:rsidR="006B7E30" w:rsidRPr="00994095" w:rsidRDefault="006B7E30" w:rsidP="006B7E30">
            <w:pPr>
              <w:pStyle w:val="TableParagraph"/>
              <w:ind w:left="209"/>
              <w:rPr>
                <w:rFonts w:ascii="Arial" w:hAnsi="Arial" w:cs="Arial"/>
                <w:b/>
                <w:sz w:val="20"/>
                <w:szCs w:val="20"/>
              </w:rPr>
            </w:pPr>
            <w:r w:rsidRPr="00994095">
              <w:rPr>
                <w:rFonts w:ascii="Arial" w:hAnsi="Arial" w:cs="Arial"/>
                <w:sz w:val="20"/>
                <w:szCs w:val="20"/>
              </w:rPr>
              <w:t>4.50</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1.04</w:t>
            </w:r>
            <w:r w:rsidRPr="00994095">
              <w:rPr>
                <w:rFonts w:ascii="Arial" w:hAnsi="Arial" w:cs="Arial"/>
                <w:b/>
                <w:spacing w:val="-2"/>
                <w:sz w:val="20"/>
                <w:szCs w:val="20"/>
                <w:vertAlign w:val="superscript"/>
              </w:rPr>
              <w:t>*</w:t>
            </w:r>
          </w:p>
        </w:tc>
        <w:tc>
          <w:tcPr>
            <w:tcW w:w="2268" w:type="dxa"/>
            <w:gridSpan w:val="2"/>
          </w:tcPr>
          <w:p w14:paraId="6BEDA1F4" w14:textId="77777777" w:rsidR="006B7E30" w:rsidRPr="00994095" w:rsidRDefault="006B7E30" w:rsidP="006B7E30">
            <w:pPr>
              <w:pStyle w:val="TableParagraph"/>
              <w:ind w:left="169"/>
              <w:rPr>
                <w:rFonts w:ascii="Arial" w:hAnsi="Arial" w:cs="Arial"/>
                <w:sz w:val="20"/>
                <w:szCs w:val="20"/>
              </w:rPr>
            </w:pPr>
            <w:r w:rsidRPr="00994095">
              <w:rPr>
                <w:rFonts w:ascii="Arial" w:hAnsi="Arial" w:cs="Arial"/>
                <w:sz w:val="20"/>
                <w:szCs w:val="20"/>
              </w:rPr>
              <w:t>1.75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1.11</w:t>
            </w:r>
          </w:p>
        </w:tc>
        <w:tc>
          <w:tcPr>
            <w:tcW w:w="1985" w:type="dxa"/>
            <w:gridSpan w:val="2"/>
          </w:tcPr>
          <w:p w14:paraId="166B0FDE" w14:textId="77777777" w:rsidR="006B7E30" w:rsidRPr="00994095" w:rsidRDefault="006B7E30" w:rsidP="006B7E30">
            <w:pPr>
              <w:pStyle w:val="TableParagraph"/>
              <w:ind w:left="98"/>
              <w:rPr>
                <w:rFonts w:ascii="Arial" w:hAnsi="Arial" w:cs="Arial"/>
                <w:b/>
                <w:sz w:val="20"/>
                <w:szCs w:val="20"/>
              </w:rPr>
            </w:pPr>
            <w:r w:rsidRPr="00994095">
              <w:rPr>
                <w:rFonts w:ascii="Arial" w:hAnsi="Arial" w:cs="Arial"/>
                <w:sz w:val="20"/>
                <w:szCs w:val="20"/>
              </w:rPr>
              <w:t>1.25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0.63</w:t>
            </w:r>
            <w:r w:rsidRPr="00994095">
              <w:rPr>
                <w:rFonts w:ascii="Arial" w:hAnsi="Arial" w:cs="Arial"/>
                <w:b/>
                <w:spacing w:val="-2"/>
                <w:sz w:val="20"/>
                <w:szCs w:val="20"/>
                <w:vertAlign w:val="superscript"/>
              </w:rPr>
              <w:t>***</w:t>
            </w:r>
          </w:p>
        </w:tc>
        <w:tc>
          <w:tcPr>
            <w:tcW w:w="1984" w:type="dxa"/>
            <w:gridSpan w:val="2"/>
          </w:tcPr>
          <w:p w14:paraId="244C85CD" w14:textId="77777777" w:rsidR="006B7E30" w:rsidRPr="00994095" w:rsidRDefault="006B7E30" w:rsidP="006B7E30">
            <w:pPr>
              <w:pStyle w:val="TableParagraph"/>
              <w:ind w:left="352"/>
              <w:rPr>
                <w:rFonts w:ascii="Arial" w:hAnsi="Arial" w:cs="Arial"/>
                <w:b/>
                <w:sz w:val="20"/>
                <w:szCs w:val="20"/>
              </w:rPr>
            </w:pPr>
            <w:r w:rsidRPr="00994095">
              <w:rPr>
                <w:rFonts w:ascii="Arial" w:hAnsi="Arial" w:cs="Arial"/>
                <w:sz w:val="20"/>
                <w:szCs w:val="20"/>
              </w:rPr>
              <w:t>2.25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0.95</w:t>
            </w:r>
            <w:r w:rsidRPr="00994095">
              <w:rPr>
                <w:rFonts w:ascii="Arial" w:hAnsi="Arial" w:cs="Arial"/>
                <w:b/>
                <w:spacing w:val="-2"/>
                <w:sz w:val="20"/>
                <w:szCs w:val="20"/>
                <w:vertAlign w:val="superscript"/>
              </w:rPr>
              <w:t>**</w:t>
            </w:r>
          </w:p>
        </w:tc>
      </w:tr>
      <w:tr w:rsidR="006B7E30" w:rsidRPr="00994095" w14:paraId="3BCCB394" w14:textId="77777777" w:rsidTr="006B7E30">
        <w:trPr>
          <w:trHeight w:val="395"/>
        </w:trPr>
        <w:tc>
          <w:tcPr>
            <w:tcW w:w="1560" w:type="dxa"/>
          </w:tcPr>
          <w:p w14:paraId="27B68A14" w14:textId="77777777" w:rsidR="006B7E30" w:rsidRPr="00994095" w:rsidRDefault="006B7E30" w:rsidP="006B7E30">
            <w:pPr>
              <w:pStyle w:val="TableParagraph"/>
              <w:rPr>
                <w:rFonts w:ascii="Arial" w:hAnsi="Arial" w:cs="Arial"/>
                <w:b/>
                <w:sz w:val="20"/>
                <w:szCs w:val="20"/>
              </w:rPr>
            </w:pPr>
            <w:r w:rsidRPr="00994095">
              <w:rPr>
                <w:rFonts w:ascii="Arial" w:hAnsi="Arial" w:cs="Arial"/>
                <w:b/>
                <w:spacing w:val="-2"/>
                <w:sz w:val="20"/>
                <w:szCs w:val="20"/>
              </w:rPr>
              <w:t>Erratic</w:t>
            </w:r>
          </w:p>
        </w:tc>
        <w:tc>
          <w:tcPr>
            <w:tcW w:w="1985" w:type="dxa"/>
            <w:gridSpan w:val="2"/>
          </w:tcPr>
          <w:p w14:paraId="20DBDB6A" w14:textId="77777777" w:rsidR="006B7E30" w:rsidRPr="00994095" w:rsidRDefault="006B7E30" w:rsidP="006B7E30">
            <w:pPr>
              <w:pStyle w:val="TableParagraph"/>
              <w:ind w:left="192"/>
              <w:rPr>
                <w:rFonts w:ascii="Arial" w:hAnsi="Arial" w:cs="Arial"/>
                <w:sz w:val="20"/>
                <w:szCs w:val="20"/>
              </w:rPr>
            </w:pPr>
            <w:r w:rsidRPr="00994095">
              <w:rPr>
                <w:rFonts w:ascii="Arial" w:hAnsi="Arial" w:cs="Arial"/>
                <w:sz w:val="20"/>
                <w:szCs w:val="20"/>
              </w:rPr>
              <w:t>59.25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5.19</w:t>
            </w:r>
          </w:p>
        </w:tc>
        <w:tc>
          <w:tcPr>
            <w:tcW w:w="2126" w:type="dxa"/>
            <w:gridSpan w:val="2"/>
          </w:tcPr>
          <w:p w14:paraId="2D7D2330" w14:textId="77777777" w:rsidR="006B7E30" w:rsidRPr="00994095" w:rsidRDefault="006B7E30" w:rsidP="006B7E30">
            <w:pPr>
              <w:pStyle w:val="TableParagraph"/>
              <w:ind w:left="125"/>
              <w:rPr>
                <w:rFonts w:ascii="Arial" w:hAnsi="Arial" w:cs="Arial"/>
                <w:b/>
                <w:sz w:val="20"/>
                <w:szCs w:val="20"/>
              </w:rPr>
            </w:pPr>
            <w:r w:rsidRPr="00994095">
              <w:rPr>
                <w:rFonts w:ascii="Arial" w:hAnsi="Arial" w:cs="Arial"/>
                <w:sz w:val="20"/>
                <w:szCs w:val="20"/>
              </w:rPr>
              <w:t>56.75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6.10</w:t>
            </w:r>
            <w:r w:rsidRPr="00994095">
              <w:rPr>
                <w:rFonts w:ascii="Arial" w:hAnsi="Arial" w:cs="Arial"/>
                <w:b/>
                <w:spacing w:val="-2"/>
                <w:sz w:val="20"/>
                <w:szCs w:val="20"/>
                <w:vertAlign w:val="superscript"/>
              </w:rPr>
              <w:t>**</w:t>
            </w:r>
          </w:p>
        </w:tc>
        <w:tc>
          <w:tcPr>
            <w:tcW w:w="2268" w:type="dxa"/>
            <w:gridSpan w:val="2"/>
          </w:tcPr>
          <w:p w14:paraId="34BBAC53" w14:textId="77777777" w:rsidR="006B7E30" w:rsidRPr="00994095" w:rsidRDefault="006B7E30" w:rsidP="006B7E30">
            <w:pPr>
              <w:pStyle w:val="TableParagraph"/>
              <w:ind w:left="6"/>
              <w:rPr>
                <w:rFonts w:ascii="Arial" w:hAnsi="Arial" w:cs="Arial"/>
                <w:b/>
                <w:sz w:val="20"/>
                <w:szCs w:val="20"/>
              </w:rPr>
            </w:pPr>
            <w:r w:rsidRPr="00994095">
              <w:rPr>
                <w:rFonts w:ascii="Arial" w:hAnsi="Arial" w:cs="Arial"/>
                <w:sz w:val="20"/>
                <w:szCs w:val="20"/>
              </w:rPr>
              <w:t>22.25</w:t>
            </w:r>
            <w:r w:rsidRPr="00994095">
              <w:rPr>
                <w:rFonts w:ascii="Arial" w:hAnsi="Arial" w:cs="Arial"/>
                <w:spacing w:val="-2"/>
                <w:sz w:val="20"/>
                <w:szCs w:val="20"/>
              </w:rPr>
              <w:t xml:space="preserve"> ±4.85</w:t>
            </w:r>
            <w:r w:rsidRPr="00994095">
              <w:rPr>
                <w:rFonts w:ascii="Arial" w:hAnsi="Arial" w:cs="Arial"/>
                <w:b/>
                <w:spacing w:val="-2"/>
                <w:sz w:val="20"/>
                <w:szCs w:val="20"/>
                <w:vertAlign w:val="superscript"/>
              </w:rPr>
              <w:t>***</w:t>
            </w:r>
          </w:p>
        </w:tc>
        <w:tc>
          <w:tcPr>
            <w:tcW w:w="1985" w:type="dxa"/>
            <w:gridSpan w:val="2"/>
          </w:tcPr>
          <w:p w14:paraId="1ECEB55C" w14:textId="77777777" w:rsidR="006B7E30" w:rsidRPr="00994095" w:rsidRDefault="006B7E30" w:rsidP="006B7E30">
            <w:pPr>
              <w:pStyle w:val="TableParagraph"/>
              <w:ind w:left="113"/>
              <w:rPr>
                <w:rFonts w:ascii="Arial" w:hAnsi="Arial" w:cs="Arial"/>
                <w:b/>
                <w:sz w:val="20"/>
                <w:szCs w:val="20"/>
              </w:rPr>
            </w:pPr>
            <w:r w:rsidRPr="00994095">
              <w:rPr>
                <w:rFonts w:ascii="Arial" w:hAnsi="Arial" w:cs="Arial"/>
                <w:sz w:val="20"/>
                <w:szCs w:val="20"/>
              </w:rPr>
              <w:t>49.75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5.45</w:t>
            </w:r>
            <w:r w:rsidRPr="00994095">
              <w:rPr>
                <w:rFonts w:ascii="Arial" w:hAnsi="Arial" w:cs="Arial"/>
                <w:b/>
                <w:spacing w:val="-2"/>
                <w:sz w:val="20"/>
                <w:szCs w:val="20"/>
                <w:vertAlign w:val="superscript"/>
              </w:rPr>
              <w:t>*</w:t>
            </w:r>
          </w:p>
        </w:tc>
        <w:tc>
          <w:tcPr>
            <w:tcW w:w="1984" w:type="dxa"/>
            <w:gridSpan w:val="2"/>
          </w:tcPr>
          <w:p w14:paraId="7B104FA7" w14:textId="77777777" w:rsidR="006B7E30" w:rsidRPr="00994095" w:rsidRDefault="006B7E30" w:rsidP="006B7E30">
            <w:pPr>
              <w:pStyle w:val="TableParagraph"/>
              <w:ind w:left="216"/>
              <w:rPr>
                <w:rFonts w:ascii="Arial" w:hAnsi="Arial" w:cs="Arial"/>
                <w:b/>
                <w:sz w:val="20"/>
                <w:szCs w:val="20"/>
              </w:rPr>
            </w:pPr>
            <w:r w:rsidRPr="00994095">
              <w:rPr>
                <w:rFonts w:ascii="Arial" w:hAnsi="Arial" w:cs="Arial"/>
                <w:sz w:val="20"/>
                <w:szCs w:val="20"/>
              </w:rPr>
              <w:t>57.75</w:t>
            </w:r>
            <w:r w:rsidRPr="00994095">
              <w:rPr>
                <w:rFonts w:ascii="Arial" w:hAnsi="Arial" w:cs="Arial"/>
                <w:spacing w:val="36"/>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4.68</w:t>
            </w:r>
            <w:r w:rsidRPr="00994095">
              <w:rPr>
                <w:rFonts w:ascii="Arial" w:hAnsi="Arial" w:cs="Arial"/>
                <w:b/>
                <w:spacing w:val="-2"/>
                <w:sz w:val="20"/>
                <w:szCs w:val="20"/>
                <w:vertAlign w:val="superscript"/>
              </w:rPr>
              <w:t>****</w:t>
            </w:r>
          </w:p>
        </w:tc>
      </w:tr>
    </w:tbl>
    <w:p w14:paraId="1BA42E47" w14:textId="4B73C57E" w:rsidR="008876B8" w:rsidRPr="00994095" w:rsidRDefault="008876B8" w:rsidP="008876B8">
      <w:pPr>
        <w:pStyle w:val="BodyText"/>
        <w:spacing w:before="80" w:line="259" w:lineRule="auto"/>
        <w:ind w:right="256"/>
        <w:jc w:val="both"/>
        <w:rPr>
          <w:rFonts w:ascii="Arial" w:hAnsi="Arial" w:cs="Arial"/>
          <w:i/>
          <w:iCs/>
          <w:sz w:val="18"/>
          <w:szCs w:val="18"/>
        </w:rPr>
      </w:pPr>
      <w:r w:rsidRPr="00994095">
        <w:rPr>
          <w:rFonts w:ascii="Arial" w:hAnsi="Arial" w:cs="Arial"/>
          <w:i/>
          <w:iCs/>
          <w:sz w:val="18"/>
          <w:szCs w:val="18"/>
        </w:rPr>
        <w:lastRenderedPageBreak/>
        <w:t>Data are represented as mean ± SEM. Experimental groups are compared with control animals using one way ANOVA</w:t>
      </w:r>
      <w:r w:rsidRPr="00994095">
        <w:rPr>
          <w:rFonts w:ascii="Arial" w:hAnsi="Arial" w:cs="Arial"/>
          <w:i/>
          <w:iCs/>
          <w:spacing w:val="-13"/>
          <w:sz w:val="18"/>
          <w:szCs w:val="18"/>
        </w:rPr>
        <w:t xml:space="preserve">   </w:t>
      </w:r>
      <w:r w:rsidRPr="00994095">
        <w:rPr>
          <w:rFonts w:ascii="Arial" w:hAnsi="Arial" w:cs="Arial"/>
          <w:i/>
          <w:iCs/>
          <w:sz w:val="18"/>
          <w:szCs w:val="18"/>
        </w:rPr>
        <w:t>followed</w:t>
      </w:r>
      <w:r w:rsidRPr="00994095">
        <w:rPr>
          <w:rFonts w:ascii="Arial" w:hAnsi="Arial" w:cs="Arial"/>
          <w:i/>
          <w:iCs/>
          <w:spacing w:val="-4"/>
          <w:sz w:val="18"/>
          <w:szCs w:val="18"/>
        </w:rPr>
        <w:t xml:space="preserve"> </w:t>
      </w:r>
      <w:r w:rsidRPr="00994095">
        <w:rPr>
          <w:rFonts w:ascii="Arial" w:hAnsi="Arial" w:cs="Arial"/>
          <w:i/>
          <w:iCs/>
          <w:sz w:val="18"/>
          <w:szCs w:val="18"/>
        </w:rPr>
        <w:t>by</w:t>
      </w:r>
      <w:r w:rsidRPr="00994095">
        <w:rPr>
          <w:rFonts w:ascii="Arial" w:hAnsi="Arial" w:cs="Arial"/>
          <w:i/>
          <w:iCs/>
          <w:spacing w:val="-5"/>
          <w:sz w:val="18"/>
          <w:szCs w:val="18"/>
        </w:rPr>
        <w:t xml:space="preserve"> </w:t>
      </w:r>
      <w:r w:rsidRPr="00994095">
        <w:rPr>
          <w:rFonts w:ascii="Arial" w:hAnsi="Arial" w:cs="Arial"/>
          <w:i/>
          <w:iCs/>
          <w:sz w:val="18"/>
          <w:szCs w:val="18"/>
        </w:rPr>
        <w:t>post</w:t>
      </w:r>
      <w:r w:rsidRPr="00994095">
        <w:rPr>
          <w:rFonts w:ascii="Arial" w:hAnsi="Arial" w:cs="Arial"/>
          <w:i/>
          <w:iCs/>
          <w:spacing w:val="-5"/>
          <w:sz w:val="18"/>
          <w:szCs w:val="18"/>
        </w:rPr>
        <w:t xml:space="preserve"> </w:t>
      </w:r>
      <w:r w:rsidRPr="00994095">
        <w:rPr>
          <w:rFonts w:ascii="Arial" w:hAnsi="Arial" w:cs="Arial"/>
          <w:i/>
          <w:iCs/>
          <w:sz w:val="18"/>
          <w:szCs w:val="18"/>
        </w:rPr>
        <w:t>hoc</w:t>
      </w:r>
      <w:r w:rsidRPr="00994095">
        <w:rPr>
          <w:rFonts w:ascii="Arial" w:hAnsi="Arial" w:cs="Arial"/>
          <w:i/>
          <w:iCs/>
          <w:spacing w:val="-6"/>
          <w:sz w:val="18"/>
          <w:szCs w:val="18"/>
        </w:rPr>
        <w:t xml:space="preserve"> </w:t>
      </w:r>
      <w:r w:rsidRPr="00994095">
        <w:rPr>
          <w:rFonts w:ascii="Arial" w:hAnsi="Arial" w:cs="Arial"/>
          <w:i/>
          <w:iCs/>
          <w:sz w:val="18"/>
          <w:szCs w:val="18"/>
        </w:rPr>
        <w:t>test,</w:t>
      </w:r>
      <w:r w:rsidRPr="00994095">
        <w:rPr>
          <w:rFonts w:ascii="Arial" w:hAnsi="Arial" w:cs="Arial"/>
          <w:i/>
          <w:iCs/>
          <w:spacing w:val="-4"/>
          <w:sz w:val="18"/>
          <w:szCs w:val="18"/>
        </w:rPr>
        <w:t xml:space="preserve"> </w:t>
      </w:r>
      <w:r w:rsidRPr="00994095">
        <w:rPr>
          <w:rFonts w:ascii="Arial" w:hAnsi="Arial" w:cs="Arial"/>
          <w:i/>
          <w:iCs/>
          <w:sz w:val="18"/>
          <w:szCs w:val="18"/>
        </w:rPr>
        <w:t>showing</w:t>
      </w:r>
      <w:r w:rsidRPr="00994095">
        <w:rPr>
          <w:rFonts w:ascii="Arial" w:hAnsi="Arial" w:cs="Arial"/>
          <w:i/>
          <w:iCs/>
          <w:spacing w:val="-3"/>
          <w:sz w:val="18"/>
          <w:szCs w:val="18"/>
        </w:rPr>
        <w:t xml:space="preserve"> </w:t>
      </w:r>
      <w:r w:rsidRPr="00994095">
        <w:rPr>
          <w:rFonts w:ascii="Arial" w:hAnsi="Arial" w:cs="Arial"/>
          <w:i/>
          <w:iCs/>
          <w:sz w:val="18"/>
          <w:szCs w:val="18"/>
        </w:rPr>
        <w:t>significant</w:t>
      </w:r>
      <w:r w:rsidRPr="00994095">
        <w:rPr>
          <w:rFonts w:ascii="Arial" w:hAnsi="Arial" w:cs="Arial"/>
          <w:i/>
          <w:iCs/>
          <w:spacing w:val="-5"/>
          <w:sz w:val="18"/>
          <w:szCs w:val="18"/>
        </w:rPr>
        <w:t xml:space="preserve"> </w:t>
      </w:r>
      <w:r w:rsidRPr="00994095">
        <w:rPr>
          <w:rFonts w:ascii="Arial" w:hAnsi="Arial" w:cs="Arial"/>
          <w:i/>
          <w:iCs/>
          <w:sz w:val="18"/>
          <w:szCs w:val="18"/>
        </w:rPr>
        <w:t>difference</w:t>
      </w:r>
      <w:r w:rsidRPr="00994095">
        <w:rPr>
          <w:rFonts w:ascii="Arial" w:hAnsi="Arial" w:cs="Arial"/>
          <w:i/>
          <w:iCs/>
          <w:spacing w:val="-4"/>
          <w:sz w:val="18"/>
          <w:szCs w:val="18"/>
        </w:rPr>
        <w:t xml:space="preserve"> </w:t>
      </w:r>
      <w:r w:rsidRPr="00994095">
        <w:rPr>
          <w:rFonts w:ascii="Arial" w:hAnsi="Arial" w:cs="Arial"/>
          <w:i/>
          <w:iCs/>
          <w:sz w:val="18"/>
          <w:szCs w:val="18"/>
        </w:rPr>
        <w:t>at</w:t>
      </w:r>
      <w:r w:rsidRPr="00994095">
        <w:rPr>
          <w:rFonts w:ascii="Arial" w:hAnsi="Arial" w:cs="Arial"/>
          <w:i/>
          <w:iCs/>
          <w:spacing w:val="-4"/>
          <w:sz w:val="18"/>
          <w:szCs w:val="18"/>
        </w:rPr>
        <w:t xml:space="preserve"> </w:t>
      </w:r>
      <w:r w:rsidRPr="00994095">
        <w:rPr>
          <w:rFonts w:ascii="Arial" w:hAnsi="Arial" w:cs="Arial"/>
          <w:i/>
          <w:iCs/>
          <w:sz w:val="18"/>
          <w:szCs w:val="18"/>
        </w:rPr>
        <w:t>p</w:t>
      </w:r>
      <w:r w:rsidRPr="00994095">
        <w:rPr>
          <w:rFonts w:ascii="Arial" w:hAnsi="Arial" w:cs="Arial"/>
          <w:i/>
          <w:iCs/>
          <w:spacing w:val="-5"/>
          <w:sz w:val="18"/>
          <w:szCs w:val="18"/>
        </w:rPr>
        <w:t xml:space="preserve"> </w:t>
      </w:r>
      <w:r w:rsidRPr="00994095">
        <w:rPr>
          <w:rFonts w:ascii="Arial" w:hAnsi="Arial" w:cs="Arial"/>
          <w:i/>
          <w:iCs/>
          <w:sz w:val="18"/>
          <w:szCs w:val="18"/>
        </w:rPr>
        <w:t>values:</w:t>
      </w:r>
      <w:r w:rsidRPr="00994095">
        <w:rPr>
          <w:rFonts w:ascii="Arial" w:hAnsi="Arial" w:cs="Arial"/>
          <w:i/>
          <w:iCs/>
          <w:spacing w:val="-5"/>
          <w:sz w:val="18"/>
          <w:szCs w:val="18"/>
        </w:rPr>
        <w:t xml:space="preserve"> </w:t>
      </w:r>
      <w:r w:rsidRPr="00994095">
        <w:rPr>
          <w:rFonts w:ascii="Arial" w:hAnsi="Arial" w:cs="Arial"/>
          <w:i/>
          <w:iCs/>
          <w:sz w:val="18"/>
          <w:szCs w:val="18"/>
        </w:rPr>
        <w:t>*</w:t>
      </w:r>
      <w:r w:rsidRPr="00994095">
        <w:rPr>
          <w:rFonts w:ascii="Arial" w:hAnsi="Arial" w:cs="Arial"/>
          <w:i/>
          <w:iCs/>
          <w:spacing w:val="-3"/>
          <w:sz w:val="18"/>
          <w:szCs w:val="18"/>
        </w:rPr>
        <w:t xml:space="preserve"> </w:t>
      </w:r>
      <w:r w:rsidRPr="00994095">
        <w:rPr>
          <w:rFonts w:ascii="Arial" w:hAnsi="Arial" w:cs="Arial"/>
          <w:i/>
          <w:iCs/>
          <w:sz w:val="18"/>
          <w:szCs w:val="18"/>
        </w:rPr>
        <w:t>shows</w:t>
      </w:r>
      <w:r w:rsidRPr="00994095">
        <w:rPr>
          <w:rFonts w:ascii="Arial" w:hAnsi="Arial" w:cs="Arial"/>
          <w:i/>
          <w:iCs/>
          <w:spacing w:val="-5"/>
          <w:sz w:val="18"/>
          <w:szCs w:val="18"/>
        </w:rPr>
        <w:t xml:space="preserve"> </w:t>
      </w:r>
      <w:r w:rsidRPr="00994095">
        <w:rPr>
          <w:rFonts w:ascii="Arial" w:hAnsi="Arial" w:cs="Arial"/>
          <w:i/>
          <w:iCs/>
          <w:sz w:val="18"/>
          <w:szCs w:val="18"/>
        </w:rPr>
        <w:t>p</w:t>
      </w:r>
      <w:r w:rsidRPr="00994095">
        <w:rPr>
          <w:rFonts w:ascii="Arial" w:hAnsi="Arial" w:cs="Arial"/>
          <w:i/>
          <w:iCs/>
          <w:spacing w:val="-3"/>
          <w:sz w:val="18"/>
          <w:szCs w:val="18"/>
        </w:rPr>
        <w:t xml:space="preserve"> </w:t>
      </w:r>
      <w:r w:rsidRPr="00994095">
        <w:rPr>
          <w:rFonts w:ascii="Arial" w:hAnsi="Arial" w:cs="Arial"/>
          <w:i/>
          <w:iCs/>
          <w:sz w:val="18"/>
          <w:szCs w:val="18"/>
        </w:rPr>
        <w:t>&lt;</w:t>
      </w:r>
      <w:r w:rsidRPr="00994095">
        <w:rPr>
          <w:rFonts w:ascii="Arial" w:hAnsi="Arial" w:cs="Arial"/>
          <w:i/>
          <w:iCs/>
          <w:spacing w:val="-6"/>
          <w:sz w:val="18"/>
          <w:szCs w:val="18"/>
        </w:rPr>
        <w:t xml:space="preserve"> </w:t>
      </w:r>
      <w:r w:rsidRPr="00994095">
        <w:rPr>
          <w:rFonts w:ascii="Arial" w:hAnsi="Arial" w:cs="Arial"/>
          <w:i/>
          <w:iCs/>
          <w:sz w:val="18"/>
          <w:szCs w:val="18"/>
        </w:rPr>
        <w:t>0.05,</w:t>
      </w:r>
      <w:r w:rsidRPr="00994095">
        <w:rPr>
          <w:rFonts w:ascii="Arial" w:hAnsi="Arial" w:cs="Arial"/>
          <w:i/>
          <w:iCs/>
          <w:spacing w:val="-6"/>
          <w:sz w:val="18"/>
          <w:szCs w:val="18"/>
        </w:rPr>
        <w:t xml:space="preserve"> </w:t>
      </w:r>
      <w:r w:rsidRPr="00994095">
        <w:rPr>
          <w:rFonts w:ascii="Arial" w:hAnsi="Arial" w:cs="Arial"/>
          <w:i/>
          <w:iCs/>
          <w:sz w:val="18"/>
          <w:szCs w:val="18"/>
        </w:rPr>
        <w:t>**</w:t>
      </w:r>
      <w:r w:rsidRPr="00994095">
        <w:rPr>
          <w:rFonts w:ascii="Arial" w:hAnsi="Arial" w:cs="Arial"/>
          <w:i/>
          <w:iCs/>
          <w:spacing w:val="-3"/>
          <w:sz w:val="18"/>
          <w:szCs w:val="18"/>
        </w:rPr>
        <w:t xml:space="preserve"> </w:t>
      </w:r>
      <w:r w:rsidRPr="00994095">
        <w:rPr>
          <w:rFonts w:ascii="Arial" w:hAnsi="Arial" w:cs="Arial"/>
          <w:i/>
          <w:iCs/>
          <w:sz w:val="18"/>
          <w:szCs w:val="18"/>
        </w:rPr>
        <w:t>indicates</w:t>
      </w:r>
      <w:r w:rsidRPr="00994095">
        <w:rPr>
          <w:rFonts w:ascii="Arial" w:hAnsi="Arial" w:cs="Arial"/>
          <w:i/>
          <w:iCs/>
          <w:spacing w:val="-5"/>
          <w:sz w:val="18"/>
          <w:szCs w:val="18"/>
        </w:rPr>
        <w:t xml:space="preserve"> </w:t>
      </w:r>
      <w:r w:rsidRPr="00994095">
        <w:rPr>
          <w:rFonts w:ascii="Arial" w:hAnsi="Arial" w:cs="Arial"/>
          <w:i/>
          <w:iCs/>
          <w:sz w:val="18"/>
          <w:szCs w:val="18"/>
        </w:rPr>
        <w:t>p</w:t>
      </w:r>
      <w:r w:rsidRPr="00994095">
        <w:rPr>
          <w:rFonts w:ascii="Arial" w:hAnsi="Arial" w:cs="Arial"/>
          <w:i/>
          <w:iCs/>
          <w:spacing w:val="-3"/>
          <w:sz w:val="18"/>
          <w:szCs w:val="18"/>
        </w:rPr>
        <w:t xml:space="preserve"> </w:t>
      </w:r>
      <w:r w:rsidRPr="00994095">
        <w:rPr>
          <w:rFonts w:ascii="Arial" w:hAnsi="Arial" w:cs="Arial"/>
          <w:i/>
          <w:iCs/>
          <w:sz w:val="18"/>
          <w:szCs w:val="18"/>
        </w:rPr>
        <w:t>&lt;0.01</w:t>
      </w:r>
      <w:r w:rsidRPr="00994095">
        <w:rPr>
          <w:rFonts w:ascii="Arial" w:hAnsi="Arial" w:cs="Arial"/>
          <w:i/>
          <w:iCs/>
          <w:spacing w:val="-2"/>
          <w:sz w:val="18"/>
          <w:szCs w:val="18"/>
        </w:rPr>
        <w:t xml:space="preserve"> </w:t>
      </w:r>
      <w:r w:rsidRPr="00994095">
        <w:rPr>
          <w:rFonts w:ascii="Arial" w:hAnsi="Arial" w:cs="Arial"/>
          <w:i/>
          <w:iCs/>
          <w:sz w:val="18"/>
          <w:szCs w:val="18"/>
        </w:rPr>
        <w:t>and</w:t>
      </w:r>
      <w:r w:rsidRPr="00994095">
        <w:rPr>
          <w:rFonts w:ascii="Arial" w:hAnsi="Arial" w:cs="Arial"/>
          <w:i/>
          <w:iCs/>
          <w:spacing w:val="-2"/>
          <w:sz w:val="18"/>
          <w:szCs w:val="18"/>
        </w:rPr>
        <w:t xml:space="preserve"> </w:t>
      </w:r>
      <w:r w:rsidRPr="00994095">
        <w:rPr>
          <w:rFonts w:ascii="Arial" w:hAnsi="Arial" w:cs="Arial"/>
          <w:i/>
          <w:iCs/>
          <w:sz w:val="18"/>
          <w:szCs w:val="18"/>
        </w:rPr>
        <w:t>***</w:t>
      </w:r>
      <w:r w:rsidRPr="00994095">
        <w:rPr>
          <w:rFonts w:ascii="Arial" w:hAnsi="Arial" w:cs="Arial"/>
          <w:i/>
          <w:iCs/>
          <w:spacing w:val="-4"/>
          <w:sz w:val="18"/>
          <w:szCs w:val="18"/>
        </w:rPr>
        <w:t xml:space="preserve"> </w:t>
      </w:r>
      <w:r w:rsidRPr="00994095">
        <w:rPr>
          <w:rFonts w:ascii="Arial" w:hAnsi="Arial" w:cs="Arial"/>
          <w:i/>
          <w:iCs/>
          <w:sz w:val="18"/>
          <w:szCs w:val="18"/>
        </w:rPr>
        <w:t>represent</w:t>
      </w:r>
      <w:r w:rsidRPr="00994095">
        <w:rPr>
          <w:rFonts w:ascii="Arial" w:hAnsi="Arial" w:cs="Arial"/>
          <w:i/>
          <w:iCs/>
          <w:spacing w:val="-4"/>
          <w:sz w:val="18"/>
          <w:szCs w:val="18"/>
        </w:rPr>
        <w:t xml:space="preserve"> p</w:t>
      </w:r>
      <w:r w:rsidRPr="00994095">
        <w:rPr>
          <w:rFonts w:ascii="Arial" w:hAnsi="Arial" w:cs="Arial"/>
          <w:i/>
          <w:iCs/>
          <w:sz w:val="18"/>
          <w:szCs w:val="18"/>
        </w:rPr>
        <w:t>&lt;</w:t>
      </w:r>
      <w:r w:rsidRPr="00994095">
        <w:rPr>
          <w:rFonts w:ascii="Arial" w:hAnsi="Arial" w:cs="Arial"/>
          <w:i/>
          <w:iCs/>
          <w:spacing w:val="-2"/>
          <w:sz w:val="18"/>
          <w:szCs w:val="18"/>
        </w:rPr>
        <w:t xml:space="preserve"> </w:t>
      </w:r>
      <w:r w:rsidRPr="00994095">
        <w:rPr>
          <w:rFonts w:ascii="Arial" w:hAnsi="Arial" w:cs="Arial"/>
          <w:i/>
          <w:iCs/>
          <w:spacing w:val="-4"/>
          <w:sz w:val="18"/>
          <w:szCs w:val="18"/>
        </w:rPr>
        <w:t>0.001</w:t>
      </w:r>
    </w:p>
    <w:p w14:paraId="4EF8857E" w14:textId="77777777" w:rsidR="00712765" w:rsidRPr="00994095" w:rsidRDefault="00712765" w:rsidP="00712765">
      <w:pPr>
        <w:spacing w:line="360" w:lineRule="auto"/>
        <w:jc w:val="both"/>
        <w:rPr>
          <w:rFonts w:ascii="Arial" w:hAnsi="Arial" w:cs="Arial"/>
          <w:sz w:val="22"/>
          <w:szCs w:val="22"/>
        </w:rPr>
      </w:pPr>
      <w:r w:rsidRPr="00994095">
        <w:rPr>
          <w:rFonts w:ascii="Arial" w:hAnsi="Arial" w:cs="Arial"/>
          <w:b/>
          <w:bCs/>
          <w:sz w:val="22"/>
          <w:szCs w:val="22"/>
        </w:rPr>
        <w:t>3.4 TBBPA-DHEE</w:t>
      </w:r>
      <w:r w:rsidRPr="00994095">
        <w:rPr>
          <w:rFonts w:ascii="Arial" w:hAnsi="Arial" w:cs="Arial"/>
          <w:sz w:val="22"/>
          <w:szCs w:val="22"/>
        </w:rPr>
        <w:t xml:space="preserve"> </w:t>
      </w:r>
      <w:r w:rsidRPr="00994095">
        <w:rPr>
          <w:rFonts w:ascii="Arial" w:hAnsi="Arial" w:cs="Arial"/>
          <w:b/>
          <w:bCs/>
          <w:sz w:val="22"/>
          <w:szCs w:val="22"/>
        </w:rPr>
        <w:t>altered the light-dark preference test in zebrafish</w:t>
      </w:r>
    </w:p>
    <w:p w14:paraId="51C9CCDA" w14:textId="6B2F741E" w:rsidR="006B7E30" w:rsidRDefault="006B7E30" w:rsidP="008876B8">
      <w:pPr>
        <w:spacing w:line="360" w:lineRule="auto"/>
        <w:jc w:val="both"/>
        <w:rPr>
          <w:rFonts w:ascii="Arial" w:hAnsi="Arial" w:cs="Arial"/>
          <w:lang w:val="en-IN"/>
        </w:rPr>
      </w:pPr>
      <w:r w:rsidRPr="00994095">
        <w:rPr>
          <w:rFonts w:ascii="Arial" w:hAnsi="Arial" w:cs="Arial"/>
          <w:noProof/>
          <w:szCs w:val="24"/>
        </w:rPr>
        <w:drawing>
          <wp:anchor distT="0" distB="0" distL="114300" distR="114300" simplePos="0" relativeHeight="252219392" behindDoc="0" locked="0" layoutInCell="1" allowOverlap="1" wp14:anchorId="6065109F" wp14:editId="71C844CF">
            <wp:simplePos x="0" y="0"/>
            <wp:positionH relativeFrom="margin">
              <wp:align>left</wp:align>
            </wp:positionH>
            <wp:positionV relativeFrom="paragraph">
              <wp:posOffset>4363085</wp:posOffset>
            </wp:positionV>
            <wp:extent cx="2481580" cy="2214880"/>
            <wp:effectExtent l="0" t="0" r="0" b="0"/>
            <wp:wrapSquare wrapText="bothSides"/>
            <wp:docPr id="102240022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2400227" name="Picture 1022400227"/>
                    <pic:cNvPicPr/>
                  </pic:nvPicPr>
                  <pic:blipFill>
                    <a:blip r:embed="rId30">
                      <a:extLst>
                        <a:ext uri="{28A0092B-C50C-407E-A947-70E740481C1C}">
                          <a14:useLocalDpi xmlns:a14="http://schemas.microsoft.com/office/drawing/2010/main" val="0"/>
                        </a:ext>
                      </a:extLst>
                    </a:blip>
                    <a:stretch>
                      <a:fillRect/>
                    </a:stretch>
                  </pic:blipFill>
                  <pic:spPr>
                    <a:xfrm>
                      <a:off x="0" y="0"/>
                      <a:ext cx="2481580" cy="2214880"/>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Cs w:val="24"/>
        </w:rPr>
        <w:drawing>
          <wp:anchor distT="0" distB="0" distL="114300" distR="114300" simplePos="0" relativeHeight="252080128" behindDoc="0" locked="0" layoutInCell="1" allowOverlap="1" wp14:anchorId="36B60CE8" wp14:editId="0EA21F36">
            <wp:simplePos x="0" y="0"/>
            <wp:positionH relativeFrom="margin">
              <wp:align>right</wp:align>
            </wp:positionH>
            <wp:positionV relativeFrom="paragraph">
              <wp:posOffset>2366645</wp:posOffset>
            </wp:positionV>
            <wp:extent cx="2737485" cy="2045970"/>
            <wp:effectExtent l="0" t="0" r="5715" b="0"/>
            <wp:wrapSquare wrapText="bothSides"/>
            <wp:docPr id="164193715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1937156" name="Picture 164193715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7485" cy="2045970"/>
                    </a:xfrm>
                    <a:prstGeom prst="rect">
                      <a:avLst/>
                    </a:prstGeom>
                  </pic:spPr>
                </pic:pic>
              </a:graphicData>
            </a:graphic>
            <wp14:sizeRelH relativeFrom="margin">
              <wp14:pctWidth>0</wp14:pctWidth>
            </wp14:sizeRelH>
            <wp14:sizeRelV relativeFrom="margin">
              <wp14:pctHeight>0</wp14:pctHeight>
            </wp14:sizeRelV>
          </wp:anchor>
        </w:drawing>
      </w:r>
      <w:r w:rsidR="00712765" w:rsidRPr="00994095">
        <w:rPr>
          <w:rFonts w:ascii="Arial" w:hAnsi="Arial" w:cs="Arial"/>
        </w:rPr>
        <w:t xml:space="preserve">The light–dark behavioral test demonstrated significant, dose-dependent behavioral changes following TBBPA exposure. Zebrafish exposed to high concentrations of TBBPA spent more time in the dark zone and exhibited an increased number of transitions toward the dark compartment compared to the control and DMSO groups (Fig. 4A, 4B). Similar, though less pronounced, effects were observed in the medium- and low-dose TBBPA groups, supporting a concentration-dependent response. </w:t>
      </w:r>
      <w:r w:rsidR="00712765" w:rsidRPr="00994095">
        <w:rPr>
          <w:rFonts w:ascii="Arial" w:hAnsi="Arial" w:cs="Arial"/>
          <w:lang w:val="en-IN"/>
        </w:rPr>
        <w:t xml:space="preserve">Consistent with these findings, the dark zone preference index was significantly increased in the TBBPA-treated groups, with the highest values observed in the high-dose group, followed by the medium- and low-dose groups </w:t>
      </w:r>
      <w:r w:rsidR="00712765" w:rsidRPr="00994095">
        <w:rPr>
          <w:rFonts w:ascii="Arial" w:hAnsi="Arial" w:cs="Arial"/>
        </w:rPr>
        <w:t xml:space="preserve">(Fig. </w:t>
      </w:r>
      <w:r w:rsidR="008876B8" w:rsidRPr="00994095">
        <w:rPr>
          <w:rFonts w:ascii="Arial" w:hAnsi="Arial" w:cs="Arial"/>
        </w:rPr>
        <w:t>4C)</w:t>
      </w:r>
      <w:r w:rsidR="008876B8" w:rsidRPr="00994095">
        <w:rPr>
          <w:rFonts w:ascii="Arial" w:hAnsi="Arial" w:cs="Arial"/>
          <w:lang w:val="en-IN"/>
        </w:rPr>
        <w:t>. In contrast, control and DMSO-treated zebrafish predominantly remained in the light zone, exhibiting fewer transitions into the dark compartment, which is indicative of normal exploratory behaviour Table 3.</w:t>
      </w:r>
    </w:p>
    <w:p w14:paraId="17F748DF" w14:textId="77777777" w:rsidR="006B7E30" w:rsidRDefault="006B7E30" w:rsidP="006B7E30">
      <w:pPr>
        <w:spacing w:line="360" w:lineRule="auto"/>
        <w:jc w:val="both"/>
        <w:rPr>
          <w:rFonts w:ascii="Arial" w:hAnsi="Arial" w:cs="Arial"/>
          <w:lang w:val="en-IN"/>
        </w:rPr>
      </w:pPr>
      <w:r w:rsidRPr="00994095">
        <w:rPr>
          <w:rFonts w:ascii="Arial" w:hAnsi="Arial" w:cs="Arial"/>
          <w:noProof/>
          <w:szCs w:val="24"/>
        </w:rPr>
        <w:drawing>
          <wp:anchor distT="0" distB="0" distL="114300" distR="114300" simplePos="0" relativeHeight="252076032" behindDoc="0" locked="0" layoutInCell="1" allowOverlap="1" wp14:anchorId="4982D9C8" wp14:editId="0AFFB3D1">
            <wp:simplePos x="0" y="0"/>
            <wp:positionH relativeFrom="margin">
              <wp:posOffset>-38372</wp:posOffset>
            </wp:positionH>
            <wp:positionV relativeFrom="paragraph">
              <wp:posOffset>76381</wp:posOffset>
            </wp:positionV>
            <wp:extent cx="2476500" cy="1850390"/>
            <wp:effectExtent l="0" t="0" r="0" b="0"/>
            <wp:wrapSquare wrapText="bothSides"/>
            <wp:docPr id="155883913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695367" name="Picture 112669536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6500" cy="1850390"/>
                    </a:xfrm>
                    <a:prstGeom prst="rect">
                      <a:avLst/>
                    </a:prstGeom>
                  </pic:spPr>
                </pic:pic>
              </a:graphicData>
            </a:graphic>
            <wp14:sizeRelH relativeFrom="margin">
              <wp14:pctWidth>0</wp14:pctWidth>
            </wp14:sizeRelH>
            <wp14:sizeRelV relativeFrom="margin">
              <wp14:pctHeight>0</wp14:pctHeight>
            </wp14:sizeRelV>
          </wp:anchor>
        </w:drawing>
      </w:r>
    </w:p>
    <w:p w14:paraId="4957BD9D" w14:textId="77777777" w:rsidR="006B7E30" w:rsidRDefault="006B7E30" w:rsidP="006B7E30">
      <w:pPr>
        <w:spacing w:line="360" w:lineRule="auto"/>
        <w:jc w:val="both"/>
        <w:rPr>
          <w:rFonts w:ascii="Arial" w:hAnsi="Arial" w:cs="Arial"/>
          <w:lang w:val="en-IN"/>
        </w:rPr>
      </w:pPr>
    </w:p>
    <w:p w14:paraId="122B8785" w14:textId="77777777" w:rsidR="006B7E30" w:rsidRDefault="006B7E30" w:rsidP="006B7E30">
      <w:pPr>
        <w:spacing w:line="360" w:lineRule="auto"/>
        <w:jc w:val="both"/>
        <w:rPr>
          <w:rFonts w:ascii="Arial" w:hAnsi="Arial" w:cs="Arial"/>
          <w:lang w:val="en-IN"/>
        </w:rPr>
      </w:pPr>
    </w:p>
    <w:p w14:paraId="0B8B4637" w14:textId="77777777" w:rsidR="006B7E30" w:rsidRDefault="006B7E30" w:rsidP="006B7E30">
      <w:pPr>
        <w:spacing w:line="360" w:lineRule="auto"/>
        <w:jc w:val="both"/>
        <w:rPr>
          <w:rFonts w:ascii="Arial" w:hAnsi="Arial" w:cs="Arial"/>
          <w:lang w:val="en-IN"/>
        </w:rPr>
      </w:pPr>
    </w:p>
    <w:p w14:paraId="4E8F88B7" w14:textId="77777777" w:rsidR="006B7E30" w:rsidRDefault="006B7E30" w:rsidP="006B7E30">
      <w:pPr>
        <w:spacing w:line="360" w:lineRule="auto"/>
        <w:jc w:val="both"/>
        <w:rPr>
          <w:rFonts w:ascii="Arial" w:hAnsi="Arial" w:cs="Arial"/>
          <w:lang w:val="en-IN"/>
        </w:rPr>
      </w:pPr>
    </w:p>
    <w:p w14:paraId="26DCB19D" w14:textId="77777777" w:rsidR="006B7E30" w:rsidRDefault="006B7E30" w:rsidP="006B7E30">
      <w:pPr>
        <w:spacing w:line="360" w:lineRule="auto"/>
        <w:jc w:val="both"/>
        <w:rPr>
          <w:rFonts w:ascii="Arial" w:hAnsi="Arial" w:cs="Arial"/>
          <w:lang w:val="en-IN"/>
        </w:rPr>
      </w:pPr>
    </w:p>
    <w:p w14:paraId="5EF1B298" w14:textId="77777777" w:rsidR="006B7E30" w:rsidRDefault="006B7E30" w:rsidP="006B7E30">
      <w:pPr>
        <w:spacing w:line="360" w:lineRule="auto"/>
        <w:jc w:val="both"/>
        <w:rPr>
          <w:rFonts w:ascii="Arial" w:hAnsi="Arial" w:cs="Arial"/>
          <w:lang w:val="en-IN"/>
        </w:rPr>
      </w:pPr>
    </w:p>
    <w:p w14:paraId="7583028E" w14:textId="77777777" w:rsidR="006B7E30" w:rsidRDefault="006B7E30" w:rsidP="006B7E30">
      <w:pPr>
        <w:spacing w:line="360" w:lineRule="auto"/>
        <w:jc w:val="both"/>
        <w:rPr>
          <w:rFonts w:ascii="Arial" w:hAnsi="Arial" w:cs="Arial"/>
          <w:lang w:val="en-IN"/>
        </w:rPr>
      </w:pPr>
    </w:p>
    <w:p w14:paraId="5A9CB7A7" w14:textId="77777777" w:rsidR="006B7E30" w:rsidRDefault="006B7E30" w:rsidP="006B7E30">
      <w:pPr>
        <w:spacing w:line="360" w:lineRule="auto"/>
        <w:jc w:val="both"/>
        <w:rPr>
          <w:rFonts w:ascii="Arial" w:hAnsi="Arial" w:cs="Arial"/>
          <w:lang w:val="en-IN"/>
        </w:rPr>
      </w:pPr>
    </w:p>
    <w:p w14:paraId="0949B727" w14:textId="77777777" w:rsidR="006B7E30" w:rsidRDefault="006B7E30" w:rsidP="006B7E30">
      <w:pPr>
        <w:spacing w:line="360" w:lineRule="auto"/>
        <w:jc w:val="both"/>
        <w:rPr>
          <w:rFonts w:ascii="Arial" w:hAnsi="Arial" w:cs="Arial"/>
          <w:lang w:val="en-IN"/>
        </w:rPr>
      </w:pPr>
    </w:p>
    <w:p w14:paraId="762864AC" w14:textId="45364F79" w:rsidR="00994095" w:rsidRPr="00941F21" w:rsidRDefault="00994095" w:rsidP="00941F21">
      <w:pPr>
        <w:spacing w:line="360" w:lineRule="auto"/>
        <w:jc w:val="both"/>
        <w:rPr>
          <w:rFonts w:ascii="Arial" w:hAnsi="Arial" w:cs="Arial"/>
          <w:lang w:val="en-IN"/>
        </w:rPr>
      </w:pPr>
      <w:r w:rsidRPr="00994095">
        <w:rPr>
          <w:rFonts w:ascii="Arial" w:hAnsi="Arial" w:cs="Arial"/>
          <w:b/>
          <w:bCs/>
          <w:lang w:val="en-IN"/>
        </w:rPr>
        <w:t xml:space="preserve">Fig. </w:t>
      </w:r>
      <w:r w:rsidR="00941F21">
        <w:rPr>
          <w:rFonts w:ascii="Arial" w:hAnsi="Arial" w:cs="Arial"/>
          <w:b/>
          <w:bCs/>
          <w:lang w:val="en-IN"/>
        </w:rPr>
        <w:t>4</w:t>
      </w:r>
      <w:r w:rsidRPr="00994095">
        <w:rPr>
          <w:rFonts w:ascii="Arial" w:hAnsi="Arial" w:cs="Arial"/>
          <w:b/>
          <w:bCs/>
          <w:lang w:val="en-IN"/>
        </w:rPr>
        <w:t xml:space="preserve">. Effect of TBBPA-DHEE in light dark test concerning these endpoints A) Time spent in light/dark zone, B) Transitions in light/dark zone, C) Preference index of dark </w:t>
      </w:r>
      <w:r w:rsidRPr="00994095">
        <w:rPr>
          <w:rFonts w:ascii="Arial" w:hAnsi="Arial" w:cs="Arial"/>
          <w:b/>
          <w:bCs/>
          <w:lang w:val="en-IN"/>
        </w:rPr>
        <w:lastRenderedPageBreak/>
        <w:t xml:space="preserve">zone. </w:t>
      </w:r>
      <w:r w:rsidRPr="00994095">
        <w:rPr>
          <w:rFonts w:ascii="Arial" w:hAnsi="Arial" w:cs="Arial"/>
          <w:i/>
          <w:iCs/>
          <w:sz w:val="18"/>
          <w:szCs w:val="18"/>
          <w:lang w:val="en-IN"/>
        </w:rPr>
        <w:t xml:space="preserve">Data expressed as mean ± SEM (n = 10 fish/group). p &lt; 0.05, **p &lt; 0.01; ***p&lt;0.001, compared to control group </w:t>
      </w:r>
    </w:p>
    <w:p w14:paraId="2A3F1A27" w14:textId="72F0FA5C" w:rsidR="00712765" w:rsidRPr="00994095" w:rsidRDefault="00712765" w:rsidP="00994095">
      <w:pPr>
        <w:spacing w:before="240"/>
        <w:rPr>
          <w:rFonts w:ascii="Arial" w:hAnsi="Arial" w:cs="Arial"/>
          <w:lang w:val="en-IN"/>
        </w:rPr>
      </w:pPr>
      <w:r w:rsidRPr="00994095">
        <w:rPr>
          <w:rFonts w:ascii="Arial" w:hAnsi="Arial" w:cs="Arial"/>
          <w:b/>
        </w:rPr>
        <w:t>Table 3. Effect on different endpoints of light-dark test in adult zebrafish following exposure to TBBPA-DHEE</w:t>
      </w:r>
    </w:p>
    <w:tbl>
      <w:tblPr>
        <w:tblStyle w:val="TableGrid"/>
        <w:tblW w:w="10916" w:type="dxa"/>
        <w:tblInd w:w="-1356" w:type="dxa"/>
        <w:tblLayout w:type="fixed"/>
        <w:tblLook w:val="01E0" w:firstRow="1" w:lastRow="1" w:firstColumn="1" w:lastColumn="1" w:noHBand="0" w:noVBand="0"/>
      </w:tblPr>
      <w:tblGrid>
        <w:gridCol w:w="1560"/>
        <w:gridCol w:w="960"/>
        <w:gridCol w:w="741"/>
        <w:gridCol w:w="1000"/>
        <w:gridCol w:w="843"/>
        <w:gridCol w:w="992"/>
        <w:gridCol w:w="993"/>
        <w:gridCol w:w="992"/>
        <w:gridCol w:w="992"/>
        <w:gridCol w:w="851"/>
        <w:gridCol w:w="992"/>
      </w:tblGrid>
      <w:tr w:rsidR="00712765" w:rsidRPr="00994095" w14:paraId="4F1AD1F9" w14:textId="77777777" w:rsidTr="00712765">
        <w:trPr>
          <w:trHeight w:val="458"/>
        </w:trPr>
        <w:tc>
          <w:tcPr>
            <w:tcW w:w="1560" w:type="dxa"/>
          </w:tcPr>
          <w:p w14:paraId="41FF3F4F" w14:textId="77777777" w:rsidR="00712765" w:rsidRPr="00994095" w:rsidRDefault="00712765" w:rsidP="00284525">
            <w:pPr>
              <w:pStyle w:val="TableParagraph"/>
              <w:spacing w:line="228" w:lineRule="exact"/>
              <w:ind w:left="189" w:hanging="51"/>
              <w:rPr>
                <w:rFonts w:ascii="Arial" w:hAnsi="Arial" w:cs="Arial"/>
                <w:b/>
                <w:sz w:val="20"/>
                <w:szCs w:val="20"/>
              </w:rPr>
            </w:pPr>
            <w:r w:rsidRPr="00994095">
              <w:rPr>
                <w:rFonts w:ascii="Arial" w:hAnsi="Arial" w:cs="Arial"/>
                <w:b/>
                <w:spacing w:val="-2"/>
                <w:sz w:val="20"/>
                <w:szCs w:val="20"/>
              </w:rPr>
              <w:t>Behavioral endpoints</w:t>
            </w:r>
          </w:p>
        </w:tc>
        <w:tc>
          <w:tcPr>
            <w:tcW w:w="1701" w:type="dxa"/>
            <w:gridSpan w:val="2"/>
          </w:tcPr>
          <w:p w14:paraId="782C9CFA" w14:textId="77777777" w:rsidR="00712765" w:rsidRPr="00994095" w:rsidRDefault="00712765" w:rsidP="00284525">
            <w:pPr>
              <w:pStyle w:val="TableParagraph"/>
              <w:ind w:left="459"/>
              <w:rPr>
                <w:rFonts w:ascii="Arial" w:hAnsi="Arial" w:cs="Arial"/>
                <w:b/>
                <w:sz w:val="20"/>
                <w:szCs w:val="20"/>
              </w:rPr>
            </w:pPr>
            <w:r w:rsidRPr="00994095">
              <w:rPr>
                <w:rFonts w:ascii="Arial" w:hAnsi="Arial" w:cs="Arial"/>
                <w:b/>
                <w:spacing w:val="-2"/>
                <w:sz w:val="20"/>
                <w:szCs w:val="20"/>
              </w:rPr>
              <w:t>Control</w:t>
            </w:r>
          </w:p>
        </w:tc>
        <w:tc>
          <w:tcPr>
            <w:tcW w:w="1843" w:type="dxa"/>
            <w:gridSpan w:val="2"/>
          </w:tcPr>
          <w:p w14:paraId="628F1682" w14:textId="77777777" w:rsidR="00712765" w:rsidRPr="00994095" w:rsidRDefault="00712765" w:rsidP="00284525">
            <w:pPr>
              <w:pStyle w:val="TableParagraph"/>
              <w:ind w:left="150"/>
              <w:rPr>
                <w:rFonts w:ascii="Arial" w:hAnsi="Arial" w:cs="Arial"/>
                <w:b/>
                <w:sz w:val="20"/>
                <w:szCs w:val="20"/>
              </w:rPr>
            </w:pPr>
            <w:r w:rsidRPr="00994095">
              <w:rPr>
                <w:rFonts w:ascii="Arial" w:hAnsi="Arial" w:cs="Arial"/>
                <w:b/>
                <w:sz w:val="20"/>
                <w:szCs w:val="20"/>
              </w:rPr>
              <w:t>DMSO</w:t>
            </w:r>
            <w:r w:rsidRPr="00994095">
              <w:rPr>
                <w:rFonts w:ascii="Arial" w:hAnsi="Arial" w:cs="Arial"/>
                <w:b/>
                <w:spacing w:val="-7"/>
                <w:sz w:val="20"/>
                <w:szCs w:val="20"/>
              </w:rPr>
              <w:t xml:space="preserve"> </w:t>
            </w:r>
            <w:r w:rsidRPr="00994095">
              <w:rPr>
                <w:rFonts w:ascii="Arial" w:hAnsi="Arial" w:cs="Arial"/>
                <w:b/>
                <w:spacing w:val="-2"/>
                <w:sz w:val="20"/>
                <w:szCs w:val="20"/>
              </w:rPr>
              <w:t>control</w:t>
            </w:r>
          </w:p>
        </w:tc>
        <w:tc>
          <w:tcPr>
            <w:tcW w:w="1985" w:type="dxa"/>
            <w:gridSpan w:val="2"/>
          </w:tcPr>
          <w:p w14:paraId="265F6473" w14:textId="77777777" w:rsidR="00712765" w:rsidRPr="00994095" w:rsidRDefault="00712765" w:rsidP="00284525">
            <w:pPr>
              <w:pStyle w:val="TableParagraph"/>
              <w:ind w:left="463"/>
              <w:rPr>
                <w:rFonts w:ascii="Arial" w:hAnsi="Arial" w:cs="Arial"/>
                <w:b/>
                <w:sz w:val="20"/>
                <w:szCs w:val="20"/>
              </w:rPr>
            </w:pPr>
            <w:r w:rsidRPr="00994095">
              <w:rPr>
                <w:rFonts w:ascii="Arial" w:hAnsi="Arial" w:cs="Arial"/>
                <w:b/>
                <w:sz w:val="20"/>
                <w:szCs w:val="20"/>
              </w:rPr>
              <w:t>Low</w:t>
            </w:r>
            <w:r w:rsidRPr="00994095">
              <w:rPr>
                <w:rFonts w:ascii="Arial" w:hAnsi="Arial" w:cs="Arial"/>
                <w:b/>
                <w:spacing w:val="-4"/>
                <w:sz w:val="20"/>
                <w:szCs w:val="20"/>
              </w:rPr>
              <w:t xml:space="preserve"> Dose</w:t>
            </w:r>
          </w:p>
        </w:tc>
        <w:tc>
          <w:tcPr>
            <w:tcW w:w="1984" w:type="dxa"/>
            <w:gridSpan w:val="2"/>
          </w:tcPr>
          <w:p w14:paraId="349D66D8" w14:textId="77777777" w:rsidR="00712765" w:rsidRPr="00994095" w:rsidRDefault="00712765" w:rsidP="00284525">
            <w:pPr>
              <w:pStyle w:val="TableParagraph"/>
              <w:ind w:left="194"/>
              <w:rPr>
                <w:rFonts w:ascii="Arial" w:hAnsi="Arial" w:cs="Arial"/>
                <w:b/>
                <w:sz w:val="20"/>
                <w:szCs w:val="20"/>
              </w:rPr>
            </w:pPr>
            <w:r w:rsidRPr="00994095">
              <w:rPr>
                <w:rFonts w:ascii="Arial" w:hAnsi="Arial" w:cs="Arial"/>
                <w:b/>
                <w:sz w:val="20"/>
                <w:szCs w:val="20"/>
              </w:rPr>
              <w:t>Medium</w:t>
            </w:r>
            <w:r w:rsidRPr="00994095">
              <w:rPr>
                <w:rFonts w:ascii="Arial" w:hAnsi="Arial" w:cs="Arial"/>
                <w:b/>
                <w:spacing w:val="-8"/>
                <w:sz w:val="20"/>
                <w:szCs w:val="20"/>
              </w:rPr>
              <w:t xml:space="preserve"> </w:t>
            </w:r>
            <w:r w:rsidRPr="00994095">
              <w:rPr>
                <w:rFonts w:ascii="Arial" w:hAnsi="Arial" w:cs="Arial"/>
                <w:b/>
                <w:spacing w:val="-4"/>
                <w:sz w:val="20"/>
                <w:szCs w:val="20"/>
              </w:rPr>
              <w:t>Dose</w:t>
            </w:r>
          </w:p>
        </w:tc>
        <w:tc>
          <w:tcPr>
            <w:tcW w:w="1843" w:type="dxa"/>
            <w:gridSpan w:val="2"/>
          </w:tcPr>
          <w:p w14:paraId="157F48DC" w14:textId="77777777" w:rsidR="00712765" w:rsidRPr="00994095" w:rsidRDefault="00712765" w:rsidP="00284525">
            <w:pPr>
              <w:pStyle w:val="TableParagraph"/>
              <w:ind w:left="268"/>
              <w:rPr>
                <w:rFonts w:ascii="Arial" w:hAnsi="Arial" w:cs="Arial"/>
                <w:b/>
                <w:sz w:val="20"/>
                <w:szCs w:val="20"/>
              </w:rPr>
            </w:pPr>
            <w:r w:rsidRPr="00994095">
              <w:rPr>
                <w:rFonts w:ascii="Arial" w:hAnsi="Arial" w:cs="Arial"/>
                <w:b/>
                <w:sz w:val="20"/>
                <w:szCs w:val="20"/>
              </w:rPr>
              <w:t>High</w:t>
            </w:r>
            <w:r w:rsidRPr="00994095">
              <w:rPr>
                <w:rFonts w:ascii="Arial" w:hAnsi="Arial" w:cs="Arial"/>
                <w:b/>
                <w:spacing w:val="-6"/>
                <w:sz w:val="20"/>
                <w:szCs w:val="20"/>
              </w:rPr>
              <w:t xml:space="preserve"> </w:t>
            </w:r>
            <w:r w:rsidRPr="00994095">
              <w:rPr>
                <w:rFonts w:ascii="Arial" w:hAnsi="Arial" w:cs="Arial"/>
                <w:b/>
                <w:spacing w:val="-4"/>
                <w:sz w:val="20"/>
                <w:szCs w:val="20"/>
              </w:rPr>
              <w:t>Dose</w:t>
            </w:r>
          </w:p>
        </w:tc>
      </w:tr>
      <w:tr w:rsidR="00712765" w:rsidRPr="00994095" w14:paraId="31ECDE0F" w14:textId="77777777" w:rsidTr="00712765">
        <w:trPr>
          <w:trHeight w:val="230"/>
        </w:trPr>
        <w:tc>
          <w:tcPr>
            <w:tcW w:w="1560" w:type="dxa"/>
          </w:tcPr>
          <w:p w14:paraId="52F6242F" w14:textId="77777777" w:rsidR="00712765" w:rsidRPr="00994095" w:rsidRDefault="00712765" w:rsidP="00284525">
            <w:pPr>
              <w:pStyle w:val="TableParagraph"/>
              <w:rPr>
                <w:rFonts w:ascii="Arial" w:hAnsi="Arial" w:cs="Arial"/>
                <w:sz w:val="20"/>
                <w:szCs w:val="20"/>
              </w:rPr>
            </w:pPr>
          </w:p>
        </w:tc>
        <w:tc>
          <w:tcPr>
            <w:tcW w:w="960" w:type="dxa"/>
          </w:tcPr>
          <w:p w14:paraId="47D6FA09" w14:textId="77777777" w:rsidR="00712765" w:rsidRPr="00994095" w:rsidRDefault="00712765" w:rsidP="00284525">
            <w:pPr>
              <w:pStyle w:val="TableParagraph"/>
              <w:spacing w:line="210" w:lineRule="exact"/>
              <w:ind w:left="118"/>
              <w:rPr>
                <w:rFonts w:ascii="Arial" w:hAnsi="Arial" w:cs="Arial"/>
                <w:b/>
                <w:sz w:val="20"/>
                <w:szCs w:val="20"/>
              </w:rPr>
            </w:pPr>
            <w:r w:rsidRPr="00994095">
              <w:rPr>
                <w:rFonts w:ascii="Arial" w:hAnsi="Arial" w:cs="Arial"/>
                <w:b/>
                <w:spacing w:val="-2"/>
                <w:sz w:val="20"/>
                <w:szCs w:val="20"/>
              </w:rPr>
              <w:t>Light</w:t>
            </w:r>
          </w:p>
        </w:tc>
        <w:tc>
          <w:tcPr>
            <w:tcW w:w="741" w:type="dxa"/>
          </w:tcPr>
          <w:p w14:paraId="1D4318BE" w14:textId="77777777" w:rsidR="00712765" w:rsidRPr="00994095" w:rsidRDefault="00712765" w:rsidP="00284525">
            <w:pPr>
              <w:pStyle w:val="TableParagraph"/>
              <w:spacing w:line="210" w:lineRule="exact"/>
              <w:ind w:left="83"/>
              <w:jc w:val="center"/>
              <w:rPr>
                <w:rFonts w:ascii="Arial" w:hAnsi="Arial" w:cs="Arial"/>
                <w:b/>
                <w:sz w:val="20"/>
                <w:szCs w:val="20"/>
              </w:rPr>
            </w:pPr>
            <w:r w:rsidRPr="00994095">
              <w:rPr>
                <w:rFonts w:ascii="Arial" w:hAnsi="Arial" w:cs="Arial"/>
                <w:b/>
                <w:spacing w:val="-4"/>
                <w:sz w:val="20"/>
                <w:szCs w:val="20"/>
              </w:rPr>
              <w:t>Dark</w:t>
            </w:r>
          </w:p>
        </w:tc>
        <w:tc>
          <w:tcPr>
            <w:tcW w:w="1000" w:type="dxa"/>
          </w:tcPr>
          <w:p w14:paraId="3218F2F6" w14:textId="77777777" w:rsidR="00712765" w:rsidRPr="00994095" w:rsidRDefault="00712765" w:rsidP="00284525">
            <w:pPr>
              <w:pStyle w:val="TableParagraph"/>
              <w:spacing w:line="210" w:lineRule="exact"/>
              <w:ind w:left="152"/>
              <w:rPr>
                <w:rFonts w:ascii="Arial" w:hAnsi="Arial" w:cs="Arial"/>
                <w:b/>
                <w:sz w:val="20"/>
                <w:szCs w:val="20"/>
              </w:rPr>
            </w:pPr>
            <w:r w:rsidRPr="00994095">
              <w:rPr>
                <w:rFonts w:ascii="Arial" w:hAnsi="Arial" w:cs="Arial"/>
                <w:b/>
                <w:spacing w:val="-2"/>
                <w:sz w:val="20"/>
                <w:szCs w:val="20"/>
              </w:rPr>
              <w:t>Light</w:t>
            </w:r>
          </w:p>
        </w:tc>
        <w:tc>
          <w:tcPr>
            <w:tcW w:w="843" w:type="dxa"/>
          </w:tcPr>
          <w:p w14:paraId="022D9B37" w14:textId="77777777" w:rsidR="00712765" w:rsidRPr="00994095" w:rsidRDefault="00712765" w:rsidP="00284525">
            <w:pPr>
              <w:pStyle w:val="TableParagraph"/>
              <w:spacing w:line="210" w:lineRule="exact"/>
              <w:ind w:left="166"/>
              <w:rPr>
                <w:rFonts w:ascii="Arial" w:hAnsi="Arial" w:cs="Arial"/>
                <w:b/>
                <w:sz w:val="20"/>
                <w:szCs w:val="20"/>
              </w:rPr>
            </w:pPr>
            <w:r w:rsidRPr="00994095">
              <w:rPr>
                <w:rFonts w:ascii="Arial" w:hAnsi="Arial" w:cs="Arial"/>
                <w:b/>
                <w:spacing w:val="-4"/>
                <w:sz w:val="20"/>
                <w:szCs w:val="20"/>
              </w:rPr>
              <w:t>Dark</w:t>
            </w:r>
          </w:p>
        </w:tc>
        <w:tc>
          <w:tcPr>
            <w:tcW w:w="992" w:type="dxa"/>
          </w:tcPr>
          <w:p w14:paraId="2AA84A46" w14:textId="77777777" w:rsidR="00712765" w:rsidRPr="00994095" w:rsidRDefault="00712765" w:rsidP="00284525">
            <w:pPr>
              <w:pStyle w:val="TableParagraph"/>
              <w:spacing w:line="210" w:lineRule="exact"/>
              <w:ind w:left="206"/>
              <w:rPr>
                <w:rFonts w:ascii="Arial" w:hAnsi="Arial" w:cs="Arial"/>
                <w:b/>
                <w:sz w:val="20"/>
                <w:szCs w:val="20"/>
              </w:rPr>
            </w:pPr>
            <w:r w:rsidRPr="00994095">
              <w:rPr>
                <w:rFonts w:ascii="Arial" w:hAnsi="Arial" w:cs="Arial"/>
                <w:b/>
                <w:spacing w:val="-2"/>
                <w:sz w:val="20"/>
                <w:szCs w:val="20"/>
              </w:rPr>
              <w:t>Light</w:t>
            </w:r>
          </w:p>
        </w:tc>
        <w:tc>
          <w:tcPr>
            <w:tcW w:w="993" w:type="dxa"/>
          </w:tcPr>
          <w:p w14:paraId="1536293D" w14:textId="77777777" w:rsidR="00712765" w:rsidRPr="00994095" w:rsidRDefault="00712765" w:rsidP="00284525">
            <w:pPr>
              <w:pStyle w:val="TableParagraph"/>
              <w:spacing w:line="210" w:lineRule="exact"/>
              <w:ind w:left="218"/>
              <w:rPr>
                <w:rFonts w:ascii="Arial" w:hAnsi="Arial" w:cs="Arial"/>
                <w:b/>
                <w:sz w:val="20"/>
                <w:szCs w:val="20"/>
              </w:rPr>
            </w:pPr>
            <w:r w:rsidRPr="00994095">
              <w:rPr>
                <w:rFonts w:ascii="Arial" w:hAnsi="Arial" w:cs="Arial"/>
                <w:b/>
                <w:spacing w:val="-4"/>
                <w:sz w:val="20"/>
                <w:szCs w:val="20"/>
              </w:rPr>
              <w:t>Dark</w:t>
            </w:r>
          </w:p>
        </w:tc>
        <w:tc>
          <w:tcPr>
            <w:tcW w:w="992" w:type="dxa"/>
          </w:tcPr>
          <w:p w14:paraId="59D8D06A" w14:textId="77777777" w:rsidR="00712765" w:rsidRPr="00994095" w:rsidRDefault="00712765" w:rsidP="00284525">
            <w:pPr>
              <w:pStyle w:val="TableParagraph"/>
              <w:spacing w:line="210" w:lineRule="exact"/>
              <w:ind w:left="165"/>
              <w:rPr>
                <w:rFonts w:ascii="Arial" w:hAnsi="Arial" w:cs="Arial"/>
                <w:b/>
                <w:sz w:val="20"/>
                <w:szCs w:val="20"/>
              </w:rPr>
            </w:pPr>
            <w:r w:rsidRPr="00994095">
              <w:rPr>
                <w:rFonts w:ascii="Arial" w:hAnsi="Arial" w:cs="Arial"/>
                <w:b/>
                <w:spacing w:val="-2"/>
                <w:sz w:val="20"/>
                <w:szCs w:val="20"/>
              </w:rPr>
              <w:t>Light</w:t>
            </w:r>
          </w:p>
        </w:tc>
        <w:tc>
          <w:tcPr>
            <w:tcW w:w="992" w:type="dxa"/>
          </w:tcPr>
          <w:p w14:paraId="6DC068BE" w14:textId="77777777" w:rsidR="00712765" w:rsidRPr="00994095" w:rsidRDefault="00712765" w:rsidP="00284525">
            <w:pPr>
              <w:pStyle w:val="TableParagraph"/>
              <w:spacing w:line="210" w:lineRule="exact"/>
              <w:ind w:left="167"/>
              <w:rPr>
                <w:rFonts w:ascii="Arial" w:hAnsi="Arial" w:cs="Arial"/>
                <w:b/>
                <w:sz w:val="20"/>
                <w:szCs w:val="20"/>
              </w:rPr>
            </w:pPr>
            <w:r w:rsidRPr="00994095">
              <w:rPr>
                <w:rFonts w:ascii="Arial" w:hAnsi="Arial" w:cs="Arial"/>
                <w:b/>
                <w:spacing w:val="-4"/>
                <w:sz w:val="20"/>
                <w:szCs w:val="20"/>
              </w:rPr>
              <w:t>Dark</w:t>
            </w:r>
          </w:p>
        </w:tc>
        <w:tc>
          <w:tcPr>
            <w:tcW w:w="851" w:type="dxa"/>
          </w:tcPr>
          <w:p w14:paraId="097F32FE" w14:textId="77777777" w:rsidR="00712765" w:rsidRPr="00994095" w:rsidRDefault="00712765" w:rsidP="00284525">
            <w:pPr>
              <w:pStyle w:val="TableParagraph"/>
              <w:spacing w:line="210" w:lineRule="exact"/>
              <w:ind w:left="136"/>
              <w:rPr>
                <w:rFonts w:ascii="Arial" w:hAnsi="Arial" w:cs="Arial"/>
                <w:b/>
                <w:sz w:val="20"/>
                <w:szCs w:val="20"/>
              </w:rPr>
            </w:pPr>
            <w:r w:rsidRPr="00994095">
              <w:rPr>
                <w:rFonts w:ascii="Arial" w:hAnsi="Arial" w:cs="Arial"/>
                <w:b/>
                <w:spacing w:val="-2"/>
                <w:sz w:val="20"/>
                <w:szCs w:val="20"/>
              </w:rPr>
              <w:t>Light</w:t>
            </w:r>
          </w:p>
        </w:tc>
        <w:tc>
          <w:tcPr>
            <w:tcW w:w="992" w:type="dxa"/>
          </w:tcPr>
          <w:p w14:paraId="6FD3F863" w14:textId="77777777" w:rsidR="00712765" w:rsidRPr="00994095" w:rsidRDefault="00712765" w:rsidP="00284525">
            <w:pPr>
              <w:pStyle w:val="TableParagraph"/>
              <w:spacing w:line="210" w:lineRule="exact"/>
              <w:ind w:left="142"/>
              <w:rPr>
                <w:rFonts w:ascii="Arial" w:hAnsi="Arial" w:cs="Arial"/>
                <w:sz w:val="20"/>
                <w:szCs w:val="20"/>
              </w:rPr>
            </w:pPr>
            <w:r w:rsidRPr="00994095">
              <w:rPr>
                <w:rFonts w:ascii="Arial" w:hAnsi="Arial" w:cs="Arial"/>
                <w:spacing w:val="-4"/>
                <w:sz w:val="20"/>
                <w:szCs w:val="20"/>
              </w:rPr>
              <w:t>Dark</w:t>
            </w:r>
          </w:p>
        </w:tc>
      </w:tr>
      <w:tr w:rsidR="00712765" w:rsidRPr="00994095" w14:paraId="2A271E23" w14:textId="77777777" w:rsidTr="00712765">
        <w:trPr>
          <w:trHeight w:val="787"/>
        </w:trPr>
        <w:tc>
          <w:tcPr>
            <w:tcW w:w="1560" w:type="dxa"/>
          </w:tcPr>
          <w:p w14:paraId="670FB519" w14:textId="77777777" w:rsidR="00712765" w:rsidRPr="00994095" w:rsidRDefault="00712765" w:rsidP="00284525">
            <w:pPr>
              <w:pStyle w:val="TableParagraph"/>
              <w:ind w:right="287"/>
              <w:rPr>
                <w:rFonts w:ascii="Arial" w:hAnsi="Arial" w:cs="Arial"/>
                <w:b/>
                <w:sz w:val="20"/>
                <w:szCs w:val="20"/>
              </w:rPr>
            </w:pPr>
            <w:r w:rsidRPr="00994095">
              <w:rPr>
                <w:rFonts w:ascii="Arial" w:hAnsi="Arial" w:cs="Arial"/>
                <w:b/>
                <w:spacing w:val="-4"/>
                <w:sz w:val="20"/>
                <w:szCs w:val="20"/>
              </w:rPr>
              <w:t xml:space="preserve">Time </w:t>
            </w:r>
            <w:r w:rsidRPr="00994095">
              <w:rPr>
                <w:rFonts w:ascii="Arial" w:hAnsi="Arial" w:cs="Arial"/>
                <w:b/>
                <w:sz w:val="20"/>
                <w:szCs w:val="20"/>
              </w:rPr>
              <w:t>Spent</w:t>
            </w:r>
            <w:r w:rsidRPr="00994095">
              <w:rPr>
                <w:rFonts w:ascii="Arial" w:hAnsi="Arial" w:cs="Arial"/>
                <w:b/>
                <w:spacing w:val="-13"/>
                <w:sz w:val="20"/>
                <w:szCs w:val="20"/>
              </w:rPr>
              <w:t xml:space="preserve"> </w:t>
            </w:r>
            <w:r w:rsidRPr="00994095">
              <w:rPr>
                <w:rFonts w:ascii="Arial" w:hAnsi="Arial" w:cs="Arial"/>
                <w:b/>
                <w:sz w:val="20"/>
                <w:szCs w:val="20"/>
              </w:rPr>
              <w:t xml:space="preserve">(in </w:t>
            </w:r>
            <w:r w:rsidRPr="00994095">
              <w:rPr>
                <w:rFonts w:ascii="Arial" w:hAnsi="Arial" w:cs="Arial"/>
                <w:b/>
                <w:spacing w:val="-4"/>
                <w:sz w:val="20"/>
                <w:szCs w:val="20"/>
              </w:rPr>
              <w:t>sec)</w:t>
            </w:r>
          </w:p>
        </w:tc>
        <w:tc>
          <w:tcPr>
            <w:tcW w:w="960" w:type="dxa"/>
          </w:tcPr>
          <w:p w14:paraId="60A35D24"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207.61±23.97</w:t>
            </w:r>
          </w:p>
        </w:tc>
        <w:tc>
          <w:tcPr>
            <w:tcW w:w="741" w:type="dxa"/>
          </w:tcPr>
          <w:p w14:paraId="76391ED8" w14:textId="77777777" w:rsidR="00712765" w:rsidRPr="00994095" w:rsidRDefault="00712765" w:rsidP="00284525">
            <w:pPr>
              <w:pStyle w:val="TableParagraph"/>
              <w:rPr>
                <w:rFonts w:ascii="Arial" w:hAnsi="Arial" w:cs="Arial"/>
                <w:spacing w:val="-2"/>
                <w:sz w:val="20"/>
                <w:szCs w:val="20"/>
              </w:rPr>
            </w:pPr>
            <w:r w:rsidRPr="00994095">
              <w:rPr>
                <w:rFonts w:ascii="Arial" w:hAnsi="Arial" w:cs="Arial"/>
                <w:spacing w:val="-2"/>
                <w:sz w:val="20"/>
                <w:szCs w:val="20"/>
              </w:rPr>
              <w:t>152.39± 7.23</w:t>
            </w:r>
          </w:p>
        </w:tc>
        <w:tc>
          <w:tcPr>
            <w:tcW w:w="1000" w:type="dxa"/>
          </w:tcPr>
          <w:p w14:paraId="08612C79"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198.75±</w:t>
            </w:r>
          </w:p>
          <w:p w14:paraId="12F3D5EE" w14:textId="77777777" w:rsidR="00712765" w:rsidRPr="00994095" w:rsidRDefault="00712765" w:rsidP="00284525">
            <w:pPr>
              <w:pStyle w:val="TableParagraph"/>
              <w:ind w:left="159"/>
              <w:rPr>
                <w:rFonts w:ascii="Arial" w:hAnsi="Arial" w:cs="Arial"/>
                <w:sz w:val="20"/>
                <w:szCs w:val="20"/>
              </w:rPr>
            </w:pPr>
            <w:r w:rsidRPr="00994095">
              <w:rPr>
                <w:rFonts w:ascii="Arial" w:hAnsi="Arial" w:cs="Arial"/>
                <w:spacing w:val="-2"/>
                <w:sz w:val="20"/>
                <w:szCs w:val="20"/>
              </w:rPr>
              <w:t>30.53</w:t>
            </w:r>
          </w:p>
        </w:tc>
        <w:tc>
          <w:tcPr>
            <w:tcW w:w="843" w:type="dxa"/>
          </w:tcPr>
          <w:p w14:paraId="2F62D93D"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161.25±4.06</w:t>
            </w:r>
            <w:r w:rsidRPr="00994095">
              <w:rPr>
                <w:rFonts w:ascii="Arial" w:hAnsi="Arial" w:cs="Arial"/>
                <w:b/>
                <w:spacing w:val="-2"/>
                <w:sz w:val="20"/>
                <w:szCs w:val="20"/>
                <w:vertAlign w:val="superscript"/>
              </w:rPr>
              <w:t>*</w:t>
            </w:r>
          </w:p>
        </w:tc>
        <w:tc>
          <w:tcPr>
            <w:tcW w:w="992" w:type="dxa"/>
          </w:tcPr>
          <w:p w14:paraId="7E34C176"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101.81±</w:t>
            </w:r>
          </w:p>
          <w:p w14:paraId="48EED6EF" w14:textId="77777777" w:rsidR="00712765" w:rsidRPr="00994095" w:rsidRDefault="00712765" w:rsidP="00284525">
            <w:pPr>
              <w:pStyle w:val="TableParagraph"/>
              <w:ind w:left="201"/>
              <w:rPr>
                <w:rFonts w:ascii="Arial" w:hAnsi="Arial" w:cs="Arial"/>
                <w:b/>
                <w:sz w:val="20"/>
                <w:szCs w:val="20"/>
              </w:rPr>
            </w:pPr>
            <w:r w:rsidRPr="00994095">
              <w:rPr>
                <w:rFonts w:ascii="Arial" w:hAnsi="Arial" w:cs="Arial"/>
                <w:spacing w:val="-2"/>
                <w:sz w:val="20"/>
                <w:szCs w:val="20"/>
              </w:rPr>
              <w:t>5.81</w:t>
            </w:r>
            <w:r w:rsidRPr="00994095">
              <w:rPr>
                <w:rFonts w:ascii="Arial" w:hAnsi="Arial" w:cs="Arial"/>
                <w:b/>
                <w:spacing w:val="-2"/>
                <w:sz w:val="20"/>
                <w:szCs w:val="20"/>
                <w:vertAlign w:val="superscript"/>
              </w:rPr>
              <w:t>**</w:t>
            </w:r>
          </w:p>
        </w:tc>
        <w:tc>
          <w:tcPr>
            <w:tcW w:w="993" w:type="dxa"/>
          </w:tcPr>
          <w:p w14:paraId="0DB86D76"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258.19±</w:t>
            </w:r>
          </w:p>
          <w:p w14:paraId="774C0B26" w14:textId="77777777" w:rsidR="00712765" w:rsidRPr="00994095" w:rsidRDefault="00712765" w:rsidP="00284525">
            <w:pPr>
              <w:pStyle w:val="TableParagraph"/>
              <w:ind w:left="182"/>
              <w:rPr>
                <w:rFonts w:ascii="Arial" w:hAnsi="Arial" w:cs="Arial"/>
                <w:b/>
                <w:sz w:val="20"/>
                <w:szCs w:val="20"/>
              </w:rPr>
            </w:pPr>
            <w:r w:rsidRPr="00994095">
              <w:rPr>
                <w:rFonts w:ascii="Arial" w:hAnsi="Arial" w:cs="Arial"/>
                <w:spacing w:val="-2"/>
                <w:sz w:val="20"/>
                <w:szCs w:val="20"/>
              </w:rPr>
              <w:t>18.98</w:t>
            </w:r>
            <w:r w:rsidRPr="00994095">
              <w:rPr>
                <w:rFonts w:ascii="Arial" w:hAnsi="Arial" w:cs="Arial"/>
                <w:b/>
                <w:spacing w:val="-2"/>
                <w:sz w:val="20"/>
                <w:szCs w:val="20"/>
                <w:vertAlign w:val="superscript"/>
              </w:rPr>
              <w:t>*</w:t>
            </w:r>
          </w:p>
        </w:tc>
        <w:tc>
          <w:tcPr>
            <w:tcW w:w="992" w:type="dxa"/>
          </w:tcPr>
          <w:p w14:paraId="3B54B55A"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 xml:space="preserve"> 70.93</w:t>
            </w:r>
            <w:r w:rsidRPr="00994095">
              <w:rPr>
                <w:rFonts w:ascii="Arial" w:hAnsi="Arial" w:cs="Arial"/>
                <w:spacing w:val="-10"/>
                <w:sz w:val="20"/>
                <w:szCs w:val="20"/>
              </w:rPr>
              <w:t>±</w:t>
            </w:r>
          </w:p>
          <w:p w14:paraId="3BBE23F9" w14:textId="77777777" w:rsidR="00712765" w:rsidRPr="00994095" w:rsidRDefault="00712765" w:rsidP="00284525">
            <w:pPr>
              <w:pStyle w:val="TableParagraph"/>
              <w:ind w:left="112"/>
              <w:rPr>
                <w:rFonts w:ascii="Arial" w:hAnsi="Arial" w:cs="Arial"/>
                <w:b/>
                <w:sz w:val="20"/>
                <w:szCs w:val="20"/>
              </w:rPr>
            </w:pPr>
            <w:r w:rsidRPr="00994095">
              <w:rPr>
                <w:rFonts w:ascii="Arial" w:hAnsi="Arial" w:cs="Arial"/>
                <w:spacing w:val="-2"/>
                <w:sz w:val="20"/>
                <w:szCs w:val="20"/>
              </w:rPr>
              <w:t>11.36</w:t>
            </w:r>
            <w:r w:rsidRPr="00994095">
              <w:rPr>
                <w:rFonts w:ascii="Arial" w:hAnsi="Arial" w:cs="Arial"/>
                <w:b/>
                <w:spacing w:val="-2"/>
                <w:sz w:val="20"/>
                <w:szCs w:val="20"/>
                <w:vertAlign w:val="superscript"/>
              </w:rPr>
              <w:t>**</w:t>
            </w:r>
          </w:p>
        </w:tc>
        <w:tc>
          <w:tcPr>
            <w:tcW w:w="992" w:type="dxa"/>
          </w:tcPr>
          <w:p w14:paraId="0876DEFA"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289.07</w:t>
            </w:r>
            <w:r w:rsidRPr="00994095">
              <w:rPr>
                <w:rFonts w:ascii="Arial" w:hAnsi="Arial" w:cs="Arial"/>
                <w:spacing w:val="-10"/>
                <w:sz w:val="20"/>
                <w:szCs w:val="20"/>
              </w:rPr>
              <w:t>±</w:t>
            </w:r>
          </w:p>
          <w:p w14:paraId="5354D64A" w14:textId="77777777" w:rsidR="00712765" w:rsidRPr="00994095" w:rsidRDefault="00712765" w:rsidP="00284525">
            <w:pPr>
              <w:pStyle w:val="TableParagraph"/>
              <w:ind w:left="181"/>
              <w:rPr>
                <w:rFonts w:ascii="Arial" w:hAnsi="Arial" w:cs="Arial"/>
                <w:b/>
                <w:sz w:val="20"/>
                <w:szCs w:val="20"/>
              </w:rPr>
            </w:pPr>
            <w:r w:rsidRPr="00994095">
              <w:rPr>
                <w:rFonts w:ascii="Arial" w:hAnsi="Arial" w:cs="Arial"/>
                <w:spacing w:val="-2"/>
                <w:sz w:val="20"/>
                <w:szCs w:val="20"/>
              </w:rPr>
              <w:t>8.66</w:t>
            </w:r>
            <w:r w:rsidRPr="00994095">
              <w:rPr>
                <w:rFonts w:ascii="Arial" w:hAnsi="Arial" w:cs="Arial"/>
                <w:b/>
                <w:spacing w:val="-2"/>
                <w:sz w:val="20"/>
                <w:szCs w:val="20"/>
                <w:vertAlign w:val="superscript"/>
              </w:rPr>
              <w:t>*</w:t>
            </w:r>
          </w:p>
        </w:tc>
        <w:tc>
          <w:tcPr>
            <w:tcW w:w="851" w:type="dxa"/>
          </w:tcPr>
          <w:p w14:paraId="78ADBAEF"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48.87</w:t>
            </w:r>
            <w:r w:rsidRPr="00994095">
              <w:rPr>
                <w:rFonts w:ascii="Arial" w:hAnsi="Arial" w:cs="Arial"/>
                <w:spacing w:val="-10"/>
                <w:sz w:val="20"/>
                <w:szCs w:val="20"/>
              </w:rPr>
              <w:t>±</w:t>
            </w:r>
            <w:r w:rsidRPr="00994095">
              <w:rPr>
                <w:rFonts w:ascii="Arial" w:hAnsi="Arial" w:cs="Arial"/>
                <w:spacing w:val="-2"/>
                <w:sz w:val="20"/>
                <w:szCs w:val="20"/>
              </w:rPr>
              <w:t>14.52</w:t>
            </w:r>
            <w:r w:rsidRPr="00994095">
              <w:rPr>
                <w:rFonts w:ascii="Arial" w:hAnsi="Arial" w:cs="Arial"/>
                <w:b/>
                <w:spacing w:val="-2"/>
                <w:sz w:val="20"/>
                <w:szCs w:val="20"/>
                <w:vertAlign w:val="superscript"/>
              </w:rPr>
              <w:t>*</w:t>
            </w:r>
          </w:p>
        </w:tc>
        <w:tc>
          <w:tcPr>
            <w:tcW w:w="992" w:type="dxa"/>
          </w:tcPr>
          <w:p w14:paraId="3BE94BCD"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311.13</w:t>
            </w:r>
            <w:r w:rsidRPr="00994095">
              <w:rPr>
                <w:rFonts w:ascii="Arial" w:hAnsi="Arial" w:cs="Arial"/>
                <w:spacing w:val="-10"/>
                <w:sz w:val="20"/>
                <w:szCs w:val="20"/>
              </w:rPr>
              <w:t>±</w:t>
            </w:r>
          </w:p>
          <w:p w14:paraId="000DBD63" w14:textId="77777777" w:rsidR="00712765" w:rsidRPr="00994095" w:rsidRDefault="00712765" w:rsidP="00284525">
            <w:pPr>
              <w:pStyle w:val="TableParagraph"/>
              <w:ind w:left="116"/>
              <w:rPr>
                <w:rFonts w:ascii="Arial" w:hAnsi="Arial" w:cs="Arial"/>
                <w:sz w:val="20"/>
                <w:szCs w:val="20"/>
              </w:rPr>
            </w:pPr>
            <w:r w:rsidRPr="00994095">
              <w:rPr>
                <w:rFonts w:ascii="Arial" w:hAnsi="Arial" w:cs="Arial"/>
                <w:spacing w:val="-2"/>
                <w:sz w:val="20"/>
                <w:szCs w:val="20"/>
              </w:rPr>
              <w:t>15.57</w:t>
            </w:r>
          </w:p>
        </w:tc>
      </w:tr>
      <w:tr w:rsidR="00712765" w:rsidRPr="00994095" w14:paraId="31BD6987" w14:textId="77777777" w:rsidTr="00712765">
        <w:trPr>
          <w:trHeight w:val="919"/>
        </w:trPr>
        <w:tc>
          <w:tcPr>
            <w:tcW w:w="1560" w:type="dxa"/>
          </w:tcPr>
          <w:p w14:paraId="39BBEDC6" w14:textId="77777777" w:rsidR="00712765" w:rsidRPr="00994095" w:rsidRDefault="00712765" w:rsidP="00284525">
            <w:pPr>
              <w:pStyle w:val="TableParagraph"/>
              <w:ind w:right="282"/>
              <w:jc w:val="both"/>
              <w:rPr>
                <w:rFonts w:ascii="Arial" w:hAnsi="Arial" w:cs="Arial"/>
                <w:b/>
                <w:spacing w:val="-2"/>
                <w:sz w:val="20"/>
                <w:szCs w:val="20"/>
              </w:rPr>
            </w:pPr>
            <w:r w:rsidRPr="00994095">
              <w:rPr>
                <w:rFonts w:ascii="Arial" w:hAnsi="Arial" w:cs="Arial"/>
                <w:b/>
                <w:spacing w:val="-4"/>
                <w:sz w:val="20"/>
                <w:szCs w:val="20"/>
              </w:rPr>
              <w:t xml:space="preserve">Transition </w:t>
            </w:r>
            <w:r w:rsidRPr="00994095">
              <w:rPr>
                <w:rFonts w:ascii="Arial" w:hAnsi="Arial" w:cs="Arial"/>
                <w:b/>
                <w:sz w:val="20"/>
                <w:szCs w:val="20"/>
              </w:rPr>
              <w:t>in</w:t>
            </w:r>
            <w:r w:rsidRPr="00994095">
              <w:rPr>
                <w:rFonts w:ascii="Arial" w:hAnsi="Arial" w:cs="Arial"/>
                <w:b/>
                <w:spacing w:val="-3"/>
                <w:sz w:val="20"/>
                <w:szCs w:val="20"/>
              </w:rPr>
              <w:t xml:space="preserve"> </w:t>
            </w:r>
            <w:r w:rsidRPr="00994095">
              <w:rPr>
                <w:rFonts w:ascii="Arial" w:hAnsi="Arial" w:cs="Arial"/>
                <w:b/>
                <w:sz w:val="20"/>
                <w:szCs w:val="20"/>
              </w:rPr>
              <w:t>light</w:t>
            </w:r>
            <w:r w:rsidRPr="00994095">
              <w:rPr>
                <w:rFonts w:ascii="Arial" w:hAnsi="Arial" w:cs="Arial"/>
                <w:b/>
                <w:spacing w:val="-2"/>
                <w:sz w:val="20"/>
                <w:szCs w:val="20"/>
              </w:rPr>
              <w:t xml:space="preserve"> </w:t>
            </w:r>
            <w:r w:rsidRPr="00994095">
              <w:rPr>
                <w:rFonts w:ascii="Arial" w:hAnsi="Arial" w:cs="Arial"/>
                <w:b/>
                <w:sz w:val="20"/>
                <w:szCs w:val="20"/>
              </w:rPr>
              <w:t>vs dark</w:t>
            </w:r>
            <w:r w:rsidRPr="00994095">
              <w:rPr>
                <w:rFonts w:ascii="Arial" w:hAnsi="Arial" w:cs="Arial"/>
                <w:b/>
                <w:spacing w:val="-6"/>
                <w:sz w:val="20"/>
                <w:szCs w:val="20"/>
              </w:rPr>
              <w:t xml:space="preserve"> </w:t>
            </w:r>
            <w:r w:rsidRPr="00994095">
              <w:rPr>
                <w:rFonts w:ascii="Arial" w:hAnsi="Arial" w:cs="Arial"/>
                <w:b/>
                <w:spacing w:val="-4"/>
                <w:sz w:val="20"/>
                <w:szCs w:val="20"/>
              </w:rPr>
              <w:t>zone</w:t>
            </w:r>
          </w:p>
        </w:tc>
        <w:tc>
          <w:tcPr>
            <w:tcW w:w="960" w:type="dxa"/>
          </w:tcPr>
          <w:p w14:paraId="799D89DC" w14:textId="77777777" w:rsidR="00712765" w:rsidRPr="00994095" w:rsidRDefault="00712765" w:rsidP="00284525">
            <w:pPr>
              <w:pStyle w:val="TableParagraph"/>
              <w:ind w:right="322"/>
              <w:rPr>
                <w:rFonts w:ascii="Arial" w:hAnsi="Arial" w:cs="Arial"/>
                <w:spacing w:val="-2"/>
                <w:sz w:val="20"/>
                <w:szCs w:val="20"/>
              </w:rPr>
            </w:pPr>
            <w:r w:rsidRPr="00994095">
              <w:rPr>
                <w:rFonts w:ascii="Arial" w:hAnsi="Arial" w:cs="Arial"/>
                <w:spacing w:val="-2"/>
                <w:sz w:val="20"/>
                <w:szCs w:val="20"/>
              </w:rPr>
              <w:t>23.6</w:t>
            </w:r>
            <w:r w:rsidRPr="00994095">
              <w:rPr>
                <w:rFonts w:ascii="Arial" w:hAnsi="Arial" w:cs="Arial"/>
                <w:spacing w:val="-10"/>
                <w:sz w:val="20"/>
                <w:szCs w:val="20"/>
              </w:rPr>
              <w:t>±</w:t>
            </w:r>
            <w:r w:rsidRPr="00994095">
              <w:rPr>
                <w:rFonts w:ascii="Arial" w:hAnsi="Arial" w:cs="Arial"/>
                <w:spacing w:val="-2"/>
                <w:sz w:val="20"/>
                <w:szCs w:val="20"/>
              </w:rPr>
              <w:t xml:space="preserve"> </w:t>
            </w:r>
            <w:r w:rsidRPr="00994095">
              <w:rPr>
                <w:rFonts w:ascii="Arial" w:hAnsi="Arial" w:cs="Arial"/>
                <w:spacing w:val="-4"/>
                <w:sz w:val="20"/>
                <w:szCs w:val="20"/>
              </w:rPr>
              <w:t>6.01</w:t>
            </w:r>
          </w:p>
        </w:tc>
        <w:tc>
          <w:tcPr>
            <w:tcW w:w="741" w:type="dxa"/>
          </w:tcPr>
          <w:p w14:paraId="2BBEC152"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26.33</w:t>
            </w:r>
            <w:r w:rsidRPr="00994095">
              <w:rPr>
                <w:rFonts w:ascii="Arial" w:hAnsi="Arial" w:cs="Arial"/>
                <w:spacing w:val="-3"/>
                <w:sz w:val="20"/>
                <w:szCs w:val="20"/>
              </w:rPr>
              <w:t xml:space="preserve"> </w:t>
            </w:r>
            <w:r w:rsidRPr="00994095">
              <w:rPr>
                <w:rFonts w:ascii="Arial" w:hAnsi="Arial" w:cs="Arial"/>
                <w:spacing w:val="-10"/>
                <w:sz w:val="20"/>
                <w:szCs w:val="20"/>
              </w:rPr>
              <w:t>±</w:t>
            </w:r>
            <w:r w:rsidRPr="00994095">
              <w:rPr>
                <w:rFonts w:ascii="Arial" w:hAnsi="Arial" w:cs="Arial"/>
                <w:spacing w:val="-4"/>
                <w:sz w:val="20"/>
                <w:szCs w:val="20"/>
              </w:rPr>
              <w:t>4.06</w:t>
            </w:r>
          </w:p>
        </w:tc>
        <w:tc>
          <w:tcPr>
            <w:tcW w:w="1000" w:type="dxa"/>
          </w:tcPr>
          <w:p w14:paraId="500B3F21"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25.33±</w:t>
            </w:r>
          </w:p>
          <w:p w14:paraId="5A81B4BF" w14:textId="77777777" w:rsidR="00712765" w:rsidRPr="00994095" w:rsidRDefault="00712765" w:rsidP="00284525">
            <w:pPr>
              <w:pStyle w:val="TableParagraph"/>
              <w:spacing w:before="1"/>
              <w:ind w:left="210"/>
              <w:rPr>
                <w:rFonts w:ascii="Arial" w:hAnsi="Arial" w:cs="Arial"/>
                <w:sz w:val="20"/>
                <w:szCs w:val="20"/>
              </w:rPr>
            </w:pPr>
            <w:r w:rsidRPr="00994095">
              <w:rPr>
                <w:rFonts w:ascii="Arial" w:hAnsi="Arial" w:cs="Arial"/>
                <w:spacing w:val="-4"/>
                <w:sz w:val="20"/>
                <w:szCs w:val="20"/>
              </w:rPr>
              <w:t>6.49</w:t>
            </w:r>
          </w:p>
        </w:tc>
        <w:tc>
          <w:tcPr>
            <w:tcW w:w="843" w:type="dxa"/>
          </w:tcPr>
          <w:p w14:paraId="3CFFE279" w14:textId="77777777" w:rsidR="00712765" w:rsidRPr="00994095" w:rsidRDefault="00712765" w:rsidP="00284525">
            <w:pPr>
              <w:pStyle w:val="TableParagraph"/>
              <w:rPr>
                <w:rFonts w:ascii="Arial" w:hAnsi="Arial" w:cs="Arial"/>
                <w:sz w:val="20"/>
                <w:szCs w:val="20"/>
              </w:rPr>
            </w:pPr>
            <w:r w:rsidRPr="00994095">
              <w:rPr>
                <w:rFonts w:ascii="Arial" w:hAnsi="Arial" w:cs="Arial"/>
                <w:spacing w:val="-5"/>
                <w:sz w:val="20"/>
                <w:szCs w:val="20"/>
              </w:rPr>
              <w:t>23±</w:t>
            </w:r>
            <w:r w:rsidRPr="00994095">
              <w:rPr>
                <w:rFonts w:ascii="Arial" w:hAnsi="Arial" w:cs="Arial"/>
                <w:sz w:val="20"/>
                <w:szCs w:val="20"/>
              </w:rPr>
              <w:t xml:space="preserve"> </w:t>
            </w:r>
            <w:r w:rsidRPr="00994095">
              <w:rPr>
                <w:rFonts w:ascii="Arial" w:hAnsi="Arial" w:cs="Arial"/>
                <w:spacing w:val="-2"/>
                <w:sz w:val="20"/>
                <w:szCs w:val="20"/>
              </w:rPr>
              <w:t>4.16</w:t>
            </w:r>
            <w:r w:rsidRPr="00994095">
              <w:rPr>
                <w:rFonts w:ascii="Arial" w:hAnsi="Arial" w:cs="Arial"/>
                <w:b/>
                <w:spacing w:val="-2"/>
                <w:sz w:val="20"/>
                <w:szCs w:val="20"/>
                <w:vertAlign w:val="superscript"/>
              </w:rPr>
              <w:t>*</w:t>
            </w:r>
          </w:p>
        </w:tc>
        <w:tc>
          <w:tcPr>
            <w:tcW w:w="992" w:type="dxa"/>
          </w:tcPr>
          <w:p w14:paraId="3FA002B1"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10</w:t>
            </w:r>
            <w:r w:rsidRPr="00994095">
              <w:rPr>
                <w:rFonts w:ascii="Arial" w:hAnsi="Arial" w:cs="Arial"/>
                <w:spacing w:val="-10"/>
                <w:sz w:val="20"/>
                <w:szCs w:val="20"/>
              </w:rPr>
              <w:t>±</w:t>
            </w:r>
            <w:r w:rsidRPr="00994095">
              <w:rPr>
                <w:rFonts w:ascii="Arial" w:hAnsi="Arial" w:cs="Arial"/>
                <w:spacing w:val="-4"/>
                <w:sz w:val="20"/>
                <w:szCs w:val="20"/>
              </w:rPr>
              <w:t>2.08</w:t>
            </w:r>
          </w:p>
        </w:tc>
        <w:tc>
          <w:tcPr>
            <w:tcW w:w="993" w:type="dxa"/>
          </w:tcPr>
          <w:p w14:paraId="789405C2"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35.33</w:t>
            </w:r>
            <w:r w:rsidRPr="00994095">
              <w:rPr>
                <w:rFonts w:ascii="Arial" w:hAnsi="Arial" w:cs="Arial"/>
                <w:spacing w:val="-3"/>
                <w:sz w:val="20"/>
                <w:szCs w:val="20"/>
              </w:rPr>
              <w:t xml:space="preserve"> </w:t>
            </w:r>
            <w:r w:rsidRPr="00994095">
              <w:rPr>
                <w:rFonts w:ascii="Arial" w:hAnsi="Arial" w:cs="Arial"/>
                <w:spacing w:val="-10"/>
                <w:sz w:val="20"/>
                <w:szCs w:val="20"/>
              </w:rPr>
              <w:t>±</w:t>
            </w:r>
          </w:p>
          <w:p w14:paraId="61ADCBED" w14:textId="77777777" w:rsidR="00712765" w:rsidRPr="00994095" w:rsidRDefault="00712765" w:rsidP="00284525">
            <w:pPr>
              <w:pStyle w:val="TableParagraph"/>
              <w:spacing w:before="1"/>
              <w:ind w:left="199"/>
              <w:rPr>
                <w:rFonts w:ascii="Arial" w:hAnsi="Arial" w:cs="Arial"/>
                <w:b/>
                <w:sz w:val="20"/>
                <w:szCs w:val="20"/>
              </w:rPr>
            </w:pPr>
            <w:r w:rsidRPr="00994095">
              <w:rPr>
                <w:rFonts w:ascii="Arial" w:hAnsi="Arial" w:cs="Arial"/>
                <w:spacing w:val="-2"/>
                <w:sz w:val="20"/>
                <w:szCs w:val="20"/>
              </w:rPr>
              <w:t>3.71</w:t>
            </w:r>
            <w:r w:rsidRPr="00994095">
              <w:rPr>
                <w:rFonts w:ascii="Arial" w:hAnsi="Arial" w:cs="Arial"/>
                <w:b/>
                <w:spacing w:val="-2"/>
                <w:sz w:val="20"/>
                <w:szCs w:val="20"/>
                <w:vertAlign w:val="superscript"/>
              </w:rPr>
              <w:t>**</w:t>
            </w:r>
          </w:p>
        </w:tc>
        <w:tc>
          <w:tcPr>
            <w:tcW w:w="992" w:type="dxa"/>
          </w:tcPr>
          <w:p w14:paraId="63752507" w14:textId="77777777" w:rsidR="00712765" w:rsidRPr="00994095" w:rsidRDefault="00712765" w:rsidP="00284525">
            <w:pPr>
              <w:pStyle w:val="TableParagraph"/>
              <w:ind w:left="119"/>
              <w:rPr>
                <w:rFonts w:ascii="Arial" w:hAnsi="Arial" w:cs="Arial"/>
                <w:sz w:val="20"/>
                <w:szCs w:val="20"/>
              </w:rPr>
            </w:pPr>
            <w:r w:rsidRPr="00994095">
              <w:rPr>
                <w:rFonts w:ascii="Arial" w:hAnsi="Arial" w:cs="Arial"/>
                <w:spacing w:val="-2"/>
                <w:sz w:val="20"/>
                <w:szCs w:val="20"/>
              </w:rPr>
              <w:t>10.33±</w:t>
            </w:r>
          </w:p>
          <w:p w14:paraId="201A66E5" w14:textId="77777777" w:rsidR="00712765" w:rsidRPr="00994095" w:rsidRDefault="00712765" w:rsidP="00284525">
            <w:pPr>
              <w:pStyle w:val="TableParagraph"/>
              <w:spacing w:before="1"/>
              <w:ind w:left="191"/>
              <w:rPr>
                <w:rFonts w:ascii="Arial" w:hAnsi="Arial" w:cs="Arial"/>
                <w:b/>
                <w:sz w:val="20"/>
                <w:szCs w:val="20"/>
              </w:rPr>
            </w:pPr>
            <w:r w:rsidRPr="00994095">
              <w:rPr>
                <w:rFonts w:ascii="Arial" w:hAnsi="Arial" w:cs="Arial"/>
                <w:spacing w:val="-2"/>
                <w:sz w:val="20"/>
                <w:szCs w:val="20"/>
              </w:rPr>
              <w:t>1.20</w:t>
            </w:r>
            <w:r w:rsidRPr="00994095">
              <w:rPr>
                <w:rFonts w:ascii="Arial" w:hAnsi="Arial" w:cs="Arial"/>
                <w:b/>
                <w:spacing w:val="-2"/>
                <w:sz w:val="20"/>
                <w:szCs w:val="20"/>
                <w:vertAlign w:val="superscript"/>
              </w:rPr>
              <w:t>*</w:t>
            </w:r>
          </w:p>
        </w:tc>
        <w:tc>
          <w:tcPr>
            <w:tcW w:w="992" w:type="dxa"/>
          </w:tcPr>
          <w:p w14:paraId="2FEA2181" w14:textId="77777777" w:rsidR="00712765" w:rsidRPr="00994095" w:rsidRDefault="00712765" w:rsidP="00284525">
            <w:pPr>
              <w:pStyle w:val="TableParagraph"/>
              <w:ind w:left="109"/>
              <w:rPr>
                <w:rFonts w:ascii="Arial" w:hAnsi="Arial" w:cs="Arial"/>
                <w:sz w:val="20"/>
                <w:szCs w:val="20"/>
              </w:rPr>
            </w:pPr>
            <w:r w:rsidRPr="00994095">
              <w:rPr>
                <w:rFonts w:ascii="Arial" w:hAnsi="Arial" w:cs="Arial"/>
                <w:spacing w:val="-2"/>
                <w:sz w:val="20"/>
                <w:szCs w:val="20"/>
              </w:rPr>
              <w:t>34.33±</w:t>
            </w:r>
          </w:p>
          <w:p w14:paraId="44142230" w14:textId="77777777" w:rsidR="00712765" w:rsidRPr="00994095" w:rsidRDefault="00712765" w:rsidP="00284525">
            <w:pPr>
              <w:pStyle w:val="TableParagraph"/>
              <w:spacing w:before="1"/>
              <w:ind w:left="212"/>
              <w:rPr>
                <w:rFonts w:ascii="Arial" w:hAnsi="Arial" w:cs="Arial"/>
                <w:sz w:val="20"/>
                <w:szCs w:val="20"/>
              </w:rPr>
            </w:pPr>
            <w:r w:rsidRPr="00994095">
              <w:rPr>
                <w:rFonts w:ascii="Arial" w:hAnsi="Arial" w:cs="Arial"/>
                <w:spacing w:val="-4"/>
                <w:sz w:val="20"/>
                <w:szCs w:val="20"/>
              </w:rPr>
              <w:t>7.13</w:t>
            </w:r>
          </w:p>
        </w:tc>
        <w:tc>
          <w:tcPr>
            <w:tcW w:w="851" w:type="dxa"/>
          </w:tcPr>
          <w:p w14:paraId="53705A7C"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9.33</w:t>
            </w:r>
            <w:r w:rsidRPr="00994095">
              <w:rPr>
                <w:rFonts w:ascii="Arial" w:hAnsi="Arial" w:cs="Arial"/>
                <w:spacing w:val="-3"/>
                <w:sz w:val="20"/>
                <w:szCs w:val="20"/>
              </w:rPr>
              <w:t xml:space="preserve"> </w:t>
            </w:r>
            <w:r w:rsidRPr="00994095">
              <w:rPr>
                <w:rFonts w:ascii="Arial" w:hAnsi="Arial" w:cs="Arial"/>
                <w:spacing w:val="-10"/>
                <w:sz w:val="20"/>
                <w:szCs w:val="20"/>
              </w:rPr>
              <w:t>±</w:t>
            </w:r>
          </w:p>
          <w:p w14:paraId="184C3917" w14:textId="77777777" w:rsidR="00712765" w:rsidRPr="00994095" w:rsidRDefault="00712765" w:rsidP="00284525">
            <w:pPr>
              <w:pStyle w:val="TableParagraph"/>
              <w:spacing w:before="1"/>
              <w:ind w:left="131"/>
              <w:rPr>
                <w:rFonts w:ascii="Arial" w:hAnsi="Arial" w:cs="Arial"/>
                <w:b/>
                <w:sz w:val="20"/>
                <w:szCs w:val="20"/>
              </w:rPr>
            </w:pPr>
            <w:r w:rsidRPr="00994095">
              <w:rPr>
                <w:rFonts w:ascii="Arial" w:hAnsi="Arial" w:cs="Arial"/>
                <w:spacing w:val="-2"/>
                <w:sz w:val="20"/>
                <w:szCs w:val="20"/>
              </w:rPr>
              <w:t>1.86</w:t>
            </w:r>
            <w:r w:rsidRPr="00994095">
              <w:rPr>
                <w:rFonts w:ascii="Arial" w:hAnsi="Arial" w:cs="Arial"/>
                <w:b/>
                <w:spacing w:val="-2"/>
                <w:sz w:val="20"/>
                <w:szCs w:val="20"/>
                <w:vertAlign w:val="superscript"/>
              </w:rPr>
              <w:t>**</w:t>
            </w:r>
          </w:p>
        </w:tc>
        <w:tc>
          <w:tcPr>
            <w:tcW w:w="992" w:type="dxa"/>
          </w:tcPr>
          <w:p w14:paraId="3F36EC5D" w14:textId="77777777" w:rsidR="00712765" w:rsidRPr="00994095" w:rsidRDefault="00712765" w:rsidP="00284525">
            <w:pPr>
              <w:pStyle w:val="TableParagraph"/>
              <w:ind w:left="3"/>
              <w:rPr>
                <w:rFonts w:ascii="Arial" w:hAnsi="Arial" w:cs="Arial"/>
                <w:sz w:val="20"/>
                <w:szCs w:val="20"/>
              </w:rPr>
            </w:pPr>
            <w:r w:rsidRPr="00994095">
              <w:rPr>
                <w:rFonts w:ascii="Arial" w:hAnsi="Arial" w:cs="Arial"/>
                <w:spacing w:val="-2"/>
                <w:sz w:val="20"/>
                <w:szCs w:val="20"/>
              </w:rPr>
              <w:t>36.33</w:t>
            </w:r>
            <w:r w:rsidRPr="00994095">
              <w:rPr>
                <w:rFonts w:ascii="Arial" w:hAnsi="Arial" w:cs="Arial"/>
                <w:spacing w:val="-10"/>
                <w:sz w:val="20"/>
                <w:szCs w:val="20"/>
              </w:rPr>
              <w:t>±</w:t>
            </w:r>
          </w:p>
          <w:p w14:paraId="391690CA" w14:textId="77777777" w:rsidR="00712765" w:rsidRPr="00994095" w:rsidRDefault="00712765" w:rsidP="00284525">
            <w:pPr>
              <w:pStyle w:val="TableParagraph"/>
              <w:spacing w:before="1"/>
              <w:ind w:left="129" w:right="125"/>
              <w:rPr>
                <w:rFonts w:ascii="Arial" w:hAnsi="Arial" w:cs="Arial"/>
                <w:b/>
                <w:sz w:val="20"/>
                <w:szCs w:val="20"/>
              </w:rPr>
            </w:pPr>
            <w:r w:rsidRPr="00994095">
              <w:rPr>
                <w:rFonts w:ascii="Arial" w:hAnsi="Arial" w:cs="Arial"/>
                <w:spacing w:val="-2"/>
                <w:sz w:val="20"/>
                <w:szCs w:val="20"/>
              </w:rPr>
              <w:t>6.57</w:t>
            </w:r>
            <w:r w:rsidRPr="00994095">
              <w:rPr>
                <w:rFonts w:ascii="Arial" w:hAnsi="Arial" w:cs="Arial"/>
                <w:b/>
                <w:spacing w:val="-2"/>
                <w:sz w:val="20"/>
                <w:szCs w:val="20"/>
                <w:vertAlign w:val="superscript"/>
              </w:rPr>
              <w:t>*</w:t>
            </w:r>
          </w:p>
        </w:tc>
      </w:tr>
      <w:tr w:rsidR="00712765" w:rsidRPr="00994095" w14:paraId="624296A3" w14:textId="77777777" w:rsidTr="00712765">
        <w:trPr>
          <w:trHeight w:val="921"/>
        </w:trPr>
        <w:tc>
          <w:tcPr>
            <w:tcW w:w="1560" w:type="dxa"/>
          </w:tcPr>
          <w:p w14:paraId="4A863935" w14:textId="77777777" w:rsidR="00712765" w:rsidRPr="00994095" w:rsidRDefault="00712765" w:rsidP="00284525">
            <w:pPr>
              <w:pStyle w:val="TableParagraph"/>
              <w:ind w:right="-29"/>
              <w:rPr>
                <w:rFonts w:ascii="Arial" w:hAnsi="Arial" w:cs="Arial"/>
                <w:b/>
                <w:sz w:val="20"/>
                <w:szCs w:val="20"/>
              </w:rPr>
            </w:pPr>
            <w:r w:rsidRPr="00994095">
              <w:rPr>
                <w:rFonts w:ascii="Arial" w:hAnsi="Arial" w:cs="Arial"/>
                <w:b/>
                <w:spacing w:val="-2"/>
                <w:sz w:val="20"/>
                <w:szCs w:val="20"/>
              </w:rPr>
              <w:t xml:space="preserve">Preference </w:t>
            </w:r>
            <w:r w:rsidRPr="00994095">
              <w:rPr>
                <w:rFonts w:ascii="Arial" w:hAnsi="Arial" w:cs="Arial"/>
                <w:b/>
                <w:sz w:val="20"/>
                <w:szCs w:val="20"/>
              </w:rPr>
              <w:t>index</w:t>
            </w:r>
            <w:r w:rsidRPr="00994095">
              <w:rPr>
                <w:rFonts w:ascii="Arial" w:hAnsi="Arial" w:cs="Arial"/>
                <w:b/>
                <w:spacing w:val="-13"/>
                <w:sz w:val="20"/>
                <w:szCs w:val="20"/>
              </w:rPr>
              <w:t xml:space="preserve"> </w:t>
            </w:r>
            <w:r w:rsidRPr="00994095">
              <w:rPr>
                <w:rFonts w:ascii="Arial" w:hAnsi="Arial" w:cs="Arial"/>
                <w:b/>
                <w:sz w:val="20"/>
                <w:szCs w:val="20"/>
              </w:rPr>
              <w:t>of</w:t>
            </w:r>
            <w:r w:rsidRPr="00994095">
              <w:rPr>
                <w:rFonts w:ascii="Arial" w:hAnsi="Arial" w:cs="Arial"/>
                <w:b/>
                <w:spacing w:val="-12"/>
                <w:sz w:val="20"/>
                <w:szCs w:val="20"/>
              </w:rPr>
              <w:t xml:space="preserve"> </w:t>
            </w:r>
            <w:r w:rsidRPr="00994095">
              <w:rPr>
                <w:rFonts w:ascii="Arial" w:hAnsi="Arial" w:cs="Arial"/>
                <w:b/>
                <w:sz w:val="20"/>
                <w:szCs w:val="20"/>
              </w:rPr>
              <w:t xml:space="preserve">dark </w:t>
            </w:r>
            <w:r w:rsidRPr="00994095">
              <w:rPr>
                <w:rFonts w:ascii="Arial" w:hAnsi="Arial" w:cs="Arial"/>
                <w:b/>
                <w:spacing w:val="-4"/>
                <w:sz w:val="20"/>
                <w:szCs w:val="20"/>
              </w:rPr>
              <w:t>zone</w:t>
            </w:r>
          </w:p>
        </w:tc>
        <w:tc>
          <w:tcPr>
            <w:tcW w:w="1701" w:type="dxa"/>
            <w:gridSpan w:val="2"/>
          </w:tcPr>
          <w:p w14:paraId="1A4D85F1"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 xml:space="preserve">       59</w:t>
            </w:r>
            <w:r w:rsidRPr="00994095">
              <w:rPr>
                <w:rFonts w:ascii="Arial" w:hAnsi="Arial" w:cs="Arial"/>
                <w:spacing w:val="-2"/>
                <w:sz w:val="20"/>
                <w:szCs w:val="20"/>
              </w:rPr>
              <w:t xml:space="preserve"> ±9.81</w:t>
            </w:r>
          </w:p>
        </w:tc>
        <w:tc>
          <w:tcPr>
            <w:tcW w:w="1843" w:type="dxa"/>
            <w:gridSpan w:val="2"/>
          </w:tcPr>
          <w:p w14:paraId="2B18204E" w14:textId="77777777" w:rsidR="00712765" w:rsidRPr="00994095" w:rsidRDefault="00712765" w:rsidP="00284525">
            <w:pPr>
              <w:pStyle w:val="TableParagraph"/>
              <w:ind w:left="274"/>
              <w:rPr>
                <w:rFonts w:ascii="Arial" w:hAnsi="Arial" w:cs="Arial"/>
                <w:sz w:val="20"/>
                <w:szCs w:val="20"/>
              </w:rPr>
            </w:pPr>
            <w:r w:rsidRPr="00994095">
              <w:rPr>
                <w:rFonts w:ascii="Arial" w:hAnsi="Arial" w:cs="Arial"/>
                <w:sz w:val="20"/>
                <w:szCs w:val="20"/>
              </w:rPr>
              <w:t>52.67</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6.64</w:t>
            </w:r>
          </w:p>
        </w:tc>
        <w:tc>
          <w:tcPr>
            <w:tcW w:w="1985" w:type="dxa"/>
            <w:gridSpan w:val="2"/>
          </w:tcPr>
          <w:p w14:paraId="579C1B30" w14:textId="77777777" w:rsidR="00712765" w:rsidRPr="00994095" w:rsidRDefault="00712765" w:rsidP="00284525">
            <w:pPr>
              <w:pStyle w:val="TableParagraph"/>
              <w:ind w:left="453"/>
              <w:rPr>
                <w:rFonts w:ascii="Arial" w:hAnsi="Arial" w:cs="Arial"/>
                <w:sz w:val="20"/>
                <w:szCs w:val="20"/>
              </w:rPr>
            </w:pPr>
            <w:r w:rsidRPr="00994095">
              <w:rPr>
                <w:rFonts w:ascii="Arial" w:hAnsi="Arial" w:cs="Arial"/>
                <w:sz w:val="20"/>
                <w:szCs w:val="20"/>
              </w:rPr>
              <w:t>52</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17.04</w:t>
            </w:r>
          </w:p>
        </w:tc>
        <w:tc>
          <w:tcPr>
            <w:tcW w:w="1984" w:type="dxa"/>
            <w:gridSpan w:val="2"/>
          </w:tcPr>
          <w:p w14:paraId="1ACBEBE3" w14:textId="77777777" w:rsidR="00712765" w:rsidRPr="00994095" w:rsidRDefault="00712765" w:rsidP="00284525">
            <w:pPr>
              <w:pStyle w:val="TableParagraph"/>
              <w:ind w:left="328"/>
              <w:rPr>
                <w:rFonts w:ascii="Arial" w:hAnsi="Arial" w:cs="Arial"/>
                <w:b/>
                <w:sz w:val="20"/>
                <w:szCs w:val="20"/>
              </w:rPr>
            </w:pPr>
            <w:r w:rsidRPr="00994095">
              <w:rPr>
                <w:rFonts w:ascii="Arial" w:hAnsi="Arial" w:cs="Arial"/>
                <w:sz w:val="20"/>
                <w:szCs w:val="20"/>
              </w:rPr>
              <w:t>114</w:t>
            </w:r>
            <w:r w:rsidRPr="00994095">
              <w:rPr>
                <w:rFonts w:ascii="Arial" w:hAnsi="Arial" w:cs="Arial"/>
                <w:spacing w:val="-6"/>
                <w:sz w:val="20"/>
                <w:szCs w:val="20"/>
              </w:rPr>
              <w:t xml:space="preserve"> </w:t>
            </w:r>
            <w:r w:rsidRPr="00994095">
              <w:rPr>
                <w:rFonts w:ascii="Arial" w:hAnsi="Arial" w:cs="Arial"/>
                <w:sz w:val="20"/>
                <w:szCs w:val="20"/>
              </w:rPr>
              <w:t>±</w:t>
            </w:r>
            <w:r w:rsidRPr="00994095">
              <w:rPr>
                <w:rFonts w:ascii="Arial" w:hAnsi="Arial" w:cs="Arial"/>
                <w:spacing w:val="-5"/>
                <w:sz w:val="20"/>
                <w:szCs w:val="20"/>
              </w:rPr>
              <w:t xml:space="preserve"> </w:t>
            </w:r>
            <w:r w:rsidRPr="00994095">
              <w:rPr>
                <w:rFonts w:ascii="Arial" w:hAnsi="Arial" w:cs="Arial"/>
                <w:spacing w:val="-2"/>
                <w:sz w:val="20"/>
                <w:szCs w:val="20"/>
              </w:rPr>
              <w:t>9.17</w:t>
            </w:r>
            <w:r w:rsidRPr="00994095">
              <w:rPr>
                <w:rFonts w:ascii="Arial" w:hAnsi="Arial" w:cs="Arial"/>
                <w:b/>
                <w:spacing w:val="-2"/>
                <w:sz w:val="20"/>
                <w:szCs w:val="20"/>
                <w:vertAlign w:val="superscript"/>
              </w:rPr>
              <w:t>*</w:t>
            </w:r>
          </w:p>
        </w:tc>
        <w:tc>
          <w:tcPr>
            <w:tcW w:w="1843" w:type="dxa"/>
            <w:gridSpan w:val="2"/>
          </w:tcPr>
          <w:p w14:paraId="1C252913" w14:textId="77777777" w:rsidR="00712765" w:rsidRPr="00994095" w:rsidRDefault="00712765" w:rsidP="00284525">
            <w:pPr>
              <w:pStyle w:val="TableParagraph"/>
              <w:ind w:left="354"/>
              <w:rPr>
                <w:rFonts w:ascii="Arial" w:hAnsi="Arial" w:cs="Arial"/>
                <w:sz w:val="20"/>
                <w:szCs w:val="20"/>
              </w:rPr>
            </w:pPr>
            <w:r w:rsidRPr="00994095">
              <w:rPr>
                <w:rFonts w:ascii="Arial" w:hAnsi="Arial" w:cs="Arial"/>
                <w:sz w:val="20"/>
                <w:szCs w:val="20"/>
              </w:rPr>
              <w:t>130.33</w:t>
            </w:r>
            <w:r w:rsidRPr="00994095">
              <w:rPr>
                <w:rFonts w:ascii="Arial" w:hAnsi="Arial" w:cs="Arial"/>
                <w:spacing w:val="-4"/>
                <w:sz w:val="20"/>
                <w:szCs w:val="20"/>
              </w:rPr>
              <w:t xml:space="preserve"> </w:t>
            </w:r>
            <w:r w:rsidRPr="00994095">
              <w:rPr>
                <w:rFonts w:ascii="Arial" w:hAnsi="Arial" w:cs="Arial"/>
                <w:spacing w:val="-10"/>
                <w:sz w:val="20"/>
                <w:szCs w:val="20"/>
              </w:rPr>
              <w:t>±</w:t>
            </w:r>
          </w:p>
          <w:p w14:paraId="58A58DED" w14:textId="77777777" w:rsidR="00712765" w:rsidRPr="00994095" w:rsidRDefault="00712765" w:rsidP="00284525">
            <w:pPr>
              <w:pStyle w:val="TableParagraph"/>
              <w:ind w:left="424"/>
              <w:rPr>
                <w:rFonts w:ascii="Arial" w:hAnsi="Arial" w:cs="Arial"/>
                <w:b/>
                <w:sz w:val="20"/>
                <w:szCs w:val="20"/>
              </w:rPr>
            </w:pPr>
            <w:r w:rsidRPr="00994095">
              <w:rPr>
                <w:rFonts w:ascii="Arial" w:hAnsi="Arial" w:cs="Arial"/>
                <w:spacing w:val="-2"/>
                <w:sz w:val="20"/>
                <w:szCs w:val="20"/>
              </w:rPr>
              <w:t>11.68</w:t>
            </w:r>
            <w:r w:rsidRPr="00994095">
              <w:rPr>
                <w:rFonts w:ascii="Arial" w:hAnsi="Arial" w:cs="Arial"/>
                <w:b/>
                <w:spacing w:val="-2"/>
                <w:sz w:val="20"/>
                <w:szCs w:val="20"/>
                <w:vertAlign w:val="superscript"/>
              </w:rPr>
              <w:t>**</w:t>
            </w:r>
          </w:p>
        </w:tc>
      </w:tr>
    </w:tbl>
    <w:p w14:paraId="083655EB" w14:textId="0B495828" w:rsidR="00712765" w:rsidRPr="00994095" w:rsidRDefault="00712765" w:rsidP="00712765">
      <w:pPr>
        <w:pStyle w:val="BodyText"/>
        <w:spacing w:before="80" w:line="259" w:lineRule="auto"/>
        <w:ind w:right="256"/>
        <w:jc w:val="both"/>
        <w:rPr>
          <w:rFonts w:ascii="Arial" w:hAnsi="Arial" w:cs="Arial"/>
          <w:i/>
          <w:iCs/>
          <w:sz w:val="18"/>
          <w:szCs w:val="18"/>
        </w:rPr>
      </w:pPr>
      <w:r w:rsidRPr="00994095">
        <w:rPr>
          <w:rFonts w:ascii="Arial" w:hAnsi="Arial" w:cs="Arial"/>
          <w:i/>
          <w:iCs/>
          <w:sz w:val="18"/>
          <w:szCs w:val="18"/>
        </w:rPr>
        <w:t>Data are represented as mean ± SEM. Experimental groups are compared with control animals using one way ANOVA</w:t>
      </w:r>
      <w:r w:rsidRPr="00994095">
        <w:rPr>
          <w:rFonts w:ascii="Arial" w:hAnsi="Arial" w:cs="Arial"/>
          <w:i/>
          <w:iCs/>
          <w:spacing w:val="-13"/>
          <w:sz w:val="18"/>
          <w:szCs w:val="18"/>
        </w:rPr>
        <w:t xml:space="preserve">   </w:t>
      </w:r>
      <w:r w:rsidRPr="00994095">
        <w:rPr>
          <w:rFonts w:ascii="Arial" w:hAnsi="Arial" w:cs="Arial"/>
          <w:i/>
          <w:iCs/>
          <w:sz w:val="18"/>
          <w:szCs w:val="18"/>
        </w:rPr>
        <w:t>followed</w:t>
      </w:r>
      <w:r w:rsidRPr="00994095">
        <w:rPr>
          <w:rFonts w:ascii="Arial" w:hAnsi="Arial" w:cs="Arial"/>
          <w:i/>
          <w:iCs/>
          <w:spacing w:val="-4"/>
          <w:sz w:val="18"/>
          <w:szCs w:val="18"/>
        </w:rPr>
        <w:t xml:space="preserve"> </w:t>
      </w:r>
      <w:r w:rsidRPr="00994095">
        <w:rPr>
          <w:rFonts w:ascii="Arial" w:hAnsi="Arial" w:cs="Arial"/>
          <w:i/>
          <w:iCs/>
          <w:sz w:val="18"/>
          <w:szCs w:val="18"/>
        </w:rPr>
        <w:t>by</w:t>
      </w:r>
      <w:r w:rsidRPr="00994095">
        <w:rPr>
          <w:rFonts w:ascii="Arial" w:hAnsi="Arial" w:cs="Arial"/>
          <w:i/>
          <w:iCs/>
          <w:spacing w:val="-5"/>
          <w:sz w:val="18"/>
          <w:szCs w:val="18"/>
        </w:rPr>
        <w:t xml:space="preserve"> </w:t>
      </w:r>
      <w:r w:rsidRPr="00994095">
        <w:rPr>
          <w:rFonts w:ascii="Arial" w:hAnsi="Arial" w:cs="Arial"/>
          <w:i/>
          <w:iCs/>
          <w:sz w:val="18"/>
          <w:szCs w:val="18"/>
        </w:rPr>
        <w:t>post</w:t>
      </w:r>
      <w:r w:rsidRPr="00994095">
        <w:rPr>
          <w:rFonts w:ascii="Arial" w:hAnsi="Arial" w:cs="Arial"/>
          <w:i/>
          <w:iCs/>
          <w:spacing w:val="-5"/>
          <w:sz w:val="18"/>
          <w:szCs w:val="18"/>
        </w:rPr>
        <w:t xml:space="preserve"> </w:t>
      </w:r>
      <w:r w:rsidRPr="00994095">
        <w:rPr>
          <w:rFonts w:ascii="Arial" w:hAnsi="Arial" w:cs="Arial"/>
          <w:i/>
          <w:iCs/>
          <w:sz w:val="18"/>
          <w:szCs w:val="18"/>
        </w:rPr>
        <w:t>hoc</w:t>
      </w:r>
      <w:r w:rsidRPr="00994095">
        <w:rPr>
          <w:rFonts w:ascii="Arial" w:hAnsi="Arial" w:cs="Arial"/>
          <w:i/>
          <w:iCs/>
          <w:spacing w:val="-6"/>
          <w:sz w:val="18"/>
          <w:szCs w:val="18"/>
        </w:rPr>
        <w:t xml:space="preserve"> </w:t>
      </w:r>
      <w:r w:rsidRPr="00994095">
        <w:rPr>
          <w:rFonts w:ascii="Arial" w:hAnsi="Arial" w:cs="Arial"/>
          <w:i/>
          <w:iCs/>
          <w:sz w:val="18"/>
          <w:szCs w:val="18"/>
        </w:rPr>
        <w:t>test,</w:t>
      </w:r>
      <w:r w:rsidRPr="00994095">
        <w:rPr>
          <w:rFonts w:ascii="Arial" w:hAnsi="Arial" w:cs="Arial"/>
          <w:i/>
          <w:iCs/>
          <w:spacing w:val="-4"/>
          <w:sz w:val="18"/>
          <w:szCs w:val="18"/>
        </w:rPr>
        <w:t xml:space="preserve"> </w:t>
      </w:r>
      <w:r w:rsidRPr="00994095">
        <w:rPr>
          <w:rFonts w:ascii="Arial" w:hAnsi="Arial" w:cs="Arial"/>
          <w:i/>
          <w:iCs/>
          <w:sz w:val="18"/>
          <w:szCs w:val="18"/>
        </w:rPr>
        <w:t>showing</w:t>
      </w:r>
      <w:r w:rsidRPr="00994095">
        <w:rPr>
          <w:rFonts w:ascii="Arial" w:hAnsi="Arial" w:cs="Arial"/>
          <w:i/>
          <w:iCs/>
          <w:spacing w:val="-3"/>
          <w:sz w:val="18"/>
          <w:szCs w:val="18"/>
        </w:rPr>
        <w:t xml:space="preserve"> </w:t>
      </w:r>
      <w:r w:rsidRPr="00994095">
        <w:rPr>
          <w:rFonts w:ascii="Arial" w:hAnsi="Arial" w:cs="Arial"/>
          <w:i/>
          <w:iCs/>
          <w:sz w:val="18"/>
          <w:szCs w:val="18"/>
        </w:rPr>
        <w:t>significant</w:t>
      </w:r>
      <w:r w:rsidRPr="00994095">
        <w:rPr>
          <w:rFonts w:ascii="Arial" w:hAnsi="Arial" w:cs="Arial"/>
          <w:i/>
          <w:iCs/>
          <w:spacing w:val="-5"/>
          <w:sz w:val="18"/>
          <w:szCs w:val="18"/>
        </w:rPr>
        <w:t xml:space="preserve"> </w:t>
      </w:r>
      <w:r w:rsidRPr="00994095">
        <w:rPr>
          <w:rFonts w:ascii="Arial" w:hAnsi="Arial" w:cs="Arial"/>
          <w:i/>
          <w:iCs/>
          <w:sz w:val="18"/>
          <w:szCs w:val="18"/>
        </w:rPr>
        <w:t>difference</w:t>
      </w:r>
      <w:r w:rsidRPr="00994095">
        <w:rPr>
          <w:rFonts w:ascii="Arial" w:hAnsi="Arial" w:cs="Arial"/>
          <w:i/>
          <w:iCs/>
          <w:spacing w:val="-4"/>
          <w:sz w:val="18"/>
          <w:szCs w:val="18"/>
        </w:rPr>
        <w:t xml:space="preserve"> </w:t>
      </w:r>
      <w:r w:rsidRPr="00994095">
        <w:rPr>
          <w:rFonts w:ascii="Arial" w:hAnsi="Arial" w:cs="Arial"/>
          <w:i/>
          <w:iCs/>
          <w:sz w:val="18"/>
          <w:szCs w:val="18"/>
        </w:rPr>
        <w:t>at</w:t>
      </w:r>
      <w:r w:rsidRPr="00994095">
        <w:rPr>
          <w:rFonts w:ascii="Arial" w:hAnsi="Arial" w:cs="Arial"/>
          <w:i/>
          <w:iCs/>
          <w:spacing w:val="-4"/>
          <w:sz w:val="18"/>
          <w:szCs w:val="18"/>
        </w:rPr>
        <w:t xml:space="preserve"> </w:t>
      </w:r>
      <w:r w:rsidRPr="00994095">
        <w:rPr>
          <w:rFonts w:ascii="Arial" w:hAnsi="Arial" w:cs="Arial"/>
          <w:i/>
          <w:iCs/>
          <w:sz w:val="18"/>
          <w:szCs w:val="18"/>
        </w:rPr>
        <w:t>p</w:t>
      </w:r>
      <w:r w:rsidRPr="00994095">
        <w:rPr>
          <w:rFonts w:ascii="Arial" w:hAnsi="Arial" w:cs="Arial"/>
          <w:i/>
          <w:iCs/>
          <w:spacing w:val="-5"/>
          <w:sz w:val="18"/>
          <w:szCs w:val="18"/>
        </w:rPr>
        <w:t xml:space="preserve"> </w:t>
      </w:r>
      <w:r w:rsidRPr="00994095">
        <w:rPr>
          <w:rFonts w:ascii="Arial" w:hAnsi="Arial" w:cs="Arial"/>
          <w:i/>
          <w:iCs/>
          <w:sz w:val="18"/>
          <w:szCs w:val="18"/>
        </w:rPr>
        <w:t>values*</w:t>
      </w:r>
      <w:r w:rsidRPr="00994095">
        <w:rPr>
          <w:rFonts w:ascii="Arial" w:hAnsi="Arial" w:cs="Arial"/>
          <w:i/>
          <w:iCs/>
          <w:spacing w:val="-3"/>
          <w:sz w:val="18"/>
          <w:szCs w:val="18"/>
        </w:rPr>
        <w:t xml:space="preserve"> </w:t>
      </w:r>
      <w:r w:rsidRPr="00994095">
        <w:rPr>
          <w:rFonts w:ascii="Arial" w:hAnsi="Arial" w:cs="Arial"/>
          <w:i/>
          <w:iCs/>
          <w:sz w:val="18"/>
          <w:szCs w:val="18"/>
        </w:rPr>
        <w:t>shows</w:t>
      </w:r>
      <w:r w:rsidRPr="00994095">
        <w:rPr>
          <w:rFonts w:ascii="Arial" w:hAnsi="Arial" w:cs="Arial"/>
          <w:i/>
          <w:iCs/>
          <w:spacing w:val="-5"/>
          <w:sz w:val="18"/>
          <w:szCs w:val="18"/>
        </w:rPr>
        <w:t xml:space="preserve"> </w:t>
      </w:r>
      <w:r w:rsidRPr="00994095">
        <w:rPr>
          <w:rFonts w:ascii="Arial" w:hAnsi="Arial" w:cs="Arial"/>
          <w:i/>
          <w:iCs/>
          <w:sz w:val="18"/>
          <w:szCs w:val="18"/>
        </w:rPr>
        <w:t>p&lt;</w:t>
      </w:r>
      <w:r w:rsidRPr="00994095">
        <w:rPr>
          <w:rFonts w:ascii="Arial" w:hAnsi="Arial" w:cs="Arial"/>
          <w:i/>
          <w:iCs/>
          <w:spacing w:val="-6"/>
          <w:sz w:val="18"/>
          <w:szCs w:val="18"/>
        </w:rPr>
        <w:t xml:space="preserve"> </w:t>
      </w:r>
      <w:r w:rsidRPr="00994095">
        <w:rPr>
          <w:rFonts w:ascii="Arial" w:hAnsi="Arial" w:cs="Arial"/>
          <w:i/>
          <w:iCs/>
          <w:sz w:val="18"/>
          <w:szCs w:val="18"/>
        </w:rPr>
        <w:t>0.05,</w:t>
      </w:r>
      <w:r w:rsidRPr="00994095">
        <w:rPr>
          <w:rFonts w:ascii="Arial" w:hAnsi="Arial" w:cs="Arial"/>
          <w:i/>
          <w:iCs/>
          <w:spacing w:val="-6"/>
          <w:sz w:val="18"/>
          <w:szCs w:val="18"/>
        </w:rPr>
        <w:t xml:space="preserve"> </w:t>
      </w:r>
      <w:r w:rsidRPr="00994095">
        <w:rPr>
          <w:rFonts w:ascii="Arial" w:hAnsi="Arial" w:cs="Arial"/>
          <w:i/>
          <w:iCs/>
          <w:sz w:val="18"/>
          <w:szCs w:val="18"/>
        </w:rPr>
        <w:t>**</w:t>
      </w:r>
      <w:r w:rsidRPr="00994095">
        <w:rPr>
          <w:rFonts w:ascii="Arial" w:hAnsi="Arial" w:cs="Arial"/>
          <w:i/>
          <w:iCs/>
          <w:spacing w:val="-3"/>
          <w:sz w:val="18"/>
          <w:szCs w:val="18"/>
        </w:rPr>
        <w:t xml:space="preserve"> </w:t>
      </w:r>
      <w:r w:rsidRPr="00994095">
        <w:rPr>
          <w:rFonts w:ascii="Arial" w:hAnsi="Arial" w:cs="Arial"/>
          <w:i/>
          <w:iCs/>
          <w:sz w:val="18"/>
          <w:szCs w:val="18"/>
        </w:rPr>
        <w:t>indicates</w:t>
      </w:r>
      <w:r w:rsidRPr="00994095">
        <w:rPr>
          <w:rFonts w:ascii="Arial" w:hAnsi="Arial" w:cs="Arial"/>
          <w:i/>
          <w:iCs/>
          <w:spacing w:val="-5"/>
          <w:sz w:val="18"/>
          <w:szCs w:val="18"/>
        </w:rPr>
        <w:t xml:space="preserve"> </w:t>
      </w:r>
      <w:r w:rsidRPr="00994095">
        <w:rPr>
          <w:rFonts w:ascii="Arial" w:hAnsi="Arial" w:cs="Arial"/>
          <w:i/>
          <w:iCs/>
          <w:sz w:val="18"/>
          <w:szCs w:val="18"/>
        </w:rPr>
        <w:t>p&lt;0.01</w:t>
      </w:r>
      <w:r w:rsidRPr="00994095">
        <w:rPr>
          <w:rFonts w:ascii="Arial" w:hAnsi="Arial" w:cs="Arial"/>
          <w:i/>
          <w:iCs/>
          <w:spacing w:val="-2"/>
          <w:sz w:val="18"/>
          <w:szCs w:val="18"/>
        </w:rPr>
        <w:t xml:space="preserve"> </w:t>
      </w:r>
      <w:r w:rsidRPr="00994095">
        <w:rPr>
          <w:rFonts w:ascii="Arial" w:hAnsi="Arial" w:cs="Arial"/>
          <w:i/>
          <w:iCs/>
          <w:sz w:val="18"/>
          <w:szCs w:val="18"/>
        </w:rPr>
        <w:t>and</w:t>
      </w:r>
      <w:r w:rsidRPr="00994095">
        <w:rPr>
          <w:rFonts w:ascii="Arial" w:hAnsi="Arial" w:cs="Arial"/>
          <w:i/>
          <w:iCs/>
          <w:spacing w:val="-2"/>
          <w:sz w:val="18"/>
          <w:szCs w:val="18"/>
        </w:rPr>
        <w:t xml:space="preserve"> </w:t>
      </w:r>
      <w:r w:rsidRPr="00994095">
        <w:rPr>
          <w:rFonts w:ascii="Arial" w:hAnsi="Arial" w:cs="Arial"/>
          <w:i/>
          <w:iCs/>
          <w:sz w:val="18"/>
          <w:szCs w:val="18"/>
        </w:rPr>
        <w:t>***</w:t>
      </w:r>
      <w:r w:rsidRPr="00994095">
        <w:rPr>
          <w:rFonts w:ascii="Arial" w:hAnsi="Arial" w:cs="Arial"/>
          <w:i/>
          <w:iCs/>
          <w:spacing w:val="-4"/>
          <w:sz w:val="18"/>
          <w:szCs w:val="18"/>
        </w:rPr>
        <w:t xml:space="preserve"> </w:t>
      </w:r>
      <w:r w:rsidRPr="00994095">
        <w:rPr>
          <w:rFonts w:ascii="Arial" w:hAnsi="Arial" w:cs="Arial"/>
          <w:i/>
          <w:iCs/>
          <w:sz w:val="18"/>
          <w:szCs w:val="18"/>
        </w:rPr>
        <w:t>represents</w:t>
      </w:r>
      <w:r w:rsidRPr="00994095">
        <w:rPr>
          <w:rFonts w:ascii="Arial" w:hAnsi="Arial" w:cs="Arial"/>
          <w:i/>
          <w:iCs/>
          <w:spacing w:val="-4"/>
          <w:sz w:val="18"/>
          <w:szCs w:val="18"/>
        </w:rPr>
        <w:t xml:space="preserve"> p</w:t>
      </w:r>
      <w:r w:rsidRPr="00994095">
        <w:rPr>
          <w:rFonts w:ascii="Arial" w:hAnsi="Arial" w:cs="Arial"/>
          <w:i/>
          <w:iCs/>
          <w:sz w:val="18"/>
          <w:szCs w:val="18"/>
        </w:rPr>
        <w:t>&lt;</w:t>
      </w:r>
      <w:r w:rsidRPr="00994095">
        <w:rPr>
          <w:rFonts w:ascii="Arial" w:hAnsi="Arial" w:cs="Arial"/>
          <w:i/>
          <w:iCs/>
          <w:spacing w:val="-2"/>
          <w:sz w:val="18"/>
          <w:szCs w:val="18"/>
        </w:rPr>
        <w:t xml:space="preserve"> </w:t>
      </w:r>
      <w:r w:rsidRPr="00994095">
        <w:rPr>
          <w:rFonts w:ascii="Arial" w:hAnsi="Arial" w:cs="Arial"/>
          <w:i/>
          <w:iCs/>
          <w:spacing w:val="-4"/>
          <w:sz w:val="18"/>
          <w:szCs w:val="18"/>
        </w:rPr>
        <w:t>0.001</w:t>
      </w:r>
    </w:p>
    <w:p w14:paraId="3575CA31" w14:textId="77777777" w:rsidR="00994095" w:rsidRPr="00994095" w:rsidRDefault="00712765" w:rsidP="00712765">
      <w:pPr>
        <w:spacing w:line="360" w:lineRule="auto"/>
        <w:jc w:val="both"/>
        <w:rPr>
          <w:rFonts w:ascii="Arial" w:hAnsi="Arial" w:cs="Arial"/>
          <w:b/>
          <w:bCs/>
          <w:sz w:val="22"/>
          <w:szCs w:val="22"/>
        </w:rPr>
      </w:pPr>
      <w:r w:rsidRPr="00994095">
        <w:rPr>
          <w:rFonts w:ascii="Arial" w:hAnsi="Arial" w:cs="Arial"/>
          <w:b/>
          <w:bCs/>
          <w:sz w:val="22"/>
          <w:szCs w:val="22"/>
        </w:rPr>
        <w:t>3.5 Effect of TBBPA-DHEE</w:t>
      </w:r>
      <w:r w:rsidRPr="00994095">
        <w:rPr>
          <w:rFonts w:ascii="Arial" w:hAnsi="Arial" w:cs="Arial"/>
          <w:sz w:val="22"/>
          <w:szCs w:val="22"/>
        </w:rPr>
        <w:t xml:space="preserve"> </w:t>
      </w:r>
      <w:r w:rsidRPr="00994095">
        <w:rPr>
          <w:rFonts w:ascii="Arial" w:hAnsi="Arial" w:cs="Arial"/>
          <w:b/>
          <w:bCs/>
          <w:sz w:val="22"/>
          <w:szCs w:val="22"/>
        </w:rPr>
        <w:t xml:space="preserve">on the swimming behaviour of adult </w:t>
      </w:r>
      <w:r w:rsidR="00994095" w:rsidRPr="00994095">
        <w:rPr>
          <w:rFonts w:ascii="Arial" w:hAnsi="Arial" w:cs="Arial"/>
          <w:b/>
          <w:bCs/>
          <w:sz w:val="22"/>
          <w:szCs w:val="22"/>
        </w:rPr>
        <w:t>zebrafish</w:t>
      </w:r>
    </w:p>
    <w:p w14:paraId="41FBB8AA" w14:textId="5F4B8AE2" w:rsidR="006B7E30" w:rsidRDefault="00994095" w:rsidP="006B7E30">
      <w:pPr>
        <w:spacing w:line="360" w:lineRule="auto"/>
        <w:jc w:val="both"/>
        <w:rPr>
          <w:rFonts w:ascii="Arial" w:hAnsi="Arial" w:cs="Arial"/>
          <w:lang w:val="en-IN"/>
        </w:rPr>
      </w:pPr>
      <w:r w:rsidRPr="00994095">
        <w:rPr>
          <w:rFonts w:ascii="Arial" w:hAnsi="Arial" w:cs="Arial"/>
        </w:rPr>
        <w:t xml:space="preserve">Adult zebrafish exposed to TBBPA-DHEE demonstrated a dose-dependent change in swimming behaviour when compared to control and DMSO. </w:t>
      </w:r>
      <w:r w:rsidRPr="00994095">
        <w:rPr>
          <w:rFonts w:ascii="Arial" w:hAnsi="Arial" w:cs="Arial"/>
          <w:lang w:val="en-IN"/>
        </w:rPr>
        <w:t xml:space="preserve">The high-dose TBBPA-DHEE group exhibited a significant reduction in nearest neighbour distance, suggesting that individuals remained in closer proximity, and a substantial decrease in the area occupied within the tank compared to control and DMSO-treated fish </w:t>
      </w:r>
      <w:r w:rsidRPr="00994095">
        <w:rPr>
          <w:rFonts w:ascii="Arial" w:hAnsi="Arial" w:cs="Arial"/>
        </w:rPr>
        <w:t>(Fig. 5A, 5B)</w:t>
      </w:r>
      <w:r w:rsidRPr="00994095">
        <w:rPr>
          <w:rFonts w:ascii="Arial" w:hAnsi="Arial" w:cs="Arial"/>
          <w:lang w:val="en-IN"/>
        </w:rPr>
        <w:t xml:space="preserve">. The medium-dose group displayed intermediate behavioural changes, characterized by moderately reduced nearest neighbour distance and area occupied compared to control and DMSO groups, but less pronounced than those observed in the high-dose group. </w:t>
      </w:r>
      <w:r w:rsidRPr="00994095">
        <w:rPr>
          <w:rFonts w:ascii="Arial" w:hAnsi="Arial" w:cs="Arial"/>
        </w:rPr>
        <w:t xml:space="preserve">However, in fishes exposed to low concentrations of TBBPA-DHEE, only a slight difference with less distance and area covered could be observed and was more in line with the control, </w:t>
      </w:r>
      <w:r w:rsidRPr="00994095">
        <w:rPr>
          <w:rFonts w:ascii="Arial" w:hAnsi="Arial" w:cs="Arial"/>
          <w:lang w:val="en-IN"/>
        </w:rPr>
        <w:t>indicating intact locomotor activity and shoaling dynamics (</w:t>
      </w:r>
      <w:r w:rsidRPr="00994095">
        <w:rPr>
          <w:rFonts w:ascii="Arial" w:hAnsi="Arial" w:cs="Arial"/>
        </w:rPr>
        <w:t>Fig. 5C, 5D)</w:t>
      </w:r>
      <w:r w:rsidRPr="00994095">
        <w:rPr>
          <w:rFonts w:ascii="Arial" w:hAnsi="Arial" w:cs="Arial"/>
          <w:lang w:val="en-IN"/>
        </w:rPr>
        <w:t>. The behavioural endpoints of all the behavioural tests are mentioned in Table 4.</w:t>
      </w:r>
      <w:r w:rsidR="006B7E30">
        <w:rPr>
          <w:rFonts w:ascii="Arial" w:hAnsi="Arial" w:cs="Arial"/>
          <w:lang w:val="en-IN"/>
        </w:rPr>
        <w:br w:type="page"/>
      </w:r>
    </w:p>
    <w:p w14:paraId="175313E4" w14:textId="6A811697" w:rsidR="00DE111C" w:rsidRDefault="00DE111C" w:rsidP="00DE111C">
      <w:pPr>
        <w:spacing w:line="360" w:lineRule="auto"/>
        <w:jc w:val="both"/>
        <w:rPr>
          <w:rFonts w:ascii="Arial" w:hAnsi="Arial" w:cs="Arial"/>
          <w:lang w:val="en-IN"/>
        </w:rPr>
      </w:pPr>
      <w:commentRangeStart w:id="5"/>
      <w:r w:rsidRPr="00994095">
        <w:rPr>
          <w:rFonts w:ascii="Arial" w:hAnsi="Arial" w:cs="Arial"/>
          <w:b/>
          <w:bCs/>
          <w:noProof/>
          <w:szCs w:val="24"/>
        </w:rPr>
        <w:lastRenderedPageBreak/>
        <w:drawing>
          <wp:anchor distT="0" distB="0" distL="114300" distR="114300" simplePos="0" relativeHeight="252225536" behindDoc="0" locked="0" layoutInCell="1" allowOverlap="1" wp14:anchorId="18EF7802" wp14:editId="616FD1D7">
            <wp:simplePos x="0" y="0"/>
            <wp:positionH relativeFrom="margin">
              <wp:posOffset>-154486</wp:posOffset>
            </wp:positionH>
            <wp:positionV relativeFrom="paragraph">
              <wp:posOffset>2105932</wp:posOffset>
            </wp:positionV>
            <wp:extent cx="2934970" cy="1668780"/>
            <wp:effectExtent l="19050" t="19050" r="17780" b="26670"/>
            <wp:wrapSquare wrapText="bothSides"/>
            <wp:docPr id="17939679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67928" name="Picture 17939679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4970" cy="16687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commentRangeEnd w:id="5"/>
      <w:r w:rsidR="00C4365E">
        <w:rPr>
          <w:rStyle w:val="CommentReference"/>
          <w:rFonts w:ascii="Times New Roman" w:hAnsi="Times New Roman"/>
          <w:lang w:val="nb-NO" w:eastAsia="nb-NO"/>
        </w:rPr>
        <w:commentReference w:id="5"/>
      </w:r>
      <w:r w:rsidRPr="00994095">
        <w:rPr>
          <w:rFonts w:ascii="Arial" w:hAnsi="Arial" w:cs="Arial"/>
          <w:b/>
          <w:bCs/>
          <w:noProof/>
          <w:szCs w:val="24"/>
        </w:rPr>
        <w:drawing>
          <wp:anchor distT="0" distB="0" distL="114300" distR="114300" simplePos="0" relativeHeight="252227584" behindDoc="0" locked="0" layoutInCell="1" allowOverlap="1" wp14:anchorId="2D71E435" wp14:editId="76EAD797">
            <wp:simplePos x="0" y="0"/>
            <wp:positionH relativeFrom="column">
              <wp:posOffset>2902222</wp:posOffset>
            </wp:positionH>
            <wp:positionV relativeFrom="paragraph">
              <wp:posOffset>2105842</wp:posOffset>
            </wp:positionV>
            <wp:extent cx="2843530" cy="1614805"/>
            <wp:effectExtent l="19050" t="19050" r="13970" b="23495"/>
            <wp:wrapSquare wrapText="bothSides"/>
            <wp:docPr id="14037423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42393" name="Picture 140374239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3530" cy="1614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commentRangeStart w:id="6"/>
      <w:r w:rsidR="006B7E30" w:rsidRPr="00994095">
        <w:rPr>
          <w:rFonts w:ascii="Arial" w:hAnsi="Arial" w:cs="Arial"/>
          <w:b/>
          <w:bCs/>
          <w:noProof/>
          <w:szCs w:val="24"/>
        </w:rPr>
        <w:drawing>
          <wp:anchor distT="0" distB="0" distL="114300" distR="114300" simplePos="0" relativeHeight="252223488" behindDoc="0" locked="0" layoutInCell="1" allowOverlap="1" wp14:anchorId="07A3BCFD" wp14:editId="27F9D9B5">
            <wp:simplePos x="0" y="0"/>
            <wp:positionH relativeFrom="column">
              <wp:posOffset>2710271</wp:posOffset>
            </wp:positionH>
            <wp:positionV relativeFrom="paragraph">
              <wp:posOffset>363</wp:posOffset>
            </wp:positionV>
            <wp:extent cx="2476500" cy="2002790"/>
            <wp:effectExtent l="0" t="0" r="0" b="0"/>
            <wp:wrapSquare wrapText="bothSides"/>
            <wp:docPr id="182417351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4173514" name="Picture 1824173514"/>
                    <pic:cNvPicPr/>
                  </pic:nvPicPr>
                  <pic:blipFill>
                    <a:blip r:embed="rId35">
                      <a:extLst>
                        <a:ext uri="{28A0092B-C50C-407E-A947-70E740481C1C}">
                          <a14:useLocalDpi xmlns:a14="http://schemas.microsoft.com/office/drawing/2010/main" val="0"/>
                        </a:ext>
                      </a:extLst>
                    </a:blip>
                    <a:stretch>
                      <a:fillRect/>
                    </a:stretch>
                  </pic:blipFill>
                  <pic:spPr>
                    <a:xfrm>
                      <a:off x="0" y="0"/>
                      <a:ext cx="2476500" cy="2002790"/>
                    </a:xfrm>
                    <a:prstGeom prst="rect">
                      <a:avLst/>
                    </a:prstGeom>
                  </pic:spPr>
                </pic:pic>
              </a:graphicData>
            </a:graphic>
            <wp14:sizeRelH relativeFrom="margin">
              <wp14:pctWidth>0</wp14:pctWidth>
            </wp14:sizeRelH>
            <wp14:sizeRelV relativeFrom="margin">
              <wp14:pctHeight>0</wp14:pctHeight>
            </wp14:sizeRelV>
          </wp:anchor>
        </w:drawing>
      </w:r>
      <w:r w:rsidR="006B7E30" w:rsidRPr="00994095">
        <w:rPr>
          <w:rFonts w:ascii="Arial" w:hAnsi="Arial" w:cs="Arial"/>
          <w:b/>
          <w:bCs/>
          <w:noProof/>
          <w:szCs w:val="24"/>
        </w:rPr>
        <w:drawing>
          <wp:anchor distT="0" distB="0" distL="114300" distR="114300" simplePos="0" relativeHeight="252229632" behindDoc="0" locked="0" layoutInCell="1" allowOverlap="1" wp14:anchorId="60333FE0" wp14:editId="65BF514B">
            <wp:simplePos x="0" y="0"/>
            <wp:positionH relativeFrom="margin">
              <wp:posOffset>217624</wp:posOffset>
            </wp:positionH>
            <wp:positionV relativeFrom="paragraph">
              <wp:posOffset>544</wp:posOffset>
            </wp:positionV>
            <wp:extent cx="2487295" cy="2002790"/>
            <wp:effectExtent l="0" t="0" r="0" b="0"/>
            <wp:wrapSquare wrapText="bothSides"/>
            <wp:docPr id="107293949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939494" name="Picture 1072939494"/>
                    <pic:cNvPicPr/>
                  </pic:nvPicPr>
                  <pic:blipFill>
                    <a:blip r:embed="rId36">
                      <a:extLst>
                        <a:ext uri="{28A0092B-C50C-407E-A947-70E740481C1C}">
                          <a14:useLocalDpi xmlns:a14="http://schemas.microsoft.com/office/drawing/2010/main" val="0"/>
                        </a:ext>
                      </a:extLst>
                    </a:blip>
                    <a:stretch>
                      <a:fillRect/>
                    </a:stretch>
                  </pic:blipFill>
                  <pic:spPr>
                    <a:xfrm>
                      <a:off x="0" y="0"/>
                      <a:ext cx="2487295" cy="2002790"/>
                    </a:xfrm>
                    <a:prstGeom prst="rect">
                      <a:avLst/>
                    </a:prstGeom>
                  </pic:spPr>
                </pic:pic>
              </a:graphicData>
            </a:graphic>
            <wp14:sizeRelH relativeFrom="margin">
              <wp14:pctWidth>0</wp14:pctWidth>
            </wp14:sizeRelH>
            <wp14:sizeRelV relativeFrom="margin">
              <wp14:pctHeight>0</wp14:pctHeight>
            </wp14:sizeRelV>
          </wp:anchor>
        </w:drawing>
      </w:r>
      <w:commentRangeEnd w:id="6"/>
      <w:r w:rsidR="00C4365E">
        <w:rPr>
          <w:rStyle w:val="CommentReference"/>
          <w:rFonts w:ascii="Times New Roman" w:hAnsi="Times New Roman"/>
          <w:lang w:val="nb-NO" w:eastAsia="nb-NO"/>
        </w:rPr>
        <w:commentReference w:id="6"/>
      </w:r>
    </w:p>
    <w:p w14:paraId="1368B91D" w14:textId="44E16E59" w:rsidR="00974A6B" w:rsidRPr="00994095" w:rsidRDefault="00712765" w:rsidP="00DE111C">
      <w:pPr>
        <w:spacing w:line="360" w:lineRule="auto"/>
        <w:jc w:val="both"/>
        <w:rPr>
          <w:rFonts w:ascii="Arial" w:hAnsi="Arial" w:cs="Arial"/>
          <w:lang w:val="en-IN"/>
        </w:rPr>
      </w:pPr>
      <w:r w:rsidRPr="00994095">
        <w:rPr>
          <w:rFonts w:ascii="Arial" w:hAnsi="Arial" w:cs="Arial"/>
          <w:b/>
          <w:bCs/>
          <w:lang w:val="en-IN"/>
        </w:rPr>
        <w:t>Fig</w:t>
      </w:r>
      <w:r w:rsidR="00722E4D" w:rsidRPr="00994095">
        <w:rPr>
          <w:rFonts w:ascii="Arial" w:hAnsi="Arial" w:cs="Arial"/>
          <w:b/>
          <w:bCs/>
          <w:lang w:val="en-IN"/>
        </w:rPr>
        <w:t xml:space="preserve">. </w:t>
      </w:r>
      <w:r w:rsidRPr="00994095">
        <w:rPr>
          <w:rFonts w:ascii="Arial" w:hAnsi="Arial" w:cs="Arial"/>
          <w:b/>
          <w:bCs/>
          <w:lang w:val="en-IN"/>
        </w:rPr>
        <w:t>5. Effect of TBBPA-DHEE on the swimming behaviour test concerning these endpoints A) Nearest neighbour distance, B) Area occupied, C) The nearest distance travelled by the fish in the swimming tank, D) The area occupied by the fish in the swimming tank.</w:t>
      </w:r>
      <w:r w:rsidRPr="00994095">
        <w:rPr>
          <w:rFonts w:ascii="Arial" w:hAnsi="Arial" w:cs="Arial"/>
          <w:sz w:val="24"/>
          <w:szCs w:val="24"/>
          <w:lang w:val="en-IN"/>
        </w:rPr>
        <w:t xml:space="preserve"> </w:t>
      </w:r>
      <w:r w:rsidR="00722E4D" w:rsidRPr="00994095">
        <w:rPr>
          <w:rFonts w:ascii="Arial" w:hAnsi="Arial" w:cs="Arial"/>
          <w:i/>
          <w:iCs/>
          <w:sz w:val="18"/>
          <w:szCs w:val="18"/>
          <w:lang w:val="en-IN"/>
        </w:rPr>
        <w:t>Data expressed as mean ± SEM (n = 10 fish/group). *p &lt; 0.05, **p &lt; 0.01; ***p&lt;0.001, compared to control group</w:t>
      </w:r>
    </w:p>
    <w:p w14:paraId="33C95E8E" w14:textId="1C6B6B26" w:rsidR="00722E4D" w:rsidRPr="00994095" w:rsidRDefault="00722E4D" w:rsidP="00722E4D">
      <w:pPr>
        <w:tabs>
          <w:tab w:val="left" w:pos="1080"/>
        </w:tabs>
        <w:spacing w:before="240" w:after="240"/>
        <w:jc w:val="both"/>
        <w:rPr>
          <w:rFonts w:ascii="Arial" w:hAnsi="Arial" w:cs="Arial"/>
          <w:b/>
        </w:rPr>
      </w:pPr>
      <w:r w:rsidRPr="00994095">
        <w:rPr>
          <w:rFonts w:ascii="Arial" w:hAnsi="Arial" w:cs="Arial"/>
          <w:b/>
        </w:rPr>
        <w:t>Table 3. Effect on different endpoints of light-dark test in adult zebrafish following exposure to TBBPA-DHEE</w:t>
      </w:r>
    </w:p>
    <w:tbl>
      <w:tblPr>
        <w:tblStyle w:val="TableGrid"/>
        <w:tblW w:w="9493" w:type="dxa"/>
        <w:tblInd w:w="-645" w:type="dxa"/>
        <w:tblLayout w:type="fixed"/>
        <w:tblLook w:val="01E0" w:firstRow="1" w:lastRow="1" w:firstColumn="1" w:lastColumn="1" w:noHBand="0" w:noVBand="0"/>
      </w:tblPr>
      <w:tblGrid>
        <w:gridCol w:w="1970"/>
        <w:gridCol w:w="1485"/>
        <w:gridCol w:w="1426"/>
        <w:gridCol w:w="1426"/>
        <w:gridCol w:w="1546"/>
        <w:gridCol w:w="1640"/>
      </w:tblGrid>
      <w:tr w:rsidR="00722E4D" w:rsidRPr="00994095" w14:paraId="4E7B9682" w14:textId="77777777" w:rsidTr="00722E4D">
        <w:trPr>
          <w:trHeight w:val="458"/>
        </w:trPr>
        <w:tc>
          <w:tcPr>
            <w:tcW w:w="1970" w:type="dxa"/>
          </w:tcPr>
          <w:p w14:paraId="369747D4" w14:textId="77777777" w:rsidR="00722E4D" w:rsidRPr="00994095" w:rsidRDefault="00722E4D" w:rsidP="00284525">
            <w:pPr>
              <w:pStyle w:val="TableParagraph"/>
              <w:spacing w:line="228" w:lineRule="exact"/>
              <w:ind w:left="559" w:right="195" w:hanging="51"/>
              <w:rPr>
                <w:rFonts w:ascii="Arial" w:hAnsi="Arial" w:cs="Arial"/>
                <w:b/>
                <w:sz w:val="20"/>
                <w:szCs w:val="20"/>
              </w:rPr>
            </w:pPr>
            <w:r w:rsidRPr="00994095">
              <w:rPr>
                <w:rFonts w:ascii="Arial" w:hAnsi="Arial" w:cs="Arial"/>
                <w:b/>
                <w:spacing w:val="-2"/>
                <w:sz w:val="20"/>
                <w:szCs w:val="20"/>
              </w:rPr>
              <w:t>Behavioral endpoints</w:t>
            </w:r>
          </w:p>
        </w:tc>
        <w:tc>
          <w:tcPr>
            <w:tcW w:w="1485" w:type="dxa"/>
          </w:tcPr>
          <w:p w14:paraId="64AB6DAD" w14:textId="77777777" w:rsidR="00722E4D" w:rsidRPr="00994095" w:rsidRDefault="00722E4D" w:rsidP="00284525">
            <w:pPr>
              <w:pStyle w:val="TableParagraph"/>
              <w:ind w:left="22"/>
              <w:jc w:val="center"/>
              <w:rPr>
                <w:rFonts w:ascii="Arial" w:hAnsi="Arial" w:cs="Arial"/>
                <w:b/>
                <w:sz w:val="20"/>
                <w:szCs w:val="20"/>
              </w:rPr>
            </w:pPr>
            <w:r w:rsidRPr="00994095">
              <w:rPr>
                <w:rFonts w:ascii="Arial" w:hAnsi="Arial" w:cs="Arial"/>
                <w:b/>
                <w:spacing w:val="-2"/>
                <w:sz w:val="20"/>
                <w:szCs w:val="20"/>
              </w:rPr>
              <w:t>Control</w:t>
            </w:r>
          </w:p>
        </w:tc>
        <w:tc>
          <w:tcPr>
            <w:tcW w:w="1426" w:type="dxa"/>
          </w:tcPr>
          <w:p w14:paraId="1F9B61A3" w14:textId="77777777" w:rsidR="00722E4D" w:rsidRPr="00994095" w:rsidRDefault="00722E4D" w:rsidP="00284525">
            <w:pPr>
              <w:pStyle w:val="TableParagraph"/>
              <w:spacing w:line="229" w:lineRule="exact"/>
              <w:ind w:left="435"/>
              <w:rPr>
                <w:rFonts w:ascii="Arial" w:hAnsi="Arial" w:cs="Arial"/>
                <w:b/>
                <w:sz w:val="20"/>
                <w:szCs w:val="20"/>
              </w:rPr>
            </w:pPr>
            <w:r w:rsidRPr="00994095">
              <w:rPr>
                <w:rFonts w:ascii="Arial" w:hAnsi="Arial" w:cs="Arial"/>
                <w:b/>
                <w:spacing w:val="-4"/>
                <w:sz w:val="20"/>
                <w:szCs w:val="20"/>
              </w:rPr>
              <w:t>DMSO</w:t>
            </w:r>
          </w:p>
          <w:p w14:paraId="26FD7140" w14:textId="77777777" w:rsidR="00722E4D" w:rsidRPr="00994095" w:rsidRDefault="00722E4D" w:rsidP="00284525">
            <w:pPr>
              <w:pStyle w:val="TableParagraph"/>
              <w:spacing w:line="209" w:lineRule="exact"/>
              <w:ind w:left="431"/>
              <w:rPr>
                <w:rFonts w:ascii="Arial" w:hAnsi="Arial" w:cs="Arial"/>
                <w:b/>
                <w:sz w:val="20"/>
                <w:szCs w:val="20"/>
              </w:rPr>
            </w:pPr>
            <w:r w:rsidRPr="00994095">
              <w:rPr>
                <w:rFonts w:ascii="Arial" w:hAnsi="Arial" w:cs="Arial"/>
                <w:b/>
                <w:spacing w:val="-2"/>
                <w:sz w:val="20"/>
                <w:szCs w:val="20"/>
              </w:rPr>
              <w:t>control</w:t>
            </w:r>
          </w:p>
        </w:tc>
        <w:tc>
          <w:tcPr>
            <w:tcW w:w="1426" w:type="dxa"/>
          </w:tcPr>
          <w:p w14:paraId="63EE5F37" w14:textId="77777777" w:rsidR="00722E4D" w:rsidRPr="00994095" w:rsidRDefault="00722E4D" w:rsidP="00284525">
            <w:pPr>
              <w:pStyle w:val="TableParagraph"/>
              <w:ind w:right="12"/>
              <w:jc w:val="center"/>
              <w:rPr>
                <w:rFonts w:ascii="Arial" w:hAnsi="Arial" w:cs="Arial"/>
                <w:b/>
                <w:sz w:val="20"/>
                <w:szCs w:val="20"/>
              </w:rPr>
            </w:pPr>
            <w:r w:rsidRPr="00994095">
              <w:rPr>
                <w:rFonts w:ascii="Arial" w:hAnsi="Arial" w:cs="Arial"/>
                <w:b/>
                <w:sz w:val="20"/>
                <w:szCs w:val="20"/>
              </w:rPr>
              <w:t>Low</w:t>
            </w:r>
            <w:r w:rsidRPr="00994095">
              <w:rPr>
                <w:rFonts w:ascii="Arial" w:hAnsi="Arial" w:cs="Arial"/>
                <w:b/>
                <w:spacing w:val="-4"/>
                <w:sz w:val="20"/>
                <w:szCs w:val="20"/>
              </w:rPr>
              <w:t xml:space="preserve"> Dose</w:t>
            </w:r>
          </w:p>
        </w:tc>
        <w:tc>
          <w:tcPr>
            <w:tcW w:w="1546" w:type="dxa"/>
          </w:tcPr>
          <w:p w14:paraId="4AC7BF4F" w14:textId="77777777" w:rsidR="00722E4D" w:rsidRPr="00994095" w:rsidRDefault="00722E4D" w:rsidP="00284525">
            <w:pPr>
              <w:pStyle w:val="TableParagraph"/>
              <w:ind w:right="54"/>
              <w:jc w:val="center"/>
              <w:rPr>
                <w:rFonts w:ascii="Arial" w:hAnsi="Arial" w:cs="Arial"/>
                <w:b/>
                <w:sz w:val="20"/>
                <w:szCs w:val="20"/>
              </w:rPr>
            </w:pPr>
            <w:r w:rsidRPr="00994095">
              <w:rPr>
                <w:rFonts w:ascii="Arial" w:hAnsi="Arial" w:cs="Arial"/>
                <w:b/>
                <w:sz w:val="20"/>
                <w:szCs w:val="20"/>
              </w:rPr>
              <w:t>Medium</w:t>
            </w:r>
            <w:r w:rsidRPr="00994095">
              <w:rPr>
                <w:rFonts w:ascii="Arial" w:hAnsi="Arial" w:cs="Arial"/>
                <w:b/>
                <w:spacing w:val="-8"/>
                <w:sz w:val="20"/>
                <w:szCs w:val="20"/>
              </w:rPr>
              <w:t xml:space="preserve"> </w:t>
            </w:r>
            <w:r w:rsidRPr="00994095">
              <w:rPr>
                <w:rFonts w:ascii="Arial" w:hAnsi="Arial" w:cs="Arial"/>
                <w:b/>
                <w:spacing w:val="-4"/>
                <w:sz w:val="20"/>
                <w:szCs w:val="20"/>
              </w:rPr>
              <w:t>Dose</w:t>
            </w:r>
          </w:p>
        </w:tc>
        <w:tc>
          <w:tcPr>
            <w:tcW w:w="1640" w:type="dxa"/>
          </w:tcPr>
          <w:p w14:paraId="6C031CFA" w14:textId="77777777" w:rsidR="00722E4D" w:rsidRPr="00994095" w:rsidRDefault="00722E4D" w:rsidP="00284525">
            <w:pPr>
              <w:pStyle w:val="TableParagraph"/>
              <w:ind w:right="349"/>
              <w:jc w:val="right"/>
              <w:rPr>
                <w:rFonts w:ascii="Arial" w:hAnsi="Arial" w:cs="Arial"/>
                <w:b/>
                <w:sz w:val="20"/>
                <w:szCs w:val="20"/>
              </w:rPr>
            </w:pPr>
            <w:r w:rsidRPr="00994095">
              <w:rPr>
                <w:rFonts w:ascii="Arial" w:hAnsi="Arial" w:cs="Arial"/>
                <w:b/>
                <w:sz w:val="20"/>
                <w:szCs w:val="20"/>
              </w:rPr>
              <w:t>High</w:t>
            </w:r>
            <w:r w:rsidRPr="00994095">
              <w:rPr>
                <w:rFonts w:ascii="Arial" w:hAnsi="Arial" w:cs="Arial"/>
                <w:b/>
                <w:spacing w:val="-6"/>
                <w:sz w:val="20"/>
                <w:szCs w:val="20"/>
              </w:rPr>
              <w:t xml:space="preserve"> </w:t>
            </w:r>
            <w:r w:rsidRPr="00994095">
              <w:rPr>
                <w:rFonts w:ascii="Arial" w:hAnsi="Arial" w:cs="Arial"/>
                <w:b/>
                <w:spacing w:val="-4"/>
                <w:sz w:val="20"/>
                <w:szCs w:val="20"/>
              </w:rPr>
              <w:t>Dose</w:t>
            </w:r>
          </w:p>
        </w:tc>
      </w:tr>
      <w:tr w:rsidR="00722E4D" w:rsidRPr="00994095" w14:paraId="5CF81B42" w14:textId="77777777" w:rsidTr="00722E4D">
        <w:trPr>
          <w:trHeight w:val="460"/>
        </w:trPr>
        <w:tc>
          <w:tcPr>
            <w:tcW w:w="1970" w:type="dxa"/>
          </w:tcPr>
          <w:p w14:paraId="7649E472" w14:textId="77777777" w:rsidR="00722E4D" w:rsidRPr="00994095" w:rsidRDefault="00722E4D" w:rsidP="00284525">
            <w:pPr>
              <w:pStyle w:val="TableParagraph"/>
              <w:spacing w:line="230" w:lineRule="atLeast"/>
              <w:ind w:right="195"/>
              <w:rPr>
                <w:rFonts w:ascii="Arial" w:hAnsi="Arial" w:cs="Arial"/>
                <w:b/>
                <w:sz w:val="20"/>
                <w:szCs w:val="20"/>
              </w:rPr>
            </w:pPr>
            <w:r w:rsidRPr="00994095">
              <w:rPr>
                <w:rFonts w:ascii="Arial" w:hAnsi="Arial" w:cs="Arial"/>
                <w:b/>
                <w:sz w:val="20"/>
                <w:szCs w:val="20"/>
              </w:rPr>
              <w:t>Nearest</w:t>
            </w:r>
            <w:r w:rsidRPr="00994095">
              <w:rPr>
                <w:rFonts w:ascii="Arial" w:hAnsi="Arial" w:cs="Arial"/>
                <w:b/>
                <w:spacing w:val="-13"/>
                <w:sz w:val="20"/>
                <w:szCs w:val="20"/>
              </w:rPr>
              <w:t xml:space="preserve"> </w:t>
            </w:r>
            <w:r w:rsidRPr="00994095">
              <w:rPr>
                <w:rFonts w:ascii="Arial" w:hAnsi="Arial" w:cs="Arial"/>
                <w:b/>
                <w:sz w:val="20"/>
                <w:szCs w:val="20"/>
              </w:rPr>
              <w:t xml:space="preserve">neighbour </w:t>
            </w:r>
            <w:r w:rsidRPr="00994095">
              <w:rPr>
                <w:rFonts w:ascii="Arial" w:hAnsi="Arial" w:cs="Arial"/>
                <w:b/>
                <w:spacing w:val="-2"/>
                <w:sz w:val="20"/>
                <w:szCs w:val="20"/>
              </w:rPr>
              <w:t>distance</w:t>
            </w:r>
          </w:p>
        </w:tc>
        <w:tc>
          <w:tcPr>
            <w:tcW w:w="1485" w:type="dxa"/>
          </w:tcPr>
          <w:p w14:paraId="0BCDE6D9" w14:textId="77777777" w:rsidR="00722E4D" w:rsidRPr="00994095" w:rsidRDefault="00722E4D" w:rsidP="00284525">
            <w:pPr>
              <w:pStyle w:val="TableParagraph"/>
              <w:rPr>
                <w:rFonts w:ascii="Arial" w:hAnsi="Arial" w:cs="Arial"/>
                <w:sz w:val="20"/>
                <w:szCs w:val="20"/>
              </w:rPr>
            </w:pPr>
            <w:r w:rsidRPr="00994095">
              <w:rPr>
                <w:rFonts w:ascii="Arial" w:hAnsi="Arial" w:cs="Arial"/>
                <w:sz w:val="20"/>
                <w:szCs w:val="20"/>
              </w:rPr>
              <w:t>1.77</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0.389</w:t>
            </w:r>
          </w:p>
        </w:tc>
        <w:tc>
          <w:tcPr>
            <w:tcW w:w="1426" w:type="dxa"/>
          </w:tcPr>
          <w:p w14:paraId="751DC901" w14:textId="77777777" w:rsidR="00722E4D" w:rsidRPr="00994095" w:rsidRDefault="00722E4D" w:rsidP="00284525">
            <w:pPr>
              <w:pStyle w:val="TableParagraph"/>
              <w:rPr>
                <w:rFonts w:ascii="Arial" w:hAnsi="Arial" w:cs="Arial"/>
                <w:sz w:val="20"/>
                <w:szCs w:val="20"/>
              </w:rPr>
            </w:pPr>
            <w:r w:rsidRPr="00994095">
              <w:rPr>
                <w:rFonts w:ascii="Arial" w:hAnsi="Arial" w:cs="Arial"/>
                <w:sz w:val="20"/>
                <w:szCs w:val="20"/>
              </w:rPr>
              <w:t>1.47</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0.353</w:t>
            </w:r>
          </w:p>
        </w:tc>
        <w:tc>
          <w:tcPr>
            <w:tcW w:w="1426" w:type="dxa"/>
          </w:tcPr>
          <w:p w14:paraId="12B511B8" w14:textId="77777777" w:rsidR="00722E4D" w:rsidRPr="00994095" w:rsidRDefault="00722E4D" w:rsidP="00284525">
            <w:pPr>
              <w:pStyle w:val="TableParagraph"/>
              <w:rPr>
                <w:rFonts w:ascii="Arial" w:hAnsi="Arial" w:cs="Arial"/>
                <w:b/>
                <w:sz w:val="20"/>
                <w:szCs w:val="20"/>
              </w:rPr>
            </w:pPr>
            <w:r w:rsidRPr="00994095">
              <w:rPr>
                <w:rFonts w:ascii="Arial" w:hAnsi="Arial" w:cs="Arial"/>
                <w:sz w:val="20"/>
                <w:szCs w:val="20"/>
              </w:rPr>
              <w:t>0.88</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0.287</w:t>
            </w:r>
            <w:r w:rsidRPr="00994095">
              <w:rPr>
                <w:rFonts w:ascii="Arial" w:hAnsi="Arial" w:cs="Arial"/>
                <w:b/>
                <w:spacing w:val="-2"/>
                <w:sz w:val="20"/>
                <w:szCs w:val="20"/>
                <w:vertAlign w:val="superscript"/>
              </w:rPr>
              <w:t>*</w:t>
            </w:r>
          </w:p>
        </w:tc>
        <w:tc>
          <w:tcPr>
            <w:tcW w:w="1546" w:type="dxa"/>
          </w:tcPr>
          <w:p w14:paraId="4775781D" w14:textId="77777777" w:rsidR="00722E4D" w:rsidRPr="00994095" w:rsidRDefault="00722E4D" w:rsidP="00284525">
            <w:pPr>
              <w:pStyle w:val="TableParagraph"/>
              <w:ind w:left="241"/>
              <w:rPr>
                <w:rFonts w:ascii="Arial" w:hAnsi="Arial" w:cs="Arial"/>
                <w:sz w:val="20"/>
                <w:szCs w:val="20"/>
              </w:rPr>
            </w:pPr>
            <w:r w:rsidRPr="00994095">
              <w:rPr>
                <w:rFonts w:ascii="Arial" w:hAnsi="Arial" w:cs="Arial"/>
                <w:sz w:val="20"/>
                <w:szCs w:val="20"/>
              </w:rPr>
              <w:t>0.83</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2"/>
                <w:sz w:val="20"/>
                <w:szCs w:val="20"/>
              </w:rPr>
              <w:t>0.270</w:t>
            </w:r>
          </w:p>
        </w:tc>
        <w:tc>
          <w:tcPr>
            <w:tcW w:w="1640" w:type="dxa"/>
          </w:tcPr>
          <w:p w14:paraId="008DDA30" w14:textId="77777777" w:rsidR="00722E4D" w:rsidRPr="00994095" w:rsidRDefault="00722E4D" w:rsidP="00284525">
            <w:pPr>
              <w:pStyle w:val="TableParagraph"/>
              <w:ind w:right="250"/>
              <w:rPr>
                <w:rFonts w:ascii="Arial" w:hAnsi="Arial" w:cs="Arial"/>
                <w:b/>
                <w:sz w:val="20"/>
                <w:szCs w:val="20"/>
              </w:rPr>
            </w:pPr>
            <w:r w:rsidRPr="00994095">
              <w:rPr>
                <w:rFonts w:ascii="Arial" w:hAnsi="Arial" w:cs="Arial"/>
                <w:sz w:val="20"/>
                <w:szCs w:val="20"/>
              </w:rPr>
              <w:t>0.55±</w:t>
            </w:r>
            <w:r w:rsidRPr="00994095">
              <w:rPr>
                <w:rFonts w:ascii="Arial" w:hAnsi="Arial" w:cs="Arial"/>
                <w:spacing w:val="-2"/>
                <w:sz w:val="20"/>
                <w:szCs w:val="20"/>
              </w:rPr>
              <w:t>0.177</w:t>
            </w:r>
            <w:r w:rsidRPr="00994095">
              <w:rPr>
                <w:rFonts w:ascii="Arial" w:hAnsi="Arial" w:cs="Arial"/>
                <w:b/>
                <w:spacing w:val="-2"/>
                <w:sz w:val="20"/>
                <w:szCs w:val="20"/>
                <w:vertAlign w:val="superscript"/>
              </w:rPr>
              <w:t>*</w:t>
            </w:r>
          </w:p>
        </w:tc>
      </w:tr>
      <w:tr w:rsidR="00722E4D" w:rsidRPr="00994095" w14:paraId="3F0785E8" w14:textId="77777777" w:rsidTr="00722E4D">
        <w:trPr>
          <w:trHeight w:val="395"/>
        </w:trPr>
        <w:tc>
          <w:tcPr>
            <w:tcW w:w="1970" w:type="dxa"/>
          </w:tcPr>
          <w:p w14:paraId="353A992E" w14:textId="77777777" w:rsidR="00722E4D" w:rsidRPr="00994095" w:rsidRDefault="00722E4D" w:rsidP="00284525">
            <w:pPr>
              <w:pStyle w:val="TableParagraph"/>
              <w:rPr>
                <w:rFonts w:ascii="Arial" w:hAnsi="Arial" w:cs="Arial"/>
                <w:b/>
                <w:sz w:val="20"/>
                <w:szCs w:val="20"/>
              </w:rPr>
            </w:pPr>
            <w:r w:rsidRPr="00994095">
              <w:rPr>
                <w:rFonts w:ascii="Arial" w:hAnsi="Arial" w:cs="Arial"/>
                <w:b/>
                <w:sz w:val="20"/>
                <w:szCs w:val="20"/>
              </w:rPr>
              <w:t>Area</w:t>
            </w:r>
            <w:r w:rsidRPr="00994095">
              <w:rPr>
                <w:rFonts w:ascii="Arial" w:hAnsi="Arial" w:cs="Arial"/>
                <w:b/>
                <w:spacing w:val="-9"/>
                <w:sz w:val="20"/>
                <w:szCs w:val="20"/>
              </w:rPr>
              <w:t xml:space="preserve"> </w:t>
            </w:r>
            <w:r w:rsidRPr="00994095">
              <w:rPr>
                <w:rFonts w:ascii="Arial" w:hAnsi="Arial" w:cs="Arial"/>
                <w:b/>
                <w:spacing w:val="-2"/>
                <w:sz w:val="20"/>
                <w:szCs w:val="20"/>
              </w:rPr>
              <w:t>occupied</w:t>
            </w:r>
          </w:p>
        </w:tc>
        <w:tc>
          <w:tcPr>
            <w:tcW w:w="1485" w:type="dxa"/>
          </w:tcPr>
          <w:p w14:paraId="241355BA" w14:textId="77777777" w:rsidR="00722E4D" w:rsidRPr="00994095" w:rsidRDefault="00722E4D" w:rsidP="00284525">
            <w:pPr>
              <w:pStyle w:val="TableParagraph"/>
              <w:rPr>
                <w:rFonts w:ascii="Arial" w:hAnsi="Arial" w:cs="Arial"/>
                <w:sz w:val="20"/>
                <w:szCs w:val="20"/>
              </w:rPr>
            </w:pPr>
            <w:r w:rsidRPr="00994095">
              <w:rPr>
                <w:rFonts w:ascii="Arial" w:hAnsi="Arial" w:cs="Arial"/>
                <w:sz w:val="20"/>
                <w:szCs w:val="20"/>
              </w:rPr>
              <w:t>11.10</w:t>
            </w:r>
            <w:r w:rsidRPr="00994095">
              <w:rPr>
                <w:rFonts w:ascii="Arial" w:hAnsi="Arial" w:cs="Arial"/>
                <w:spacing w:val="-6"/>
                <w:sz w:val="20"/>
                <w:szCs w:val="20"/>
              </w:rPr>
              <w:t xml:space="preserve"> </w:t>
            </w:r>
            <w:r w:rsidRPr="00994095">
              <w:rPr>
                <w:rFonts w:ascii="Arial" w:hAnsi="Arial" w:cs="Arial"/>
                <w:sz w:val="20"/>
                <w:szCs w:val="20"/>
              </w:rPr>
              <w:t>±</w:t>
            </w:r>
            <w:r w:rsidRPr="00994095">
              <w:rPr>
                <w:rFonts w:ascii="Arial" w:hAnsi="Arial" w:cs="Arial"/>
                <w:spacing w:val="-5"/>
                <w:sz w:val="20"/>
                <w:szCs w:val="20"/>
              </w:rPr>
              <w:t xml:space="preserve"> </w:t>
            </w:r>
            <w:r w:rsidRPr="00994095">
              <w:rPr>
                <w:rFonts w:ascii="Arial" w:hAnsi="Arial" w:cs="Arial"/>
                <w:spacing w:val="-2"/>
                <w:sz w:val="20"/>
                <w:szCs w:val="20"/>
              </w:rPr>
              <w:t>0.995</w:t>
            </w:r>
          </w:p>
        </w:tc>
        <w:tc>
          <w:tcPr>
            <w:tcW w:w="1426" w:type="dxa"/>
          </w:tcPr>
          <w:p w14:paraId="14CC7626" w14:textId="77777777" w:rsidR="00722E4D" w:rsidRPr="00994095" w:rsidRDefault="00722E4D" w:rsidP="00284525">
            <w:pPr>
              <w:pStyle w:val="TableParagraph"/>
              <w:rPr>
                <w:rFonts w:ascii="Arial" w:hAnsi="Arial" w:cs="Arial"/>
                <w:sz w:val="20"/>
                <w:szCs w:val="20"/>
              </w:rPr>
            </w:pPr>
            <w:r w:rsidRPr="00994095">
              <w:rPr>
                <w:rFonts w:ascii="Arial" w:hAnsi="Arial" w:cs="Arial"/>
                <w:sz w:val="20"/>
                <w:szCs w:val="20"/>
              </w:rPr>
              <w:t>10.02</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1.257</w:t>
            </w:r>
          </w:p>
        </w:tc>
        <w:tc>
          <w:tcPr>
            <w:tcW w:w="1426" w:type="dxa"/>
          </w:tcPr>
          <w:p w14:paraId="02DD3E6A" w14:textId="77777777" w:rsidR="00722E4D" w:rsidRPr="00994095" w:rsidRDefault="00722E4D" w:rsidP="00284525">
            <w:pPr>
              <w:pStyle w:val="TableParagraph"/>
              <w:rPr>
                <w:rFonts w:ascii="Arial" w:hAnsi="Arial" w:cs="Arial"/>
                <w:b/>
                <w:sz w:val="20"/>
                <w:szCs w:val="20"/>
              </w:rPr>
            </w:pPr>
            <w:r w:rsidRPr="00994095">
              <w:rPr>
                <w:rFonts w:ascii="Arial" w:hAnsi="Arial" w:cs="Arial"/>
                <w:sz w:val="20"/>
                <w:szCs w:val="20"/>
              </w:rPr>
              <w:t>4.62</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1.191</w:t>
            </w:r>
            <w:r w:rsidRPr="00994095">
              <w:rPr>
                <w:rFonts w:ascii="Arial" w:hAnsi="Arial" w:cs="Arial"/>
                <w:b/>
                <w:spacing w:val="-2"/>
                <w:sz w:val="20"/>
                <w:szCs w:val="20"/>
                <w:vertAlign w:val="superscript"/>
              </w:rPr>
              <w:t>**</w:t>
            </w:r>
          </w:p>
        </w:tc>
        <w:tc>
          <w:tcPr>
            <w:tcW w:w="1546" w:type="dxa"/>
          </w:tcPr>
          <w:p w14:paraId="7CB01B3B" w14:textId="77777777" w:rsidR="00722E4D" w:rsidRPr="00994095" w:rsidRDefault="00722E4D" w:rsidP="00284525">
            <w:pPr>
              <w:pStyle w:val="TableParagraph"/>
              <w:rPr>
                <w:rFonts w:ascii="Arial" w:hAnsi="Arial" w:cs="Arial"/>
                <w:b/>
                <w:sz w:val="20"/>
                <w:szCs w:val="20"/>
              </w:rPr>
            </w:pPr>
            <w:r w:rsidRPr="00994095">
              <w:rPr>
                <w:rFonts w:ascii="Arial" w:hAnsi="Arial" w:cs="Arial"/>
                <w:sz w:val="20"/>
                <w:szCs w:val="20"/>
              </w:rPr>
              <w:t>4.27</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0.854</w:t>
            </w:r>
            <w:r w:rsidRPr="00994095">
              <w:rPr>
                <w:rFonts w:ascii="Arial" w:hAnsi="Arial" w:cs="Arial"/>
                <w:b/>
                <w:spacing w:val="-2"/>
                <w:sz w:val="20"/>
                <w:szCs w:val="20"/>
                <w:vertAlign w:val="superscript"/>
              </w:rPr>
              <w:t>***</w:t>
            </w:r>
          </w:p>
        </w:tc>
        <w:tc>
          <w:tcPr>
            <w:tcW w:w="1640" w:type="dxa"/>
          </w:tcPr>
          <w:p w14:paraId="0B11A585" w14:textId="77777777" w:rsidR="00722E4D" w:rsidRPr="00994095" w:rsidRDefault="00722E4D" w:rsidP="00284525">
            <w:pPr>
              <w:pStyle w:val="TableParagraph"/>
              <w:ind w:right="286"/>
              <w:rPr>
                <w:rFonts w:ascii="Arial" w:hAnsi="Arial" w:cs="Arial"/>
                <w:sz w:val="20"/>
                <w:szCs w:val="20"/>
              </w:rPr>
            </w:pPr>
            <w:r w:rsidRPr="00994095">
              <w:rPr>
                <w:rFonts w:ascii="Arial" w:hAnsi="Arial" w:cs="Arial"/>
                <w:sz w:val="20"/>
                <w:szCs w:val="20"/>
              </w:rPr>
              <w:t>3.45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0.851</w:t>
            </w:r>
          </w:p>
        </w:tc>
      </w:tr>
    </w:tbl>
    <w:p w14:paraId="44A1D2BC" w14:textId="49F82F64" w:rsidR="00DE111C" w:rsidRDefault="00722E4D" w:rsidP="00DE111C">
      <w:pPr>
        <w:pStyle w:val="BodyText"/>
        <w:spacing w:before="1" w:line="261" w:lineRule="auto"/>
        <w:ind w:right="256"/>
        <w:jc w:val="both"/>
        <w:rPr>
          <w:rFonts w:ascii="Arial" w:hAnsi="Arial" w:cs="Arial"/>
          <w:i/>
          <w:iCs/>
          <w:spacing w:val="-2"/>
          <w:sz w:val="18"/>
          <w:szCs w:val="18"/>
        </w:rPr>
      </w:pPr>
      <w:r w:rsidRPr="00994095">
        <w:rPr>
          <w:rFonts w:ascii="Arial" w:hAnsi="Arial" w:cs="Arial"/>
          <w:i/>
          <w:iCs/>
          <w:sz w:val="18"/>
          <w:szCs w:val="18"/>
        </w:rPr>
        <w:t>Data</w:t>
      </w:r>
      <w:r w:rsidRPr="00994095">
        <w:rPr>
          <w:rFonts w:ascii="Arial" w:hAnsi="Arial" w:cs="Arial"/>
          <w:i/>
          <w:iCs/>
          <w:spacing w:val="-9"/>
          <w:sz w:val="18"/>
          <w:szCs w:val="18"/>
        </w:rPr>
        <w:t xml:space="preserve"> </w:t>
      </w:r>
      <w:r w:rsidRPr="00994095">
        <w:rPr>
          <w:rFonts w:ascii="Arial" w:hAnsi="Arial" w:cs="Arial"/>
          <w:i/>
          <w:iCs/>
          <w:sz w:val="18"/>
          <w:szCs w:val="18"/>
        </w:rPr>
        <w:t>of</w:t>
      </w:r>
      <w:r w:rsidRPr="00994095">
        <w:rPr>
          <w:rFonts w:ascii="Arial" w:hAnsi="Arial" w:cs="Arial"/>
          <w:i/>
          <w:iCs/>
          <w:spacing w:val="-5"/>
          <w:sz w:val="18"/>
          <w:szCs w:val="18"/>
        </w:rPr>
        <w:t xml:space="preserve"> </w:t>
      </w:r>
      <w:r w:rsidRPr="00994095">
        <w:rPr>
          <w:rFonts w:ascii="Arial" w:hAnsi="Arial" w:cs="Arial"/>
          <w:i/>
          <w:iCs/>
          <w:sz w:val="18"/>
          <w:szCs w:val="18"/>
        </w:rPr>
        <w:t>experimental</w:t>
      </w:r>
      <w:r w:rsidRPr="00994095">
        <w:rPr>
          <w:rFonts w:ascii="Arial" w:hAnsi="Arial" w:cs="Arial"/>
          <w:i/>
          <w:iCs/>
          <w:spacing w:val="-5"/>
          <w:sz w:val="18"/>
          <w:szCs w:val="18"/>
        </w:rPr>
        <w:t xml:space="preserve"> </w:t>
      </w:r>
      <w:r w:rsidRPr="00994095">
        <w:rPr>
          <w:rFonts w:ascii="Arial" w:hAnsi="Arial" w:cs="Arial"/>
          <w:i/>
          <w:iCs/>
          <w:sz w:val="18"/>
          <w:szCs w:val="18"/>
        </w:rPr>
        <w:t>groups</w:t>
      </w:r>
      <w:r w:rsidRPr="00994095">
        <w:rPr>
          <w:rFonts w:ascii="Arial" w:hAnsi="Arial" w:cs="Arial"/>
          <w:i/>
          <w:iCs/>
          <w:spacing w:val="-6"/>
          <w:sz w:val="18"/>
          <w:szCs w:val="18"/>
        </w:rPr>
        <w:t xml:space="preserve"> </w:t>
      </w:r>
      <w:r w:rsidRPr="00994095">
        <w:rPr>
          <w:rFonts w:ascii="Arial" w:hAnsi="Arial" w:cs="Arial"/>
          <w:i/>
          <w:iCs/>
          <w:sz w:val="18"/>
          <w:szCs w:val="18"/>
        </w:rPr>
        <w:t>are</w:t>
      </w:r>
      <w:r w:rsidRPr="00994095">
        <w:rPr>
          <w:rFonts w:ascii="Arial" w:hAnsi="Arial" w:cs="Arial"/>
          <w:i/>
          <w:iCs/>
          <w:spacing w:val="-5"/>
          <w:sz w:val="18"/>
          <w:szCs w:val="18"/>
        </w:rPr>
        <w:t xml:space="preserve"> </w:t>
      </w:r>
      <w:r w:rsidRPr="00994095">
        <w:rPr>
          <w:rFonts w:ascii="Arial" w:hAnsi="Arial" w:cs="Arial"/>
          <w:i/>
          <w:iCs/>
          <w:sz w:val="18"/>
          <w:szCs w:val="18"/>
        </w:rPr>
        <w:t>compared</w:t>
      </w:r>
      <w:r w:rsidRPr="00994095">
        <w:rPr>
          <w:rFonts w:ascii="Arial" w:hAnsi="Arial" w:cs="Arial"/>
          <w:i/>
          <w:iCs/>
          <w:spacing w:val="-4"/>
          <w:sz w:val="18"/>
          <w:szCs w:val="18"/>
        </w:rPr>
        <w:t xml:space="preserve"> </w:t>
      </w:r>
      <w:r w:rsidRPr="00994095">
        <w:rPr>
          <w:rFonts w:ascii="Arial" w:hAnsi="Arial" w:cs="Arial"/>
          <w:i/>
          <w:iCs/>
          <w:sz w:val="18"/>
          <w:szCs w:val="18"/>
        </w:rPr>
        <w:t>with</w:t>
      </w:r>
      <w:r w:rsidRPr="00994095">
        <w:rPr>
          <w:rFonts w:ascii="Arial" w:hAnsi="Arial" w:cs="Arial"/>
          <w:i/>
          <w:iCs/>
          <w:spacing w:val="-4"/>
          <w:sz w:val="18"/>
          <w:szCs w:val="18"/>
        </w:rPr>
        <w:t xml:space="preserve"> </w:t>
      </w:r>
      <w:r w:rsidRPr="00994095">
        <w:rPr>
          <w:rFonts w:ascii="Arial" w:hAnsi="Arial" w:cs="Arial"/>
          <w:i/>
          <w:iCs/>
          <w:sz w:val="18"/>
          <w:szCs w:val="18"/>
        </w:rPr>
        <w:t>control</w:t>
      </w:r>
      <w:r w:rsidRPr="00994095">
        <w:rPr>
          <w:rFonts w:ascii="Arial" w:hAnsi="Arial" w:cs="Arial"/>
          <w:i/>
          <w:iCs/>
          <w:spacing w:val="-6"/>
          <w:sz w:val="18"/>
          <w:szCs w:val="18"/>
        </w:rPr>
        <w:t xml:space="preserve"> </w:t>
      </w:r>
      <w:r w:rsidRPr="00994095">
        <w:rPr>
          <w:rFonts w:ascii="Arial" w:hAnsi="Arial" w:cs="Arial"/>
          <w:i/>
          <w:iCs/>
          <w:sz w:val="18"/>
          <w:szCs w:val="18"/>
        </w:rPr>
        <w:t>animals</w:t>
      </w:r>
      <w:r w:rsidRPr="00994095">
        <w:rPr>
          <w:rFonts w:ascii="Arial" w:hAnsi="Arial" w:cs="Arial"/>
          <w:i/>
          <w:iCs/>
          <w:spacing w:val="-6"/>
          <w:sz w:val="18"/>
          <w:szCs w:val="18"/>
        </w:rPr>
        <w:t xml:space="preserve"> </w:t>
      </w:r>
      <w:r w:rsidRPr="00994095">
        <w:rPr>
          <w:rFonts w:ascii="Arial" w:hAnsi="Arial" w:cs="Arial"/>
          <w:i/>
          <w:iCs/>
          <w:sz w:val="18"/>
          <w:szCs w:val="18"/>
        </w:rPr>
        <w:t>using</w:t>
      </w:r>
      <w:r w:rsidRPr="00994095">
        <w:rPr>
          <w:rFonts w:ascii="Arial" w:hAnsi="Arial" w:cs="Arial"/>
          <w:i/>
          <w:iCs/>
          <w:spacing w:val="-4"/>
          <w:sz w:val="18"/>
          <w:szCs w:val="18"/>
        </w:rPr>
        <w:t xml:space="preserve"> </w:t>
      </w:r>
      <w:r w:rsidRPr="00994095">
        <w:rPr>
          <w:rFonts w:ascii="Arial" w:hAnsi="Arial" w:cs="Arial"/>
          <w:i/>
          <w:iCs/>
          <w:sz w:val="18"/>
          <w:szCs w:val="18"/>
        </w:rPr>
        <w:t>one</w:t>
      </w:r>
      <w:r w:rsidRPr="00994095">
        <w:rPr>
          <w:rFonts w:ascii="Arial" w:hAnsi="Arial" w:cs="Arial"/>
          <w:i/>
          <w:iCs/>
          <w:spacing w:val="-5"/>
          <w:sz w:val="18"/>
          <w:szCs w:val="18"/>
        </w:rPr>
        <w:t xml:space="preserve"> </w:t>
      </w:r>
      <w:r w:rsidRPr="00994095">
        <w:rPr>
          <w:rFonts w:ascii="Arial" w:hAnsi="Arial" w:cs="Arial"/>
          <w:i/>
          <w:iCs/>
          <w:sz w:val="18"/>
          <w:szCs w:val="18"/>
        </w:rPr>
        <w:t>way</w:t>
      </w:r>
      <w:r w:rsidRPr="00994095">
        <w:rPr>
          <w:rFonts w:ascii="Arial" w:hAnsi="Arial" w:cs="Arial"/>
          <w:i/>
          <w:iCs/>
          <w:spacing w:val="-13"/>
          <w:sz w:val="18"/>
          <w:szCs w:val="18"/>
        </w:rPr>
        <w:t xml:space="preserve"> </w:t>
      </w:r>
      <w:r w:rsidRPr="00994095">
        <w:rPr>
          <w:rFonts w:ascii="Arial" w:hAnsi="Arial" w:cs="Arial"/>
          <w:i/>
          <w:iCs/>
          <w:sz w:val="18"/>
          <w:szCs w:val="18"/>
        </w:rPr>
        <w:t>ANOVA</w:t>
      </w:r>
      <w:r w:rsidRPr="00994095">
        <w:rPr>
          <w:rFonts w:ascii="Arial" w:hAnsi="Arial" w:cs="Arial"/>
          <w:i/>
          <w:iCs/>
          <w:spacing w:val="-12"/>
          <w:sz w:val="18"/>
          <w:szCs w:val="18"/>
        </w:rPr>
        <w:t xml:space="preserve"> </w:t>
      </w:r>
      <w:r w:rsidRPr="00994095">
        <w:rPr>
          <w:rFonts w:ascii="Arial" w:hAnsi="Arial" w:cs="Arial"/>
          <w:i/>
          <w:iCs/>
          <w:sz w:val="18"/>
          <w:szCs w:val="18"/>
        </w:rPr>
        <w:t>followed</w:t>
      </w:r>
      <w:r w:rsidRPr="00994095">
        <w:rPr>
          <w:rFonts w:ascii="Arial" w:hAnsi="Arial" w:cs="Arial"/>
          <w:i/>
          <w:iCs/>
          <w:spacing w:val="-4"/>
          <w:sz w:val="18"/>
          <w:szCs w:val="18"/>
        </w:rPr>
        <w:t xml:space="preserve"> </w:t>
      </w:r>
      <w:r w:rsidRPr="00994095">
        <w:rPr>
          <w:rFonts w:ascii="Arial" w:hAnsi="Arial" w:cs="Arial"/>
          <w:i/>
          <w:iCs/>
          <w:sz w:val="18"/>
          <w:szCs w:val="18"/>
        </w:rPr>
        <w:t>post</w:t>
      </w:r>
      <w:r w:rsidRPr="00994095">
        <w:rPr>
          <w:rFonts w:ascii="Arial" w:hAnsi="Arial" w:cs="Arial"/>
          <w:i/>
          <w:iCs/>
          <w:spacing w:val="-6"/>
          <w:sz w:val="18"/>
          <w:szCs w:val="18"/>
        </w:rPr>
        <w:t xml:space="preserve"> </w:t>
      </w:r>
      <w:r w:rsidRPr="00994095">
        <w:rPr>
          <w:rFonts w:ascii="Arial" w:hAnsi="Arial" w:cs="Arial"/>
          <w:i/>
          <w:iCs/>
          <w:sz w:val="18"/>
          <w:szCs w:val="18"/>
        </w:rPr>
        <w:t>hoc</w:t>
      </w:r>
      <w:r w:rsidRPr="00994095">
        <w:rPr>
          <w:rFonts w:ascii="Arial" w:hAnsi="Arial" w:cs="Arial"/>
          <w:i/>
          <w:iCs/>
          <w:spacing w:val="-5"/>
          <w:sz w:val="18"/>
          <w:szCs w:val="18"/>
        </w:rPr>
        <w:t xml:space="preserve"> </w:t>
      </w:r>
      <w:r w:rsidRPr="00994095">
        <w:rPr>
          <w:rFonts w:ascii="Arial" w:hAnsi="Arial" w:cs="Arial"/>
          <w:i/>
          <w:iCs/>
          <w:sz w:val="18"/>
          <w:szCs w:val="18"/>
        </w:rPr>
        <w:t>test, showing</w:t>
      </w:r>
      <w:r w:rsidRPr="00994095">
        <w:rPr>
          <w:rFonts w:ascii="Arial" w:hAnsi="Arial" w:cs="Arial"/>
          <w:i/>
          <w:iCs/>
          <w:spacing w:val="-3"/>
          <w:sz w:val="18"/>
          <w:szCs w:val="18"/>
        </w:rPr>
        <w:t xml:space="preserve"> </w:t>
      </w:r>
      <w:r w:rsidRPr="00994095">
        <w:rPr>
          <w:rFonts w:ascii="Arial" w:hAnsi="Arial" w:cs="Arial"/>
          <w:i/>
          <w:iCs/>
          <w:sz w:val="18"/>
          <w:szCs w:val="18"/>
        </w:rPr>
        <w:t>significant</w:t>
      </w:r>
      <w:r w:rsidRPr="00994095">
        <w:rPr>
          <w:rFonts w:ascii="Arial" w:hAnsi="Arial" w:cs="Arial"/>
          <w:i/>
          <w:iCs/>
          <w:spacing w:val="-5"/>
          <w:sz w:val="18"/>
          <w:szCs w:val="18"/>
        </w:rPr>
        <w:t xml:space="preserve"> </w:t>
      </w:r>
      <w:r w:rsidRPr="00994095">
        <w:rPr>
          <w:rFonts w:ascii="Arial" w:hAnsi="Arial" w:cs="Arial"/>
          <w:i/>
          <w:iCs/>
          <w:sz w:val="18"/>
          <w:szCs w:val="18"/>
        </w:rPr>
        <w:t>difference</w:t>
      </w:r>
      <w:r w:rsidRPr="00994095">
        <w:rPr>
          <w:rFonts w:ascii="Arial" w:hAnsi="Arial" w:cs="Arial"/>
          <w:i/>
          <w:iCs/>
          <w:spacing w:val="-5"/>
          <w:sz w:val="18"/>
          <w:szCs w:val="18"/>
        </w:rPr>
        <w:t xml:space="preserve"> </w:t>
      </w:r>
      <w:r w:rsidRPr="00994095">
        <w:rPr>
          <w:rFonts w:ascii="Arial" w:hAnsi="Arial" w:cs="Arial"/>
          <w:i/>
          <w:iCs/>
          <w:sz w:val="18"/>
          <w:szCs w:val="18"/>
        </w:rPr>
        <w:t>at</w:t>
      </w:r>
      <w:r w:rsidRPr="00994095">
        <w:rPr>
          <w:rFonts w:ascii="Arial" w:hAnsi="Arial" w:cs="Arial"/>
          <w:i/>
          <w:iCs/>
          <w:spacing w:val="-4"/>
          <w:sz w:val="18"/>
          <w:szCs w:val="18"/>
        </w:rPr>
        <w:t xml:space="preserve"> </w:t>
      </w:r>
      <w:r w:rsidRPr="00994095">
        <w:rPr>
          <w:rFonts w:ascii="Arial" w:hAnsi="Arial" w:cs="Arial"/>
          <w:i/>
          <w:iCs/>
          <w:sz w:val="18"/>
          <w:szCs w:val="18"/>
        </w:rPr>
        <w:t>p</w:t>
      </w:r>
      <w:r w:rsidRPr="00994095">
        <w:rPr>
          <w:rFonts w:ascii="Arial" w:hAnsi="Arial" w:cs="Arial"/>
          <w:i/>
          <w:iCs/>
          <w:spacing w:val="-2"/>
          <w:sz w:val="18"/>
          <w:szCs w:val="18"/>
        </w:rPr>
        <w:t xml:space="preserve"> </w:t>
      </w:r>
      <w:r w:rsidRPr="00994095">
        <w:rPr>
          <w:rFonts w:ascii="Arial" w:hAnsi="Arial" w:cs="Arial"/>
          <w:i/>
          <w:iCs/>
          <w:sz w:val="18"/>
          <w:szCs w:val="18"/>
        </w:rPr>
        <w:t>values:</w:t>
      </w:r>
      <w:r w:rsidRPr="00994095">
        <w:rPr>
          <w:rFonts w:ascii="Arial" w:hAnsi="Arial" w:cs="Arial"/>
          <w:i/>
          <w:iCs/>
          <w:spacing w:val="-5"/>
          <w:sz w:val="18"/>
          <w:szCs w:val="18"/>
        </w:rPr>
        <w:t xml:space="preserve"> </w:t>
      </w:r>
      <w:r w:rsidRPr="00994095">
        <w:rPr>
          <w:rFonts w:ascii="Arial" w:hAnsi="Arial" w:cs="Arial"/>
          <w:i/>
          <w:iCs/>
          <w:sz w:val="18"/>
          <w:szCs w:val="18"/>
        </w:rPr>
        <w:t>*</w:t>
      </w:r>
      <w:r w:rsidRPr="00994095">
        <w:rPr>
          <w:rFonts w:ascii="Arial" w:hAnsi="Arial" w:cs="Arial"/>
          <w:i/>
          <w:iCs/>
          <w:spacing w:val="-2"/>
          <w:sz w:val="18"/>
          <w:szCs w:val="18"/>
        </w:rPr>
        <w:t xml:space="preserve"> </w:t>
      </w:r>
      <w:r w:rsidRPr="00994095">
        <w:rPr>
          <w:rFonts w:ascii="Arial" w:hAnsi="Arial" w:cs="Arial"/>
          <w:i/>
          <w:iCs/>
          <w:sz w:val="18"/>
          <w:szCs w:val="18"/>
        </w:rPr>
        <w:t>shows</w:t>
      </w:r>
      <w:r w:rsidRPr="00994095">
        <w:rPr>
          <w:rFonts w:ascii="Arial" w:hAnsi="Arial" w:cs="Arial"/>
          <w:i/>
          <w:iCs/>
          <w:spacing w:val="-5"/>
          <w:sz w:val="18"/>
          <w:szCs w:val="18"/>
        </w:rPr>
        <w:t xml:space="preserve"> </w:t>
      </w:r>
      <w:r w:rsidRPr="00994095">
        <w:rPr>
          <w:rFonts w:ascii="Arial" w:hAnsi="Arial" w:cs="Arial"/>
          <w:i/>
          <w:iCs/>
          <w:sz w:val="18"/>
          <w:szCs w:val="18"/>
        </w:rPr>
        <w:t>p&lt;</w:t>
      </w:r>
      <w:r w:rsidRPr="00994095">
        <w:rPr>
          <w:rFonts w:ascii="Arial" w:hAnsi="Arial" w:cs="Arial"/>
          <w:i/>
          <w:iCs/>
          <w:spacing w:val="-4"/>
          <w:sz w:val="18"/>
          <w:szCs w:val="18"/>
        </w:rPr>
        <w:t xml:space="preserve"> </w:t>
      </w:r>
      <w:r w:rsidRPr="00994095">
        <w:rPr>
          <w:rFonts w:ascii="Arial" w:hAnsi="Arial" w:cs="Arial"/>
          <w:i/>
          <w:iCs/>
          <w:sz w:val="18"/>
          <w:szCs w:val="18"/>
        </w:rPr>
        <w:t>0.05,</w:t>
      </w:r>
      <w:r w:rsidRPr="00994095">
        <w:rPr>
          <w:rFonts w:ascii="Arial" w:hAnsi="Arial" w:cs="Arial"/>
          <w:i/>
          <w:iCs/>
          <w:spacing w:val="-5"/>
          <w:sz w:val="18"/>
          <w:szCs w:val="18"/>
        </w:rPr>
        <w:t xml:space="preserve"> </w:t>
      </w:r>
      <w:r w:rsidRPr="00994095">
        <w:rPr>
          <w:rFonts w:ascii="Arial" w:hAnsi="Arial" w:cs="Arial"/>
          <w:i/>
          <w:iCs/>
          <w:sz w:val="18"/>
          <w:szCs w:val="18"/>
        </w:rPr>
        <w:t>**</w:t>
      </w:r>
      <w:r w:rsidRPr="00994095">
        <w:rPr>
          <w:rFonts w:ascii="Arial" w:hAnsi="Arial" w:cs="Arial"/>
          <w:i/>
          <w:iCs/>
          <w:spacing w:val="4"/>
          <w:sz w:val="18"/>
          <w:szCs w:val="18"/>
        </w:rPr>
        <w:t xml:space="preserve"> </w:t>
      </w:r>
      <w:r w:rsidRPr="00994095">
        <w:rPr>
          <w:rFonts w:ascii="Arial" w:hAnsi="Arial" w:cs="Arial"/>
          <w:i/>
          <w:iCs/>
          <w:sz w:val="18"/>
          <w:szCs w:val="18"/>
        </w:rPr>
        <w:t>indicates</w:t>
      </w:r>
      <w:r w:rsidRPr="00994095">
        <w:rPr>
          <w:rFonts w:ascii="Arial" w:hAnsi="Arial" w:cs="Arial"/>
          <w:i/>
          <w:iCs/>
          <w:spacing w:val="-5"/>
          <w:sz w:val="18"/>
          <w:szCs w:val="18"/>
        </w:rPr>
        <w:t xml:space="preserve"> </w:t>
      </w:r>
      <w:r w:rsidRPr="00994095">
        <w:rPr>
          <w:rFonts w:ascii="Arial" w:hAnsi="Arial" w:cs="Arial"/>
          <w:i/>
          <w:iCs/>
          <w:sz w:val="18"/>
          <w:szCs w:val="18"/>
        </w:rPr>
        <w:t>p&lt;0.01</w:t>
      </w:r>
      <w:r w:rsidRPr="00994095">
        <w:rPr>
          <w:rFonts w:ascii="Arial" w:hAnsi="Arial" w:cs="Arial"/>
          <w:i/>
          <w:iCs/>
          <w:spacing w:val="-3"/>
          <w:sz w:val="18"/>
          <w:szCs w:val="18"/>
        </w:rPr>
        <w:t xml:space="preserve"> </w:t>
      </w:r>
      <w:r w:rsidRPr="00994095">
        <w:rPr>
          <w:rFonts w:ascii="Arial" w:hAnsi="Arial" w:cs="Arial"/>
          <w:i/>
          <w:iCs/>
          <w:sz w:val="18"/>
          <w:szCs w:val="18"/>
        </w:rPr>
        <w:t>and</w:t>
      </w:r>
      <w:r w:rsidRPr="00994095">
        <w:rPr>
          <w:rFonts w:ascii="Arial" w:hAnsi="Arial" w:cs="Arial"/>
          <w:i/>
          <w:iCs/>
          <w:spacing w:val="-2"/>
          <w:sz w:val="18"/>
          <w:szCs w:val="18"/>
        </w:rPr>
        <w:t xml:space="preserve"> </w:t>
      </w:r>
      <w:r w:rsidRPr="00994095">
        <w:rPr>
          <w:rFonts w:ascii="Arial" w:hAnsi="Arial" w:cs="Arial"/>
          <w:i/>
          <w:iCs/>
          <w:sz w:val="18"/>
          <w:szCs w:val="18"/>
        </w:rPr>
        <w:t>***</w:t>
      </w:r>
      <w:r w:rsidRPr="00994095">
        <w:rPr>
          <w:rFonts w:ascii="Arial" w:hAnsi="Arial" w:cs="Arial"/>
          <w:i/>
          <w:iCs/>
          <w:spacing w:val="-5"/>
          <w:sz w:val="18"/>
          <w:szCs w:val="18"/>
        </w:rPr>
        <w:t xml:space="preserve"> </w:t>
      </w:r>
      <w:r w:rsidRPr="00994095">
        <w:rPr>
          <w:rFonts w:ascii="Arial" w:hAnsi="Arial" w:cs="Arial"/>
          <w:i/>
          <w:iCs/>
          <w:sz w:val="18"/>
          <w:szCs w:val="18"/>
        </w:rPr>
        <w:t>represents</w:t>
      </w:r>
      <w:r w:rsidRPr="00994095">
        <w:rPr>
          <w:rFonts w:ascii="Arial" w:hAnsi="Arial" w:cs="Arial"/>
          <w:i/>
          <w:iCs/>
          <w:spacing w:val="-4"/>
          <w:sz w:val="18"/>
          <w:szCs w:val="18"/>
        </w:rPr>
        <w:t xml:space="preserve"> </w:t>
      </w:r>
      <w:r w:rsidRPr="00994095">
        <w:rPr>
          <w:rFonts w:ascii="Arial" w:hAnsi="Arial" w:cs="Arial"/>
          <w:i/>
          <w:iCs/>
          <w:sz w:val="18"/>
          <w:szCs w:val="18"/>
        </w:rPr>
        <w:t>p&lt;</w:t>
      </w:r>
      <w:r w:rsidRPr="00994095">
        <w:rPr>
          <w:rFonts w:ascii="Arial" w:hAnsi="Arial" w:cs="Arial"/>
          <w:i/>
          <w:iCs/>
          <w:spacing w:val="-2"/>
          <w:sz w:val="18"/>
          <w:szCs w:val="18"/>
        </w:rPr>
        <w:t>0.001</w:t>
      </w:r>
      <w:r w:rsidR="00DE111C">
        <w:rPr>
          <w:rFonts w:ascii="Arial" w:hAnsi="Arial" w:cs="Arial"/>
          <w:i/>
          <w:iCs/>
          <w:spacing w:val="-2"/>
          <w:sz w:val="18"/>
          <w:szCs w:val="18"/>
        </w:rPr>
        <w:br w:type="page"/>
      </w:r>
    </w:p>
    <w:p w14:paraId="6C9E4108" w14:textId="7E724E5D" w:rsidR="00722E4D" w:rsidRPr="00994095" w:rsidRDefault="00722E4D" w:rsidP="00722E4D">
      <w:pPr>
        <w:spacing w:line="360" w:lineRule="auto"/>
        <w:jc w:val="both"/>
        <w:rPr>
          <w:rFonts w:ascii="Arial" w:hAnsi="Arial" w:cs="Arial"/>
          <w:sz w:val="22"/>
          <w:szCs w:val="22"/>
          <w:lang w:val="en-IN"/>
        </w:rPr>
      </w:pPr>
      <w:r w:rsidRPr="00994095">
        <w:rPr>
          <w:rFonts w:ascii="Arial" w:hAnsi="Arial" w:cs="Arial"/>
          <w:b/>
          <w:bCs/>
          <w:sz w:val="22"/>
          <w:szCs w:val="22"/>
        </w:rPr>
        <w:lastRenderedPageBreak/>
        <w:t>4. Discussion</w:t>
      </w:r>
    </w:p>
    <w:p w14:paraId="0E31B091" w14:textId="080B7333" w:rsidR="00722E4D" w:rsidRPr="00994095" w:rsidRDefault="00722E4D" w:rsidP="00722E4D">
      <w:pPr>
        <w:spacing w:line="360" w:lineRule="auto"/>
        <w:jc w:val="both"/>
        <w:rPr>
          <w:rFonts w:ascii="Arial" w:hAnsi="Arial" w:cs="Arial"/>
        </w:rPr>
      </w:pPr>
      <w:r w:rsidRPr="00994095">
        <w:rPr>
          <w:rFonts w:ascii="Arial" w:hAnsi="Arial" w:cs="Arial"/>
        </w:rPr>
        <w:t xml:space="preserve">TBBPA-DHEE, an environmental neurotoxicant, is known to have a potential effect on the brain and behaviour. The behavioural alterations are an indication of neural and neuroendocrine disruption. Earlier studies have shown that the possible mechanism behind its action as a neurotoxicant and endocrine disruptor could be due to its capacity to interfere with the neurotransmitter system, leading to increased oxidative stress, neuroinflammation, and possibly disrupting the blood-brain barrier, exposing the brain to it </w:t>
      </w:r>
      <w:r w:rsidR="008D6D19" w:rsidRPr="00994095">
        <w:rPr>
          <w:rFonts w:ascii="Arial" w:hAnsi="Arial" w:cs="Arial"/>
          <w:szCs w:val="24"/>
        </w:rPr>
        <w:t xml:space="preserve">(Yu et al., 2018). </w:t>
      </w:r>
      <w:r w:rsidRPr="00994095">
        <w:rPr>
          <w:rFonts w:ascii="Arial" w:hAnsi="Arial" w:cs="Arial"/>
        </w:rPr>
        <w:t xml:space="preserve">It is found that TBBPA-DHEE exposure results in the formation of reactive oxygen species, initiates cell death, influx of calcium ions, and an increase of extracellular glutamate in the cells of the cerebral granule </w:t>
      </w:r>
      <w:r w:rsidR="008D6D19" w:rsidRPr="00994095">
        <w:rPr>
          <w:rFonts w:ascii="Arial" w:hAnsi="Arial" w:cs="Arial"/>
        </w:rPr>
        <w:t xml:space="preserve">(Reistad et al., 2007; Nakajima et al., 2009). </w:t>
      </w:r>
      <w:r w:rsidRPr="00994095">
        <w:rPr>
          <w:rFonts w:ascii="Arial" w:hAnsi="Arial" w:cs="Arial"/>
        </w:rPr>
        <w:t xml:space="preserve">The current study investigated the dose-dependent effect of TBBPA-DHEE on the physiological parameters, i.e., body weight and body length, and behaviour of adult zebrafish. The neurobehavioral toxicity exerted by TBBPA was assessed through the OFT, NTT, </w:t>
      </w:r>
      <w:bookmarkStart w:id="7" w:name="_Hlk198997166"/>
      <w:r w:rsidRPr="00994095">
        <w:rPr>
          <w:rFonts w:ascii="Arial" w:hAnsi="Arial" w:cs="Arial"/>
        </w:rPr>
        <w:t>light-dark preference test (LDT</w:t>
      </w:r>
      <w:bookmarkEnd w:id="7"/>
      <w:r w:rsidRPr="00994095">
        <w:rPr>
          <w:rFonts w:ascii="Arial" w:hAnsi="Arial" w:cs="Arial"/>
        </w:rPr>
        <w:t xml:space="preserve">), and swimming pattern analysis. Zebrafish were exposed to different concentrations of TBBPA-DHEE: 5 mg/L as a low, 10 mg/L as a medium, and 20 mg/L as a high dose. </w:t>
      </w:r>
    </w:p>
    <w:p w14:paraId="234F6A71" w14:textId="129B1F06" w:rsidR="00722E4D" w:rsidRPr="00994095" w:rsidRDefault="00722E4D" w:rsidP="00722E4D">
      <w:pPr>
        <w:spacing w:after="210" w:line="360" w:lineRule="auto"/>
        <w:jc w:val="both"/>
        <w:rPr>
          <w:rFonts w:ascii="Arial" w:hAnsi="Arial" w:cs="Arial"/>
        </w:rPr>
      </w:pPr>
      <w:r w:rsidRPr="00994095">
        <w:rPr>
          <w:rFonts w:ascii="Arial" w:hAnsi="Arial" w:cs="Arial"/>
        </w:rPr>
        <w:t xml:space="preserve">The findings from the current study revealed that exposure to the increasing concentration of TBBPA resulted in a decline in behavioural performance, with inflated behavioural impairment in the highest dose group. Also, morphometric analysis reveals the preliminary effect of TBBPA-DHEE on the body weight and body length of zebrafish. Previous studies highlight the effect of hormones on the morphometric parameters and regulation </w:t>
      </w:r>
      <w:r w:rsidR="008D6D19" w:rsidRPr="00994095">
        <w:rPr>
          <w:rFonts w:ascii="Arial" w:hAnsi="Arial" w:cs="Arial"/>
          <w:szCs w:val="24"/>
        </w:rPr>
        <w:t xml:space="preserve">(Nahar and Jat, 2021). </w:t>
      </w:r>
      <w:r w:rsidRPr="00994095">
        <w:rPr>
          <w:rFonts w:ascii="Arial" w:hAnsi="Arial" w:cs="Arial"/>
        </w:rPr>
        <w:t xml:space="preserve">TBBPA-DHEE, being a potent endocrine disruptor, was involved in the study; a slight difference in the initial and final body length was observed in the exposed group as compared to the control. Also, there were significant differences and a sharp decline in the body weight of the exposed groups as compared to the control group maintained under optimum conditions. To examine the anxiety-like behaviour and exploration pattern, OFT was performed. The observations from the OFT showed reduced exploration and thus increased anxiety-like behaviour in the high dose as compared to the control and DMSO control group. The behavioural endpoints of the OFT include average speed, mobility average speed, total distance travelled, explored area/ total no. of areas, and frozen events of different groups, indicating that the highest variation with control was observed in medium and high doses of TBBPA-DHEE, with low doses displaying almost normal behaviour compared to control. This behaviour suggests that its highest concentration could elevate anxiety and increase thigmotaxis. These findings are similar to the previous studies, indicating that TBBPA-DHEE may disrupt dopaminergic signalling and could be the possible reason for decreased exploratory behaviour </w:t>
      </w:r>
      <w:r w:rsidR="008D6D19" w:rsidRPr="00994095">
        <w:rPr>
          <w:rFonts w:ascii="Arial" w:hAnsi="Arial" w:cs="Arial"/>
        </w:rPr>
        <w:t>(Dong et al., 2021).</w:t>
      </w:r>
      <w:r w:rsidR="008D6D19" w:rsidRPr="00994095">
        <w:rPr>
          <w:rFonts w:ascii="Arial" w:hAnsi="Arial" w:cs="Arial"/>
          <w:szCs w:val="24"/>
        </w:rPr>
        <w:t xml:space="preserve"> </w:t>
      </w:r>
    </w:p>
    <w:p w14:paraId="38B33AA2" w14:textId="619C8DC9" w:rsidR="00722E4D" w:rsidRPr="00994095" w:rsidRDefault="00722E4D" w:rsidP="00722E4D">
      <w:pPr>
        <w:spacing w:line="360" w:lineRule="auto"/>
        <w:jc w:val="both"/>
        <w:rPr>
          <w:rFonts w:ascii="Arial" w:hAnsi="Arial" w:cs="Arial"/>
        </w:rPr>
      </w:pPr>
      <w:r w:rsidRPr="00994095">
        <w:rPr>
          <w:rFonts w:ascii="Arial" w:hAnsi="Arial" w:cs="Arial"/>
        </w:rPr>
        <w:lastRenderedPageBreak/>
        <w:t xml:space="preserve">Novel tank test assesses the anxiety-like behaviour in zebrafish, along with the locomotor and cognitive tests. The different behavioural endpoints of the novel tank test include time spent in each zone, latency, number of transitions, and erratic movements. These endpoints indicate the stress and anxiety that may be due to different concentrations of TBBPA-DHEE exposure. Previous studies associated with zebrafish novel tank behaviour reveal that control zebrafish initially prefer to remain in the lower zone, reflecting a normal behaviour that may arise due to stress generated in an unacquainted environment. This is justified with time, as fish begin to explore the upper region after habituation </w:t>
      </w:r>
      <w:r w:rsidR="008D6D19" w:rsidRPr="00994095">
        <w:rPr>
          <w:rFonts w:ascii="Arial" w:hAnsi="Arial" w:cs="Arial"/>
        </w:rPr>
        <w:t xml:space="preserve">(Egan et al., 2009). </w:t>
      </w:r>
      <w:r w:rsidRPr="00994095">
        <w:rPr>
          <w:rFonts w:ascii="Arial" w:hAnsi="Arial" w:cs="Arial"/>
        </w:rPr>
        <w:t>However, it was observed that in this study, TBBPA-DHEE exposure resulted in altered behaviour compared to normal.</w:t>
      </w:r>
    </w:p>
    <w:p w14:paraId="4EDD1A90" w14:textId="40139A94" w:rsidR="00722E4D" w:rsidRPr="00994095" w:rsidRDefault="00722E4D" w:rsidP="00722E4D">
      <w:pPr>
        <w:spacing w:line="360" w:lineRule="auto"/>
        <w:jc w:val="both"/>
        <w:rPr>
          <w:rFonts w:ascii="Arial" w:hAnsi="Arial" w:cs="Arial"/>
        </w:rPr>
      </w:pPr>
      <w:r w:rsidRPr="00994095">
        <w:rPr>
          <w:rFonts w:ascii="Arial" w:hAnsi="Arial" w:cs="Arial"/>
        </w:rPr>
        <w:t xml:space="preserve">The number of transitions between the lower and upper zones, also known as the novel tank test, is an established measure of exploratory drive and anxiety-like response in zebrafish. In the current study, the exposure to TBBPA-DHEE caused Zebrafish exposed to different concentrations of TBBPA-DHEE displayed a significant result compared to those of earlier studies, which resulted in increased transition to the upper zone under some stress, and could be related to the compensatory neurological mechanism, as mild environmental stress may sometimes increase locomotor activity </w:t>
      </w:r>
      <w:r w:rsidR="008D6D19" w:rsidRPr="00994095">
        <w:rPr>
          <w:rFonts w:ascii="Arial" w:hAnsi="Arial" w:cs="Arial"/>
        </w:rPr>
        <w:t xml:space="preserve">(Stewart et al., 2012; Lin et al., 2022). </w:t>
      </w:r>
      <w:r w:rsidRPr="00994095">
        <w:rPr>
          <w:rFonts w:ascii="Arial" w:hAnsi="Arial" w:cs="Arial"/>
        </w:rPr>
        <w:t xml:space="preserve">In our study, fish displayed a preference in the lower zone than the upper zone in the TBBPA-DHEE-exposed group, as compared to the control and DMSO. A concentration-dependent decrease in the number of transitions to the upper zone, with the maximum concentration of 20 mg/L being the highest, followed by the 10 mg/L concentration. On the other hand, the zebrafish treated with lower concentrations showed relatively higher transitions to the upper zone than the medium and high concentrations, yet significantly lower than the control and DMSO groups. The disparity may be due to a difference in dosage and coping strategies. </w:t>
      </w:r>
    </w:p>
    <w:p w14:paraId="226BD60E" w14:textId="701915DD" w:rsidR="00722E4D" w:rsidRPr="00994095" w:rsidRDefault="00722E4D" w:rsidP="00722E4D">
      <w:pPr>
        <w:spacing w:line="360" w:lineRule="auto"/>
        <w:jc w:val="both"/>
        <w:rPr>
          <w:rFonts w:ascii="Arial" w:hAnsi="Arial" w:cs="Arial"/>
        </w:rPr>
      </w:pPr>
      <w:r w:rsidRPr="00994095">
        <w:rPr>
          <w:rFonts w:ascii="Arial" w:hAnsi="Arial" w:cs="Arial"/>
        </w:rPr>
        <w:t xml:space="preserve">Latency to enter the upper zone determines the exploratory behaviour of zebrafish and is an indicator of anxiety. An anomalous behaviour could be observed in latency. Fish treated with 5 mg/L of TBBPA-DHEE displayed a higher latency to enter the upper zone as compared to the control group. However, a reduced latency could be observed in groups exposed to 10 mg/L and 20 mg/L of TBBPA-DHEE. The varying concentration and exposure to different groups may reflect differential neurobehavioral effects and could be attributed to the non-monotonic, biphasic behavioural response among different doses. The increased latency at 5 mg/L is regulated by activation of the hypothalamic–pituitary–interrenal (HPI) axis and specifies a mild anxiogenic response, resulting in escalated stress and vigilance </w:t>
      </w:r>
      <w:r w:rsidR="008D6D19" w:rsidRPr="00994095">
        <w:rPr>
          <w:rFonts w:ascii="Arial" w:hAnsi="Arial" w:cs="Arial"/>
        </w:rPr>
        <w:t xml:space="preserve">(Stewart et al., 2012; Lin et al., 2022). </w:t>
      </w:r>
      <w:r w:rsidRPr="00994095">
        <w:rPr>
          <w:rFonts w:ascii="Arial" w:hAnsi="Arial" w:cs="Arial"/>
        </w:rPr>
        <w:t xml:space="preserve">Previous studies have already mentioned it as a potent endocrine disruptor. However, low-dose exposure to TBBPA-DHEE could increase behavioural inhibition by modifying neuroendocrine signalling reduced latency in higher doses, 10 mg/L and 20 mg/L, could be associated with behavioural disinhibition exerted due to neurotoxicity. Its high </w:t>
      </w:r>
      <w:r w:rsidRPr="00994095">
        <w:rPr>
          <w:rFonts w:ascii="Arial" w:hAnsi="Arial" w:cs="Arial"/>
        </w:rPr>
        <w:lastRenderedPageBreak/>
        <w:t xml:space="preserve">concentration may lead to neurotransmitter dysregulation, oxidative stress, and neuronal damage, resulting in altered behavioural control and suppression </w:t>
      </w:r>
      <w:r w:rsidR="008D6D19" w:rsidRPr="00994095">
        <w:rPr>
          <w:rFonts w:ascii="Arial" w:hAnsi="Arial" w:cs="Arial"/>
        </w:rPr>
        <w:t xml:space="preserve">(Liu et al., 2023; Guo et al., 2024). </w:t>
      </w:r>
      <w:r w:rsidRPr="00994095">
        <w:rPr>
          <w:rFonts w:ascii="Arial" w:hAnsi="Arial" w:cs="Arial"/>
        </w:rPr>
        <w:t xml:space="preserve">The number of transitions between the upper and lower zones signifies the exploratory and motor functions. The adequate balance between both zones could be observed in the control group, which reflects a healthy exploratory behaviour and the least anxiety. Meanwhile, groups exposed to 10 mg/L of TBBPA-DHEE resulted in decreased zone transitions, which could be due to elevated anxiety, neurological dysfunction, and compromised motor coordination, whereas the 5 mg/L and 20 mg/L groups displayed slight significant differences or patterns of transition in a dose-dependent manner. This behaviour could again be attributed to behavioural suppression due to neurotoxicity, similar to the previous studies indicating the disruption of behavioural activity due to neurotoxicants, resulting in diminished exploratory behaviour </w:t>
      </w:r>
      <w:r w:rsidR="008D6D19" w:rsidRPr="00994095">
        <w:rPr>
          <w:rFonts w:ascii="Arial" w:hAnsi="Arial" w:cs="Arial"/>
          <w:szCs w:val="24"/>
        </w:rPr>
        <w:t>(Zhang et al., 2021).</w:t>
      </w:r>
    </w:p>
    <w:p w14:paraId="1DFF9FC5" w14:textId="559FC656" w:rsidR="00722E4D" w:rsidRPr="00994095" w:rsidRDefault="00722E4D" w:rsidP="00722E4D">
      <w:pPr>
        <w:spacing w:line="360" w:lineRule="auto"/>
        <w:jc w:val="both"/>
        <w:rPr>
          <w:rFonts w:ascii="Arial" w:hAnsi="Arial" w:cs="Arial"/>
        </w:rPr>
      </w:pPr>
      <w:r w:rsidRPr="00994095">
        <w:rPr>
          <w:rFonts w:ascii="Arial" w:hAnsi="Arial" w:cs="Arial"/>
        </w:rPr>
        <w:t xml:space="preserve">Extreme anxiety hinders the behavioural and motor responses, and in fish exposed to 20 mg/L of TBBPA-DHEE, abrupt directional changes and frequent high-speed darting were observed, displaying higher erratic movements as compared to the control group, exhibiting a calm and tranquil state with fewer erratic movements. However, in our study, similar behaviour was observed in the 5 mg/L and 10 mg/L groups, displaying slightly higher erratic movements than those of the control. According to the previous study, it was reported that dopaminergic and serotonergic signalling and their dysregulation may be associated with erratic swimming. Hindered sensorimotor processing is linked to TBBPA exposure </w:t>
      </w:r>
      <w:r w:rsidR="008D6D19" w:rsidRPr="00994095">
        <w:rPr>
          <w:rFonts w:ascii="Arial" w:hAnsi="Arial" w:cs="Arial"/>
        </w:rPr>
        <w:t>(Barros et al., 2020, Toni et al., 2023).</w:t>
      </w:r>
    </w:p>
    <w:p w14:paraId="72A10362" w14:textId="1A4E609D" w:rsidR="00722E4D" w:rsidRPr="00994095" w:rsidRDefault="00722E4D" w:rsidP="00722E4D">
      <w:pPr>
        <w:spacing w:line="360" w:lineRule="auto"/>
        <w:jc w:val="both"/>
        <w:rPr>
          <w:rFonts w:ascii="Arial" w:hAnsi="Arial" w:cs="Arial"/>
        </w:rPr>
      </w:pPr>
      <w:r w:rsidRPr="00994095">
        <w:rPr>
          <w:rFonts w:ascii="Arial" w:hAnsi="Arial" w:cs="Arial"/>
        </w:rPr>
        <w:t xml:space="preserve">The light-dark test depicts anxiety-like behaviour in zebrafish, along with cognitive functions. Increased stress disrupts the balance between transitions and time spent in both zones. Previous study depicts the behaviour of zebrafish exposed to TBBPA-DHEE, indicating an altered behaviour in light-dark test parameters, including transitions, time spent in each zone, and preference index for the dark zone </w:t>
      </w:r>
      <w:r w:rsidR="008D6D19" w:rsidRPr="00994095">
        <w:rPr>
          <w:rFonts w:ascii="Arial" w:hAnsi="Arial" w:cs="Arial"/>
        </w:rPr>
        <w:t>(Jarema et al., 2015).</w:t>
      </w:r>
    </w:p>
    <w:p w14:paraId="260BB6FF" w14:textId="77777777" w:rsidR="00722E4D" w:rsidRPr="00994095" w:rsidRDefault="00722E4D" w:rsidP="00722E4D">
      <w:pPr>
        <w:spacing w:line="360" w:lineRule="auto"/>
        <w:jc w:val="both"/>
        <w:rPr>
          <w:rFonts w:ascii="Arial" w:hAnsi="Arial" w:cs="Arial"/>
        </w:rPr>
      </w:pPr>
      <w:r w:rsidRPr="00994095">
        <w:rPr>
          <w:rFonts w:ascii="Arial" w:hAnsi="Arial" w:cs="Arial"/>
        </w:rPr>
        <w:t xml:space="preserve"> In our study, TBBPA-DHEE exposure showed a varying result, with more prominent behavioural impairment in the exposed group. However, all the exposed groups do not display dose-dependent alterations in behavioural endpoints, and only a slight difference in impairments could be observed among the exposed groups. TBBPA-DHEE-exposed groups, 5 mg/L. 10 mg/L and 20 mg/L showed anxiety-like behaviour, spending more time in the dark zone as compared to the control and DMSO control group, resulting in normal exploratory behaviour, with freely exploring and frequent transitions between light and dark zones. Time spent in both the zones, although more in the light zones than the dark zones, was observed in the control and DMSO group exhibiting a free-swimming and exploratory, stress-free behaviour.</w:t>
      </w:r>
    </w:p>
    <w:p w14:paraId="2A7819CC" w14:textId="12E3219F" w:rsidR="00722E4D" w:rsidRPr="00994095" w:rsidRDefault="00722E4D" w:rsidP="00722E4D">
      <w:pPr>
        <w:spacing w:line="360" w:lineRule="auto"/>
        <w:jc w:val="both"/>
        <w:rPr>
          <w:rFonts w:ascii="Arial" w:hAnsi="Arial" w:cs="Arial"/>
        </w:rPr>
      </w:pPr>
      <w:r w:rsidRPr="00994095">
        <w:rPr>
          <w:rFonts w:ascii="Arial" w:hAnsi="Arial" w:cs="Arial"/>
        </w:rPr>
        <w:lastRenderedPageBreak/>
        <w:t xml:space="preserve">Transition in light-dark zones was highly increased in all TBBPA-DHEE-exposed groups, showing an increased number of transitions in dark zones as compared to light zones. The exposed groups showed an inhibition of exploratory behaviour even in low doses, an increased avoidance and anxiety-like responses </w:t>
      </w:r>
      <w:r w:rsidR="008D6D19" w:rsidRPr="00994095">
        <w:rPr>
          <w:rFonts w:ascii="Arial" w:hAnsi="Arial" w:cs="Arial"/>
        </w:rPr>
        <w:t>(Blaser and Rosemberg, 2012).</w:t>
      </w:r>
      <w:r w:rsidR="008D6D19" w:rsidRPr="00994095">
        <w:rPr>
          <w:rFonts w:ascii="Arial" w:hAnsi="Arial" w:cs="Arial"/>
          <w:szCs w:val="24"/>
        </w:rPr>
        <w:t xml:space="preserve"> </w:t>
      </w:r>
      <w:r w:rsidRPr="00994095">
        <w:rPr>
          <w:rFonts w:ascii="Arial" w:hAnsi="Arial" w:cs="Arial"/>
        </w:rPr>
        <w:t xml:space="preserve">Time spent in the dark zone significantly increased in all the TBBPA-DHEE exposed groups and was maximum in the 20 mg/L, and the time and occupancy in the light zone decreased simultaneously. Whereas, those in the control and DMSO control group spent more time spent in the light zone was higher than the exposed group. This change in the occupancy of light and dark zones justifies the anxiogenic effect of TBBPA-DHEE, and an increase in time spent in the dark zone represents escape and increased anxiety-like behaviour </w:t>
      </w:r>
      <w:r w:rsidR="008D6D19" w:rsidRPr="00994095">
        <w:rPr>
          <w:rFonts w:ascii="Arial" w:hAnsi="Arial" w:cs="Arial"/>
        </w:rPr>
        <w:t>(Blaser and Rosemberg, 2012).</w:t>
      </w:r>
      <w:r w:rsidR="008D6D19" w:rsidRPr="00994095">
        <w:rPr>
          <w:rFonts w:ascii="Arial" w:hAnsi="Arial" w:cs="Arial"/>
          <w:szCs w:val="24"/>
        </w:rPr>
        <w:t xml:space="preserve"> </w:t>
      </w:r>
      <w:r w:rsidRPr="00994095">
        <w:rPr>
          <w:rFonts w:ascii="Arial" w:hAnsi="Arial" w:cs="Arial"/>
        </w:rPr>
        <w:t xml:space="preserve">The dark zone preference index was significantly increased, showing the overall preference for the dark zone over the light zone, and was highest in the 20 mg/L group than that of other two groups, 5 mg/L and 10 mg/L. This finding aligns with the previous studies of and further confirms the anxiogenic effect of TBBPA </w:t>
      </w:r>
      <w:r w:rsidR="008D6D19" w:rsidRPr="00994095">
        <w:rPr>
          <w:rFonts w:ascii="Arial" w:hAnsi="Arial" w:cs="Arial"/>
        </w:rPr>
        <w:t>(Costa et al., 202</w:t>
      </w:r>
      <w:r w:rsidR="00816D61" w:rsidRPr="00994095">
        <w:rPr>
          <w:rFonts w:ascii="Arial" w:hAnsi="Arial" w:cs="Arial"/>
        </w:rPr>
        <w:t>0</w:t>
      </w:r>
      <w:r w:rsidR="008D6D19" w:rsidRPr="00994095">
        <w:rPr>
          <w:rFonts w:ascii="Arial" w:hAnsi="Arial" w:cs="Arial"/>
        </w:rPr>
        <w:t>).</w:t>
      </w:r>
    </w:p>
    <w:p w14:paraId="5C8273AF" w14:textId="00E22BBA" w:rsidR="00722E4D" w:rsidRPr="00994095" w:rsidRDefault="00722E4D" w:rsidP="00722E4D">
      <w:pPr>
        <w:spacing w:line="360" w:lineRule="auto"/>
        <w:jc w:val="both"/>
        <w:rPr>
          <w:rFonts w:ascii="Arial" w:hAnsi="Arial" w:cs="Arial"/>
          <w:b/>
          <w:bCs/>
        </w:rPr>
      </w:pPr>
      <w:r w:rsidRPr="00994095">
        <w:rPr>
          <w:rFonts w:ascii="Arial" w:hAnsi="Arial" w:cs="Arial"/>
        </w:rPr>
        <w:t xml:space="preserve">The swimming behaviour test was performed to assess the effect of TBBPA on the swimming behaviour and locomotion of zebrafish in a dose-dependent manner. The behavioural endpoints include nearest neighbour distance and area occupied. In our study, a normal exploratory and locomotory behaviour swimming patterns could be observed in the control group, covering more distance from the neighbor and occupying a higher area. Fish exposed to low and medium doses showed decreased neighbor distance and minimum area occupied as compared to the control group, while the high dose group had the lowest nearest neighbor distance and area occupied, as fish in this group remained close, avoiding covering and exploring the tank. This is similar to the previous studies; the observed behaviour could be due to increased anxiety and stress that triggered fish to remain in closer proximity and in groups, covering less distance and occupying a minimum area </w:t>
      </w:r>
      <w:r w:rsidR="00816D61" w:rsidRPr="00994095">
        <w:rPr>
          <w:rFonts w:ascii="Arial" w:hAnsi="Arial" w:cs="Arial"/>
        </w:rPr>
        <w:t xml:space="preserve">(Miller and </w:t>
      </w:r>
      <w:proofErr w:type="spellStart"/>
      <w:r w:rsidR="00816D61" w:rsidRPr="00994095">
        <w:rPr>
          <w:rFonts w:ascii="Arial" w:hAnsi="Arial" w:cs="Arial"/>
        </w:rPr>
        <w:t>Gerlai</w:t>
      </w:r>
      <w:proofErr w:type="spellEnd"/>
      <w:r w:rsidR="00816D61" w:rsidRPr="00994095">
        <w:rPr>
          <w:rFonts w:ascii="Arial" w:hAnsi="Arial" w:cs="Arial"/>
        </w:rPr>
        <w:t xml:space="preserve">, 2012). </w:t>
      </w:r>
      <w:r w:rsidRPr="00994095">
        <w:rPr>
          <w:rFonts w:ascii="Arial" w:hAnsi="Arial" w:cs="Arial"/>
        </w:rPr>
        <w:t xml:space="preserve">The possible mechanism involves TBBPA-induced neurotransmitter disruptions, mainly the dopaminergic and serotonergic pathways responsible for motor control and social behaviour </w:t>
      </w:r>
      <w:r w:rsidR="00816D61" w:rsidRPr="00994095">
        <w:rPr>
          <w:rFonts w:ascii="Arial" w:hAnsi="Arial" w:cs="Arial"/>
        </w:rPr>
        <w:t>(Bozhko et al., 2022).</w:t>
      </w:r>
    </w:p>
    <w:p w14:paraId="139CF2D8" w14:textId="77777777" w:rsidR="00722E4D" w:rsidRPr="00994095" w:rsidRDefault="00722E4D" w:rsidP="00722E4D">
      <w:pPr>
        <w:spacing w:line="360" w:lineRule="auto"/>
        <w:jc w:val="both"/>
        <w:rPr>
          <w:rFonts w:ascii="Arial" w:hAnsi="Arial" w:cs="Arial"/>
        </w:rPr>
      </w:pPr>
      <w:r w:rsidRPr="00994095">
        <w:rPr>
          <w:rFonts w:ascii="Arial" w:hAnsi="Arial" w:cs="Arial"/>
        </w:rPr>
        <w:t xml:space="preserve">Thus, the findings of our study indicate that TBBPA-DHEE exerts neurobehavioral impairment in a dose-dependent manner, with the more profound and neurotoxic effect observed in high doses, 20 mg/L of TBBPA-DHEE. While low-dose (5 mg/L) exposure may induce anxiety-like behaviour through stress axis modulation and sometimes has shown a neutral effect similar to control due to its lower concentration, medium (10 mg/L) and high (20 mg/L) doses may induce behavioural impairment, possibly due to endocrine disruption, neurotransmitter dysregulation, and oxidative stress. </w:t>
      </w:r>
    </w:p>
    <w:p w14:paraId="1A97D30B" w14:textId="02C52AD2" w:rsidR="00B01FCD" w:rsidRPr="00994095" w:rsidRDefault="00722E4D" w:rsidP="00722E4D">
      <w:pPr>
        <w:pStyle w:val="ConcHead"/>
        <w:spacing w:before="240" w:after="0" w:line="360" w:lineRule="auto"/>
        <w:jc w:val="both"/>
        <w:rPr>
          <w:rFonts w:ascii="Arial" w:hAnsi="Arial" w:cs="Arial"/>
        </w:rPr>
      </w:pPr>
      <w:r w:rsidRPr="00994095">
        <w:rPr>
          <w:rFonts w:ascii="Arial" w:hAnsi="Arial" w:cs="Arial"/>
        </w:rPr>
        <w:lastRenderedPageBreak/>
        <w:t>5</w:t>
      </w:r>
      <w:r w:rsidR="00000F8F" w:rsidRPr="00994095">
        <w:rPr>
          <w:rFonts w:ascii="Arial" w:hAnsi="Arial" w:cs="Arial"/>
        </w:rPr>
        <w:t xml:space="preserve">. </w:t>
      </w:r>
      <w:r w:rsidR="00B01FCD" w:rsidRPr="00994095">
        <w:rPr>
          <w:rFonts w:ascii="Arial" w:hAnsi="Arial" w:cs="Arial"/>
        </w:rPr>
        <w:t>Conclusion</w:t>
      </w:r>
    </w:p>
    <w:p w14:paraId="7298A035" w14:textId="77777777" w:rsidR="00722E4D" w:rsidRPr="00994095" w:rsidRDefault="00722E4D" w:rsidP="00722E4D">
      <w:pPr>
        <w:spacing w:line="360" w:lineRule="auto"/>
        <w:jc w:val="both"/>
        <w:rPr>
          <w:rFonts w:ascii="Arial" w:hAnsi="Arial" w:cs="Arial"/>
        </w:rPr>
      </w:pPr>
      <w:r w:rsidRPr="00994095">
        <w:rPr>
          <w:rFonts w:ascii="Arial" w:hAnsi="Arial" w:cs="Arial"/>
        </w:rPr>
        <w:t xml:space="preserve">Our findings highlighted the dose-dependent effect of TBBPA-DHEE exposure on neurobehavioral impairment in adult zebrafish, altering individual and social </w:t>
      </w:r>
      <w:proofErr w:type="spellStart"/>
      <w:r w:rsidRPr="00994095">
        <w:rPr>
          <w:rFonts w:ascii="Arial" w:hAnsi="Arial" w:cs="Arial"/>
        </w:rPr>
        <w:t>behaviours</w:t>
      </w:r>
      <w:proofErr w:type="spellEnd"/>
      <w:r w:rsidRPr="00994095">
        <w:rPr>
          <w:rFonts w:ascii="Arial" w:hAnsi="Arial" w:cs="Arial"/>
        </w:rPr>
        <w:t>. Several behavioural assays performed revealed that the most prominent effect of TBBPA-DHEE was observed at high doses. Even at low doses, the exploratory and locomotory behaviour of zebrafish was disrupted, displaying anxiety-like behaviour. These dose-dependent behavioural changes underscore the need for integrative toxicological evaluations that consider both neurological and endocrine endpoints.</w:t>
      </w:r>
    </w:p>
    <w:p w14:paraId="6446F7FB" w14:textId="77777777" w:rsidR="00722E4D" w:rsidRPr="00994095" w:rsidRDefault="00722E4D" w:rsidP="00722E4D">
      <w:pPr>
        <w:spacing w:line="360" w:lineRule="auto"/>
        <w:jc w:val="both"/>
        <w:rPr>
          <w:rFonts w:ascii="Arial" w:hAnsi="Arial" w:cs="Arial"/>
        </w:rPr>
      </w:pPr>
      <w:commentRangeStart w:id="8"/>
      <w:r w:rsidRPr="00994095">
        <w:rPr>
          <w:rFonts w:ascii="Arial" w:hAnsi="Arial" w:cs="Arial"/>
        </w:rPr>
        <w:t xml:space="preserve">Previous studies elucidated that the possible mechanisms behind these observations may include neurotransmitter dysregulation, oxidative stress, endocrine disruption, and neuroinflammation. The findings of this study may provide compelling evidence that TBBPA-DHEE acts as a potent neurotoxicant and may induce </w:t>
      </w:r>
      <w:proofErr w:type="spellStart"/>
      <w:r w:rsidRPr="00994095">
        <w:rPr>
          <w:rFonts w:ascii="Arial" w:hAnsi="Arial" w:cs="Arial"/>
        </w:rPr>
        <w:t>neurobehavioural</w:t>
      </w:r>
      <w:proofErr w:type="spellEnd"/>
      <w:r w:rsidRPr="00994095">
        <w:rPr>
          <w:rFonts w:ascii="Arial" w:hAnsi="Arial" w:cs="Arial"/>
        </w:rPr>
        <w:t xml:space="preserve"> impairment in adult zebrafish; meanwhile, its chronic exposure may raise serious concerns about ecological and health impacts. The study has certain limitations, as it focused on the behavioural outcomes and lacks investigation at the molecular level. The duration and exposure of the TBBPA-DHEE need to be further evaluated and verified in the natural ecosystem. Future research may focus on gaining insights into the molecular mechanisms involved in the behavioural outcomes and the related pathways associated with these findings, aiming to gain in-depth knowledge and regulate the environmental usage and exposure of TBBPA-DHEE. </w:t>
      </w:r>
      <w:commentRangeEnd w:id="8"/>
      <w:r w:rsidR="00AF534D">
        <w:rPr>
          <w:rStyle w:val="CommentReference"/>
          <w:rFonts w:ascii="Times New Roman" w:hAnsi="Times New Roman"/>
          <w:lang w:val="nb-NO" w:eastAsia="nb-NO"/>
        </w:rPr>
        <w:commentReference w:id="8"/>
      </w:r>
    </w:p>
    <w:p w14:paraId="4CDB2765" w14:textId="77777777" w:rsidR="001606D3" w:rsidRDefault="001606D3" w:rsidP="00441B6F">
      <w:pPr>
        <w:pStyle w:val="ReferHead"/>
        <w:spacing w:after="0"/>
        <w:jc w:val="both"/>
        <w:rPr>
          <w:rFonts w:ascii="Arial" w:hAnsi="Arial" w:cs="Arial"/>
          <w:bCs/>
        </w:rPr>
      </w:pPr>
    </w:p>
    <w:p w14:paraId="16FEA997" w14:textId="259128E9" w:rsidR="00860000" w:rsidRPr="00994095" w:rsidRDefault="00860000" w:rsidP="00441B6F">
      <w:pPr>
        <w:pStyle w:val="ReferHead"/>
        <w:spacing w:after="0"/>
        <w:jc w:val="both"/>
        <w:rPr>
          <w:rFonts w:ascii="Arial" w:hAnsi="Arial" w:cs="Arial"/>
          <w:bCs/>
        </w:rPr>
      </w:pPr>
      <w:r w:rsidRPr="00994095">
        <w:rPr>
          <w:rFonts w:ascii="Arial" w:hAnsi="Arial" w:cs="Arial"/>
          <w:bCs/>
        </w:rPr>
        <w:t>Competing interests</w:t>
      </w:r>
    </w:p>
    <w:p w14:paraId="2B4F8E16" w14:textId="3DBF39BB" w:rsidR="00371FB6" w:rsidRPr="00994095" w:rsidRDefault="00722E4D" w:rsidP="00773C94">
      <w:pPr>
        <w:spacing w:before="240" w:line="360" w:lineRule="auto"/>
        <w:jc w:val="both"/>
        <w:rPr>
          <w:rFonts w:ascii="Arial" w:hAnsi="Arial" w:cs="Arial"/>
        </w:rPr>
      </w:pPr>
      <w:r w:rsidRPr="00994095">
        <w:rPr>
          <w:rFonts w:ascii="Arial" w:hAnsi="Arial" w:cs="Arial"/>
        </w:rPr>
        <w:t>No potential conflict of interest was reported by the authors. The authors declare that they have no known competing financial interests or personal relationships that could have appeared to influence the work reported in this paper.</w:t>
      </w:r>
    </w:p>
    <w:p w14:paraId="353314C2" w14:textId="77777777" w:rsidR="001606D3" w:rsidRDefault="001606D3" w:rsidP="00024515">
      <w:pPr>
        <w:pStyle w:val="DefAcrHead"/>
        <w:spacing w:after="0"/>
        <w:jc w:val="both"/>
        <w:rPr>
          <w:rFonts w:ascii="Arial" w:hAnsi="Arial" w:cs="Arial"/>
        </w:rPr>
      </w:pPr>
    </w:p>
    <w:p w14:paraId="1876EDE5" w14:textId="77777777" w:rsidR="001606D3" w:rsidRDefault="001606D3" w:rsidP="00024515">
      <w:pPr>
        <w:pStyle w:val="DefAcrHead"/>
        <w:spacing w:after="0"/>
        <w:jc w:val="both"/>
        <w:rPr>
          <w:rFonts w:ascii="Arial" w:hAnsi="Arial" w:cs="Arial"/>
        </w:rPr>
      </w:pPr>
    </w:p>
    <w:p w14:paraId="2AEFCB25" w14:textId="03B02B39" w:rsidR="00024515" w:rsidRPr="00994095" w:rsidRDefault="00024515" w:rsidP="00024515">
      <w:pPr>
        <w:pStyle w:val="DefAcrHead"/>
        <w:spacing w:after="0"/>
        <w:jc w:val="both"/>
        <w:rPr>
          <w:rFonts w:ascii="Arial" w:hAnsi="Arial" w:cs="Arial"/>
        </w:rPr>
      </w:pPr>
      <w:r w:rsidRPr="00994095">
        <w:rPr>
          <w:rFonts w:ascii="Arial" w:hAnsi="Arial" w:cs="Arial"/>
        </w:rPr>
        <w:t>Abbreviations</w:t>
      </w:r>
    </w:p>
    <w:p w14:paraId="4C51093B" w14:textId="77777777" w:rsidR="00024515" w:rsidRPr="00994095" w:rsidRDefault="00024515" w:rsidP="00024515">
      <w:pPr>
        <w:spacing w:before="240" w:line="360" w:lineRule="auto"/>
        <w:rPr>
          <w:rFonts w:ascii="Arial" w:hAnsi="Arial" w:cs="Arial"/>
        </w:rPr>
      </w:pPr>
      <w:r w:rsidRPr="00994095">
        <w:rPr>
          <w:rFonts w:ascii="Arial" w:hAnsi="Arial" w:cs="Arial"/>
        </w:rPr>
        <w:t>ANOVA                One-way analysis of variance</w:t>
      </w:r>
    </w:p>
    <w:p w14:paraId="5BDBFE83" w14:textId="77777777" w:rsidR="00024515" w:rsidRPr="00994095" w:rsidRDefault="00024515" w:rsidP="00024515">
      <w:pPr>
        <w:spacing w:line="360" w:lineRule="auto"/>
        <w:rPr>
          <w:rFonts w:ascii="Arial" w:hAnsi="Arial" w:cs="Arial"/>
        </w:rPr>
      </w:pPr>
      <w:r w:rsidRPr="00994095">
        <w:rPr>
          <w:rFonts w:ascii="Arial" w:hAnsi="Arial" w:cs="Arial"/>
        </w:rPr>
        <w:t xml:space="preserve">DMSO                  Dimethyl sulfoxide </w:t>
      </w:r>
    </w:p>
    <w:p w14:paraId="21BFDEE1" w14:textId="77777777" w:rsidR="00024515" w:rsidRPr="00994095" w:rsidRDefault="00024515" w:rsidP="00024515">
      <w:pPr>
        <w:spacing w:line="360" w:lineRule="auto"/>
        <w:rPr>
          <w:rFonts w:ascii="Arial" w:hAnsi="Arial" w:cs="Arial"/>
        </w:rPr>
      </w:pPr>
      <w:r w:rsidRPr="00994095">
        <w:rPr>
          <w:rFonts w:ascii="Arial" w:hAnsi="Arial" w:cs="Arial"/>
        </w:rPr>
        <w:t>LDT                      Light-dark preference test</w:t>
      </w:r>
    </w:p>
    <w:p w14:paraId="58D617CE" w14:textId="77777777" w:rsidR="00024515" w:rsidRPr="00994095" w:rsidRDefault="00024515" w:rsidP="00024515">
      <w:pPr>
        <w:spacing w:line="360" w:lineRule="auto"/>
        <w:rPr>
          <w:rFonts w:ascii="Arial" w:hAnsi="Arial" w:cs="Arial"/>
        </w:rPr>
      </w:pPr>
      <w:r w:rsidRPr="00994095">
        <w:rPr>
          <w:rFonts w:ascii="Arial" w:hAnsi="Arial" w:cs="Arial"/>
        </w:rPr>
        <w:t>NTT                      Novel tank test</w:t>
      </w:r>
    </w:p>
    <w:p w14:paraId="285C3146" w14:textId="77777777" w:rsidR="00024515" w:rsidRPr="00994095" w:rsidRDefault="00024515" w:rsidP="00024515">
      <w:pPr>
        <w:spacing w:line="360" w:lineRule="auto"/>
        <w:rPr>
          <w:rFonts w:ascii="Arial" w:hAnsi="Arial" w:cs="Arial"/>
        </w:rPr>
      </w:pPr>
      <w:r w:rsidRPr="00994095">
        <w:rPr>
          <w:rFonts w:ascii="Arial" w:hAnsi="Arial" w:cs="Arial"/>
        </w:rPr>
        <w:t>OFT                      Open field test</w:t>
      </w:r>
    </w:p>
    <w:p w14:paraId="73DB126F" w14:textId="77777777" w:rsidR="00024515" w:rsidRPr="00994095" w:rsidRDefault="00024515" w:rsidP="00024515">
      <w:pPr>
        <w:spacing w:line="360" w:lineRule="auto"/>
        <w:rPr>
          <w:rFonts w:ascii="Arial" w:hAnsi="Arial" w:cs="Arial"/>
        </w:rPr>
      </w:pPr>
      <w:r w:rsidRPr="00994095">
        <w:rPr>
          <w:rFonts w:ascii="Arial" w:hAnsi="Arial" w:cs="Arial"/>
        </w:rPr>
        <w:t>TBBPA</w:t>
      </w:r>
      <w:r w:rsidRPr="00994095">
        <w:rPr>
          <w:rFonts w:ascii="Arial" w:hAnsi="Arial" w:cs="Arial"/>
          <w:b/>
          <w:bCs/>
        </w:rPr>
        <w:t xml:space="preserve">                 </w:t>
      </w:r>
      <w:proofErr w:type="spellStart"/>
      <w:r w:rsidRPr="00994095">
        <w:rPr>
          <w:rFonts w:ascii="Arial" w:hAnsi="Arial" w:cs="Arial"/>
        </w:rPr>
        <w:t>Tetrabromobisphenol</w:t>
      </w:r>
      <w:proofErr w:type="spellEnd"/>
      <w:r w:rsidRPr="00994095">
        <w:rPr>
          <w:rFonts w:ascii="Arial" w:hAnsi="Arial" w:cs="Arial"/>
        </w:rPr>
        <w:t xml:space="preserve"> A </w:t>
      </w:r>
    </w:p>
    <w:p w14:paraId="365F1B85" w14:textId="77777777" w:rsidR="00024515" w:rsidRPr="00994095" w:rsidRDefault="00024515" w:rsidP="00024515">
      <w:pPr>
        <w:spacing w:line="360" w:lineRule="auto"/>
        <w:rPr>
          <w:rFonts w:ascii="Arial" w:hAnsi="Arial" w:cs="Arial"/>
        </w:rPr>
      </w:pPr>
      <w:r w:rsidRPr="00994095">
        <w:rPr>
          <w:rFonts w:ascii="Arial" w:hAnsi="Arial" w:cs="Arial"/>
        </w:rPr>
        <w:t xml:space="preserve">TBBPA-DHEE     </w:t>
      </w:r>
      <w:proofErr w:type="spellStart"/>
      <w:r w:rsidRPr="00994095">
        <w:rPr>
          <w:rFonts w:ascii="Arial" w:hAnsi="Arial" w:cs="Arial"/>
        </w:rPr>
        <w:t>Tetrabromobisphenol</w:t>
      </w:r>
      <w:proofErr w:type="spellEnd"/>
      <w:r w:rsidRPr="00994095">
        <w:rPr>
          <w:rFonts w:ascii="Arial" w:hAnsi="Arial" w:cs="Arial"/>
        </w:rPr>
        <w:t xml:space="preserve"> A bis (2-hydroxyethyl) ether </w:t>
      </w:r>
    </w:p>
    <w:p w14:paraId="79AF8612" w14:textId="77777777" w:rsidR="00024515" w:rsidRPr="00994095" w:rsidRDefault="00024515" w:rsidP="00024515">
      <w:pPr>
        <w:pStyle w:val="DefAcrHead"/>
        <w:spacing w:after="0"/>
        <w:jc w:val="both"/>
        <w:rPr>
          <w:rFonts w:ascii="Arial" w:hAnsi="Arial" w:cs="Arial"/>
          <w:sz w:val="20"/>
        </w:rPr>
        <w:sectPr w:rsidR="00024515" w:rsidRPr="00994095" w:rsidSect="001606D3">
          <w:headerReference w:type="even" r:id="rId37"/>
          <w:headerReference w:type="default" r:id="rId38"/>
          <w:footerReference w:type="default" r:id="rId39"/>
          <w:headerReference w:type="first" r:id="rId40"/>
          <w:type w:val="continuous"/>
          <w:pgSz w:w="12240" w:h="15840"/>
          <w:pgMar w:top="1440" w:right="2016" w:bottom="2016" w:left="2016" w:header="720" w:footer="1123" w:gutter="0"/>
          <w:cols w:space="720"/>
          <w:docGrid w:linePitch="272"/>
        </w:sectPr>
      </w:pPr>
    </w:p>
    <w:p w14:paraId="5DB748B0" w14:textId="77777777" w:rsidR="00024515" w:rsidRPr="00994095" w:rsidRDefault="00024515" w:rsidP="00024515">
      <w:pPr>
        <w:pStyle w:val="Appendix"/>
        <w:spacing w:after="0"/>
        <w:jc w:val="both"/>
        <w:rPr>
          <w:rFonts w:ascii="Arial" w:hAnsi="Arial" w:cs="Arial"/>
          <w:b w:val="0"/>
        </w:rPr>
      </w:pPr>
    </w:p>
    <w:p w14:paraId="52EBF3A7" w14:textId="77777777" w:rsidR="00024515" w:rsidRPr="00994095" w:rsidRDefault="00024515" w:rsidP="00773C94">
      <w:pPr>
        <w:spacing w:before="240" w:line="360" w:lineRule="auto"/>
        <w:jc w:val="both"/>
        <w:rPr>
          <w:rFonts w:ascii="Arial" w:hAnsi="Arial" w:cs="Arial"/>
        </w:rPr>
      </w:pPr>
    </w:p>
    <w:p w14:paraId="6BD93A00" w14:textId="77777777" w:rsidR="00B01FCD" w:rsidRPr="00994095" w:rsidRDefault="00B01FCD" w:rsidP="00773C94">
      <w:pPr>
        <w:pStyle w:val="ReferHead"/>
        <w:spacing w:before="240" w:after="0"/>
        <w:jc w:val="both"/>
        <w:rPr>
          <w:rFonts w:ascii="Arial" w:hAnsi="Arial" w:cs="Arial"/>
        </w:rPr>
      </w:pPr>
      <w:r w:rsidRPr="00994095">
        <w:rPr>
          <w:rFonts w:ascii="Arial" w:hAnsi="Arial" w:cs="Arial"/>
        </w:rPr>
        <w:t>References</w:t>
      </w:r>
    </w:p>
    <w:p w14:paraId="17C521B4" w14:textId="77777777" w:rsidR="00773C94" w:rsidRPr="00994095" w:rsidRDefault="00773C94" w:rsidP="00773C94">
      <w:pPr>
        <w:spacing w:before="240" w:after="160" w:line="360" w:lineRule="auto"/>
        <w:jc w:val="both"/>
        <w:rPr>
          <w:rFonts w:ascii="Arial" w:hAnsi="Arial" w:cs="Arial"/>
          <w:lang w:val="en-IN"/>
        </w:rPr>
      </w:pPr>
      <w:r w:rsidRPr="00994095">
        <w:rPr>
          <w:rFonts w:ascii="Arial" w:hAnsi="Arial" w:cs="Arial"/>
          <w:lang w:val="en-IN"/>
        </w:rPr>
        <w:t xml:space="preserve">A. Liu, Z. Zhao, G. Qu, et al., Identification of transformation/degradation products of </w:t>
      </w:r>
      <w:proofErr w:type="spellStart"/>
      <w:r w:rsidRPr="00994095">
        <w:rPr>
          <w:rFonts w:ascii="Arial" w:hAnsi="Arial" w:cs="Arial"/>
          <w:lang w:val="en-IN"/>
        </w:rPr>
        <w:t>tetrabromobisphenol</w:t>
      </w:r>
      <w:proofErr w:type="spellEnd"/>
      <w:r w:rsidRPr="00994095">
        <w:rPr>
          <w:rFonts w:ascii="Arial" w:hAnsi="Arial" w:cs="Arial"/>
          <w:lang w:val="en-IN"/>
        </w:rPr>
        <w:t xml:space="preserve"> A and its derivatives, </w:t>
      </w:r>
      <w:proofErr w:type="spellStart"/>
      <w:r w:rsidRPr="00994095">
        <w:rPr>
          <w:rFonts w:ascii="Arial" w:hAnsi="Arial" w:cs="Arial"/>
          <w:lang w:val="en-IN"/>
        </w:rPr>
        <w:t>TrAC</w:t>
      </w:r>
      <w:proofErr w:type="spellEnd"/>
      <w:r w:rsidRPr="00994095">
        <w:rPr>
          <w:rFonts w:ascii="Arial" w:hAnsi="Arial" w:cs="Arial"/>
          <w:lang w:val="en-IN"/>
        </w:rPr>
        <w:t xml:space="preserve"> Trends Anal. Chem. 111 (2019) 85–99, </w:t>
      </w:r>
      <w:hyperlink r:id="rId41" w:history="1">
        <w:r w:rsidRPr="00994095">
          <w:rPr>
            <w:rStyle w:val="Hyperlink"/>
            <w:rFonts w:ascii="Arial" w:hAnsi="Arial" w:cs="Arial"/>
            <w:lang w:val="en-IN"/>
          </w:rPr>
          <w:t>https://doi.org/10.1016/j.trac.2018.12.003</w:t>
        </w:r>
      </w:hyperlink>
      <w:r w:rsidRPr="00994095">
        <w:rPr>
          <w:rFonts w:ascii="Arial" w:hAnsi="Arial" w:cs="Arial"/>
          <w:lang w:val="en-IN"/>
        </w:rPr>
        <w:t>.</w:t>
      </w:r>
    </w:p>
    <w:p w14:paraId="3653E4E1" w14:textId="4DF053A1" w:rsidR="00773C94" w:rsidRPr="00994095" w:rsidRDefault="00773C94" w:rsidP="00773C94">
      <w:pPr>
        <w:spacing w:after="160" w:line="360" w:lineRule="auto"/>
        <w:jc w:val="both"/>
        <w:rPr>
          <w:rFonts w:ascii="Arial" w:hAnsi="Arial" w:cs="Arial"/>
          <w:lang w:val="en-IN"/>
        </w:rPr>
      </w:pPr>
      <w:r w:rsidRPr="00994095">
        <w:rPr>
          <w:rFonts w:ascii="Arial" w:hAnsi="Arial" w:cs="Arial"/>
        </w:rPr>
        <w:t xml:space="preserve">A. Nakajima, D. </w:t>
      </w:r>
      <w:proofErr w:type="spellStart"/>
      <w:r w:rsidRPr="00994095">
        <w:rPr>
          <w:rFonts w:ascii="Arial" w:hAnsi="Arial" w:cs="Arial"/>
        </w:rPr>
        <w:t>Saigusa</w:t>
      </w:r>
      <w:proofErr w:type="spellEnd"/>
      <w:r w:rsidRPr="00994095">
        <w:rPr>
          <w:rFonts w:ascii="Arial" w:hAnsi="Arial" w:cs="Arial"/>
        </w:rPr>
        <w:t xml:space="preserve">, N. Tetsu, et al., Neurobehavioral effects of </w:t>
      </w:r>
      <w:proofErr w:type="spellStart"/>
      <w:r w:rsidRPr="00994095">
        <w:rPr>
          <w:rFonts w:ascii="Arial" w:hAnsi="Arial" w:cs="Arial"/>
        </w:rPr>
        <w:t>tetrabromobisphenol</w:t>
      </w:r>
      <w:proofErr w:type="spellEnd"/>
      <w:r w:rsidRPr="00994095">
        <w:rPr>
          <w:rFonts w:ascii="Arial" w:hAnsi="Arial" w:cs="Arial"/>
        </w:rPr>
        <w:t xml:space="preserve"> A in mice, </w:t>
      </w:r>
      <w:proofErr w:type="spellStart"/>
      <w:r w:rsidRPr="00994095">
        <w:rPr>
          <w:rFonts w:ascii="Arial" w:hAnsi="Arial" w:cs="Arial"/>
        </w:rPr>
        <w:t>Toxicol</w:t>
      </w:r>
      <w:proofErr w:type="spellEnd"/>
      <w:r w:rsidRPr="00994095">
        <w:rPr>
          <w:rFonts w:ascii="Arial" w:hAnsi="Arial" w:cs="Arial"/>
        </w:rPr>
        <w:t xml:space="preserve">. Lett. 189 (2009) 78–83, </w:t>
      </w:r>
      <w:hyperlink r:id="rId42" w:history="1">
        <w:r w:rsidRPr="00994095">
          <w:rPr>
            <w:rStyle w:val="Hyperlink"/>
            <w:rFonts w:ascii="Arial" w:hAnsi="Arial" w:cs="Arial"/>
          </w:rPr>
          <w:t>https://doi.org/10.1016/j.toxlet.2009.05.003</w:t>
        </w:r>
      </w:hyperlink>
      <w:r w:rsidRPr="00994095">
        <w:rPr>
          <w:rFonts w:ascii="Arial" w:hAnsi="Arial" w:cs="Arial"/>
        </w:rPr>
        <w:t>.</w:t>
      </w:r>
    </w:p>
    <w:p w14:paraId="4B805F6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A. Stewart, S. Gaikwad, E. Kyzar, et al., Modeling anxiety using adult zebrafish, Neuropharmacology 62 (2012) 135–143, </w:t>
      </w:r>
      <w:hyperlink r:id="rId43" w:history="1">
        <w:r w:rsidRPr="00994095">
          <w:rPr>
            <w:rStyle w:val="Hyperlink"/>
            <w:rFonts w:ascii="Arial" w:hAnsi="Arial" w:cs="Arial"/>
          </w:rPr>
          <w:t>https://doi.org/10.1016/j.neuropharm.2011.07.037</w:t>
        </w:r>
      </w:hyperlink>
    </w:p>
    <w:p w14:paraId="16D9FB0C"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A.V. Kalueff, A.M. Stewart, R. </w:t>
      </w:r>
      <w:proofErr w:type="spellStart"/>
      <w:r w:rsidRPr="00994095">
        <w:rPr>
          <w:rFonts w:ascii="Arial" w:hAnsi="Arial" w:cs="Arial"/>
        </w:rPr>
        <w:t>Gerlai</w:t>
      </w:r>
      <w:proofErr w:type="spellEnd"/>
      <w:r w:rsidRPr="00994095">
        <w:rPr>
          <w:rFonts w:ascii="Arial" w:hAnsi="Arial" w:cs="Arial"/>
        </w:rPr>
        <w:t>, Zebrafish as a model for complex brain disorders, Trends </w:t>
      </w:r>
      <w:proofErr w:type="spellStart"/>
      <w:r w:rsidRPr="00994095">
        <w:rPr>
          <w:rFonts w:ascii="Arial" w:hAnsi="Arial" w:cs="Arial"/>
        </w:rPr>
        <w:t>Pharmacol</w:t>
      </w:r>
      <w:proofErr w:type="spellEnd"/>
      <w:r w:rsidRPr="00994095">
        <w:rPr>
          <w:rFonts w:ascii="Arial" w:hAnsi="Arial" w:cs="Arial"/>
        </w:rPr>
        <w:t xml:space="preserve">. Sci. 35 (2014) 63–75, </w:t>
      </w:r>
      <w:hyperlink r:id="rId44" w:history="1">
        <w:r w:rsidRPr="00994095">
          <w:rPr>
            <w:rStyle w:val="Hyperlink"/>
            <w:rFonts w:ascii="Arial" w:hAnsi="Arial" w:cs="Arial"/>
          </w:rPr>
          <w:t>https://doi.org/10.1016/j.tips.2013.12.002</w:t>
        </w:r>
      </w:hyperlink>
      <w:r w:rsidRPr="00994095">
        <w:rPr>
          <w:rFonts w:ascii="Arial" w:hAnsi="Arial" w:cs="Arial"/>
        </w:rPr>
        <w:t>.</w:t>
      </w:r>
    </w:p>
    <w:p w14:paraId="4380A70B"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B. Zhu, G. Zhao, L. Yang, B. Zhou, Tetrabromobisphenol A induces neurodevelopmental toxicity by disrupting thyroid hormones in zebrafish larvae, Chemosphere 197 (2018) 353–361, </w:t>
      </w:r>
      <w:hyperlink r:id="rId45" w:history="1">
        <w:r w:rsidRPr="00994095">
          <w:rPr>
            <w:rStyle w:val="Hyperlink"/>
            <w:rFonts w:ascii="Arial" w:hAnsi="Arial" w:cs="Arial"/>
          </w:rPr>
          <w:t>https://doi.org/10.1016/j.chemosphere.2018.01.080</w:t>
        </w:r>
      </w:hyperlink>
      <w:r w:rsidRPr="00994095">
        <w:rPr>
          <w:rFonts w:ascii="Arial" w:hAnsi="Arial" w:cs="Arial"/>
        </w:rPr>
        <w:t>.</w:t>
      </w:r>
    </w:p>
    <w:p w14:paraId="399526DD"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B.P.D. Costa, L.A. Moura, S.A.G. Pinto, et al., Zebrafish models in neural and behavioral toxicology across life stages, Fishes 5 (2020) 23, </w:t>
      </w:r>
      <w:hyperlink r:id="rId46" w:history="1">
        <w:r w:rsidRPr="00994095">
          <w:rPr>
            <w:rStyle w:val="Hyperlink"/>
            <w:rFonts w:ascii="Arial" w:hAnsi="Arial" w:cs="Arial"/>
          </w:rPr>
          <w:t>https://doi.org/10.3390/fishes5030023</w:t>
        </w:r>
      </w:hyperlink>
      <w:r w:rsidRPr="00994095">
        <w:rPr>
          <w:rFonts w:ascii="Arial" w:hAnsi="Arial" w:cs="Arial"/>
        </w:rPr>
        <w:t>.</w:t>
      </w:r>
    </w:p>
    <w:p w14:paraId="2A00CC45"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D.V. Bozhko, V.O. Myrov, S.M. Kolchanova, et al., AI-driven phenotyping of zebrafish psychoactive drug responses, Prog. </w:t>
      </w:r>
      <w:proofErr w:type="spellStart"/>
      <w:r w:rsidRPr="00994095">
        <w:rPr>
          <w:rFonts w:ascii="Arial" w:hAnsi="Arial" w:cs="Arial"/>
        </w:rPr>
        <w:t>Neuropsychopharmacol</w:t>
      </w:r>
      <w:proofErr w:type="spellEnd"/>
      <w:r w:rsidRPr="00994095">
        <w:rPr>
          <w:rFonts w:ascii="Arial" w:hAnsi="Arial" w:cs="Arial"/>
        </w:rPr>
        <w:t xml:space="preserve">. Biol. Psychiatry 112 (2022) 110405, </w:t>
      </w:r>
      <w:hyperlink r:id="rId47" w:history="1">
        <w:r w:rsidRPr="00994095">
          <w:rPr>
            <w:rStyle w:val="Hyperlink"/>
            <w:rFonts w:ascii="Arial" w:hAnsi="Arial" w:cs="Arial"/>
          </w:rPr>
          <w:t>https://doi.org/10.1016/j.pnpbp.2021.110405</w:t>
        </w:r>
      </w:hyperlink>
      <w:r w:rsidRPr="00994095">
        <w:rPr>
          <w:rFonts w:ascii="Arial" w:hAnsi="Arial" w:cs="Arial"/>
        </w:rPr>
        <w:t>.</w:t>
      </w:r>
    </w:p>
    <w:p w14:paraId="7BA940B0"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E.S. Okeke, W. Feng, C. Song, et al., Transcriptomic profiling reveals neuroendocrine-disrupting effects of TBBPA-DHEE in zebrafish (Danio rerio), Sci. Total Environ. 858 (2023) 160089, </w:t>
      </w:r>
      <w:hyperlink r:id="rId48" w:history="1">
        <w:r w:rsidRPr="00994095">
          <w:rPr>
            <w:rStyle w:val="Hyperlink"/>
            <w:rFonts w:ascii="Arial" w:hAnsi="Arial" w:cs="Arial"/>
          </w:rPr>
          <w:t>https://doi.org/10.1016/j.scitotenv.2022.160089</w:t>
        </w:r>
      </w:hyperlink>
      <w:r w:rsidRPr="00994095">
        <w:rPr>
          <w:rFonts w:ascii="Arial" w:hAnsi="Arial" w:cs="Arial"/>
        </w:rPr>
        <w:t>.</w:t>
      </w:r>
    </w:p>
    <w:p w14:paraId="2723A709"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F. Liu, Q. Luo, Y. Zhang, et al., Transgenerational neurotoxicity of </w:t>
      </w:r>
      <w:proofErr w:type="spellStart"/>
      <w:r w:rsidRPr="00994095">
        <w:rPr>
          <w:rFonts w:ascii="Arial" w:hAnsi="Arial" w:cs="Arial"/>
        </w:rPr>
        <w:t>tetrabromobisphenol</w:t>
      </w:r>
      <w:proofErr w:type="spellEnd"/>
      <w:r w:rsidRPr="00994095">
        <w:rPr>
          <w:rFonts w:ascii="Arial" w:hAnsi="Arial" w:cs="Arial"/>
        </w:rPr>
        <w:t xml:space="preserve"> A in Caenorhabditis elegans, Sci. Total Environ. 703 (2020) 134920, </w:t>
      </w:r>
      <w:hyperlink r:id="rId49" w:history="1">
        <w:r w:rsidRPr="00994095">
          <w:rPr>
            <w:rStyle w:val="Hyperlink"/>
            <w:rFonts w:ascii="Arial" w:hAnsi="Arial" w:cs="Arial"/>
          </w:rPr>
          <w:t>https://doi.org/10.1016/j.scitotenv.2019.134920</w:t>
        </w:r>
      </w:hyperlink>
    </w:p>
    <w:p w14:paraId="1DCBCAEE"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G. Qu, A. Liu, L. Hu, et al., Advances in analysis of TBBPA/TBBPS and their derivatives and transformation products, </w:t>
      </w:r>
      <w:proofErr w:type="spellStart"/>
      <w:r w:rsidRPr="00994095">
        <w:rPr>
          <w:rFonts w:ascii="Arial" w:hAnsi="Arial" w:cs="Arial"/>
        </w:rPr>
        <w:t>TrAC</w:t>
      </w:r>
      <w:proofErr w:type="spellEnd"/>
      <w:r w:rsidRPr="00994095">
        <w:rPr>
          <w:rFonts w:ascii="Arial" w:hAnsi="Arial" w:cs="Arial"/>
        </w:rPr>
        <w:t xml:space="preserve"> Trends Anal. Chem. 83 (2016) 14–24, </w:t>
      </w:r>
      <w:hyperlink r:id="rId50" w:history="1">
        <w:r w:rsidRPr="00994095">
          <w:rPr>
            <w:rStyle w:val="Hyperlink"/>
            <w:rFonts w:ascii="Arial" w:hAnsi="Arial" w:cs="Arial"/>
          </w:rPr>
          <w:t>https://doi.org/10.1016/j.trac.2016.06.021</w:t>
        </w:r>
      </w:hyperlink>
      <w:r w:rsidRPr="00994095">
        <w:rPr>
          <w:rFonts w:ascii="Arial" w:hAnsi="Arial" w:cs="Arial"/>
        </w:rPr>
        <w:t>.</w:t>
      </w:r>
    </w:p>
    <w:p w14:paraId="2E34CAF4" w14:textId="77777777" w:rsidR="00773C94" w:rsidRPr="00994095" w:rsidRDefault="00773C94" w:rsidP="00773C94">
      <w:pPr>
        <w:spacing w:after="160" w:line="360" w:lineRule="auto"/>
        <w:jc w:val="both"/>
        <w:rPr>
          <w:rFonts w:ascii="Arial" w:hAnsi="Arial" w:cs="Arial"/>
        </w:rPr>
      </w:pPr>
      <w:r w:rsidRPr="00994095">
        <w:rPr>
          <w:rFonts w:ascii="Arial" w:hAnsi="Arial" w:cs="Arial"/>
        </w:rPr>
        <w:lastRenderedPageBreak/>
        <w:t xml:space="preserve">H. Liu, R. Fu, Y. Zhang, et al., Integrated transcriptomic and metabolomic analysis of imidacloprid-induced behavioral disorders in zebrafish, Sci. Total Environ. 870 (2023) 161541, </w:t>
      </w:r>
      <w:hyperlink r:id="rId51" w:history="1">
        <w:r w:rsidRPr="00994095">
          <w:rPr>
            <w:rStyle w:val="Hyperlink"/>
            <w:rFonts w:ascii="Arial" w:hAnsi="Arial" w:cs="Arial"/>
          </w:rPr>
          <w:t>https://doi.org/10.1016/j.scitotenv.2023.161541</w:t>
        </w:r>
      </w:hyperlink>
      <w:r w:rsidRPr="00994095">
        <w:rPr>
          <w:rFonts w:ascii="Arial" w:hAnsi="Arial" w:cs="Arial"/>
        </w:rPr>
        <w:t>.</w:t>
      </w:r>
    </w:p>
    <w:p w14:paraId="3A5AB8D9" w14:textId="77777777" w:rsidR="00773C94" w:rsidRPr="00994095" w:rsidRDefault="00773C94" w:rsidP="00773C94">
      <w:pPr>
        <w:spacing w:after="160" w:line="360" w:lineRule="auto"/>
        <w:jc w:val="both"/>
        <w:rPr>
          <w:rFonts w:ascii="Arial" w:hAnsi="Arial" w:cs="Arial"/>
        </w:rPr>
      </w:pPr>
      <w:r w:rsidRPr="00994095">
        <w:rPr>
          <w:rFonts w:ascii="Arial" w:hAnsi="Arial" w:cs="Arial"/>
        </w:rPr>
        <w:t>H. Segner, Zebrafish (Danio rerio) as a model for investigating endocrine disruption, Comp. </w:t>
      </w:r>
      <w:proofErr w:type="spellStart"/>
      <w:r w:rsidRPr="00994095">
        <w:rPr>
          <w:rFonts w:ascii="Arial" w:hAnsi="Arial" w:cs="Arial"/>
        </w:rPr>
        <w:t>Biochem</w:t>
      </w:r>
      <w:proofErr w:type="spellEnd"/>
      <w:r w:rsidRPr="00994095">
        <w:rPr>
          <w:rFonts w:ascii="Arial" w:hAnsi="Arial" w:cs="Arial"/>
        </w:rPr>
        <w:t xml:space="preserve">. Physiol. C 149 (2009) 187–195, </w:t>
      </w:r>
      <w:hyperlink r:id="rId52" w:history="1">
        <w:r w:rsidRPr="00994095">
          <w:rPr>
            <w:rStyle w:val="Hyperlink"/>
            <w:rFonts w:ascii="Arial" w:hAnsi="Arial" w:cs="Arial"/>
          </w:rPr>
          <w:t>https://doi.org/10.1016/j.cbpc.2008.10.099</w:t>
        </w:r>
      </w:hyperlink>
      <w:r w:rsidRPr="00994095">
        <w:rPr>
          <w:rFonts w:ascii="Arial" w:hAnsi="Arial" w:cs="Arial"/>
        </w:rPr>
        <w:t>.</w:t>
      </w:r>
    </w:p>
    <w:p w14:paraId="45723E3D"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H.S. Hendriks, R.G.D. Van Kleef, M. Van den Berg, R.H.S. </w:t>
      </w:r>
      <w:proofErr w:type="spellStart"/>
      <w:r w:rsidRPr="00994095">
        <w:rPr>
          <w:rFonts w:ascii="Arial" w:hAnsi="Arial" w:cs="Arial"/>
        </w:rPr>
        <w:t>Westerink</w:t>
      </w:r>
      <w:proofErr w:type="spellEnd"/>
      <w:r w:rsidRPr="00994095">
        <w:rPr>
          <w:rFonts w:ascii="Arial" w:hAnsi="Arial" w:cs="Arial"/>
        </w:rPr>
        <w:t xml:space="preserve">, Multiple novel modes of action involved in in vitro neurotoxicity of </w:t>
      </w:r>
      <w:proofErr w:type="spellStart"/>
      <w:r w:rsidRPr="00994095">
        <w:rPr>
          <w:rFonts w:ascii="Arial" w:hAnsi="Arial" w:cs="Arial"/>
        </w:rPr>
        <w:t>tetrabromobisphenol</w:t>
      </w:r>
      <w:proofErr w:type="spellEnd"/>
      <w:r w:rsidRPr="00994095">
        <w:rPr>
          <w:rFonts w:ascii="Arial" w:hAnsi="Arial" w:cs="Arial"/>
        </w:rPr>
        <w:t xml:space="preserve"> A, </w:t>
      </w:r>
      <w:proofErr w:type="spellStart"/>
      <w:r w:rsidRPr="00994095">
        <w:rPr>
          <w:rFonts w:ascii="Arial" w:hAnsi="Arial" w:cs="Arial"/>
        </w:rPr>
        <w:t>Toxicol</w:t>
      </w:r>
      <w:proofErr w:type="spellEnd"/>
      <w:r w:rsidRPr="00994095">
        <w:rPr>
          <w:rFonts w:ascii="Arial" w:hAnsi="Arial" w:cs="Arial"/>
        </w:rPr>
        <w:t xml:space="preserve">. Sci. 128 (2012) 235–246, </w:t>
      </w:r>
      <w:hyperlink r:id="rId53" w:history="1">
        <w:r w:rsidRPr="00994095">
          <w:rPr>
            <w:rStyle w:val="Hyperlink"/>
            <w:rFonts w:ascii="Arial" w:hAnsi="Arial" w:cs="Arial"/>
          </w:rPr>
          <w:t>https://doi.org/10.1093/toxsci/kfs136</w:t>
        </w:r>
      </w:hyperlink>
      <w:r w:rsidRPr="00994095">
        <w:rPr>
          <w:rFonts w:ascii="Arial" w:hAnsi="Arial" w:cs="Arial"/>
        </w:rPr>
        <w:t>.</w:t>
      </w:r>
    </w:p>
    <w:p w14:paraId="4ACA8918"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J. Chen, R.L. Tanguay, Y. Xiao, et al., Developmental TBBPA exposure induces neurobehavioral alterations in larval zebrafish, Environ. </w:t>
      </w:r>
      <w:proofErr w:type="spellStart"/>
      <w:r w:rsidRPr="00994095">
        <w:rPr>
          <w:rFonts w:ascii="Arial" w:hAnsi="Arial" w:cs="Arial"/>
        </w:rPr>
        <w:t>Pollut</w:t>
      </w:r>
      <w:proofErr w:type="spellEnd"/>
      <w:r w:rsidRPr="00994095">
        <w:rPr>
          <w:rFonts w:ascii="Arial" w:hAnsi="Arial" w:cs="Arial"/>
        </w:rPr>
        <w:t xml:space="preserve">. 216 (2016) 53–63, </w:t>
      </w:r>
      <w:hyperlink r:id="rId54" w:history="1">
        <w:r w:rsidRPr="00994095">
          <w:rPr>
            <w:rStyle w:val="Hyperlink"/>
            <w:rFonts w:ascii="Arial" w:hAnsi="Arial" w:cs="Arial"/>
          </w:rPr>
          <w:t>https://doi.org/10.1016/j.envpol.2016.05.059</w:t>
        </w:r>
      </w:hyperlink>
      <w:r w:rsidRPr="00994095">
        <w:rPr>
          <w:rFonts w:ascii="Arial" w:hAnsi="Arial" w:cs="Arial"/>
        </w:rPr>
        <w:t>.</w:t>
      </w:r>
    </w:p>
    <w:p w14:paraId="56FA3CE0" w14:textId="77777777" w:rsidR="00773C94" w:rsidRPr="00994095" w:rsidRDefault="00773C94" w:rsidP="00773C94">
      <w:pPr>
        <w:spacing w:after="160" w:line="360" w:lineRule="auto"/>
        <w:jc w:val="both"/>
        <w:rPr>
          <w:rFonts w:ascii="Arial" w:hAnsi="Arial" w:cs="Arial"/>
          <w:lang w:val="en-IN"/>
        </w:rPr>
      </w:pPr>
      <w:r w:rsidRPr="00994095">
        <w:rPr>
          <w:rFonts w:ascii="Arial" w:hAnsi="Arial" w:cs="Arial"/>
          <w:lang w:val="en-IN"/>
        </w:rPr>
        <w:t xml:space="preserve">J. Wang, X. Zhao, Y. Wang, Z. Shi, Tetrabromobisphenol A, hexabromocyclododecane isomers and polybrominated diphenyl ethers in foodstuffs from Beijing, China, Sci. Total Environ. 666 (2019) 812–820, </w:t>
      </w:r>
      <w:hyperlink r:id="rId55" w:history="1">
        <w:r w:rsidRPr="00994095">
          <w:rPr>
            <w:rStyle w:val="Hyperlink"/>
            <w:rFonts w:ascii="Arial" w:hAnsi="Arial" w:cs="Arial"/>
            <w:lang w:val="en-IN"/>
          </w:rPr>
          <w:t>https://doi.org/10.1016/j.scitotenv.2019.02.324</w:t>
        </w:r>
      </w:hyperlink>
    </w:p>
    <w:p w14:paraId="58FE5170"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J.G.S. Rosa, C. Lima, M. Lopes-Ferreira, Zebrafish larvae behavior models for drug screening and preclinical trials, Int. J. Mol. Sci. 23 (2022) 6647, </w:t>
      </w:r>
      <w:hyperlink r:id="rId56" w:history="1">
        <w:r w:rsidRPr="00994095">
          <w:rPr>
            <w:rStyle w:val="Hyperlink"/>
            <w:rFonts w:ascii="Arial" w:hAnsi="Arial" w:cs="Arial"/>
          </w:rPr>
          <w:t>https://doi.org/10.3390/ijms23126647</w:t>
        </w:r>
      </w:hyperlink>
      <w:r w:rsidRPr="00994095">
        <w:rPr>
          <w:rFonts w:ascii="Arial" w:hAnsi="Arial" w:cs="Arial"/>
        </w:rPr>
        <w:t>.</w:t>
      </w:r>
    </w:p>
    <w:p w14:paraId="2F871D64"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K. Liu, J. Li, S. Yan, et al., Status of </w:t>
      </w:r>
      <w:proofErr w:type="spellStart"/>
      <w:r w:rsidRPr="00994095">
        <w:rPr>
          <w:rFonts w:ascii="Arial" w:hAnsi="Arial" w:cs="Arial"/>
        </w:rPr>
        <w:t>tetrabromobisphenol</w:t>
      </w:r>
      <w:proofErr w:type="spellEnd"/>
      <w:r w:rsidRPr="00994095">
        <w:rPr>
          <w:rFonts w:ascii="Arial" w:hAnsi="Arial" w:cs="Arial"/>
        </w:rPr>
        <w:t xml:space="preserve"> A (TBBPA) in China: A review, Chemosphere 148 (2016) 8–20, </w:t>
      </w:r>
      <w:hyperlink r:id="rId57" w:history="1">
        <w:r w:rsidRPr="00994095">
          <w:rPr>
            <w:rStyle w:val="Hyperlink"/>
            <w:rFonts w:ascii="Arial" w:hAnsi="Arial" w:cs="Arial"/>
          </w:rPr>
          <w:t>https://doi.org/10.1016/j.chemosphere.2016.01.023</w:t>
        </w:r>
      </w:hyperlink>
      <w:r w:rsidRPr="00994095">
        <w:rPr>
          <w:rFonts w:ascii="Arial" w:hAnsi="Arial" w:cs="Arial"/>
        </w:rPr>
        <w:t>.</w:t>
      </w:r>
    </w:p>
    <w:p w14:paraId="6D7F47C9"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K. Zhang, J. Liang, N.R. Brun, et al., Rapid zebrafish behavioral profiling identifies neurodevelopmental toxicants, Environ. Sci. Technol. 55 (2021) 1919–1929, </w:t>
      </w:r>
      <w:hyperlink r:id="rId58" w:history="1">
        <w:r w:rsidRPr="00994095">
          <w:rPr>
            <w:rStyle w:val="Hyperlink"/>
            <w:rFonts w:ascii="Arial" w:hAnsi="Arial" w:cs="Arial"/>
          </w:rPr>
          <w:t>https://doi.org/10.1021/acs.est.0c06949</w:t>
        </w:r>
      </w:hyperlink>
      <w:r w:rsidRPr="00994095">
        <w:rPr>
          <w:rFonts w:ascii="Arial" w:hAnsi="Arial" w:cs="Arial"/>
        </w:rPr>
        <w:t>.</w:t>
      </w:r>
    </w:p>
    <w:p w14:paraId="46F1EEA4"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K.A. Jarema, D.L. Hunter, R.M. Shaffer, et al., Behavioral effects of flame retardants in zebrafish, </w:t>
      </w:r>
      <w:proofErr w:type="spellStart"/>
      <w:r w:rsidRPr="00994095">
        <w:rPr>
          <w:rFonts w:ascii="Arial" w:hAnsi="Arial" w:cs="Arial"/>
        </w:rPr>
        <w:t>Neurotoxicol</w:t>
      </w:r>
      <w:proofErr w:type="spellEnd"/>
      <w:r w:rsidRPr="00994095">
        <w:rPr>
          <w:rFonts w:ascii="Arial" w:hAnsi="Arial" w:cs="Arial"/>
        </w:rPr>
        <w:t xml:space="preserve">. Teratol. 52 (2015) 194–209, </w:t>
      </w:r>
      <w:hyperlink r:id="rId59" w:history="1">
        <w:r w:rsidRPr="00994095">
          <w:rPr>
            <w:rStyle w:val="Hyperlink"/>
            <w:rFonts w:ascii="Arial" w:hAnsi="Arial" w:cs="Arial"/>
          </w:rPr>
          <w:t>https://doi.org/10.1016/j.ntt.2015.08.010</w:t>
        </w:r>
      </w:hyperlink>
      <w:r w:rsidRPr="00994095">
        <w:rPr>
          <w:rFonts w:ascii="Arial" w:hAnsi="Arial" w:cs="Arial"/>
        </w:rPr>
        <w:t>.</w:t>
      </w:r>
    </w:p>
    <w:p w14:paraId="4A5CF6E6"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K.A. Szychowski, A.K. </w:t>
      </w:r>
      <w:proofErr w:type="spellStart"/>
      <w:r w:rsidRPr="00994095">
        <w:rPr>
          <w:rFonts w:ascii="Arial" w:hAnsi="Arial" w:cs="Arial"/>
        </w:rPr>
        <w:t>Wójtowicz</w:t>
      </w:r>
      <w:proofErr w:type="spellEnd"/>
      <w:r w:rsidRPr="00994095">
        <w:rPr>
          <w:rFonts w:ascii="Arial" w:hAnsi="Arial" w:cs="Arial"/>
        </w:rPr>
        <w:t xml:space="preserve">, TBBPA induces neurotoxicity and apoptosis in cultured mouse hippocampal neurons, </w:t>
      </w:r>
      <w:proofErr w:type="spellStart"/>
      <w:r w:rsidRPr="00994095">
        <w:rPr>
          <w:rFonts w:ascii="Arial" w:hAnsi="Arial" w:cs="Arial"/>
        </w:rPr>
        <w:t>Pharmacol</w:t>
      </w:r>
      <w:proofErr w:type="spellEnd"/>
      <w:r w:rsidRPr="00994095">
        <w:rPr>
          <w:rFonts w:ascii="Arial" w:hAnsi="Arial" w:cs="Arial"/>
        </w:rPr>
        <w:t xml:space="preserve">. Rep. 68 (2015) 20–26, </w:t>
      </w:r>
      <w:hyperlink r:id="rId60" w:history="1">
        <w:r w:rsidRPr="00994095">
          <w:rPr>
            <w:rStyle w:val="Hyperlink"/>
            <w:rFonts w:ascii="Arial" w:hAnsi="Arial" w:cs="Arial"/>
          </w:rPr>
          <w:t>https://doi.org/10.1016/j.pharep.2015.06.005</w:t>
        </w:r>
      </w:hyperlink>
      <w:r w:rsidRPr="00994095">
        <w:rPr>
          <w:rFonts w:ascii="Arial" w:hAnsi="Arial" w:cs="Arial"/>
        </w:rPr>
        <w:t>.</w:t>
      </w:r>
    </w:p>
    <w:p w14:paraId="6B78AFEA"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L.D.P. Magno, A. Fontes, B.M.N. Gonçalves, et al., Light/dark preference test pharmacology in zebrafish, </w:t>
      </w:r>
      <w:proofErr w:type="spellStart"/>
      <w:r w:rsidRPr="00994095">
        <w:rPr>
          <w:rFonts w:ascii="Arial" w:hAnsi="Arial" w:cs="Arial"/>
        </w:rPr>
        <w:t>Pharmacol</w:t>
      </w:r>
      <w:proofErr w:type="spellEnd"/>
      <w:r w:rsidRPr="00994095">
        <w:rPr>
          <w:rFonts w:ascii="Arial" w:hAnsi="Arial" w:cs="Arial"/>
        </w:rPr>
        <w:t xml:space="preserve">. </w:t>
      </w:r>
      <w:proofErr w:type="spellStart"/>
      <w:r w:rsidRPr="00994095">
        <w:rPr>
          <w:rFonts w:ascii="Arial" w:hAnsi="Arial" w:cs="Arial"/>
        </w:rPr>
        <w:t>Biochem</w:t>
      </w:r>
      <w:proofErr w:type="spellEnd"/>
      <w:r w:rsidRPr="00994095">
        <w:rPr>
          <w:rFonts w:ascii="Arial" w:hAnsi="Arial" w:cs="Arial"/>
        </w:rPr>
        <w:t xml:space="preserve">. </w:t>
      </w:r>
      <w:proofErr w:type="spellStart"/>
      <w:r w:rsidRPr="00994095">
        <w:rPr>
          <w:rFonts w:ascii="Arial" w:hAnsi="Arial" w:cs="Arial"/>
        </w:rPr>
        <w:t>Behav</w:t>
      </w:r>
      <w:proofErr w:type="spellEnd"/>
      <w:r w:rsidRPr="00994095">
        <w:rPr>
          <w:rFonts w:ascii="Arial" w:hAnsi="Arial" w:cs="Arial"/>
        </w:rPr>
        <w:t xml:space="preserve">. 135 (2015) 169–176, </w:t>
      </w:r>
      <w:hyperlink r:id="rId61" w:history="1">
        <w:r w:rsidRPr="00994095">
          <w:rPr>
            <w:rStyle w:val="Hyperlink"/>
            <w:rFonts w:ascii="Arial" w:hAnsi="Arial" w:cs="Arial"/>
          </w:rPr>
          <w:t>https://doi.org/10.1016/j.pbb.2015.05.014</w:t>
        </w:r>
      </w:hyperlink>
      <w:r w:rsidRPr="00994095">
        <w:rPr>
          <w:rFonts w:ascii="Arial" w:hAnsi="Arial" w:cs="Arial"/>
        </w:rPr>
        <w:t>.</w:t>
      </w:r>
    </w:p>
    <w:p w14:paraId="1001A676" w14:textId="77777777" w:rsidR="00773C94" w:rsidRPr="00994095" w:rsidRDefault="00773C94" w:rsidP="00773C94">
      <w:pPr>
        <w:spacing w:after="160" w:line="360" w:lineRule="auto"/>
        <w:jc w:val="both"/>
        <w:rPr>
          <w:rFonts w:ascii="Arial" w:hAnsi="Arial" w:cs="Arial"/>
        </w:rPr>
      </w:pPr>
      <w:r w:rsidRPr="00994095">
        <w:rPr>
          <w:rFonts w:ascii="Arial" w:hAnsi="Arial" w:cs="Arial"/>
        </w:rPr>
        <w:lastRenderedPageBreak/>
        <w:t xml:space="preserve">L.Y. Lin, J.L. Horng, C.A. Cheng, et al., Sublethal ammonia alters emotions and cognition in zebrafish, </w:t>
      </w:r>
      <w:proofErr w:type="spellStart"/>
      <w:r w:rsidRPr="00994095">
        <w:rPr>
          <w:rFonts w:ascii="Arial" w:hAnsi="Arial" w:cs="Arial"/>
        </w:rPr>
        <w:t>Ecotoxicol</w:t>
      </w:r>
      <w:proofErr w:type="spellEnd"/>
      <w:r w:rsidRPr="00994095">
        <w:rPr>
          <w:rFonts w:ascii="Arial" w:hAnsi="Arial" w:cs="Arial"/>
        </w:rPr>
        <w:t xml:space="preserve">. Environ. Saf. 244 (2022) 114058, </w:t>
      </w:r>
      <w:hyperlink r:id="rId62" w:history="1">
        <w:r w:rsidRPr="00994095">
          <w:rPr>
            <w:rStyle w:val="Hyperlink"/>
            <w:rFonts w:ascii="Arial" w:hAnsi="Arial" w:cs="Arial"/>
          </w:rPr>
          <w:t>https://doi.org/10.1016/j.ecoenv.2022.114058</w:t>
        </w:r>
      </w:hyperlink>
      <w:r w:rsidRPr="00994095">
        <w:rPr>
          <w:rFonts w:ascii="Arial" w:hAnsi="Arial" w:cs="Arial"/>
        </w:rPr>
        <w:t>.</w:t>
      </w:r>
    </w:p>
    <w:p w14:paraId="2A5BB97C"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M. Dong, Y. Li, M. Zhu, Z. Qin, Tetrabromobisphenol A: A neurotoxicant or </w:t>
      </w:r>
      <w:proofErr w:type="gramStart"/>
      <w:r w:rsidRPr="00994095">
        <w:rPr>
          <w:rFonts w:ascii="Arial" w:hAnsi="Arial" w:cs="Arial"/>
        </w:rPr>
        <w:t>not?,</w:t>
      </w:r>
      <w:proofErr w:type="gramEnd"/>
      <w:r w:rsidRPr="00994095">
        <w:rPr>
          <w:rFonts w:ascii="Arial" w:hAnsi="Arial" w:cs="Arial"/>
        </w:rPr>
        <w:t xml:space="preserve"> Environ. Sci. </w:t>
      </w:r>
      <w:proofErr w:type="spellStart"/>
      <w:r w:rsidRPr="00994095">
        <w:rPr>
          <w:rFonts w:ascii="Arial" w:hAnsi="Arial" w:cs="Arial"/>
        </w:rPr>
        <w:t>Pollut</w:t>
      </w:r>
      <w:proofErr w:type="spellEnd"/>
      <w:r w:rsidRPr="00994095">
        <w:rPr>
          <w:rFonts w:ascii="Arial" w:hAnsi="Arial" w:cs="Arial"/>
        </w:rPr>
        <w:t xml:space="preserve">. Res. 28 (2021) 54466–54476, </w:t>
      </w:r>
      <w:hyperlink r:id="rId63" w:history="1">
        <w:r w:rsidRPr="00994095">
          <w:rPr>
            <w:rStyle w:val="Hyperlink"/>
            <w:rFonts w:ascii="Arial" w:hAnsi="Arial" w:cs="Arial"/>
          </w:rPr>
          <w:t>https://doi.org/10.1007/s11356-021-15166-w</w:t>
        </w:r>
      </w:hyperlink>
      <w:r w:rsidRPr="00994095">
        <w:rPr>
          <w:rFonts w:ascii="Arial" w:hAnsi="Arial" w:cs="Arial"/>
        </w:rPr>
        <w:t>.</w:t>
      </w:r>
    </w:p>
    <w:p w14:paraId="1BE7A1DE"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M. Luo, Z. Wu, T. Xu, et al., Neurotoxicity and mechanisms of TBBPA-DHEE exposure in adult zebrafish, Comp. </w:t>
      </w:r>
      <w:proofErr w:type="spellStart"/>
      <w:r w:rsidRPr="00994095">
        <w:rPr>
          <w:rFonts w:ascii="Arial" w:hAnsi="Arial" w:cs="Arial"/>
        </w:rPr>
        <w:t>Biochem</w:t>
      </w:r>
      <w:proofErr w:type="spellEnd"/>
      <w:r w:rsidRPr="00994095">
        <w:rPr>
          <w:rFonts w:ascii="Arial" w:hAnsi="Arial" w:cs="Arial"/>
        </w:rPr>
        <w:t xml:space="preserve">. Physiol. C 267 (2023) 109572, </w:t>
      </w:r>
      <w:hyperlink r:id="rId64" w:history="1">
        <w:r w:rsidRPr="00994095">
          <w:rPr>
            <w:rStyle w:val="Hyperlink"/>
            <w:rFonts w:ascii="Arial" w:hAnsi="Arial" w:cs="Arial"/>
          </w:rPr>
          <w:t>https://doi.org/10.1016/j.cbpc.2023.109572</w:t>
        </w:r>
      </w:hyperlink>
      <w:r w:rsidRPr="00994095">
        <w:rPr>
          <w:rFonts w:ascii="Arial" w:hAnsi="Arial" w:cs="Arial"/>
        </w:rPr>
        <w:t>.</w:t>
      </w:r>
    </w:p>
    <w:p w14:paraId="203970A1"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M. Nahar, D. Jat, Long-term alcohol exposure induces behavioral impairments and oxidative stress in adult zebrafish, Zebrafish 18 (2021) 110–124, </w:t>
      </w:r>
      <w:hyperlink r:id="rId65" w:history="1">
        <w:r w:rsidRPr="00994095">
          <w:rPr>
            <w:rStyle w:val="Hyperlink"/>
            <w:rFonts w:ascii="Arial" w:hAnsi="Arial" w:cs="Arial"/>
          </w:rPr>
          <w:t>https://doi.org/10.1089/zeb.2020.1913</w:t>
        </w:r>
      </w:hyperlink>
      <w:r w:rsidRPr="00994095">
        <w:rPr>
          <w:rFonts w:ascii="Arial" w:hAnsi="Arial" w:cs="Arial"/>
        </w:rPr>
        <w:t>.</w:t>
      </w:r>
    </w:p>
    <w:p w14:paraId="56A2A60E" w14:textId="77777777" w:rsidR="00773C94" w:rsidRPr="00994095" w:rsidRDefault="00773C94" w:rsidP="00773C94">
      <w:pPr>
        <w:spacing w:line="360" w:lineRule="auto"/>
        <w:jc w:val="both"/>
        <w:rPr>
          <w:rFonts w:ascii="Arial" w:hAnsi="Arial" w:cs="Arial"/>
        </w:rPr>
      </w:pPr>
      <w:r w:rsidRPr="00994095">
        <w:rPr>
          <w:rFonts w:ascii="Arial" w:hAnsi="Arial" w:cs="Arial"/>
        </w:rPr>
        <w:t>M. Nahar, R. Rai, D. Jat, Vitamin B12 mitigates chronic alcoholism-induced alterations in adult zebrafish, Int. J. Neurosci. (2024), </w:t>
      </w:r>
      <w:hyperlink r:id="rId66" w:history="1">
        <w:r w:rsidRPr="00994095">
          <w:rPr>
            <w:rStyle w:val="Hyperlink"/>
            <w:rFonts w:ascii="Arial" w:hAnsi="Arial" w:cs="Arial"/>
          </w:rPr>
          <w:t>http://doi.org/10.1080/00207454.2024.2398564</w:t>
        </w:r>
      </w:hyperlink>
    </w:p>
    <w:p w14:paraId="38C9518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M. Toni, C. Arena, C. Cioni, G. Tedeschi, Temperature- and chemical-induced neurotoxicity in zebrafish, Front. Physiol. 14 (2023) 1276941, </w:t>
      </w:r>
      <w:hyperlink r:id="rId67" w:history="1">
        <w:r w:rsidRPr="00994095">
          <w:rPr>
            <w:rStyle w:val="Hyperlink"/>
            <w:rFonts w:ascii="Arial" w:hAnsi="Arial" w:cs="Arial"/>
          </w:rPr>
          <w:t>https://doi.org/10.3389/fphys.2023.1276941</w:t>
        </w:r>
      </w:hyperlink>
      <w:r w:rsidRPr="00994095">
        <w:rPr>
          <w:rFonts w:ascii="Arial" w:hAnsi="Arial" w:cs="Arial"/>
        </w:rPr>
        <w:t>.</w:t>
      </w:r>
    </w:p>
    <w:p w14:paraId="1E4AB910" w14:textId="77777777" w:rsidR="00773C94" w:rsidRPr="00994095" w:rsidRDefault="00773C94" w:rsidP="00773C94">
      <w:pPr>
        <w:spacing w:after="160" w:line="360" w:lineRule="auto"/>
        <w:jc w:val="both"/>
        <w:rPr>
          <w:rFonts w:ascii="Arial" w:hAnsi="Arial" w:cs="Arial"/>
          <w:lang w:val="en-IN"/>
        </w:rPr>
      </w:pPr>
      <w:r w:rsidRPr="00994095">
        <w:rPr>
          <w:rFonts w:ascii="Arial" w:hAnsi="Arial" w:cs="Arial"/>
          <w:lang w:val="en-IN"/>
        </w:rPr>
        <w:t xml:space="preserve">M.A.E. Abdallah, Environmental occurrence, analysis and human exposure to the flame retardant </w:t>
      </w:r>
      <w:proofErr w:type="spellStart"/>
      <w:r w:rsidRPr="00994095">
        <w:rPr>
          <w:rFonts w:ascii="Arial" w:hAnsi="Arial" w:cs="Arial"/>
          <w:lang w:val="en-IN"/>
        </w:rPr>
        <w:t>tetrabromobisphenol</w:t>
      </w:r>
      <w:proofErr w:type="spellEnd"/>
      <w:r w:rsidRPr="00994095">
        <w:rPr>
          <w:rFonts w:ascii="Arial" w:hAnsi="Arial" w:cs="Arial"/>
          <w:lang w:val="en-IN"/>
        </w:rPr>
        <w:t xml:space="preserve">-A (TBBP-A): A review, Environ. Int. 94 (2016) 235–250, </w:t>
      </w:r>
      <w:hyperlink r:id="rId68" w:history="1">
        <w:r w:rsidRPr="00994095">
          <w:rPr>
            <w:rStyle w:val="Hyperlink"/>
            <w:rFonts w:ascii="Arial" w:hAnsi="Arial" w:cs="Arial"/>
            <w:lang w:val="en-IN"/>
          </w:rPr>
          <w:t>https://doi.org/10.1016/j.envint.2016.05.026</w:t>
        </w:r>
      </w:hyperlink>
      <w:r w:rsidRPr="00994095">
        <w:rPr>
          <w:rFonts w:ascii="Arial" w:hAnsi="Arial" w:cs="Arial"/>
          <w:lang w:val="en-IN"/>
        </w:rPr>
        <w:t>.</w:t>
      </w:r>
    </w:p>
    <w:p w14:paraId="33AA53A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N. Miller, R. </w:t>
      </w:r>
      <w:proofErr w:type="spellStart"/>
      <w:r w:rsidRPr="00994095">
        <w:rPr>
          <w:rFonts w:ascii="Arial" w:hAnsi="Arial" w:cs="Arial"/>
        </w:rPr>
        <w:t>Gerlai</w:t>
      </w:r>
      <w:proofErr w:type="spellEnd"/>
      <w:r w:rsidRPr="00994095">
        <w:rPr>
          <w:rFonts w:ascii="Arial" w:hAnsi="Arial" w:cs="Arial"/>
        </w:rPr>
        <w:t xml:space="preserve">, Automated tracking of zebrafish shoals and analysis of shoaling behavior, Methods Mol. Biol. 916 (2012) 217–230, </w:t>
      </w:r>
      <w:hyperlink r:id="rId69" w:history="1">
        <w:r w:rsidRPr="00994095">
          <w:rPr>
            <w:rStyle w:val="Hyperlink"/>
            <w:rFonts w:ascii="Arial" w:hAnsi="Arial" w:cs="Arial"/>
          </w:rPr>
          <w:t>https://doi.org/10.1007/978-1-61779-597-8_16</w:t>
        </w:r>
      </w:hyperlink>
    </w:p>
    <w:p w14:paraId="2859353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O.E. Sunday, H. Bin, M. Guanghua, et al., Review of the environmental occurrence, analytical techniques, degradation and toxicity of TBBPA and its derivatives, Environ. Res. 206 (2022) 112594, </w:t>
      </w:r>
      <w:hyperlink r:id="rId70" w:history="1">
        <w:r w:rsidRPr="00994095">
          <w:rPr>
            <w:rStyle w:val="Hyperlink"/>
            <w:rFonts w:ascii="Arial" w:hAnsi="Arial" w:cs="Arial"/>
          </w:rPr>
          <w:t>https://doi.org/10.1016/j.envres.2021.112594</w:t>
        </w:r>
      </w:hyperlink>
      <w:r w:rsidRPr="00994095">
        <w:rPr>
          <w:rFonts w:ascii="Arial" w:hAnsi="Arial" w:cs="Arial"/>
        </w:rPr>
        <w:t>.</w:t>
      </w:r>
    </w:p>
    <w:p w14:paraId="015C6F1B"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Q. Liu, X. Ren, Y. Long, et al., Neurotoxicity of emerging TBBPA derivatives in rat pheochromocytoma cells, Chemosphere 154 (2016) 194–203, </w:t>
      </w:r>
      <w:hyperlink r:id="rId71" w:history="1">
        <w:r w:rsidRPr="00994095">
          <w:rPr>
            <w:rStyle w:val="Hyperlink"/>
            <w:rFonts w:ascii="Arial" w:hAnsi="Arial" w:cs="Arial"/>
          </w:rPr>
          <w:t>https://doi.org/10.1016/j.chemosphere.2016.03.117</w:t>
        </w:r>
      </w:hyperlink>
      <w:r w:rsidRPr="00994095">
        <w:rPr>
          <w:rFonts w:ascii="Arial" w:hAnsi="Arial" w:cs="Arial"/>
        </w:rPr>
        <w:t>.</w:t>
      </w:r>
    </w:p>
    <w:p w14:paraId="521F21A5"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R. </w:t>
      </w:r>
      <w:proofErr w:type="spellStart"/>
      <w:r w:rsidRPr="00994095">
        <w:rPr>
          <w:rFonts w:ascii="Arial" w:hAnsi="Arial" w:cs="Arial"/>
        </w:rPr>
        <w:t>Gerlai</w:t>
      </w:r>
      <w:proofErr w:type="spellEnd"/>
      <w:r w:rsidRPr="00994095">
        <w:rPr>
          <w:rFonts w:ascii="Arial" w:hAnsi="Arial" w:cs="Arial"/>
        </w:rPr>
        <w:t xml:space="preserve">, </w:t>
      </w:r>
      <w:proofErr w:type="gramStart"/>
      <w:r w:rsidRPr="00994095">
        <w:rPr>
          <w:rFonts w:ascii="Arial" w:hAnsi="Arial" w:cs="Arial"/>
        </w:rPr>
        <w:t>Using</w:t>
      </w:r>
      <w:proofErr w:type="gramEnd"/>
      <w:r w:rsidRPr="00994095">
        <w:rPr>
          <w:rFonts w:ascii="Arial" w:hAnsi="Arial" w:cs="Arial"/>
        </w:rPr>
        <w:t xml:space="preserve"> zebrafish to study the genetics of complex brain disorders, Curr. Top. </w:t>
      </w:r>
      <w:proofErr w:type="spellStart"/>
      <w:r w:rsidRPr="00994095">
        <w:rPr>
          <w:rFonts w:ascii="Arial" w:hAnsi="Arial" w:cs="Arial"/>
        </w:rPr>
        <w:t>Behav</w:t>
      </w:r>
      <w:proofErr w:type="spellEnd"/>
      <w:r w:rsidRPr="00994095">
        <w:rPr>
          <w:rFonts w:ascii="Arial" w:hAnsi="Arial" w:cs="Arial"/>
        </w:rPr>
        <w:t xml:space="preserve">. </w:t>
      </w:r>
      <w:proofErr w:type="spellStart"/>
      <w:r w:rsidRPr="00994095">
        <w:rPr>
          <w:rFonts w:ascii="Arial" w:hAnsi="Arial" w:cs="Arial"/>
        </w:rPr>
        <w:t>Neurosci</w:t>
      </w:r>
      <w:proofErr w:type="spellEnd"/>
      <w:r w:rsidRPr="00994095">
        <w:rPr>
          <w:rFonts w:ascii="Arial" w:hAnsi="Arial" w:cs="Arial"/>
        </w:rPr>
        <w:t xml:space="preserve">. 12 (2011) 3–24, </w:t>
      </w:r>
      <w:hyperlink r:id="rId72" w:history="1">
        <w:r w:rsidRPr="00994095">
          <w:rPr>
            <w:rStyle w:val="Hyperlink"/>
            <w:rFonts w:ascii="Arial" w:hAnsi="Arial" w:cs="Arial"/>
          </w:rPr>
          <w:t>https://doi.org/10.1007/7854_2011_180</w:t>
        </w:r>
      </w:hyperlink>
      <w:r w:rsidRPr="00994095">
        <w:rPr>
          <w:rFonts w:ascii="Arial" w:hAnsi="Arial" w:cs="Arial"/>
        </w:rPr>
        <w:t>.</w:t>
      </w:r>
    </w:p>
    <w:p w14:paraId="0F5A91A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R.E. Blaser, D.B. Rosemberg, Measures of anxiety in zebrafish (Danio rerio): Dissociation of black/white preference and novel tank test, </w:t>
      </w:r>
      <w:proofErr w:type="spellStart"/>
      <w:r w:rsidRPr="00994095">
        <w:rPr>
          <w:rFonts w:ascii="Arial" w:hAnsi="Arial" w:cs="Arial"/>
        </w:rPr>
        <w:t>PLoS</w:t>
      </w:r>
      <w:proofErr w:type="spellEnd"/>
      <w:r w:rsidRPr="00994095">
        <w:rPr>
          <w:rFonts w:ascii="Arial" w:hAnsi="Arial" w:cs="Arial"/>
        </w:rPr>
        <w:t xml:space="preserve"> ONE 7 (2012) e36931, </w:t>
      </w:r>
      <w:hyperlink r:id="rId73" w:history="1">
        <w:r w:rsidRPr="00994095">
          <w:rPr>
            <w:rStyle w:val="Hyperlink"/>
            <w:rFonts w:ascii="Arial" w:hAnsi="Arial" w:cs="Arial"/>
          </w:rPr>
          <w:t>https://doi.org/10.1371/journal.pone.0036931</w:t>
        </w:r>
      </w:hyperlink>
      <w:r w:rsidRPr="00994095">
        <w:rPr>
          <w:rFonts w:ascii="Arial" w:hAnsi="Arial" w:cs="Arial"/>
        </w:rPr>
        <w:t>.</w:t>
      </w:r>
    </w:p>
    <w:p w14:paraId="2093A43E" w14:textId="77777777" w:rsidR="00773C94" w:rsidRPr="00994095" w:rsidRDefault="00773C94" w:rsidP="00773C94">
      <w:pPr>
        <w:spacing w:after="160" w:line="360" w:lineRule="auto"/>
        <w:jc w:val="both"/>
        <w:rPr>
          <w:rFonts w:ascii="Arial" w:hAnsi="Arial" w:cs="Arial"/>
        </w:rPr>
      </w:pPr>
      <w:r w:rsidRPr="00994095">
        <w:rPr>
          <w:rFonts w:ascii="Arial" w:hAnsi="Arial" w:cs="Arial"/>
        </w:rPr>
        <w:lastRenderedPageBreak/>
        <w:t xml:space="preserve">R.J. Egan, C.L. Bergner, P.C. Hart, et al., Stress and anxiety phenotypes in zebrafish, </w:t>
      </w:r>
      <w:proofErr w:type="spellStart"/>
      <w:r w:rsidRPr="00994095">
        <w:rPr>
          <w:rFonts w:ascii="Arial" w:hAnsi="Arial" w:cs="Arial"/>
        </w:rPr>
        <w:t>Behav</w:t>
      </w:r>
      <w:proofErr w:type="spellEnd"/>
      <w:r w:rsidRPr="00994095">
        <w:rPr>
          <w:rFonts w:ascii="Arial" w:hAnsi="Arial" w:cs="Arial"/>
        </w:rPr>
        <w:t xml:space="preserve">. Brain Res. 205 (2009) 38–44, </w:t>
      </w:r>
      <w:hyperlink r:id="rId74" w:history="1">
        <w:r w:rsidRPr="00994095">
          <w:rPr>
            <w:rStyle w:val="Hyperlink"/>
            <w:rFonts w:ascii="Arial" w:hAnsi="Arial" w:cs="Arial"/>
          </w:rPr>
          <w:t>https://doi.org/10.1016/j.bbr.2009.06.022</w:t>
        </w:r>
      </w:hyperlink>
      <w:r w:rsidRPr="00994095">
        <w:rPr>
          <w:rFonts w:ascii="Arial" w:hAnsi="Arial" w:cs="Arial"/>
        </w:rPr>
        <w:t>.</w:t>
      </w:r>
    </w:p>
    <w:p w14:paraId="5B10A4CE"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S. Barros, A.M. Coimbra, N. Alves, et al., Chronic simvastatin exposure disrupts zebrafish brain energy metabolism, J. </w:t>
      </w:r>
      <w:proofErr w:type="spellStart"/>
      <w:r w:rsidRPr="00994095">
        <w:rPr>
          <w:rFonts w:ascii="Arial" w:hAnsi="Arial" w:cs="Arial"/>
        </w:rPr>
        <w:t>Toxicol</w:t>
      </w:r>
      <w:proofErr w:type="spellEnd"/>
      <w:r w:rsidRPr="00994095">
        <w:rPr>
          <w:rFonts w:ascii="Arial" w:hAnsi="Arial" w:cs="Arial"/>
        </w:rPr>
        <w:t xml:space="preserve">. Environ. Health A 83 (2020) 113–125, </w:t>
      </w:r>
      <w:hyperlink r:id="rId75" w:history="1">
        <w:r w:rsidRPr="00994095">
          <w:rPr>
            <w:rStyle w:val="Hyperlink"/>
            <w:rFonts w:ascii="Arial" w:hAnsi="Arial" w:cs="Arial"/>
          </w:rPr>
          <w:t>https://doi.org/10.1080/15287394.2020.1733722</w:t>
        </w:r>
      </w:hyperlink>
      <w:r w:rsidRPr="00994095">
        <w:rPr>
          <w:rFonts w:ascii="Arial" w:hAnsi="Arial" w:cs="Arial"/>
        </w:rPr>
        <w:t>.</w:t>
      </w:r>
    </w:p>
    <w:p w14:paraId="288F5B36"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T. Reistad, E. </w:t>
      </w:r>
      <w:proofErr w:type="spellStart"/>
      <w:r w:rsidRPr="00994095">
        <w:rPr>
          <w:rFonts w:ascii="Arial" w:hAnsi="Arial" w:cs="Arial"/>
        </w:rPr>
        <w:t>Mariussen</w:t>
      </w:r>
      <w:proofErr w:type="spellEnd"/>
      <w:r w:rsidRPr="00994095">
        <w:rPr>
          <w:rFonts w:ascii="Arial" w:hAnsi="Arial" w:cs="Arial"/>
        </w:rPr>
        <w:t xml:space="preserve">, A. Ring, F. </w:t>
      </w:r>
      <w:proofErr w:type="spellStart"/>
      <w:r w:rsidRPr="00994095">
        <w:rPr>
          <w:rFonts w:ascii="Arial" w:hAnsi="Arial" w:cs="Arial"/>
        </w:rPr>
        <w:t>Fonnum</w:t>
      </w:r>
      <w:proofErr w:type="spellEnd"/>
      <w:r w:rsidRPr="00994095">
        <w:rPr>
          <w:rFonts w:ascii="Arial" w:hAnsi="Arial" w:cs="Arial"/>
        </w:rPr>
        <w:t xml:space="preserve">, In vitro neurotoxicity of </w:t>
      </w:r>
      <w:proofErr w:type="spellStart"/>
      <w:r w:rsidRPr="00994095">
        <w:rPr>
          <w:rFonts w:ascii="Arial" w:hAnsi="Arial" w:cs="Arial"/>
        </w:rPr>
        <w:t>tetrabromobisphenol</w:t>
      </w:r>
      <w:proofErr w:type="spellEnd"/>
      <w:r w:rsidRPr="00994095">
        <w:rPr>
          <w:rFonts w:ascii="Arial" w:hAnsi="Arial" w:cs="Arial"/>
        </w:rPr>
        <w:t xml:space="preserve"> A in cerebellar granule cells, </w:t>
      </w:r>
      <w:proofErr w:type="spellStart"/>
      <w:r w:rsidRPr="00994095">
        <w:rPr>
          <w:rFonts w:ascii="Arial" w:hAnsi="Arial" w:cs="Arial"/>
        </w:rPr>
        <w:t>Toxicol</w:t>
      </w:r>
      <w:proofErr w:type="spellEnd"/>
      <w:r w:rsidRPr="00994095">
        <w:rPr>
          <w:rFonts w:ascii="Arial" w:hAnsi="Arial" w:cs="Arial"/>
        </w:rPr>
        <w:t xml:space="preserve">. Sci. 96 (2007) 268–278, </w:t>
      </w:r>
      <w:hyperlink r:id="rId76" w:history="1">
        <w:r w:rsidRPr="00994095">
          <w:rPr>
            <w:rStyle w:val="Hyperlink"/>
            <w:rFonts w:ascii="Arial" w:hAnsi="Arial" w:cs="Arial"/>
          </w:rPr>
          <w:t>https://doi.org/10.1093/toxsci/kfl198</w:t>
        </w:r>
      </w:hyperlink>
      <w:r w:rsidRPr="00994095">
        <w:rPr>
          <w:rFonts w:ascii="Arial" w:hAnsi="Arial" w:cs="Arial"/>
        </w:rPr>
        <w:t>.</w:t>
      </w:r>
    </w:p>
    <w:p w14:paraId="1EAB016F" w14:textId="77777777" w:rsidR="00773C94" w:rsidRPr="00994095" w:rsidRDefault="00773C94" w:rsidP="00773C94">
      <w:pPr>
        <w:spacing w:after="160" w:line="360" w:lineRule="auto"/>
        <w:jc w:val="both"/>
        <w:rPr>
          <w:rFonts w:ascii="Arial" w:hAnsi="Arial" w:cs="Arial"/>
        </w:rPr>
      </w:pPr>
      <w:r w:rsidRPr="00994095">
        <w:rPr>
          <w:rFonts w:ascii="Arial" w:hAnsi="Arial" w:cs="Arial"/>
        </w:rPr>
        <w:t>U.S. EPA, Risk evaluation for 4,4′-(1-</w:t>
      </w:r>
      <w:proofErr w:type="gramStart"/>
      <w:r w:rsidRPr="00994095">
        <w:rPr>
          <w:rFonts w:ascii="Arial" w:hAnsi="Arial" w:cs="Arial"/>
        </w:rPr>
        <w:t>methylethylidene)bis</w:t>
      </w:r>
      <w:proofErr w:type="gramEnd"/>
      <w:r w:rsidRPr="00994095">
        <w:rPr>
          <w:rFonts w:ascii="Arial" w:hAnsi="Arial" w:cs="Arial"/>
        </w:rPr>
        <w:t>[2,6-dibromophenol] (TBBPA), U.S. Environ. Prot. Agency (n.d.).</w:t>
      </w:r>
    </w:p>
    <w:p w14:paraId="2162B87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W. Feng, T. Xu, J. Zuo, et al., Mechanisms of TBBPA-DHEE-induced developmental neurotoxicity in juvenile zebrafish, Comp. </w:t>
      </w:r>
      <w:proofErr w:type="spellStart"/>
      <w:r w:rsidRPr="00994095">
        <w:rPr>
          <w:rFonts w:ascii="Arial" w:hAnsi="Arial" w:cs="Arial"/>
        </w:rPr>
        <w:t>Biochem</w:t>
      </w:r>
      <w:proofErr w:type="spellEnd"/>
      <w:r w:rsidRPr="00994095">
        <w:rPr>
          <w:rFonts w:ascii="Arial" w:hAnsi="Arial" w:cs="Arial"/>
        </w:rPr>
        <w:t xml:space="preserve">. Physiol. C 265 (2023) 109530, </w:t>
      </w:r>
      <w:hyperlink r:id="rId77" w:history="1">
        <w:r w:rsidRPr="00994095">
          <w:rPr>
            <w:rStyle w:val="Hyperlink"/>
            <w:rFonts w:ascii="Arial" w:hAnsi="Arial" w:cs="Arial"/>
          </w:rPr>
          <w:t>https://doi.org/10.1016/j.cbpc.2022.109530</w:t>
        </w:r>
      </w:hyperlink>
      <w:r w:rsidRPr="00994095">
        <w:rPr>
          <w:rFonts w:ascii="Arial" w:hAnsi="Arial" w:cs="Arial"/>
        </w:rPr>
        <w:t>.</w:t>
      </w:r>
    </w:p>
    <w:p w14:paraId="634CAA50"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X. Ge, Y. Yu, Migration and transformation of chemical pollutants as mixtures, </w:t>
      </w:r>
      <w:proofErr w:type="spellStart"/>
      <w:r w:rsidRPr="00994095">
        <w:rPr>
          <w:rFonts w:ascii="Arial" w:hAnsi="Arial" w:cs="Arial"/>
        </w:rPr>
        <w:t>Toxicol</w:t>
      </w:r>
      <w:proofErr w:type="spellEnd"/>
      <w:r w:rsidRPr="00994095">
        <w:rPr>
          <w:rFonts w:ascii="Arial" w:hAnsi="Arial" w:cs="Arial"/>
        </w:rPr>
        <w:t xml:space="preserve">. Assess. Comb. Chem. Environ. (2025) 83–102, </w:t>
      </w:r>
      <w:hyperlink r:id="rId78" w:history="1">
        <w:r w:rsidRPr="00994095">
          <w:rPr>
            <w:rStyle w:val="Hyperlink"/>
            <w:rFonts w:ascii="Arial" w:hAnsi="Arial" w:cs="Arial"/>
          </w:rPr>
          <w:t>https://doi.org/10.1002/9781394158355.ch06</w:t>
        </w:r>
      </w:hyperlink>
      <w:r w:rsidRPr="00994095">
        <w:rPr>
          <w:rFonts w:ascii="Arial" w:hAnsi="Arial" w:cs="Arial"/>
        </w:rPr>
        <w:t>.</w:t>
      </w:r>
    </w:p>
    <w:p w14:paraId="0F2EB886"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X. Guo, R. Zhang, C. Li, et al., Azoxystrobin disrupts male zebrafish behavior via oxidative stress, </w:t>
      </w:r>
      <w:proofErr w:type="spellStart"/>
      <w:r w:rsidRPr="00994095">
        <w:rPr>
          <w:rFonts w:ascii="Arial" w:hAnsi="Arial" w:cs="Arial"/>
        </w:rPr>
        <w:t>Ecotoxicol</w:t>
      </w:r>
      <w:proofErr w:type="spellEnd"/>
      <w:r w:rsidRPr="00994095">
        <w:rPr>
          <w:rFonts w:ascii="Arial" w:hAnsi="Arial" w:cs="Arial"/>
        </w:rPr>
        <w:t xml:space="preserve">. Environ. Saf. 269 (2024) 115744, </w:t>
      </w:r>
      <w:hyperlink r:id="rId79" w:history="1">
        <w:r w:rsidRPr="00994095">
          <w:rPr>
            <w:rStyle w:val="Hyperlink"/>
            <w:rFonts w:ascii="Arial" w:hAnsi="Arial" w:cs="Arial"/>
          </w:rPr>
          <w:t>https://doi.org/10.1016/j.ecoenv.2023.115744</w:t>
        </w:r>
      </w:hyperlink>
      <w:r w:rsidRPr="00994095">
        <w:rPr>
          <w:rFonts w:ascii="Arial" w:hAnsi="Arial" w:cs="Arial"/>
        </w:rPr>
        <w:t>.</w:t>
      </w:r>
    </w:p>
    <w:p w14:paraId="0E69B105"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X. Zhang, L. Guo, Y. Luo, et al., Neurotoxicity induced by TBBPA bis(2-hydroxyethyl) ether in zebrafish embryos, Toxics 13 (2025) 76, </w:t>
      </w:r>
      <w:hyperlink r:id="rId80" w:history="1">
        <w:r w:rsidRPr="00994095">
          <w:rPr>
            <w:rStyle w:val="Hyperlink"/>
            <w:rFonts w:ascii="Arial" w:hAnsi="Arial" w:cs="Arial"/>
          </w:rPr>
          <w:t>https://doi.org/10.3390/toxics13020076</w:t>
        </w:r>
      </w:hyperlink>
      <w:r w:rsidRPr="00994095">
        <w:rPr>
          <w:rFonts w:ascii="Arial" w:hAnsi="Arial" w:cs="Arial"/>
        </w:rPr>
        <w:t>.</w:t>
      </w:r>
    </w:p>
    <w:p w14:paraId="07B8B31C"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Y. Tian, J. Chen, Y. Ouyang, et al., Sensitive detection of </w:t>
      </w:r>
      <w:proofErr w:type="spellStart"/>
      <w:r w:rsidRPr="00994095">
        <w:rPr>
          <w:rFonts w:ascii="Arial" w:hAnsi="Arial" w:cs="Arial"/>
        </w:rPr>
        <w:t>tetrabromobisphenol</w:t>
      </w:r>
      <w:proofErr w:type="spellEnd"/>
      <w:r w:rsidRPr="00994095">
        <w:rPr>
          <w:rFonts w:ascii="Arial" w:hAnsi="Arial" w:cs="Arial"/>
        </w:rPr>
        <w:t xml:space="preserve"> A derivatives by reactive extractive ESI-MS/MS, Anal. Chim. Acta 814 (2014) 49–54, </w:t>
      </w:r>
      <w:hyperlink r:id="rId81" w:history="1">
        <w:r w:rsidRPr="00994095">
          <w:rPr>
            <w:rStyle w:val="Hyperlink"/>
            <w:rFonts w:ascii="Arial" w:hAnsi="Arial" w:cs="Arial"/>
          </w:rPr>
          <w:t>https://doi.org/10.1016/j.aca.2014.01.035</w:t>
        </w:r>
      </w:hyperlink>
      <w:r w:rsidRPr="00994095">
        <w:rPr>
          <w:rFonts w:ascii="Arial" w:hAnsi="Arial" w:cs="Arial"/>
        </w:rPr>
        <w:t>.</w:t>
      </w:r>
    </w:p>
    <w:p w14:paraId="6010118B" w14:textId="62DA6989" w:rsidR="00B01FCD" w:rsidRPr="00994095" w:rsidRDefault="00773C94" w:rsidP="00773C94">
      <w:pPr>
        <w:spacing w:after="160" w:line="360" w:lineRule="auto"/>
        <w:jc w:val="both"/>
        <w:rPr>
          <w:rFonts w:ascii="Arial" w:hAnsi="Arial" w:cs="Arial"/>
        </w:rPr>
      </w:pPr>
      <w:r w:rsidRPr="00994095">
        <w:rPr>
          <w:rFonts w:ascii="Arial" w:hAnsi="Arial" w:cs="Arial"/>
        </w:rPr>
        <w:t xml:space="preserve">Y. Yu, R. Ma, L. Yu, et al., Combined effects of cadmium and TBBPA in female rats, Chem. Biol. Interact. 289 (2018) 23–31, </w:t>
      </w:r>
      <w:hyperlink r:id="rId82" w:history="1">
        <w:r w:rsidRPr="00994095">
          <w:rPr>
            <w:rStyle w:val="Hyperlink"/>
            <w:rFonts w:ascii="Arial" w:hAnsi="Arial" w:cs="Arial"/>
          </w:rPr>
          <w:t>https://doi.org/10.1016/j.cbi.2018.04.024</w:t>
        </w:r>
      </w:hyperlink>
      <w:r w:rsidRPr="00994095">
        <w:rPr>
          <w:rFonts w:ascii="Arial" w:hAnsi="Arial" w:cs="Arial"/>
        </w:rPr>
        <w:t>.</w:t>
      </w:r>
    </w:p>
    <w:sectPr w:rsidR="00B01FCD" w:rsidRPr="00994095" w:rsidSect="001606D3">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thiaseelan, Roshini" w:date="2026-02-24T15:44:00Z" w:initials="RS">
    <w:p w14:paraId="618AF2AB" w14:textId="77777777" w:rsidR="00AF534D" w:rsidRDefault="00AF534D" w:rsidP="00AF534D">
      <w:pPr>
        <w:pStyle w:val="CommentText"/>
      </w:pPr>
      <w:r>
        <w:rPr>
          <w:rStyle w:val="CommentReference"/>
        </w:rPr>
        <w:annotationRef/>
      </w:r>
      <w:r>
        <w:t>Corrected grammar</w:t>
      </w:r>
    </w:p>
  </w:comment>
  <w:comment w:id="2" w:author="Sathiaseelan, Roshini" w:date="2026-02-24T15:46:00Z" w:initials="RS">
    <w:p w14:paraId="649469A9" w14:textId="77777777" w:rsidR="00AF534D" w:rsidRDefault="00AF534D" w:rsidP="00AF534D">
      <w:pPr>
        <w:pStyle w:val="CommentText"/>
      </w:pPr>
      <w:r>
        <w:rPr>
          <w:rStyle w:val="CommentReference"/>
        </w:rPr>
        <w:annotationRef/>
      </w:r>
      <w:r>
        <w:t>Please provide a scattered bar graph with individual values plotted on the graph</w:t>
      </w:r>
    </w:p>
  </w:comment>
  <w:comment w:id="3" w:author="Sathiaseelan, Roshini" w:date="2026-02-24T15:47:00Z" w:initials="RS">
    <w:p w14:paraId="6FF5C81C" w14:textId="77777777" w:rsidR="00AF534D" w:rsidRDefault="00AF534D" w:rsidP="00AF534D">
      <w:pPr>
        <w:pStyle w:val="CommentText"/>
      </w:pPr>
      <w:r>
        <w:rPr>
          <w:rStyle w:val="CommentReference"/>
        </w:rPr>
        <w:annotationRef/>
      </w:r>
      <w:r>
        <w:t>Please provide a scattered bar graph with individual values plotted on the graph</w:t>
      </w:r>
    </w:p>
  </w:comment>
  <w:comment w:id="5" w:author="Sathiaseelan, Roshini" w:date="2026-02-24T18:03:00Z" w:initials="RS">
    <w:p w14:paraId="5353B007" w14:textId="77777777" w:rsidR="00C4365E" w:rsidRDefault="00C4365E" w:rsidP="00C4365E">
      <w:pPr>
        <w:pStyle w:val="CommentText"/>
      </w:pPr>
      <w:r>
        <w:rPr>
          <w:rStyle w:val="CommentReference"/>
        </w:rPr>
        <w:annotationRef/>
      </w:r>
      <w:r>
        <w:t>Please provide a high resolution image</w:t>
      </w:r>
    </w:p>
  </w:comment>
  <w:comment w:id="6" w:author="Sathiaseelan, Roshini" w:date="2026-02-24T18:03:00Z" w:initials="RS">
    <w:p w14:paraId="52E8AA2C" w14:textId="77777777" w:rsidR="00C4365E" w:rsidRDefault="00C4365E" w:rsidP="00C4365E">
      <w:pPr>
        <w:pStyle w:val="CommentText"/>
      </w:pPr>
      <w:r>
        <w:rPr>
          <w:rStyle w:val="CommentReference"/>
        </w:rPr>
        <w:annotationRef/>
      </w:r>
      <w:r>
        <w:t>Please provide scattered bar graph</w:t>
      </w:r>
    </w:p>
  </w:comment>
  <w:comment w:id="8" w:author="Sathiaseelan, Roshini" w:date="2026-02-24T15:49:00Z" w:initials="RS">
    <w:p w14:paraId="3796B178" w14:textId="0E4668DB" w:rsidR="00AF534D" w:rsidRDefault="00AF534D" w:rsidP="00AF534D">
      <w:pPr>
        <w:pStyle w:val="CommentText"/>
      </w:pPr>
      <w:r>
        <w:rPr>
          <w:rStyle w:val="CommentReference"/>
        </w:rPr>
        <w:annotationRef/>
      </w:r>
      <w:r>
        <w:t>What about testing this dose dependent effect on other model systems such as computational models and invivo animal models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18AF2AB" w15:done="0"/>
  <w15:commentEx w15:paraId="649469A9" w15:done="0"/>
  <w15:commentEx w15:paraId="6FF5C81C" w15:done="0"/>
  <w15:commentEx w15:paraId="5353B007" w15:done="0"/>
  <w15:commentEx w15:paraId="52E8AA2C" w15:done="0"/>
  <w15:commentEx w15:paraId="3796B1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AD17B0" w16cex:dateUtc="2026-02-24T20:44:00Z"/>
  <w16cex:commentExtensible w16cex:durableId="3B18E9C0" w16cex:dateUtc="2026-02-24T20:46:00Z"/>
  <w16cex:commentExtensible w16cex:durableId="3841941C" w16cex:dateUtc="2026-02-24T20:47:00Z"/>
  <w16cex:commentExtensible w16cex:durableId="4EFF3AE2" w16cex:dateUtc="2026-02-24T23:03:00Z"/>
  <w16cex:commentExtensible w16cex:durableId="78376B16" w16cex:dateUtc="2026-02-24T23:03:00Z"/>
  <w16cex:commentExtensible w16cex:durableId="2DDBF537" w16cex:dateUtc="2026-02-24T20: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18AF2AB" w16cid:durableId="4FAD17B0"/>
  <w16cid:commentId w16cid:paraId="649469A9" w16cid:durableId="3B18E9C0"/>
  <w16cid:commentId w16cid:paraId="6FF5C81C" w16cid:durableId="3841941C"/>
  <w16cid:commentId w16cid:paraId="5353B007" w16cid:durableId="4EFF3AE2"/>
  <w16cid:commentId w16cid:paraId="52E8AA2C" w16cid:durableId="78376B16"/>
  <w16cid:commentId w16cid:paraId="3796B178" w16cid:durableId="2DDBF5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6121C" w14:textId="77777777" w:rsidR="00C43579" w:rsidRDefault="00C43579" w:rsidP="00C37E61">
      <w:r>
        <w:separator/>
      </w:r>
    </w:p>
  </w:endnote>
  <w:endnote w:type="continuationSeparator" w:id="0">
    <w:p w14:paraId="0957BD98" w14:textId="77777777" w:rsidR="00C43579" w:rsidRDefault="00C4357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EB3E5" w14:textId="77777777" w:rsidR="001606D3" w:rsidRDefault="00160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A287C" w14:textId="77777777" w:rsidR="001606D3" w:rsidRDefault="001606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031F1" w14:textId="2AF7FE54" w:rsidR="00754C9A" w:rsidRPr="001606D3" w:rsidRDefault="00754C9A" w:rsidP="001606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C745B" w14:textId="77777777" w:rsidR="00024515" w:rsidRPr="00C37E61" w:rsidRDefault="0002451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691F6" w14:textId="77777777" w:rsidR="00C43579" w:rsidRDefault="00C43579" w:rsidP="00C37E61">
      <w:r>
        <w:separator/>
      </w:r>
    </w:p>
  </w:footnote>
  <w:footnote w:type="continuationSeparator" w:id="0">
    <w:p w14:paraId="2130EF80" w14:textId="77777777" w:rsidR="00C43579" w:rsidRDefault="00C4357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8665B" w14:textId="249A4B7A" w:rsidR="001606D3" w:rsidRDefault="00000000">
    <w:pPr>
      <w:pStyle w:val="Header"/>
    </w:pPr>
    <w:r>
      <w:rPr>
        <w:noProof/>
      </w:rPr>
      <w:pict w14:anchorId="77A58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33448" w14:textId="716BBDBA" w:rsidR="001606D3" w:rsidRDefault="00000000">
    <w:pPr>
      <w:pStyle w:val="Header"/>
    </w:pPr>
    <w:r>
      <w:rPr>
        <w:noProof/>
      </w:rPr>
      <w:pict w14:anchorId="73B49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D0E62" w14:textId="25F66C42" w:rsidR="00296529" w:rsidRPr="00296529" w:rsidRDefault="00000000" w:rsidP="00296529">
    <w:pPr>
      <w:ind w:left="2160"/>
      <w:jc w:val="center"/>
      <w:rPr>
        <w:rFonts w:ascii="Times New Roman" w:eastAsia="Calibri" w:hAnsi="Times New Roman"/>
        <w:i/>
        <w:sz w:val="18"/>
        <w:szCs w:val="22"/>
      </w:rPr>
    </w:pPr>
    <w:r>
      <w:rPr>
        <w:noProof/>
      </w:rPr>
      <w:pict w14:anchorId="180F81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AED9F9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910437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FF8FD6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1D413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35B9FB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D0A128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8430F" w14:textId="7D67E7D1" w:rsidR="001606D3" w:rsidRDefault="00000000">
    <w:pPr>
      <w:pStyle w:val="Header"/>
    </w:pPr>
    <w:r>
      <w:rPr>
        <w:noProof/>
      </w:rPr>
      <w:pict w14:anchorId="43A71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ABAF7" w14:textId="6CE51232" w:rsidR="001606D3" w:rsidRDefault="00000000">
    <w:pPr>
      <w:pStyle w:val="Header"/>
    </w:pPr>
    <w:r>
      <w:rPr>
        <w:noProof/>
      </w:rPr>
      <w:pict w14:anchorId="6A58D4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C708B" w14:textId="70554EFF" w:rsidR="001606D3" w:rsidRDefault="00000000">
    <w:pPr>
      <w:pStyle w:val="Header"/>
    </w:pPr>
    <w:r>
      <w:rPr>
        <w:noProof/>
      </w:rPr>
      <w:pict w14:anchorId="4AD1DE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F9F462E"/>
    <w:multiLevelType w:val="multilevel"/>
    <w:tmpl w:val="143C9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0646315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04855784">
    <w:abstractNumId w:val="16"/>
  </w:num>
  <w:num w:numId="3" w16cid:durableId="400251721">
    <w:abstractNumId w:val="24"/>
  </w:num>
  <w:num w:numId="4" w16cid:durableId="44238001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30040822">
    <w:abstractNumId w:val="7"/>
  </w:num>
  <w:num w:numId="6" w16cid:durableId="1758016481">
    <w:abstractNumId w:val="6"/>
  </w:num>
  <w:num w:numId="7" w16cid:durableId="307246766">
    <w:abstractNumId w:val="1"/>
  </w:num>
  <w:num w:numId="8" w16cid:durableId="412970092">
    <w:abstractNumId w:val="13"/>
  </w:num>
  <w:num w:numId="9" w16cid:durableId="787118767">
    <w:abstractNumId w:val="26"/>
  </w:num>
  <w:num w:numId="10" w16cid:durableId="1852912290">
    <w:abstractNumId w:val="2"/>
  </w:num>
  <w:num w:numId="11" w16cid:durableId="1838036040">
    <w:abstractNumId w:val="19"/>
  </w:num>
  <w:num w:numId="12" w16cid:durableId="1855193110">
    <w:abstractNumId w:val="3"/>
  </w:num>
  <w:num w:numId="13" w16cid:durableId="2103599567">
    <w:abstractNumId w:val="18"/>
  </w:num>
  <w:num w:numId="14" w16cid:durableId="1878619782">
    <w:abstractNumId w:val="8"/>
  </w:num>
  <w:num w:numId="15" w16cid:durableId="460928410">
    <w:abstractNumId w:val="22"/>
  </w:num>
  <w:num w:numId="16" w16cid:durableId="888421912">
    <w:abstractNumId w:val="5"/>
  </w:num>
  <w:num w:numId="17" w16cid:durableId="1645543965">
    <w:abstractNumId w:val="23"/>
  </w:num>
  <w:num w:numId="18" w16cid:durableId="71396862">
    <w:abstractNumId w:val="15"/>
  </w:num>
  <w:num w:numId="19" w16cid:durableId="1581215507">
    <w:abstractNumId w:val="29"/>
  </w:num>
  <w:num w:numId="20" w16cid:durableId="1659502990">
    <w:abstractNumId w:val="12"/>
  </w:num>
  <w:num w:numId="21" w16cid:durableId="984894562">
    <w:abstractNumId w:val="10"/>
  </w:num>
  <w:num w:numId="22" w16cid:durableId="1565875815">
    <w:abstractNumId w:val="14"/>
  </w:num>
  <w:num w:numId="23" w16cid:durableId="1971202783">
    <w:abstractNumId w:val="20"/>
  </w:num>
  <w:num w:numId="24" w16cid:durableId="1008143537">
    <w:abstractNumId w:val="27"/>
  </w:num>
  <w:num w:numId="25" w16cid:durableId="479923862">
    <w:abstractNumId w:val="4"/>
  </w:num>
  <w:num w:numId="26" w16cid:durableId="512109539">
    <w:abstractNumId w:val="17"/>
  </w:num>
  <w:num w:numId="27" w16cid:durableId="1546672797">
    <w:abstractNumId w:val="21"/>
  </w:num>
  <w:num w:numId="28" w16cid:durableId="710763915">
    <w:abstractNumId w:val="28"/>
  </w:num>
  <w:num w:numId="29" w16cid:durableId="1361006431">
    <w:abstractNumId w:val="25"/>
  </w:num>
  <w:num w:numId="30" w16cid:durableId="2031181562">
    <w:abstractNumId w:val="11"/>
  </w:num>
  <w:num w:numId="31" w16cid:durableId="180646373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thiaseelan, Roshini">
    <w15:presenceInfo w15:providerId="AD" w15:userId="S::SATHIAR@ccf.org::4e0b4fe4-d297-41f7-9f8c-26a2791db6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4515"/>
    <w:rsid w:val="00030174"/>
    <w:rsid w:val="0004579C"/>
    <w:rsid w:val="000A47FA"/>
    <w:rsid w:val="000A65D3"/>
    <w:rsid w:val="000B1E33"/>
    <w:rsid w:val="000B599C"/>
    <w:rsid w:val="000D689F"/>
    <w:rsid w:val="000E7B7B"/>
    <w:rsid w:val="000E7D62"/>
    <w:rsid w:val="00103357"/>
    <w:rsid w:val="00123C9F"/>
    <w:rsid w:val="00126190"/>
    <w:rsid w:val="00130F17"/>
    <w:rsid w:val="001320BF"/>
    <w:rsid w:val="001606D3"/>
    <w:rsid w:val="00163BC4"/>
    <w:rsid w:val="00191062"/>
    <w:rsid w:val="00192B72"/>
    <w:rsid w:val="001A29D8"/>
    <w:rsid w:val="001A5CAA"/>
    <w:rsid w:val="001B0427"/>
    <w:rsid w:val="001D013D"/>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37A5"/>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93AED"/>
    <w:rsid w:val="004D305E"/>
    <w:rsid w:val="004D4277"/>
    <w:rsid w:val="00502516"/>
    <w:rsid w:val="00505F06"/>
    <w:rsid w:val="00506828"/>
    <w:rsid w:val="0053056E"/>
    <w:rsid w:val="00554FDA"/>
    <w:rsid w:val="0057657C"/>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B7E30"/>
    <w:rsid w:val="006D30FF"/>
    <w:rsid w:val="006D6940"/>
    <w:rsid w:val="006F11EC"/>
    <w:rsid w:val="0070082C"/>
    <w:rsid w:val="00712765"/>
    <w:rsid w:val="00722E4D"/>
    <w:rsid w:val="007369E6"/>
    <w:rsid w:val="00746E59"/>
    <w:rsid w:val="00754C9A"/>
    <w:rsid w:val="0075599A"/>
    <w:rsid w:val="00761D52"/>
    <w:rsid w:val="00773C94"/>
    <w:rsid w:val="0077749E"/>
    <w:rsid w:val="00790ADA"/>
    <w:rsid w:val="007D2288"/>
    <w:rsid w:val="007E088F"/>
    <w:rsid w:val="007F7B32"/>
    <w:rsid w:val="00804BC2"/>
    <w:rsid w:val="0081431A"/>
    <w:rsid w:val="00816D61"/>
    <w:rsid w:val="0083216F"/>
    <w:rsid w:val="00860000"/>
    <w:rsid w:val="00863BD3"/>
    <w:rsid w:val="008641ED"/>
    <w:rsid w:val="00866D66"/>
    <w:rsid w:val="008671C6"/>
    <w:rsid w:val="00875803"/>
    <w:rsid w:val="008876B8"/>
    <w:rsid w:val="008B459E"/>
    <w:rsid w:val="008D073E"/>
    <w:rsid w:val="008D6D19"/>
    <w:rsid w:val="008E13AE"/>
    <w:rsid w:val="008E1506"/>
    <w:rsid w:val="008E710C"/>
    <w:rsid w:val="008F69D6"/>
    <w:rsid w:val="00902823"/>
    <w:rsid w:val="00915CA6"/>
    <w:rsid w:val="00927834"/>
    <w:rsid w:val="00941F21"/>
    <w:rsid w:val="009500A6"/>
    <w:rsid w:val="00957C18"/>
    <w:rsid w:val="009659BA"/>
    <w:rsid w:val="00974A6B"/>
    <w:rsid w:val="00981A15"/>
    <w:rsid w:val="00983040"/>
    <w:rsid w:val="00994095"/>
    <w:rsid w:val="009B3FB9"/>
    <w:rsid w:val="009C2465"/>
    <w:rsid w:val="009D35A0"/>
    <w:rsid w:val="009D4DB8"/>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1E4E"/>
    <w:rsid w:val="00AC6BB8"/>
    <w:rsid w:val="00AE008F"/>
    <w:rsid w:val="00AF534D"/>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3579"/>
    <w:rsid w:val="00C4365E"/>
    <w:rsid w:val="00C70F1B"/>
    <w:rsid w:val="00C71A47"/>
    <w:rsid w:val="00C7464C"/>
    <w:rsid w:val="00C85588"/>
    <w:rsid w:val="00CC2AE7"/>
    <w:rsid w:val="00CD6755"/>
    <w:rsid w:val="00CD6856"/>
    <w:rsid w:val="00CE0089"/>
    <w:rsid w:val="00CE793C"/>
    <w:rsid w:val="00CF193C"/>
    <w:rsid w:val="00D173F1"/>
    <w:rsid w:val="00D74CB0"/>
    <w:rsid w:val="00D75079"/>
    <w:rsid w:val="00D8295D"/>
    <w:rsid w:val="00DC2A65"/>
    <w:rsid w:val="00DD2D13"/>
    <w:rsid w:val="00DE111C"/>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8639B"/>
    <w:rsid w:val="00EA012C"/>
    <w:rsid w:val="00EB4862"/>
    <w:rsid w:val="00EC6A55"/>
    <w:rsid w:val="00ED0288"/>
    <w:rsid w:val="00EE52CB"/>
    <w:rsid w:val="00EF581D"/>
    <w:rsid w:val="00EF7FD8"/>
    <w:rsid w:val="00F06A84"/>
    <w:rsid w:val="00F06F59"/>
    <w:rsid w:val="00F15E53"/>
    <w:rsid w:val="00F17988"/>
    <w:rsid w:val="00F35C9D"/>
    <w:rsid w:val="00F469F0"/>
    <w:rsid w:val="00F53273"/>
    <w:rsid w:val="00F755E4"/>
    <w:rsid w:val="00F77D02"/>
    <w:rsid w:val="00FB3A86"/>
    <w:rsid w:val="00FD36C8"/>
    <w:rsid w:val="00FF025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0CF23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93AED"/>
    <w:pPr>
      <w:ind w:left="720"/>
      <w:contextualSpacing/>
    </w:pPr>
  </w:style>
  <w:style w:type="paragraph" w:styleId="BodyText">
    <w:name w:val="Body Text"/>
    <w:basedOn w:val="Normal"/>
    <w:link w:val="BodyTextChar"/>
    <w:unhideWhenUsed/>
    <w:rsid w:val="00981A15"/>
    <w:pPr>
      <w:spacing w:after="120"/>
    </w:pPr>
  </w:style>
  <w:style w:type="character" w:customStyle="1" w:styleId="BodyTextChar">
    <w:name w:val="Body Text Char"/>
    <w:basedOn w:val="DefaultParagraphFont"/>
    <w:link w:val="BodyText"/>
    <w:rsid w:val="00981A15"/>
    <w:rPr>
      <w:rFonts w:ascii="Helvetica" w:hAnsi="Helvetica"/>
    </w:rPr>
  </w:style>
  <w:style w:type="paragraph" w:customStyle="1" w:styleId="TableParagraph">
    <w:name w:val="Table Paragraph"/>
    <w:basedOn w:val="Normal"/>
    <w:uiPriority w:val="1"/>
    <w:qFormat/>
    <w:rsid w:val="00981A15"/>
    <w:pPr>
      <w:widowControl w:val="0"/>
      <w:autoSpaceDE w:val="0"/>
      <w:autoSpaceDN w:val="0"/>
    </w:pPr>
    <w:rPr>
      <w:rFonts w:ascii="Times New Roman" w:hAnsi="Times New Roman"/>
      <w:sz w:val="22"/>
      <w:szCs w:val="22"/>
    </w:rPr>
  </w:style>
  <w:style w:type="paragraph" w:styleId="CommentSubject">
    <w:name w:val="annotation subject"/>
    <w:basedOn w:val="CommentText"/>
    <w:next w:val="CommentText"/>
    <w:link w:val="CommentSubjectChar"/>
    <w:semiHidden/>
    <w:unhideWhenUsed/>
    <w:rsid w:val="00AF534D"/>
    <w:rPr>
      <w:rFonts w:ascii="Helvetica" w:hAnsi="Helvetica"/>
      <w:b/>
      <w:bCs/>
      <w:lang w:val="en-US" w:eastAsia="en-US"/>
    </w:rPr>
  </w:style>
  <w:style w:type="character" w:customStyle="1" w:styleId="CommentSubjectChar">
    <w:name w:val="Comment Subject Char"/>
    <w:basedOn w:val="CommentTextChar"/>
    <w:link w:val="CommentSubject"/>
    <w:semiHidden/>
    <w:rsid w:val="00AF534D"/>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4.jpg"/><Relationship Id="rId42" Type="http://schemas.openxmlformats.org/officeDocument/2006/relationships/hyperlink" Target="https://doi.org/10.1016/j.toxlet.2009.05.003" TargetMode="External"/><Relationship Id="rId47" Type="http://schemas.openxmlformats.org/officeDocument/2006/relationships/hyperlink" Target="https://doi.org/10.1016/j.pnpbp.2021.110405" TargetMode="External"/><Relationship Id="rId63" Type="http://schemas.openxmlformats.org/officeDocument/2006/relationships/hyperlink" Target="https://doi.org/10.1007/s11356-021-15166-w" TargetMode="External"/><Relationship Id="rId68" Type="http://schemas.openxmlformats.org/officeDocument/2006/relationships/hyperlink" Target="https://doi.org/10.1016/j.envint.2016.05.026" TargetMode="External"/><Relationship Id="rId84" Type="http://schemas.microsoft.com/office/2011/relationships/people" Target="people.xml"/><Relationship Id="rId16" Type="http://schemas.microsoft.com/office/2016/09/relationships/commentsIds" Target="commentsIds.xml"/><Relationship Id="rId11" Type="http://schemas.openxmlformats.org/officeDocument/2006/relationships/footer" Target="footer2.xml"/><Relationship Id="rId32" Type="http://schemas.openxmlformats.org/officeDocument/2006/relationships/image" Target="media/image15.jpg"/><Relationship Id="rId37" Type="http://schemas.openxmlformats.org/officeDocument/2006/relationships/header" Target="header4.xml"/><Relationship Id="rId53" Type="http://schemas.openxmlformats.org/officeDocument/2006/relationships/hyperlink" Target="https://doi.org/10.1093/toxsci/kfs136" TargetMode="External"/><Relationship Id="rId58" Type="http://schemas.openxmlformats.org/officeDocument/2006/relationships/hyperlink" Target="https://doi.org/10.1021/acs.est.0c06949" TargetMode="External"/><Relationship Id="rId74" Type="http://schemas.openxmlformats.org/officeDocument/2006/relationships/hyperlink" Target="https://doi.org/10.1016/j.bbr.2009.06.022" TargetMode="External"/><Relationship Id="rId79" Type="http://schemas.openxmlformats.org/officeDocument/2006/relationships/hyperlink" Target="https://doi.org/10.1016/j.ecoenv.2023.115744" TargetMode="External"/><Relationship Id="rId5" Type="http://schemas.openxmlformats.org/officeDocument/2006/relationships/webSettings" Target="webSettings.xml"/><Relationship Id="rId19" Type="http://schemas.openxmlformats.org/officeDocument/2006/relationships/image" Target="media/image2.jpeg"/><Relationship Id="rId14" Type="http://schemas.openxmlformats.org/officeDocument/2006/relationships/comments" Target="comments.xml"/><Relationship Id="rId22" Type="http://schemas.openxmlformats.org/officeDocument/2006/relationships/image" Target="media/image5.jpe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hyperlink" Target="https://doi.org/10.1016/j.neuropharm.2011.07.037" TargetMode="External"/><Relationship Id="rId48" Type="http://schemas.openxmlformats.org/officeDocument/2006/relationships/hyperlink" Target="https://doi.org/10.1016/j.scitotenv.2022.160089" TargetMode="External"/><Relationship Id="rId56" Type="http://schemas.openxmlformats.org/officeDocument/2006/relationships/hyperlink" Target="https://doi.org/10.3390/ijms23126647" TargetMode="External"/><Relationship Id="rId64" Type="http://schemas.openxmlformats.org/officeDocument/2006/relationships/hyperlink" Target="https://doi.org/10.1016/j.cbpc.2023.109572" TargetMode="External"/><Relationship Id="rId69" Type="http://schemas.openxmlformats.org/officeDocument/2006/relationships/hyperlink" Target="https://doi.org/10.1007/978-1-61779-597-8_16" TargetMode="External"/><Relationship Id="rId77" Type="http://schemas.openxmlformats.org/officeDocument/2006/relationships/hyperlink" Target="https://doi.org/10.1016/j.cbpc.2022.109530" TargetMode="External"/><Relationship Id="rId8" Type="http://schemas.openxmlformats.org/officeDocument/2006/relationships/header" Target="header1.xml"/><Relationship Id="rId51" Type="http://schemas.openxmlformats.org/officeDocument/2006/relationships/hyperlink" Target="https://doi.org/10.1016/j.scitotenv.2023.161541" TargetMode="External"/><Relationship Id="rId72" Type="http://schemas.openxmlformats.org/officeDocument/2006/relationships/hyperlink" Target="https://doi.org/10.1007/7854_2011_180" TargetMode="External"/><Relationship Id="rId80" Type="http://schemas.openxmlformats.org/officeDocument/2006/relationships/hyperlink" Target="https://doi.org/10.3390/toxics13020076"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eader" Target="header5.xml"/><Relationship Id="rId46" Type="http://schemas.openxmlformats.org/officeDocument/2006/relationships/hyperlink" Target="https://doi.org/10.3390/fishes5030023" TargetMode="External"/><Relationship Id="rId59" Type="http://schemas.openxmlformats.org/officeDocument/2006/relationships/hyperlink" Target="https://doi.org/10.1016/j.ntt.2015.08.010" TargetMode="External"/><Relationship Id="rId67" Type="http://schemas.openxmlformats.org/officeDocument/2006/relationships/hyperlink" Target="https://doi.org/10.3389/fphys.2023.1276941" TargetMode="External"/><Relationship Id="rId20" Type="http://schemas.openxmlformats.org/officeDocument/2006/relationships/image" Target="media/image3.tiff"/><Relationship Id="rId41" Type="http://schemas.openxmlformats.org/officeDocument/2006/relationships/hyperlink" Target="https://doi.org/10.1016/j.trac.2018.12.003" TargetMode="External"/><Relationship Id="rId54" Type="http://schemas.openxmlformats.org/officeDocument/2006/relationships/hyperlink" Target="https://doi.org/10.1016/j.envpol.2016.05.059" TargetMode="External"/><Relationship Id="rId62" Type="http://schemas.openxmlformats.org/officeDocument/2006/relationships/hyperlink" Target="https://doi.org/10.1016/j.ecoenv.2022.114058" TargetMode="External"/><Relationship Id="rId70" Type="http://schemas.openxmlformats.org/officeDocument/2006/relationships/hyperlink" Target="https://doi.org/10.1016/j.envres.2021.112594" TargetMode="External"/><Relationship Id="rId75" Type="http://schemas.openxmlformats.org/officeDocument/2006/relationships/hyperlink" Target="https://doi.org/10.1080/15287394.2020.1733722"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6.jpeg"/><Relationship Id="rId28" Type="http://schemas.openxmlformats.org/officeDocument/2006/relationships/image" Target="media/image11.jpg"/><Relationship Id="rId36" Type="http://schemas.openxmlformats.org/officeDocument/2006/relationships/image" Target="media/image19.jpg"/><Relationship Id="rId49" Type="http://schemas.openxmlformats.org/officeDocument/2006/relationships/hyperlink" Target="https://doi.org/10.1016/j.scitotenv.2019.134920" TargetMode="External"/><Relationship Id="rId57" Type="http://schemas.openxmlformats.org/officeDocument/2006/relationships/hyperlink" Target="https://doi.org/10.1016/j.chemosphere.2016.01.023" TargetMode="External"/><Relationship Id="rId10" Type="http://schemas.openxmlformats.org/officeDocument/2006/relationships/footer" Target="footer1.xml"/><Relationship Id="rId31" Type="http://schemas.openxmlformats.org/officeDocument/2006/relationships/image" Target="media/image14.jpg"/><Relationship Id="rId44" Type="http://schemas.openxmlformats.org/officeDocument/2006/relationships/hyperlink" Target="https://doi.org/10.1016/j.tips.2013.12.002" TargetMode="External"/><Relationship Id="rId52" Type="http://schemas.openxmlformats.org/officeDocument/2006/relationships/hyperlink" Target="https://doi.org/10.1016/j.cbpc.2008.10.099" TargetMode="External"/><Relationship Id="rId60" Type="http://schemas.openxmlformats.org/officeDocument/2006/relationships/hyperlink" Target="https://doi.org/10.1016/j.pharep.2015.06.005" TargetMode="External"/><Relationship Id="rId65" Type="http://schemas.openxmlformats.org/officeDocument/2006/relationships/hyperlink" Target="https://doi.org/10.1089/zeb.2020.1913" TargetMode="External"/><Relationship Id="rId73" Type="http://schemas.openxmlformats.org/officeDocument/2006/relationships/hyperlink" Target="https://doi.org/10.1371/journal.pone.0036931" TargetMode="External"/><Relationship Id="rId78" Type="http://schemas.openxmlformats.org/officeDocument/2006/relationships/hyperlink" Target="https://doi.org/10.1002/9781394158355.ch06" TargetMode="External"/><Relationship Id="rId81" Type="http://schemas.openxmlformats.org/officeDocument/2006/relationships/hyperlink" Target="https://doi.org/10.1016/j.aca.2014.01.035"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1.jpeg"/><Relationship Id="rId39" Type="http://schemas.openxmlformats.org/officeDocument/2006/relationships/footer" Target="footer4.xml"/><Relationship Id="rId34" Type="http://schemas.openxmlformats.org/officeDocument/2006/relationships/image" Target="media/image17.jpeg"/><Relationship Id="rId50" Type="http://schemas.openxmlformats.org/officeDocument/2006/relationships/hyperlink" Target="https://doi.org/10.1016/j.trac.2016.06.021" TargetMode="External"/><Relationship Id="rId55" Type="http://schemas.openxmlformats.org/officeDocument/2006/relationships/hyperlink" Target="https://doi.org/10.1016/j.scitotenv.2019.02.324" TargetMode="External"/><Relationship Id="rId76" Type="http://schemas.openxmlformats.org/officeDocument/2006/relationships/hyperlink" Target="https://doi.org/10.1093/toxsci/kfl198" TargetMode="External"/><Relationship Id="rId7" Type="http://schemas.openxmlformats.org/officeDocument/2006/relationships/endnotes" Target="endnotes.xml"/><Relationship Id="rId71" Type="http://schemas.openxmlformats.org/officeDocument/2006/relationships/hyperlink" Target="https://doi.org/10.1016/j.chemosphere.2016.03.117" TargetMode="External"/><Relationship Id="rId2" Type="http://schemas.openxmlformats.org/officeDocument/2006/relationships/numbering" Target="numbering.xml"/><Relationship Id="rId29" Type="http://schemas.openxmlformats.org/officeDocument/2006/relationships/image" Target="media/image12.jpg"/><Relationship Id="rId24" Type="http://schemas.openxmlformats.org/officeDocument/2006/relationships/image" Target="media/image7.jpg"/><Relationship Id="rId40" Type="http://schemas.openxmlformats.org/officeDocument/2006/relationships/header" Target="header6.xml"/><Relationship Id="rId45" Type="http://schemas.openxmlformats.org/officeDocument/2006/relationships/hyperlink" Target="https://doi.org/10.1016/j.chemosphere.2018.01.080" TargetMode="External"/><Relationship Id="rId66" Type="http://schemas.openxmlformats.org/officeDocument/2006/relationships/hyperlink" Target="http://doi.org/10.1080/00207454.2024.2398564" TargetMode="External"/><Relationship Id="rId61" Type="http://schemas.openxmlformats.org/officeDocument/2006/relationships/hyperlink" Target="https://doi.org/10.1016/j.pbb.2015.05.014" TargetMode="External"/><Relationship Id="rId82" Type="http://schemas.openxmlformats.org/officeDocument/2006/relationships/hyperlink" Target="https://doi.org/10.1016/j.cbi.2018.04.0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ACC06-20F6-47C6-BB3F-93371A6FD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175</TotalTime>
  <Pages>23</Pages>
  <Words>6664</Words>
  <Characters>44650</Characters>
  <Application>Microsoft Office Word</Application>
  <DocSecurity>0</DocSecurity>
  <Lines>1539</Lines>
  <Paragraphs>1251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50063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Sathiaseelan, Roshini</cp:lastModifiedBy>
  <cp:revision>13</cp:revision>
  <cp:lastPrinted>2026-02-19T14:01:00Z</cp:lastPrinted>
  <dcterms:created xsi:type="dcterms:W3CDTF">2026-02-19T13:36:00Z</dcterms:created>
  <dcterms:modified xsi:type="dcterms:W3CDTF">2026-02-24T23:05:00Z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a667ba73-f159-4241-8ce1-c4cac6d8be43</vt:lpwstr>
  </property>
</Properties>
</file>