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D34B" w14:textId="77777777" w:rsidR="00992152" w:rsidRPr="00992152" w:rsidRDefault="00992152" w:rsidP="00992152">
      <w:pPr>
        <w:spacing w:line="240" w:lineRule="auto"/>
        <w:jc w:val="right"/>
        <w:rPr>
          <w:rFonts w:ascii="Arial" w:hAnsi="Arial" w:cs="Arial"/>
          <w:b/>
          <w:bCs/>
          <w:i/>
          <w:iCs/>
          <w:sz w:val="36"/>
          <w:szCs w:val="36"/>
          <w:u w:val="single"/>
        </w:rPr>
      </w:pPr>
      <w:r w:rsidRPr="00992152">
        <w:rPr>
          <w:rFonts w:ascii="Arial" w:hAnsi="Arial" w:cs="Arial"/>
          <w:b/>
          <w:bCs/>
          <w:i/>
          <w:iCs/>
          <w:sz w:val="36"/>
          <w:szCs w:val="36"/>
          <w:u w:val="single"/>
        </w:rPr>
        <w:t>Original Research Article</w:t>
      </w:r>
    </w:p>
    <w:p w14:paraId="3379DFE2" w14:textId="21EBEB48" w:rsidR="00A01A21" w:rsidRPr="00572528" w:rsidRDefault="00A01A21" w:rsidP="00C66402">
      <w:pPr>
        <w:spacing w:line="240" w:lineRule="auto"/>
        <w:jc w:val="right"/>
        <w:rPr>
          <w:rFonts w:ascii="Arial" w:hAnsi="Arial" w:cs="Arial"/>
          <w:b/>
          <w:bCs/>
          <w:sz w:val="36"/>
          <w:szCs w:val="36"/>
        </w:rPr>
      </w:pPr>
      <w:r w:rsidRPr="00572528">
        <w:rPr>
          <w:rFonts w:ascii="Arial" w:hAnsi="Arial" w:cs="Arial"/>
          <w:b/>
          <w:bCs/>
          <w:sz w:val="36"/>
          <w:szCs w:val="36"/>
        </w:rPr>
        <w:t xml:space="preserve">SUSCEPTIBILITY PATTERN OF ESBL PRODUCING UROPATHOGENIC </w:t>
      </w:r>
      <w:r w:rsidRPr="00572528">
        <w:rPr>
          <w:rFonts w:ascii="Arial" w:hAnsi="Arial" w:cs="Arial"/>
          <w:b/>
          <w:bCs/>
          <w:i/>
          <w:iCs/>
          <w:sz w:val="36"/>
          <w:szCs w:val="36"/>
        </w:rPr>
        <w:t>ESCHERICHIA COLI</w:t>
      </w:r>
      <w:r w:rsidRPr="00572528">
        <w:rPr>
          <w:rFonts w:ascii="Arial" w:hAnsi="Arial" w:cs="Arial"/>
          <w:b/>
          <w:bCs/>
          <w:sz w:val="36"/>
          <w:szCs w:val="36"/>
        </w:rPr>
        <w:t xml:space="preserve"> AGAINST THE METHANOLIC EXTRACT OF BITTER KOLA</w:t>
      </w:r>
    </w:p>
    <w:p w14:paraId="5B051386" w14:textId="7BDB85BD" w:rsidR="00DC1248" w:rsidRDefault="00DC1248" w:rsidP="007806E8">
      <w:pPr>
        <w:spacing w:line="480" w:lineRule="auto"/>
        <w:jc w:val="both"/>
        <w:rPr>
          <w:rFonts w:ascii="Arial" w:hAnsi="Arial" w:cs="Arial"/>
          <w:b/>
          <w:bCs/>
          <w:sz w:val="20"/>
          <w:szCs w:val="20"/>
        </w:rPr>
      </w:pPr>
    </w:p>
    <w:p w14:paraId="2FA6AB48" w14:textId="77777777" w:rsidR="004428A3" w:rsidRDefault="004428A3" w:rsidP="007806E8">
      <w:pPr>
        <w:spacing w:line="480" w:lineRule="auto"/>
        <w:jc w:val="both"/>
        <w:rPr>
          <w:rFonts w:ascii="Arial" w:hAnsi="Arial" w:cs="Arial"/>
          <w:b/>
          <w:bCs/>
          <w:sz w:val="20"/>
          <w:szCs w:val="20"/>
        </w:rPr>
      </w:pPr>
    </w:p>
    <w:p w14:paraId="091163A7" w14:textId="7B28AD2B" w:rsidR="00357931" w:rsidRPr="00572528" w:rsidRDefault="003942FF" w:rsidP="007D5556">
      <w:pPr>
        <w:spacing w:after="0" w:line="240" w:lineRule="auto"/>
        <w:jc w:val="both"/>
        <w:rPr>
          <w:rFonts w:ascii="Arial" w:hAnsi="Arial" w:cs="Arial"/>
          <w:b/>
          <w:bCs/>
          <w:sz w:val="20"/>
          <w:szCs w:val="20"/>
        </w:rPr>
      </w:pPr>
      <w:r w:rsidRPr="00572528">
        <w:rPr>
          <w:rFonts w:ascii="Arial" w:hAnsi="Arial" w:cs="Arial"/>
          <w:b/>
          <w:bCs/>
          <w:sz w:val="20"/>
          <w:szCs w:val="20"/>
        </w:rPr>
        <w:t>ABSTRACT</w:t>
      </w:r>
    </w:p>
    <w:p w14:paraId="545D0867" w14:textId="003BCC9C" w:rsidR="00572528" w:rsidRPr="00572528" w:rsidRDefault="00572528" w:rsidP="007D5556">
      <w:pPr>
        <w:spacing w:after="0" w:line="240" w:lineRule="auto"/>
        <w:rPr>
          <w:rFonts w:ascii="Arial" w:eastAsia="Times New Roman" w:hAnsi="Arial" w:cs="Arial"/>
          <w:sz w:val="20"/>
          <w:szCs w:val="20"/>
        </w:rPr>
      </w:pPr>
      <w:r w:rsidRPr="00572528">
        <w:rPr>
          <w:rFonts w:ascii="Arial" w:hAnsi="Arial" w:cs="Arial"/>
          <w:b/>
          <w:bCs/>
          <w:sz w:val="20"/>
          <w:szCs w:val="20"/>
        </w:rPr>
        <w:t>Aim:</w:t>
      </w:r>
      <w:r w:rsidRPr="00572528">
        <w:rPr>
          <w:rStyle w:val="ng-star-inserted"/>
          <w:rFonts w:ascii="Arial" w:hAnsi="Arial" w:cs="Arial"/>
          <w:sz w:val="20"/>
          <w:szCs w:val="20"/>
        </w:rPr>
        <w:t xml:space="preserve"> To evaluate the susceptibility pattern of Extended-Spectrum Beta-Lactamase (ESBL)-producing uropathogenic </w:t>
      </w:r>
      <w:r w:rsidRPr="00572528">
        <w:rPr>
          <w:rFonts w:ascii="Arial" w:hAnsi="Arial" w:cs="Arial"/>
          <w:i/>
          <w:iCs/>
          <w:sz w:val="20"/>
          <w:szCs w:val="20"/>
        </w:rPr>
        <w:t>Escherichia coli</w:t>
      </w:r>
      <w:r w:rsidRPr="00572528">
        <w:rPr>
          <w:rStyle w:val="ng-star-inserted"/>
          <w:rFonts w:ascii="Arial" w:hAnsi="Arial" w:cs="Arial"/>
          <w:sz w:val="20"/>
          <w:szCs w:val="20"/>
        </w:rPr>
        <w:t xml:space="preserve"> (UPEC) against methanolic extracts of bitter kola (</w:t>
      </w:r>
      <w:r w:rsidRPr="00572528">
        <w:rPr>
          <w:rFonts w:ascii="Arial" w:hAnsi="Arial" w:cs="Arial"/>
          <w:i/>
          <w:iCs/>
          <w:sz w:val="20"/>
          <w:szCs w:val="20"/>
        </w:rPr>
        <w:t>Garcinia kola</w:t>
      </w:r>
      <w:r w:rsidRPr="00572528">
        <w:rPr>
          <w:rStyle w:val="ng-star-inserted"/>
          <w:rFonts w:ascii="Arial" w:hAnsi="Arial" w:cs="Arial"/>
          <w:sz w:val="20"/>
          <w:szCs w:val="20"/>
        </w:rPr>
        <w:t>).</w:t>
      </w:r>
    </w:p>
    <w:p w14:paraId="10183F46" w14:textId="77777777"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Study design:</w:t>
      </w:r>
      <w:r w:rsidRPr="00572528">
        <w:rPr>
          <w:rStyle w:val="ng-star-inserted"/>
          <w:rFonts w:ascii="Arial" w:hAnsi="Arial" w:cs="Arial"/>
          <w:sz w:val="20"/>
          <w:szCs w:val="20"/>
        </w:rPr>
        <w:t xml:space="preserve"> A cross-sectional laboratory-based study.</w:t>
      </w:r>
    </w:p>
    <w:p w14:paraId="0D400A78" w14:textId="77777777"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Place and Duration of Study:</w:t>
      </w:r>
      <w:r w:rsidRPr="00572528">
        <w:rPr>
          <w:rStyle w:val="ng-star-inserted"/>
          <w:rFonts w:ascii="Arial" w:hAnsi="Arial" w:cs="Arial"/>
          <w:sz w:val="20"/>
          <w:szCs w:val="20"/>
        </w:rPr>
        <w:t xml:space="preserve"> ESUT Teaching Hospital, Enugu, Nigeria, between August and October 2024.</w:t>
      </w:r>
    </w:p>
    <w:p w14:paraId="6CDE4D3F" w14:textId="77777777"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Methodology:</w:t>
      </w:r>
      <w:r w:rsidRPr="00572528">
        <w:rPr>
          <w:rStyle w:val="ng-star-inserted"/>
          <w:rFonts w:ascii="Arial" w:hAnsi="Arial" w:cs="Arial"/>
          <w:sz w:val="20"/>
          <w:szCs w:val="20"/>
        </w:rPr>
        <w:t xml:space="preserve"> 100 urine samples were collected from suspected urinary tract infection (UTI) patients, </w:t>
      </w:r>
      <w:commentRangeStart w:id="0"/>
      <w:r w:rsidRPr="00572528">
        <w:rPr>
          <w:rStyle w:val="ng-star-inserted"/>
          <w:rFonts w:ascii="Arial" w:hAnsi="Arial" w:cs="Arial"/>
          <w:sz w:val="20"/>
          <w:szCs w:val="20"/>
        </w:rPr>
        <w:t>yielding</w:t>
      </w:r>
      <w:commentRangeEnd w:id="0"/>
      <w:r w:rsidR="00BD752B" w:rsidRPr="00572528">
        <w:rPr>
          <w:rStyle w:val="CommentReference"/>
          <w:rFonts w:ascii="Arial" w:hAnsi="Arial" w:cs="Arial"/>
          <w:sz w:val="20"/>
          <w:szCs w:val="20"/>
        </w:rPr>
        <w:commentReference w:id="0"/>
      </w:r>
      <w:r w:rsidRPr="00572528">
        <w:rPr>
          <w:rStyle w:val="ng-star-inserted"/>
          <w:rFonts w:ascii="Arial" w:hAnsi="Arial" w:cs="Arial"/>
          <w:sz w:val="20"/>
          <w:szCs w:val="20"/>
        </w:rPr>
        <w:t xml:space="preserve"> 88 bacterial isolates. </w:t>
      </w:r>
      <w:r w:rsidRPr="00572528">
        <w:rPr>
          <w:rFonts w:ascii="Arial" w:hAnsi="Arial" w:cs="Arial"/>
          <w:i/>
          <w:iCs/>
          <w:sz w:val="20"/>
          <w:szCs w:val="20"/>
        </w:rPr>
        <w:t>E. coli</w:t>
      </w:r>
      <w:r w:rsidRPr="00572528">
        <w:rPr>
          <w:rStyle w:val="ng-star-inserted"/>
          <w:rFonts w:ascii="Arial" w:hAnsi="Arial" w:cs="Arial"/>
          <w:sz w:val="20"/>
          <w:szCs w:val="20"/>
        </w:rPr>
        <w:t xml:space="preserve"> was identified via biochemical testing, and ESBL production was confirmed using the Double Disk Synergy Test (DDST). Phytochemical analysis of </w:t>
      </w:r>
      <w:r w:rsidRPr="00572528">
        <w:rPr>
          <w:rFonts w:ascii="Arial" w:hAnsi="Arial" w:cs="Arial"/>
          <w:i/>
          <w:iCs/>
          <w:sz w:val="20"/>
          <w:szCs w:val="20"/>
        </w:rPr>
        <w:t>G. kola</w:t>
      </w:r>
      <w:r w:rsidRPr="00572528">
        <w:rPr>
          <w:rStyle w:val="ng-star-inserted"/>
          <w:rFonts w:ascii="Arial" w:hAnsi="Arial" w:cs="Arial"/>
          <w:sz w:val="20"/>
          <w:szCs w:val="20"/>
        </w:rPr>
        <w:t xml:space="preserve"> was performed to identify bioactive compounds. Antibacterial activity was assessed using the agar well diffusion method at concentrations ranging from neat to 1:50.</w:t>
      </w:r>
    </w:p>
    <w:p w14:paraId="274657CF" w14:textId="77777777"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Results:</w:t>
      </w:r>
      <w:r w:rsidRPr="00572528">
        <w:rPr>
          <w:rStyle w:val="ng-star-inserted"/>
          <w:rFonts w:ascii="Arial" w:hAnsi="Arial" w:cs="Arial"/>
          <w:sz w:val="20"/>
          <w:szCs w:val="20"/>
        </w:rPr>
        <w:t xml:space="preserve"> Out of 34 (39%) identified </w:t>
      </w:r>
      <w:r w:rsidRPr="00572528">
        <w:rPr>
          <w:rFonts w:ascii="Arial" w:hAnsi="Arial" w:cs="Arial"/>
          <w:i/>
          <w:iCs/>
          <w:sz w:val="20"/>
          <w:szCs w:val="20"/>
        </w:rPr>
        <w:t>E. coli</w:t>
      </w:r>
      <w:r w:rsidRPr="00572528">
        <w:rPr>
          <w:rStyle w:val="ng-star-inserted"/>
          <w:rFonts w:ascii="Arial" w:hAnsi="Arial" w:cs="Arial"/>
          <w:sz w:val="20"/>
          <w:szCs w:val="20"/>
        </w:rPr>
        <w:t xml:space="preserve"> strains, 10 (29%) were </w:t>
      </w:r>
      <w:commentRangeStart w:id="1"/>
      <w:r w:rsidRPr="00572528">
        <w:rPr>
          <w:rStyle w:val="ng-star-inserted"/>
          <w:rFonts w:ascii="Arial" w:hAnsi="Arial" w:cs="Arial"/>
          <w:sz w:val="20"/>
          <w:szCs w:val="20"/>
        </w:rPr>
        <w:t>confirmed ESBL producers</w:t>
      </w:r>
      <w:commentRangeEnd w:id="1"/>
      <w:r w:rsidR="00BD752B" w:rsidRPr="00572528">
        <w:rPr>
          <w:rStyle w:val="CommentReference"/>
          <w:rFonts w:ascii="Arial" w:hAnsi="Arial" w:cs="Arial"/>
          <w:sz w:val="20"/>
          <w:szCs w:val="20"/>
        </w:rPr>
        <w:commentReference w:id="1"/>
      </w:r>
      <w:r w:rsidRPr="00572528">
        <w:rPr>
          <w:rStyle w:val="ng-star-inserted"/>
          <w:rFonts w:ascii="Arial" w:hAnsi="Arial" w:cs="Arial"/>
          <w:sz w:val="20"/>
          <w:szCs w:val="20"/>
        </w:rPr>
        <w:t>. Phytochemical screening revealed the presence of saponins, tannins, flavonoids, and alkaloids. The neat extract demonstrated significant inhibitory activity, with zones of inhibition (ZOI) ranging from 10 mm to 20 mm. Antibacterial efficacy followed a clear dose-response relationship, with potency decreasing significantly at lower concentrations.</w:t>
      </w:r>
    </w:p>
    <w:p w14:paraId="50A365A8" w14:textId="61219EC1" w:rsidR="00572528" w:rsidRDefault="00572528" w:rsidP="00C66402">
      <w:pPr>
        <w:spacing w:after="0" w:line="276" w:lineRule="auto"/>
        <w:rPr>
          <w:rStyle w:val="ng-star-inserted"/>
          <w:rFonts w:ascii="Arial" w:hAnsi="Arial" w:cs="Arial"/>
          <w:sz w:val="20"/>
          <w:szCs w:val="20"/>
        </w:rPr>
      </w:pPr>
      <w:r w:rsidRPr="00572528">
        <w:rPr>
          <w:rFonts w:ascii="Arial" w:hAnsi="Arial" w:cs="Arial"/>
          <w:b/>
          <w:bCs/>
          <w:sz w:val="20"/>
          <w:szCs w:val="20"/>
        </w:rPr>
        <w:t>Conclusion:</w:t>
      </w:r>
      <w:r w:rsidRPr="00572528">
        <w:rPr>
          <w:rStyle w:val="ng-star-inserted"/>
          <w:rFonts w:ascii="Arial" w:hAnsi="Arial" w:cs="Arial"/>
          <w:sz w:val="20"/>
          <w:szCs w:val="20"/>
        </w:rPr>
        <w:t xml:space="preserve"> Methanolic extracts of </w:t>
      </w:r>
      <w:r w:rsidRPr="00572528">
        <w:rPr>
          <w:rFonts w:ascii="Arial" w:hAnsi="Arial" w:cs="Arial"/>
          <w:i/>
          <w:iCs/>
          <w:sz w:val="20"/>
          <w:szCs w:val="20"/>
        </w:rPr>
        <w:t>G. kola</w:t>
      </w:r>
      <w:r w:rsidRPr="00572528">
        <w:rPr>
          <w:rStyle w:val="ng-star-inserted"/>
          <w:rFonts w:ascii="Arial" w:hAnsi="Arial" w:cs="Arial"/>
          <w:sz w:val="20"/>
          <w:szCs w:val="20"/>
        </w:rPr>
        <w:t xml:space="preserve"> exhibit potent in vitro antibacterial activity against multi-drug resistant ESBL-producing UPEC. </w:t>
      </w:r>
      <w:commentRangeStart w:id="2"/>
      <w:r w:rsidRPr="00572528">
        <w:rPr>
          <w:rStyle w:val="ng-star-inserted"/>
          <w:rFonts w:ascii="Arial" w:hAnsi="Arial" w:cs="Arial"/>
          <w:sz w:val="20"/>
          <w:szCs w:val="20"/>
        </w:rPr>
        <w:t>These findings suggest that bitter kola holds potential as a natural therapeutic alternative or adjunct for managing resistant UTIs</w:t>
      </w:r>
      <w:commentRangeEnd w:id="2"/>
      <w:r w:rsidR="00B7338B" w:rsidRPr="00572528">
        <w:rPr>
          <w:rStyle w:val="CommentReference"/>
          <w:rFonts w:ascii="Arial" w:hAnsi="Arial" w:cs="Arial"/>
          <w:sz w:val="20"/>
          <w:szCs w:val="20"/>
        </w:rPr>
        <w:commentReference w:id="2"/>
      </w:r>
      <w:r w:rsidRPr="00572528">
        <w:rPr>
          <w:rStyle w:val="ng-star-inserted"/>
          <w:rFonts w:ascii="Arial" w:hAnsi="Arial" w:cs="Arial"/>
          <w:sz w:val="20"/>
          <w:szCs w:val="20"/>
        </w:rPr>
        <w:t>. Further research is required to establish in vivo efficacy and safety profiles.</w:t>
      </w:r>
    </w:p>
    <w:p w14:paraId="61D44414" w14:textId="77777777" w:rsidR="00C66402" w:rsidRPr="00572528" w:rsidRDefault="00C66402" w:rsidP="00C66402">
      <w:pPr>
        <w:spacing w:after="0" w:line="276" w:lineRule="auto"/>
        <w:rPr>
          <w:rFonts w:ascii="Arial" w:hAnsi="Arial" w:cs="Arial"/>
          <w:sz w:val="20"/>
          <w:szCs w:val="20"/>
        </w:rPr>
      </w:pPr>
    </w:p>
    <w:p w14:paraId="277FC67C" w14:textId="77777777" w:rsidR="00572528" w:rsidRPr="00572528" w:rsidRDefault="00572528" w:rsidP="00572528">
      <w:pPr>
        <w:rPr>
          <w:rFonts w:ascii="Arial" w:hAnsi="Arial" w:cs="Arial"/>
          <w:sz w:val="20"/>
          <w:szCs w:val="20"/>
        </w:rPr>
      </w:pPr>
      <w:r w:rsidRPr="003212A2">
        <w:rPr>
          <w:rFonts w:ascii="Arial" w:hAnsi="Arial" w:cs="Arial"/>
          <w:sz w:val="20"/>
          <w:szCs w:val="20"/>
        </w:rPr>
        <w:t>Keywords:</w:t>
      </w:r>
      <w:r w:rsidRPr="003212A2">
        <w:rPr>
          <w:rStyle w:val="ng-star-inserted"/>
          <w:rFonts w:ascii="Arial" w:hAnsi="Arial" w:cs="Arial"/>
          <w:sz w:val="20"/>
          <w:szCs w:val="20"/>
        </w:rPr>
        <w:t xml:space="preserve"> </w:t>
      </w:r>
      <w:r w:rsidRPr="003212A2">
        <w:rPr>
          <w:rFonts w:ascii="Arial" w:hAnsi="Arial" w:cs="Arial"/>
          <w:i/>
          <w:iCs/>
          <w:sz w:val="20"/>
          <w:szCs w:val="20"/>
        </w:rPr>
        <w:t>Garcinia kola, ESBL, Escherichia coli, Uropathogens</w:t>
      </w:r>
      <w:r w:rsidRPr="00572528">
        <w:rPr>
          <w:rFonts w:ascii="Arial" w:hAnsi="Arial" w:cs="Arial"/>
          <w:i/>
          <w:iCs/>
          <w:sz w:val="20"/>
          <w:szCs w:val="20"/>
        </w:rPr>
        <w:t>, Phytochemicals</w:t>
      </w:r>
    </w:p>
    <w:p w14:paraId="107D30FA" w14:textId="77777777" w:rsidR="003212A2" w:rsidRDefault="003212A2" w:rsidP="007806E8">
      <w:pPr>
        <w:spacing w:line="480" w:lineRule="auto"/>
        <w:jc w:val="both"/>
        <w:rPr>
          <w:rFonts w:ascii="Arial" w:hAnsi="Arial" w:cs="Arial"/>
          <w:b/>
          <w:bCs/>
          <w:sz w:val="20"/>
          <w:szCs w:val="20"/>
        </w:rPr>
      </w:pPr>
    </w:p>
    <w:p w14:paraId="1BA47A2A" w14:textId="274497AC" w:rsidR="003212A2" w:rsidRDefault="003212A2" w:rsidP="007806E8">
      <w:pPr>
        <w:spacing w:line="480" w:lineRule="auto"/>
        <w:jc w:val="both"/>
        <w:rPr>
          <w:rFonts w:ascii="Arial" w:hAnsi="Arial" w:cs="Arial"/>
          <w:b/>
          <w:bCs/>
          <w:sz w:val="20"/>
          <w:szCs w:val="20"/>
        </w:rPr>
      </w:pPr>
    </w:p>
    <w:p w14:paraId="0D7B6440" w14:textId="77777777" w:rsidR="00C66402" w:rsidRDefault="00C66402" w:rsidP="007806E8">
      <w:pPr>
        <w:spacing w:line="480" w:lineRule="auto"/>
        <w:jc w:val="both"/>
        <w:rPr>
          <w:rFonts w:ascii="Arial" w:hAnsi="Arial" w:cs="Arial"/>
          <w:b/>
          <w:bCs/>
          <w:sz w:val="20"/>
          <w:szCs w:val="20"/>
        </w:rPr>
      </w:pPr>
    </w:p>
    <w:p w14:paraId="4E82621E" w14:textId="2DCC8F5C" w:rsidR="002D7BD0" w:rsidRPr="00572528" w:rsidRDefault="00D37124" w:rsidP="007806E8">
      <w:pPr>
        <w:spacing w:line="480" w:lineRule="auto"/>
        <w:jc w:val="both"/>
        <w:rPr>
          <w:rFonts w:ascii="Arial" w:hAnsi="Arial" w:cs="Arial"/>
          <w:b/>
          <w:bCs/>
          <w:sz w:val="20"/>
          <w:szCs w:val="20"/>
        </w:rPr>
      </w:pPr>
      <w:r w:rsidRPr="00572528">
        <w:rPr>
          <w:rFonts w:ascii="Arial" w:hAnsi="Arial" w:cs="Arial"/>
          <w:b/>
          <w:bCs/>
          <w:sz w:val="20"/>
          <w:szCs w:val="20"/>
        </w:rPr>
        <w:t>INTRODUCTION</w:t>
      </w:r>
    </w:p>
    <w:p w14:paraId="624E5DF1" w14:textId="38A03EAB" w:rsidR="000A3D66" w:rsidRPr="00572528" w:rsidRDefault="000A3D66" w:rsidP="000A3D66">
      <w:pPr>
        <w:spacing w:after="0" w:line="480" w:lineRule="auto"/>
        <w:jc w:val="both"/>
        <w:rPr>
          <w:rFonts w:ascii="Arial" w:eastAsia="Times New Roman" w:hAnsi="Arial" w:cs="Arial"/>
          <w:b/>
          <w:bCs/>
          <w:sz w:val="20"/>
          <w:szCs w:val="20"/>
        </w:rPr>
      </w:pPr>
      <w:bookmarkStart w:id="3" w:name="_Hlk179187585"/>
      <w:r w:rsidRPr="000A3D66">
        <w:rPr>
          <w:rFonts w:ascii="Arial" w:hAnsi="Arial" w:cs="Arial"/>
          <w:sz w:val="20"/>
          <w:szCs w:val="20"/>
        </w:rPr>
        <w:t xml:space="preserve">Urinary tract infections (UTIs) represent a critical global health concern, affecting millions of individuals across both community and hospital settings annually. </w:t>
      </w:r>
      <w:commentRangeStart w:id="4"/>
      <w:r w:rsidRPr="000A3D66">
        <w:rPr>
          <w:rFonts w:ascii="Arial" w:hAnsi="Arial" w:cs="Arial"/>
          <w:sz w:val="20"/>
          <w:szCs w:val="20"/>
        </w:rPr>
        <w:t>Escherichia coli</w:t>
      </w:r>
      <w:commentRangeEnd w:id="4"/>
      <w:r w:rsidR="00B7338B" w:rsidRPr="000A3D66">
        <w:rPr>
          <w:rStyle w:val="CommentReference"/>
          <w:rFonts w:ascii="Arial" w:hAnsi="Arial" w:cs="Arial"/>
          <w:sz w:val="20"/>
          <w:szCs w:val="20"/>
        </w:rPr>
        <w:commentReference w:id="4"/>
      </w:r>
      <w:r w:rsidRPr="000A3D66">
        <w:rPr>
          <w:rFonts w:ascii="Arial" w:hAnsi="Arial" w:cs="Arial"/>
          <w:sz w:val="20"/>
          <w:szCs w:val="20"/>
        </w:rPr>
        <w:t xml:space="preserve"> is identified as one of the most common pathogens responsible for these infections (Mancini et al., 2021). While often existing as a </w:t>
      </w:r>
      <w:r w:rsidRPr="000A3D66">
        <w:rPr>
          <w:rFonts w:ascii="Arial" w:hAnsi="Arial" w:cs="Arial"/>
          <w:sz w:val="20"/>
          <w:szCs w:val="20"/>
        </w:rPr>
        <w:lastRenderedPageBreak/>
        <w:t xml:space="preserve">harmless commensal, the emergence and rapid dissemination of Extended-Spectrum Beta-Lactamase (ESBL)-producing </w:t>
      </w:r>
      <w:commentRangeStart w:id="5"/>
      <w:r w:rsidRPr="000A3D66">
        <w:rPr>
          <w:rFonts w:ascii="Arial" w:hAnsi="Arial" w:cs="Arial"/>
          <w:sz w:val="20"/>
          <w:szCs w:val="20"/>
        </w:rPr>
        <w:t xml:space="preserve">E. coli </w:t>
      </w:r>
      <w:commentRangeEnd w:id="5"/>
      <w:r w:rsidR="00B7338B" w:rsidRPr="000A3D66">
        <w:rPr>
          <w:rStyle w:val="CommentReference"/>
          <w:rFonts w:ascii="Arial" w:hAnsi="Arial" w:cs="Arial"/>
          <w:sz w:val="20"/>
          <w:szCs w:val="20"/>
        </w:rPr>
        <w:commentReference w:id="5"/>
      </w:r>
      <w:r w:rsidRPr="000A3D66">
        <w:rPr>
          <w:rFonts w:ascii="Arial" w:hAnsi="Arial" w:cs="Arial"/>
          <w:sz w:val="20"/>
          <w:szCs w:val="20"/>
        </w:rPr>
        <w:t>have significantly compromised current treatment protocols.</w:t>
      </w:r>
      <w:r>
        <w:rPr>
          <w:rFonts w:ascii="Arial" w:hAnsi="Arial" w:cs="Arial"/>
          <w:sz w:val="20"/>
          <w:szCs w:val="20"/>
        </w:rPr>
        <w:t xml:space="preserve"> </w:t>
      </w:r>
      <w:r w:rsidRPr="000A3D66">
        <w:rPr>
          <w:rFonts w:ascii="Arial" w:hAnsi="Arial" w:cs="Arial"/>
          <w:sz w:val="20"/>
          <w:szCs w:val="20"/>
        </w:rPr>
        <w:t xml:space="preserve">ESBLs are plasmid-mediated enzymes that confer resistance to a broad range of beta-lactam antibiotics, including penicillin, cephalosporins, and carbapenems (Husna et al., 2023). These enzymes enable the production of resistance </w:t>
      </w:r>
      <w:commentRangeStart w:id="6"/>
      <w:r w:rsidRPr="000A3D66">
        <w:rPr>
          <w:rFonts w:ascii="Arial" w:hAnsi="Arial" w:cs="Arial"/>
          <w:sz w:val="20"/>
          <w:szCs w:val="20"/>
        </w:rPr>
        <w:t>mechanisms</w:t>
      </w:r>
      <w:commentRangeEnd w:id="6"/>
      <w:r w:rsidR="00B7338B" w:rsidRPr="000A3D66">
        <w:rPr>
          <w:rStyle w:val="CommentReference"/>
          <w:rFonts w:ascii="Arial" w:hAnsi="Arial" w:cs="Arial"/>
          <w:sz w:val="20"/>
          <w:szCs w:val="20"/>
        </w:rPr>
        <w:commentReference w:id="6"/>
      </w:r>
      <w:r w:rsidRPr="000A3D66">
        <w:rPr>
          <w:rFonts w:ascii="Arial" w:hAnsi="Arial" w:cs="Arial"/>
          <w:sz w:val="20"/>
          <w:szCs w:val="20"/>
        </w:rPr>
        <w:t xml:space="preserve"> that hydrolyze the beta-lactam ring of antibiotics, making infections caused by these strains increasingly difficult to manage (Ghenea et al., 2022). This clinical challenge results in a limited number of effective treatment options, thereby heightening the risk of treatment failure and severe complications (Halabi et al., 2021).</w:t>
      </w:r>
      <w:r>
        <w:rPr>
          <w:rFonts w:ascii="Arial" w:hAnsi="Arial" w:cs="Arial"/>
          <w:sz w:val="20"/>
          <w:szCs w:val="20"/>
        </w:rPr>
        <w:t xml:space="preserve"> </w:t>
      </w:r>
      <w:r w:rsidRPr="000A3D66">
        <w:rPr>
          <w:rFonts w:ascii="Arial" w:hAnsi="Arial" w:cs="Arial"/>
          <w:sz w:val="20"/>
          <w:szCs w:val="20"/>
        </w:rPr>
        <w:t>The escalation of antimicrobial resistance is primarily driven by the overuse and misuse of antibiotics. Indiscriminate drug use in both human and animal health, coupled with poor adherence to prescribed dosages, promotes the selection and spread of these resistant bacteria (Akpaka et al., 2021). Recent years have seen a marked increase in the prevalence of ESBL-producing E. coli, which is linked to increased morbidity and mortality, prolonged hospital stays, and a substantial surge in healthcare expenditures (Ibrahim et al., 2023). Furthermore, the widespread emergence of these strains has been documented in various environmental and clinical settings globally (Rebecca et al., 2023), reflecting a concerning trend in both hospital-acquired and community-acquired infections (Bezabih et al., 2021).</w:t>
      </w:r>
      <w:r>
        <w:rPr>
          <w:rFonts w:ascii="Arial" w:hAnsi="Arial" w:cs="Arial"/>
          <w:sz w:val="20"/>
          <w:szCs w:val="20"/>
        </w:rPr>
        <w:t xml:space="preserve"> </w:t>
      </w:r>
      <w:r w:rsidRPr="000A3D66">
        <w:rPr>
          <w:rFonts w:ascii="Arial" w:hAnsi="Arial" w:cs="Arial"/>
          <w:sz w:val="20"/>
          <w:szCs w:val="20"/>
        </w:rPr>
        <w:t>Given that traditional antibacterial agents are increasingly ineffective against these resistant strains, there is an urgent need for alternative antimicrobial strategies (Dogara et al., 2022). Natural products derived from plants offer a promising frontier for the discovery of new therapeutic agents, as they often possess unique chemical structures and diverse modes of action capable of overcoming established bacterial resistance mechanisms (Badger-Emeka et al., 2018).</w:t>
      </w:r>
      <w:r>
        <w:rPr>
          <w:rFonts w:ascii="Arial" w:hAnsi="Arial" w:cs="Arial"/>
          <w:sz w:val="20"/>
          <w:szCs w:val="20"/>
        </w:rPr>
        <w:t xml:space="preserve"> </w:t>
      </w:r>
      <w:commentRangeStart w:id="7"/>
      <w:r w:rsidRPr="000A3D66">
        <w:rPr>
          <w:rFonts w:ascii="Arial" w:hAnsi="Arial" w:cs="Arial"/>
          <w:sz w:val="20"/>
          <w:szCs w:val="20"/>
        </w:rPr>
        <w:t xml:space="preserve">Garcinia kola, commonly </w:t>
      </w:r>
      <w:commentRangeEnd w:id="7"/>
      <w:r w:rsidR="00E26510" w:rsidRPr="000A3D66">
        <w:rPr>
          <w:rStyle w:val="CommentReference"/>
          <w:rFonts w:ascii="Arial" w:hAnsi="Arial" w:cs="Arial"/>
          <w:sz w:val="20"/>
          <w:szCs w:val="20"/>
        </w:rPr>
        <w:commentReference w:id="7"/>
      </w:r>
      <w:r w:rsidRPr="000A3D66">
        <w:rPr>
          <w:rFonts w:ascii="Arial" w:hAnsi="Arial" w:cs="Arial"/>
          <w:sz w:val="20"/>
          <w:szCs w:val="20"/>
        </w:rPr>
        <w:t>known as bitter kola, is a tropical evergreen tree native to West and Central Africa and a cornerstone of traditional African medicine. It belongs to the Clusiaceae family and is highly valued for its perceived antimicrobial properties (Manourová et al., 2019). The plant's therapeutic potential is attributed to a rich phytochemical profile, including saponins, tannins, flavonoids, alkaloids, phenols, and steroids (Rabiu et al., 2024; Onwuliri et al., 2021). These bioactive compounds are believed to work synergistically to disrupt microbial cell membranes and inhibit enzymatic activity (Ali &amp; Ibekwe, 2021; Ibedu et al., 2018)</w:t>
      </w:r>
      <w:r>
        <w:rPr>
          <w:rFonts w:ascii="Arial" w:hAnsi="Arial" w:cs="Arial"/>
          <w:sz w:val="20"/>
          <w:szCs w:val="20"/>
        </w:rPr>
        <w:t xml:space="preserve">. </w:t>
      </w:r>
      <w:r w:rsidRPr="000A3D66">
        <w:rPr>
          <w:rFonts w:ascii="Arial" w:hAnsi="Arial" w:cs="Arial"/>
          <w:sz w:val="20"/>
          <w:szCs w:val="20"/>
        </w:rPr>
        <w:t xml:space="preserve">While studies have demonstrated that bitter kola extracts can inhibit the growth of various microorganisms, including both bacteria and fungi (Amala et al., 2021), its specific efficacy against ESBL-producing uropathogenic E. coli remains largely </w:t>
      </w:r>
      <w:r w:rsidRPr="000A3D66">
        <w:rPr>
          <w:rFonts w:ascii="Arial" w:hAnsi="Arial" w:cs="Arial"/>
          <w:sz w:val="20"/>
          <w:szCs w:val="20"/>
        </w:rPr>
        <w:lastRenderedPageBreak/>
        <w:t>unexplored (Ohalete et al., 2016). In regions like Enugu State, Nigeria, where the prevalence of multidrug-resistant pathogens is a rising threat, evaluating local natural resources is critical for public health (Nwobodo et al., 2021). Therefore, this study aims to evaluate the in vitro susceptibility pattern of ESBL-producing UPEC against methanolic extracts of bitter kola. By characterizing the bioactive constituents and determining the inhibitory potential of these extracts, this research seeks to establish whether G. kola can serve as a viable natural therapeutic agent or adjunct in the management of resistant urinary tract infections</w:t>
      </w:r>
      <w:r>
        <w:rPr>
          <w:rFonts w:ascii="Arial" w:hAnsi="Arial" w:cs="Arial"/>
          <w:sz w:val="20"/>
          <w:szCs w:val="20"/>
        </w:rPr>
        <w:t>.</w:t>
      </w:r>
    </w:p>
    <w:p w14:paraId="2701E297" w14:textId="77777777" w:rsidR="00E418CF" w:rsidRDefault="00E418CF" w:rsidP="007806E8">
      <w:pPr>
        <w:spacing w:after="0" w:line="480" w:lineRule="auto"/>
        <w:jc w:val="both"/>
        <w:rPr>
          <w:rFonts w:ascii="Arial" w:eastAsia="Times New Roman" w:hAnsi="Arial" w:cs="Arial"/>
          <w:b/>
          <w:sz w:val="20"/>
          <w:szCs w:val="20"/>
        </w:rPr>
      </w:pPr>
    </w:p>
    <w:p w14:paraId="0D22110B" w14:textId="66A6C5DF"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sz w:val="20"/>
          <w:szCs w:val="20"/>
        </w:rPr>
        <w:t>METHODOLOGY</w:t>
      </w:r>
    </w:p>
    <w:p w14:paraId="394A19ED" w14:textId="0BC2BD5A"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Study Area</w:t>
      </w:r>
      <w:r>
        <w:rPr>
          <w:rFonts w:ascii="Arial" w:hAnsi="Arial" w:cs="Arial"/>
          <w:b/>
          <w:bCs/>
          <w:sz w:val="20"/>
          <w:szCs w:val="20"/>
        </w:rPr>
        <w:t xml:space="preserve">: </w:t>
      </w:r>
      <w:r w:rsidR="002D7BD0" w:rsidRPr="00572528">
        <w:rPr>
          <w:rFonts w:ascii="Arial" w:hAnsi="Arial" w:cs="Arial"/>
          <w:sz w:val="20"/>
          <w:szCs w:val="20"/>
        </w:rPr>
        <w:t>The study was conducted at ESUT teaching hospital G.R.A Enugu Urban, the capital city of Enugu state, Nigeria.</w:t>
      </w:r>
    </w:p>
    <w:p w14:paraId="00447216" w14:textId="62FEB1D3"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Study Design</w:t>
      </w:r>
      <w:r>
        <w:rPr>
          <w:rFonts w:ascii="Arial" w:hAnsi="Arial" w:cs="Arial"/>
          <w:b/>
          <w:bCs/>
          <w:sz w:val="20"/>
          <w:szCs w:val="20"/>
        </w:rPr>
        <w:t xml:space="preserve">: </w:t>
      </w:r>
      <w:r w:rsidR="002D7BD0" w:rsidRPr="00572528">
        <w:rPr>
          <w:rFonts w:ascii="Arial" w:hAnsi="Arial" w:cs="Arial"/>
          <w:sz w:val="20"/>
          <w:szCs w:val="20"/>
        </w:rPr>
        <w:t xml:space="preserve">A cross-sectional study of the susceptibility pattern of ESBL-producing Uropathogenic </w:t>
      </w:r>
      <w:r w:rsidR="002D7BD0" w:rsidRPr="00572528">
        <w:rPr>
          <w:rFonts w:ascii="Arial" w:hAnsi="Arial" w:cs="Arial"/>
          <w:i/>
          <w:sz w:val="20"/>
          <w:szCs w:val="20"/>
        </w:rPr>
        <w:t>E. coli</w:t>
      </w:r>
      <w:r w:rsidR="002D7BD0" w:rsidRPr="00572528">
        <w:rPr>
          <w:rFonts w:ascii="Arial" w:hAnsi="Arial" w:cs="Arial"/>
          <w:sz w:val="20"/>
          <w:szCs w:val="20"/>
        </w:rPr>
        <w:t xml:space="preserve"> isolates against the methanolic extract of bitter kola.</w:t>
      </w:r>
    </w:p>
    <w:p w14:paraId="1DA9DB82" w14:textId="6E7DA0F3"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Study Population</w:t>
      </w:r>
      <w:r>
        <w:rPr>
          <w:rFonts w:ascii="Arial" w:hAnsi="Arial" w:cs="Arial"/>
          <w:b/>
          <w:bCs/>
          <w:sz w:val="20"/>
          <w:szCs w:val="20"/>
        </w:rPr>
        <w:t xml:space="preserve">: </w:t>
      </w:r>
      <w:r w:rsidR="002D7BD0" w:rsidRPr="00572528">
        <w:rPr>
          <w:rFonts w:ascii="Arial" w:hAnsi="Arial" w:cs="Arial"/>
          <w:sz w:val="20"/>
          <w:szCs w:val="20"/>
        </w:rPr>
        <w:t>Patients suspected to have Urinary tract infection attending ESUT teaching hospital G.R.A, Enugu state.</w:t>
      </w:r>
    </w:p>
    <w:p w14:paraId="525284BA" w14:textId="793FED1F" w:rsidR="00330493" w:rsidRPr="00572528" w:rsidRDefault="00330493" w:rsidP="006718DD">
      <w:pPr>
        <w:spacing w:line="480" w:lineRule="auto"/>
        <w:jc w:val="both"/>
        <w:rPr>
          <w:rFonts w:ascii="Arial" w:hAnsi="Arial" w:cs="Arial"/>
          <w:sz w:val="20"/>
          <w:szCs w:val="20"/>
        </w:rPr>
      </w:pPr>
      <w:bookmarkStart w:id="8" w:name="_Hlk185497379"/>
      <w:r w:rsidRPr="00572528">
        <w:rPr>
          <w:rFonts w:ascii="Arial" w:hAnsi="Arial" w:cs="Arial"/>
          <w:b/>
          <w:bCs/>
          <w:sz w:val="20"/>
          <w:szCs w:val="20"/>
        </w:rPr>
        <w:t xml:space="preserve">Inclusion </w:t>
      </w:r>
      <w:r w:rsidR="006718DD" w:rsidRPr="00572528">
        <w:rPr>
          <w:rFonts w:ascii="Arial" w:hAnsi="Arial" w:cs="Arial"/>
          <w:b/>
          <w:bCs/>
          <w:sz w:val="20"/>
          <w:szCs w:val="20"/>
        </w:rPr>
        <w:t>Criteria</w:t>
      </w:r>
      <w:r w:rsidR="006718DD">
        <w:rPr>
          <w:rFonts w:ascii="Arial" w:hAnsi="Arial" w:cs="Arial"/>
          <w:b/>
          <w:bCs/>
          <w:sz w:val="20"/>
          <w:szCs w:val="20"/>
        </w:rPr>
        <w:t>:</w:t>
      </w:r>
      <w:bookmarkEnd w:id="8"/>
      <w:r w:rsidR="006718DD">
        <w:rPr>
          <w:rFonts w:ascii="Arial" w:hAnsi="Arial" w:cs="Arial"/>
          <w:b/>
          <w:bCs/>
          <w:sz w:val="20"/>
          <w:szCs w:val="20"/>
        </w:rPr>
        <w:t xml:space="preserve"> </w:t>
      </w:r>
      <w:r w:rsidR="002D7BD0" w:rsidRPr="00572528">
        <w:rPr>
          <w:rFonts w:ascii="Arial" w:hAnsi="Arial" w:cs="Arial"/>
          <w:sz w:val="20"/>
          <w:szCs w:val="20"/>
        </w:rPr>
        <w:t>Out-Patients attending Enugu State University Teaching Hospital with clinically suspected or confirmed urinary tract infection (UTI)</w:t>
      </w:r>
      <w:r w:rsidR="006718DD">
        <w:rPr>
          <w:rFonts w:ascii="Arial" w:hAnsi="Arial" w:cs="Arial"/>
          <w:sz w:val="20"/>
          <w:szCs w:val="20"/>
        </w:rPr>
        <w:t xml:space="preserve">; </w:t>
      </w:r>
      <w:r w:rsidR="002D7BD0" w:rsidRPr="00572528">
        <w:rPr>
          <w:rFonts w:ascii="Arial" w:hAnsi="Arial" w:cs="Arial"/>
          <w:sz w:val="20"/>
          <w:szCs w:val="20"/>
        </w:rPr>
        <w:t>Patients who provide informed consent</w:t>
      </w:r>
      <w:r w:rsidR="006718DD">
        <w:rPr>
          <w:rFonts w:ascii="Arial" w:hAnsi="Arial" w:cs="Arial"/>
          <w:sz w:val="20"/>
          <w:szCs w:val="20"/>
        </w:rPr>
        <w:t>.</w:t>
      </w:r>
    </w:p>
    <w:p w14:paraId="6ACAECC0" w14:textId="13AA126E" w:rsidR="002D7BD0" w:rsidRPr="00572528" w:rsidRDefault="00330493" w:rsidP="006718DD">
      <w:pPr>
        <w:spacing w:line="480" w:lineRule="auto"/>
        <w:jc w:val="both"/>
        <w:rPr>
          <w:rFonts w:ascii="Arial" w:hAnsi="Arial" w:cs="Arial"/>
          <w:sz w:val="20"/>
          <w:szCs w:val="20"/>
        </w:rPr>
      </w:pPr>
      <w:r w:rsidRPr="00572528">
        <w:rPr>
          <w:rFonts w:ascii="Arial" w:hAnsi="Arial" w:cs="Arial"/>
          <w:b/>
          <w:bCs/>
          <w:sz w:val="20"/>
          <w:szCs w:val="20"/>
        </w:rPr>
        <w:t>Exclusion criteria</w:t>
      </w:r>
      <w:r w:rsidR="006718DD">
        <w:rPr>
          <w:rFonts w:ascii="Arial" w:hAnsi="Arial" w:cs="Arial"/>
          <w:b/>
          <w:bCs/>
          <w:sz w:val="20"/>
          <w:szCs w:val="20"/>
        </w:rPr>
        <w:t xml:space="preserve">: </w:t>
      </w:r>
      <w:r w:rsidR="002D7BD0" w:rsidRPr="00572528">
        <w:rPr>
          <w:rFonts w:ascii="Arial" w:hAnsi="Arial" w:cs="Arial"/>
          <w:sz w:val="20"/>
          <w:szCs w:val="20"/>
        </w:rPr>
        <w:t>Non urine samples</w:t>
      </w:r>
      <w:r w:rsidR="006718DD">
        <w:rPr>
          <w:rFonts w:ascii="Arial" w:hAnsi="Arial" w:cs="Arial"/>
          <w:sz w:val="20"/>
          <w:szCs w:val="20"/>
        </w:rPr>
        <w:t xml:space="preserve">, </w:t>
      </w:r>
      <w:r w:rsidR="002D7BD0" w:rsidRPr="00572528">
        <w:rPr>
          <w:rFonts w:ascii="Arial" w:hAnsi="Arial" w:cs="Arial"/>
          <w:sz w:val="20"/>
          <w:szCs w:val="20"/>
        </w:rPr>
        <w:t>Patients urine samples that did not yield Escherichia coli</w:t>
      </w:r>
      <w:r w:rsidR="006718DD">
        <w:rPr>
          <w:rFonts w:ascii="Arial" w:hAnsi="Arial" w:cs="Arial"/>
          <w:sz w:val="20"/>
          <w:szCs w:val="20"/>
        </w:rPr>
        <w:t xml:space="preserve">, </w:t>
      </w:r>
      <w:r w:rsidR="002D7BD0" w:rsidRPr="00572528">
        <w:rPr>
          <w:rFonts w:ascii="Arial" w:hAnsi="Arial" w:cs="Arial"/>
          <w:sz w:val="20"/>
          <w:szCs w:val="20"/>
        </w:rPr>
        <w:t>Patients who did not give their consent to participate in the study</w:t>
      </w:r>
      <w:r w:rsidR="006718DD">
        <w:rPr>
          <w:rFonts w:ascii="Arial" w:hAnsi="Arial" w:cs="Arial"/>
          <w:sz w:val="20"/>
          <w:szCs w:val="20"/>
        </w:rPr>
        <w:t>.</w:t>
      </w:r>
    </w:p>
    <w:p w14:paraId="7128DF30" w14:textId="0E875AE2"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Sample Size Determination</w:t>
      </w:r>
      <w:r>
        <w:rPr>
          <w:rFonts w:ascii="Arial" w:hAnsi="Arial" w:cs="Arial"/>
          <w:b/>
          <w:bCs/>
          <w:sz w:val="20"/>
          <w:szCs w:val="20"/>
        </w:rPr>
        <w:t xml:space="preserve">: </w:t>
      </w:r>
      <w:r w:rsidR="002D7BD0" w:rsidRPr="00572528">
        <w:rPr>
          <w:rFonts w:ascii="Arial" w:hAnsi="Arial" w:cs="Arial"/>
          <w:sz w:val="20"/>
          <w:szCs w:val="20"/>
        </w:rPr>
        <w:t>Sample size was calculated using the Cochran’s formula</w:t>
      </w:r>
    </w:p>
    <w:p w14:paraId="480726B4"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 xml:space="preserve">n = Z2pq / d2 </w:t>
      </w:r>
    </w:p>
    <w:p w14:paraId="5564A161"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Where:</w:t>
      </w:r>
    </w:p>
    <w:p w14:paraId="108FE5DA"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n (minimum sample size/desired sample size) = ?</w:t>
      </w:r>
    </w:p>
    <w:p w14:paraId="7B7186FA"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 xml:space="preserve">p (the percentage of target population estimated to have a particular characteristic) = 50% (0.5) </w:t>
      </w:r>
    </w:p>
    <w:p w14:paraId="4D541A28"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Z (standard normal deviation) = 1.96 (corresponding to 95% confidence interval)</w:t>
      </w:r>
    </w:p>
    <w:p w14:paraId="2E7C5BC1"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lastRenderedPageBreak/>
        <w:t xml:space="preserve">d (margin of error) = 10% (0.1)                   </w:t>
      </w:r>
    </w:p>
    <w:p w14:paraId="73D8D22D"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q = 1 – p =1 – 0.5 = 0.5</w:t>
      </w:r>
    </w:p>
    <w:p w14:paraId="60040B19" w14:textId="1E376589"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Therefore, n = (1.962 * 0.5 * 0.5) / 0.12 = 97</w:t>
      </w:r>
    </w:p>
    <w:p w14:paraId="4E3F063F" w14:textId="6BEE8956" w:rsidR="00330493" w:rsidRPr="00572528" w:rsidRDefault="00D37124" w:rsidP="007806E8">
      <w:pPr>
        <w:spacing w:line="480" w:lineRule="auto"/>
        <w:jc w:val="both"/>
        <w:rPr>
          <w:rFonts w:ascii="Arial" w:hAnsi="Arial" w:cs="Arial"/>
          <w:sz w:val="20"/>
          <w:szCs w:val="20"/>
        </w:rPr>
      </w:pPr>
      <w:r w:rsidRPr="00572528">
        <w:rPr>
          <w:rFonts w:ascii="Arial" w:hAnsi="Arial" w:cs="Arial"/>
          <w:sz w:val="20"/>
          <w:szCs w:val="20"/>
        </w:rPr>
        <w:t xml:space="preserve">sample size </w:t>
      </w:r>
      <w:r w:rsidR="0051710B" w:rsidRPr="00572528">
        <w:rPr>
          <w:rFonts w:ascii="Arial" w:hAnsi="Arial" w:cs="Arial"/>
          <w:sz w:val="20"/>
          <w:szCs w:val="20"/>
          <w:vertAlign w:val="subscript"/>
        </w:rPr>
        <w:t xml:space="preserve">= </w:t>
      </w:r>
      <w:r w:rsidR="00330493" w:rsidRPr="00572528">
        <w:rPr>
          <w:rFonts w:ascii="Arial" w:hAnsi="Arial" w:cs="Arial"/>
          <w:sz w:val="20"/>
          <w:szCs w:val="20"/>
        </w:rPr>
        <w:t>100</w:t>
      </w:r>
    </w:p>
    <w:p w14:paraId="7ADF4CBB" w14:textId="08CF176D"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Sample Collection</w:t>
      </w:r>
      <w:r>
        <w:rPr>
          <w:rFonts w:ascii="Arial" w:hAnsi="Arial" w:cs="Arial"/>
          <w:b/>
          <w:bCs/>
          <w:sz w:val="20"/>
          <w:szCs w:val="20"/>
        </w:rPr>
        <w:t xml:space="preserve">: </w:t>
      </w:r>
      <w:r w:rsidR="002D7BD0" w:rsidRPr="00572528">
        <w:rPr>
          <w:rFonts w:ascii="Arial" w:hAnsi="Arial" w:cs="Arial"/>
          <w:sz w:val="20"/>
          <w:szCs w:val="20"/>
        </w:rPr>
        <w:t xml:space="preserve">The participants were advised on how to collect a ‘Clean catch’ mid-stream urine. The specimens were coded to ensure anonymity and confidentiality </w:t>
      </w:r>
      <w:commentRangeStart w:id="9"/>
      <w:r w:rsidR="002D7BD0" w:rsidRPr="00572528">
        <w:rPr>
          <w:rFonts w:ascii="Arial" w:hAnsi="Arial" w:cs="Arial"/>
          <w:sz w:val="20"/>
          <w:szCs w:val="20"/>
        </w:rPr>
        <w:t xml:space="preserve">before transported </w:t>
      </w:r>
      <w:commentRangeEnd w:id="9"/>
      <w:r w:rsidR="00E26510" w:rsidRPr="00572528">
        <w:rPr>
          <w:rStyle w:val="CommentReference"/>
          <w:rFonts w:ascii="Arial" w:hAnsi="Arial" w:cs="Arial"/>
          <w:sz w:val="20"/>
          <w:szCs w:val="20"/>
        </w:rPr>
        <w:commentReference w:id="9"/>
      </w:r>
      <w:r w:rsidR="002D7BD0" w:rsidRPr="00572528">
        <w:rPr>
          <w:rFonts w:ascii="Arial" w:hAnsi="Arial" w:cs="Arial"/>
          <w:sz w:val="20"/>
          <w:szCs w:val="20"/>
        </w:rPr>
        <w:t>to Arbo virus research Centre, Enugu, Enugu State for further processing.</w:t>
      </w:r>
    </w:p>
    <w:p w14:paraId="786E0598" w14:textId="1470341F"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 xml:space="preserve">Sample </w:t>
      </w:r>
      <w:r w:rsidR="006718DD">
        <w:rPr>
          <w:rFonts w:ascii="Arial" w:hAnsi="Arial" w:cs="Arial"/>
          <w:b/>
          <w:bCs/>
          <w:sz w:val="20"/>
          <w:szCs w:val="20"/>
        </w:rPr>
        <w:t>A</w:t>
      </w:r>
      <w:r w:rsidRPr="00572528">
        <w:rPr>
          <w:rFonts w:ascii="Arial" w:hAnsi="Arial" w:cs="Arial"/>
          <w:b/>
          <w:bCs/>
          <w:sz w:val="20"/>
          <w:szCs w:val="20"/>
        </w:rPr>
        <w:t>nalysis:</w:t>
      </w:r>
      <w:r w:rsidR="006718DD">
        <w:rPr>
          <w:rFonts w:ascii="Arial" w:hAnsi="Arial" w:cs="Arial"/>
          <w:b/>
          <w:bCs/>
          <w:sz w:val="20"/>
          <w:szCs w:val="20"/>
        </w:rPr>
        <w:t xml:space="preserve"> </w:t>
      </w:r>
      <w:r w:rsidRPr="00572528">
        <w:rPr>
          <w:rFonts w:ascii="Arial" w:hAnsi="Arial" w:cs="Arial"/>
          <w:sz w:val="20"/>
          <w:szCs w:val="20"/>
        </w:rPr>
        <w:t xml:space="preserve">The urine samples were processed and tested at arbovirus research center. Specimens were immediately cultured upon arrival in the laboratory. The culture media used were Blood agar, Nutrient agar and MacConkey agar. Culture media were made by reconstituting the commercial powder in distilled water and sterilizing at 121°C for 15 minutes in an autoclave as per manufacturer’s instructions. </w:t>
      </w:r>
    </w:p>
    <w:p w14:paraId="4ADE6BCA" w14:textId="57EFF578"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 xml:space="preserve">Culture </w:t>
      </w:r>
      <w:r w:rsidR="006718DD">
        <w:rPr>
          <w:rFonts w:ascii="Arial" w:hAnsi="Arial" w:cs="Arial"/>
          <w:b/>
          <w:bCs/>
          <w:sz w:val="20"/>
          <w:szCs w:val="20"/>
        </w:rPr>
        <w:t>P</w:t>
      </w:r>
      <w:r w:rsidRPr="00572528">
        <w:rPr>
          <w:rFonts w:ascii="Arial" w:hAnsi="Arial" w:cs="Arial"/>
          <w:b/>
          <w:bCs/>
          <w:sz w:val="20"/>
          <w:szCs w:val="20"/>
        </w:rPr>
        <w:t>rocedure</w:t>
      </w:r>
      <w:r w:rsidR="006718DD">
        <w:rPr>
          <w:rFonts w:ascii="Arial" w:hAnsi="Arial" w:cs="Arial"/>
          <w:b/>
          <w:bCs/>
          <w:sz w:val="20"/>
          <w:szCs w:val="20"/>
        </w:rPr>
        <w:t xml:space="preserve">: </w:t>
      </w:r>
      <w:r w:rsidRPr="00572528">
        <w:rPr>
          <w:rFonts w:ascii="Arial" w:hAnsi="Arial" w:cs="Arial"/>
          <w:sz w:val="20"/>
          <w:szCs w:val="20"/>
        </w:rPr>
        <w:t xml:space="preserve">Using a sterilized wire loop the urine samples </w:t>
      </w:r>
      <w:r w:rsidR="00AF2702" w:rsidRPr="00572528">
        <w:rPr>
          <w:rFonts w:ascii="Arial" w:hAnsi="Arial" w:cs="Arial"/>
          <w:sz w:val="20"/>
          <w:szCs w:val="20"/>
        </w:rPr>
        <w:t>were</w:t>
      </w:r>
      <w:r w:rsidRPr="00572528">
        <w:rPr>
          <w:rFonts w:ascii="Arial" w:hAnsi="Arial" w:cs="Arial"/>
          <w:sz w:val="20"/>
          <w:szCs w:val="20"/>
        </w:rPr>
        <w:t xml:space="preserve"> </w:t>
      </w:r>
      <w:r w:rsidR="006718DD" w:rsidRPr="00572528">
        <w:rPr>
          <w:rFonts w:ascii="Arial" w:hAnsi="Arial" w:cs="Arial"/>
          <w:sz w:val="20"/>
          <w:szCs w:val="20"/>
        </w:rPr>
        <w:t>inoculated</w:t>
      </w:r>
      <w:r w:rsidRPr="00572528">
        <w:rPr>
          <w:rFonts w:ascii="Arial" w:hAnsi="Arial" w:cs="Arial"/>
          <w:sz w:val="20"/>
          <w:szCs w:val="20"/>
        </w:rPr>
        <w:t xml:space="preserve"> on the agar surface of both MacConkey and Blood agar. Then using the sterile wire loop, the specimen was spread on the agar surface using the streaking method. The plates were then incubated aerobically at 37°C for 24-48 hours.</w:t>
      </w:r>
    </w:p>
    <w:p w14:paraId="46034966" w14:textId="31C2F3C9" w:rsidR="00B704DA"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Identification Of Test Organisms</w:t>
      </w:r>
      <w:r>
        <w:rPr>
          <w:rFonts w:ascii="Arial" w:hAnsi="Arial" w:cs="Arial"/>
          <w:b/>
          <w:bCs/>
          <w:sz w:val="20"/>
          <w:szCs w:val="20"/>
        </w:rPr>
        <w:t xml:space="preserve">: </w:t>
      </w:r>
      <w:r w:rsidR="002D7BD0" w:rsidRPr="00572528">
        <w:rPr>
          <w:rFonts w:ascii="Arial" w:hAnsi="Arial" w:cs="Arial"/>
          <w:sz w:val="20"/>
          <w:szCs w:val="20"/>
        </w:rPr>
        <w:t xml:space="preserve">After 24 hours of incubation, the plates were observed for bacterial growth. Colonies were examined with naked eye, colony characters like size, shape, surface, edge, colour, opacity, consistency and haemolysis on blood agar were noted. From these cultures, lactose fermenting colonies were selected. The identity of the isolated bacteria was confirmed as being </w:t>
      </w:r>
      <w:r w:rsidR="002D7BD0" w:rsidRPr="00572528">
        <w:rPr>
          <w:rFonts w:ascii="Arial" w:hAnsi="Arial" w:cs="Arial"/>
          <w:i/>
          <w:iCs/>
          <w:sz w:val="20"/>
          <w:szCs w:val="20"/>
        </w:rPr>
        <w:t>Escherichia</w:t>
      </w:r>
      <w:r w:rsidR="002D7BD0" w:rsidRPr="00572528">
        <w:rPr>
          <w:rFonts w:ascii="Arial" w:hAnsi="Arial" w:cs="Arial"/>
          <w:sz w:val="20"/>
          <w:szCs w:val="20"/>
        </w:rPr>
        <w:t xml:space="preserve"> </w:t>
      </w:r>
      <w:r w:rsidR="002D7BD0" w:rsidRPr="00572528">
        <w:rPr>
          <w:rFonts w:ascii="Arial" w:hAnsi="Arial" w:cs="Arial"/>
          <w:i/>
          <w:iCs/>
          <w:sz w:val="20"/>
          <w:szCs w:val="20"/>
        </w:rPr>
        <w:t>coli</w:t>
      </w:r>
      <w:r w:rsidR="002D7BD0" w:rsidRPr="00572528">
        <w:rPr>
          <w:rFonts w:ascii="Arial" w:hAnsi="Arial" w:cs="Arial"/>
          <w:sz w:val="20"/>
          <w:szCs w:val="20"/>
        </w:rPr>
        <w:t xml:space="preserve"> species by subculturing the test isolate onto fresh agar plates, to obtain pure culture. Further confirmation of the test isolate was done by carrying out </w:t>
      </w:r>
      <w:r w:rsidR="00492A6B" w:rsidRPr="00572528">
        <w:rPr>
          <w:rFonts w:ascii="Arial" w:hAnsi="Arial" w:cs="Arial"/>
          <w:sz w:val="20"/>
          <w:szCs w:val="20"/>
        </w:rPr>
        <w:t xml:space="preserve">Gram staining and some </w:t>
      </w:r>
      <w:r w:rsidR="002D7BD0" w:rsidRPr="00572528">
        <w:rPr>
          <w:rFonts w:ascii="Arial" w:hAnsi="Arial" w:cs="Arial"/>
          <w:sz w:val="20"/>
          <w:szCs w:val="20"/>
        </w:rPr>
        <w:t>biochemical test such as indole test, catalase test, and oxidase test as described by Chessbrough (Cheesbrough, 2006).</w:t>
      </w:r>
    </w:p>
    <w:p w14:paraId="36B17D74" w14:textId="65FD6213" w:rsidR="002D7BD0" w:rsidRPr="00572528" w:rsidRDefault="002D7BD0" w:rsidP="007806E8">
      <w:pPr>
        <w:spacing w:line="480" w:lineRule="auto"/>
        <w:jc w:val="both"/>
        <w:rPr>
          <w:rFonts w:ascii="Arial" w:hAnsi="Arial" w:cs="Arial"/>
          <w:sz w:val="20"/>
          <w:szCs w:val="20"/>
        </w:rPr>
      </w:pPr>
      <w:commentRangeStart w:id="10"/>
      <w:r w:rsidRPr="00572528">
        <w:rPr>
          <w:rFonts w:ascii="Arial" w:hAnsi="Arial" w:cs="Arial"/>
          <w:b/>
          <w:bCs/>
          <w:sz w:val="20"/>
          <w:szCs w:val="20"/>
        </w:rPr>
        <w:t>Gram Staining</w:t>
      </w:r>
      <w:r w:rsidR="006718DD">
        <w:rPr>
          <w:rFonts w:ascii="Arial" w:hAnsi="Arial" w:cs="Arial"/>
          <w:b/>
          <w:bCs/>
          <w:sz w:val="20"/>
          <w:szCs w:val="20"/>
        </w:rPr>
        <w:t xml:space="preserve">: </w:t>
      </w:r>
      <w:r w:rsidRPr="00572528">
        <w:rPr>
          <w:rFonts w:ascii="Arial" w:hAnsi="Arial" w:cs="Arial"/>
          <w:sz w:val="20"/>
          <w:szCs w:val="20"/>
        </w:rPr>
        <w:t>This reaction is done to identify organisms that are Gram positive (+ve) and Gram negative (-ve).</w:t>
      </w:r>
      <w:r w:rsidR="006718DD">
        <w:rPr>
          <w:rFonts w:ascii="Arial" w:hAnsi="Arial" w:cs="Arial"/>
          <w:sz w:val="20"/>
          <w:szCs w:val="20"/>
        </w:rPr>
        <w:t xml:space="preserve"> </w:t>
      </w:r>
      <w:r w:rsidRPr="00572528">
        <w:rPr>
          <w:rFonts w:ascii="Arial" w:hAnsi="Arial" w:cs="Arial"/>
          <w:sz w:val="20"/>
          <w:szCs w:val="20"/>
        </w:rPr>
        <w:t xml:space="preserve">Procedure- A smear of the isolate was made on a clean grease free slide, air dried and heat fixed. The slide was flooded with 0.5% solution of crystal violet and allowed for 30 seconds. The stain was washed off with water and flooded again with iodine solution(mordant) and allowed for 10 seconds, after which it </w:t>
      </w:r>
      <w:r w:rsidRPr="00572528">
        <w:rPr>
          <w:rFonts w:ascii="Arial" w:hAnsi="Arial" w:cs="Arial"/>
          <w:sz w:val="20"/>
          <w:szCs w:val="20"/>
        </w:rPr>
        <w:lastRenderedPageBreak/>
        <w:t xml:space="preserve">was washed off. The slide was counter stained with sarfarain for 30 seconds, rinsed with water and air dried. The stained glase slide was viewed under the microscope using immersion oil under x100 objectives (cheese bough, 2006). </w:t>
      </w:r>
      <w:r w:rsidRPr="00572528">
        <w:rPr>
          <w:rFonts w:ascii="Arial" w:hAnsi="Arial" w:cs="Arial"/>
          <w:i/>
          <w:iCs/>
          <w:sz w:val="20"/>
          <w:szCs w:val="20"/>
        </w:rPr>
        <w:t>E</w:t>
      </w:r>
      <w:r w:rsidRPr="00572528">
        <w:rPr>
          <w:rFonts w:ascii="Arial" w:hAnsi="Arial" w:cs="Arial"/>
          <w:sz w:val="20"/>
          <w:szCs w:val="20"/>
        </w:rPr>
        <w:t xml:space="preserve">. </w:t>
      </w:r>
      <w:r w:rsidRPr="00572528">
        <w:rPr>
          <w:rFonts w:ascii="Arial" w:hAnsi="Arial" w:cs="Arial"/>
          <w:i/>
          <w:iCs/>
          <w:sz w:val="20"/>
          <w:szCs w:val="20"/>
        </w:rPr>
        <w:t>coli</w:t>
      </w:r>
      <w:r w:rsidRPr="00572528">
        <w:rPr>
          <w:rFonts w:ascii="Arial" w:hAnsi="Arial" w:cs="Arial"/>
          <w:sz w:val="20"/>
          <w:szCs w:val="20"/>
        </w:rPr>
        <w:t xml:space="preserve"> was identified as gram -ve, non-capsulated, bacilli measuring 1-3 μm in size and motile with peritrichous flagella</w:t>
      </w:r>
    </w:p>
    <w:p w14:paraId="09723FB4" w14:textId="45DEC54A"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Indole Test</w:t>
      </w:r>
      <w:r w:rsidR="006718DD">
        <w:rPr>
          <w:rFonts w:ascii="Arial" w:hAnsi="Arial" w:cs="Arial"/>
          <w:b/>
          <w:bCs/>
          <w:sz w:val="20"/>
          <w:szCs w:val="20"/>
        </w:rPr>
        <w:t xml:space="preserve">: </w:t>
      </w:r>
      <w:r w:rsidRPr="00572528">
        <w:rPr>
          <w:rFonts w:ascii="Arial" w:hAnsi="Arial" w:cs="Arial"/>
          <w:sz w:val="20"/>
          <w:szCs w:val="20"/>
        </w:rPr>
        <w:t>This test was used for the identification of Escherichia coli which breakdown the amino acid tryptophan with the release of indole.</w:t>
      </w:r>
      <w:r w:rsidR="006718DD">
        <w:rPr>
          <w:rFonts w:ascii="Arial" w:hAnsi="Arial" w:cs="Arial"/>
          <w:sz w:val="20"/>
          <w:szCs w:val="20"/>
        </w:rPr>
        <w:t xml:space="preserve"> </w:t>
      </w:r>
      <w:r w:rsidRPr="00572528">
        <w:rPr>
          <w:rFonts w:ascii="Arial" w:hAnsi="Arial" w:cs="Arial"/>
          <w:sz w:val="20"/>
          <w:szCs w:val="20"/>
        </w:rPr>
        <w:t>Procedure- The test organism (isolate) was inoculated in a test tube containing 3ml of sterile tryptone water. Incubation was done at 370C for 24hours. 0.5ml of Kovac’s reagent was added and shaked gently. The examination of a red ring like colour on the surface of the layer within 10 minutes was done (cheesbrough, 2006)</w:t>
      </w:r>
      <w:r w:rsidR="00C74BB8" w:rsidRPr="00572528">
        <w:rPr>
          <w:rFonts w:ascii="Arial" w:hAnsi="Arial" w:cs="Arial"/>
          <w:sz w:val="20"/>
          <w:szCs w:val="20"/>
        </w:rPr>
        <w:t>.</w:t>
      </w:r>
    </w:p>
    <w:p w14:paraId="0F71E3E2" w14:textId="68466A14" w:rsidR="0005773A"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Oxidase Test</w:t>
      </w:r>
      <w:r w:rsidR="006718DD">
        <w:rPr>
          <w:rFonts w:ascii="Arial" w:hAnsi="Arial" w:cs="Arial"/>
          <w:b/>
          <w:bCs/>
          <w:sz w:val="20"/>
          <w:szCs w:val="20"/>
        </w:rPr>
        <w:t xml:space="preserve">: </w:t>
      </w:r>
      <w:r w:rsidRPr="00572528">
        <w:rPr>
          <w:rFonts w:ascii="Arial" w:hAnsi="Arial" w:cs="Arial"/>
          <w:sz w:val="20"/>
          <w:szCs w:val="20"/>
        </w:rPr>
        <w:t xml:space="preserve">This test was used in the confirmation of </w:t>
      </w:r>
      <w:r w:rsidRPr="00572528">
        <w:rPr>
          <w:rFonts w:ascii="Arial" w:hAnsi="Arial" w:cs="Arial"/>
          <w:i/>
          <w:iCs/>
          <w:sz w:val="20"/>
          <w:szCs w:val="20"/>
        </w:rPr>
        <w:t>Escherichia coli</w:t>
      </w:r>
      <w:r w:rsidRPr="00572528">
        <w:rPr>
          <w:rFonts w:ascii="Arial" w:hAnsi="Arial" w:cs="Arial"/>
          <w:sz w:val="20"/>
          <w:szCs w:val="20"/>
        </w:rPr>
        <w:t>, which is oxidase test negative</w:t>
      </w:r>
      <w:r w:rsidR="006718DD">
        <w:rPr>
          <w:rFonts w:ascii="Arial" w:hAnsi="Arial" w:cs="Arial"/>
          <w:sz w:val="20"/>
          <w:szCs w:val="20"/>
        </w:rPr>
        <w:t xml:space="preserve">. </w:t>
      </w:r>
      <w:r w:rsidRPr="00572528">
        <w:rPr>
          <w:rFonts w:ascii="Arial" w:hAnsi="Arial" w:cs="Arial"/>
          <w:sz w:val="20"/>
          <w:szCs w:val="20"/>
        </w:rPr>
        <w:t>Procedure- The test organism was smeared on a filter paper containing 2 drops of freshly prepared oxidase reagent, in a clean petri dish. The examination of the none development of a blue-purple colour within few seconds was done (cheesbrough, 2006)</w:t>
      </w:r>
      <w:r w:rsidR="0005773A" w:rsidRPr="00572528">
        <w:rPr>
          <w:rFonts w:ascii="Arial" w:hAnsi="Arial" w:cs="Arial"/>
          <w:sz w:val="20"/>
          <w:szCs w:val="20"/>
        </w:rPr>
        <w:t>.</w:t>
      </w:r>
      <w:commentRangeEnd w:id="10"/>
      <w:r w:rsidR="00E26510" w:rsidRPr="00572528">
        <w:rPr>
          <w:rStyle w:val="CommentReference"/>
          <w:rFonts w:ascii="Arial" w:hAnsi="Arial" w:cs="Arial"/>
          <w:sz w:val="20"/>
          <w:szCs w:val="20"/>
        </w:rPr>
        <w:commentReference w:id="10"/>
      </w:r>
    </w:p>
    <w:p w14:paraId="3F35C8EA" w14:textId="2C2E0CA8" w:rsidR="007C7A2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Antimicrobial Susceptibility Testing</w:t>
      </w:r>
      <w:r>
        <w:rPr>
          <w:rFonts w:ascii="Arial" w:hAnsi="Arial" w:cs="Arial"/>
          <w:b/>
          <w:bCs/>
          <w:sz w:val="20"/>
          <w:szCs w:val="20"/>
        </w:rPr>
        <w:t xml:space="preserve">: </w:t>
      </w:r>
      <w:r w:rsidR="0005773A" w:rsidRPr="00572528">
        <w:rPr>
          <w:rFonts w:ascii="Arial" w:hAnsi="Arial" w:cs="Arial"/>
          <w:sz w:val="20"/>
          <w:szCs w:val="20"/>
        </w:rPr>
        <w:t xml:space="preserve">Antibiotic susceptibility testing of all isolates was performed by Kirby-Bauer’s </w:t>
      </w:r>
      <w:r w:rsidR="007C7A20" w:rsidRPr="00572528">
        <w:rPr>
          <w:rFonts w:ascii="Arial" w:hAnsi="Arial" w:cs="Arial"/>
          <w:sz w:val="20"/>
          <w:szCs w:val="20"/>
        </w:rPr>
        <w:t xml:space="preserve">single </w:t>
      </w:r>
      <w:r w:rsidR="0005773A" w:rsidRPr="00572528">
        <w:rPr>
          <w:rFonts w:ascii="Arial" w:hAnsi="Arial" w:cs="Arial"/>
          <w:sz w:val="20"/>
          <w:szCs w:val="20"/>
        </w:rPr>
        <w:t>disc diffusion method</w:t>
      </w:r>
      <w:r w:rsidR="007C7A20" w:rsidRPr="00572528">
        <w:rPr>
          <w:rFonts w:ascii="Arial" w:hAnsi="Arial" w:cs="Arial"/>
          <w:sz w:val="20"/>
          <w:szCs w:val="20"/>
        </w:rPr>
        <w:t xml:space="preserve"> and interpretation of the results was done as described in CLSI 2013</w:t>
      </w:r>
      <w:r w:rsidR="0005773A" w:rsidRPr="00572528">
        <w:rPr>
          <w:rFonts w:ascii="Arial" w:hAnsi="Arial" w:cs="Arial"/>
          <w:sz w:val="20"/>
          <w:szCs w:val="20"/>
        </w:rPr>
        <w:t xml:space="preserve">. </w:t>
      </w:r>
      <w:r w:rsidR="007C7A20" w:rsidRPr="00572528">
        <w:rPr>
          <w:rFonts w:ascii="Arial" w:hAnsi="Arial" w:cs="Arial"/>
          <w:sz w:val="20"/>
          <w:szCs w:val="20"/>
        </w:rPr>
        <w:t xml:space="preserve">Isolates were characterized for ESBL production using Single Disk method in which cefotaxime (30 μg) and ceftazidime (30 μg) were placed aseptically at a distance of 30 mm apart on Mueller-Hinton agar plate previously inoculated with standardized inoculum of the test bacterium (CLSI, 2011). ESBL production was confirmed in the isolates by the double disk synergy test (DDST) method (Nwobodo </w:t>
      </w:r>
      <w:r w:rsidR="007C7A20" w:rsidRPr="00572528">
        <w:rPr>
          <w:rFonts w:ascii="Arial" w:hAnsi="Arial" w:cs="Arial"/>
          <w:i/>
          <w:iCs/>
          <w:sz w:val="20"/>
          <w:szCs w:val="20"/>
        </w:rPr>
        <w:t>et al.,</w:t>
      </w:r>
      <w:r w:rsidR="007C7A20" w:rsidRPr="00572528">
        <w:rPr>
          <w:rFonts w:ascii="Arial" w:hAnsi="Arial" w:cs="Arial"/>
          <w:sz w:val="20"/>
          <w:szCs w:val="20"/>
        </w:rPr>
        <w:t xml:space="preserve"> 2021)</w:t>
      </w:r>
      <w:r w:rsidR="00492A6B" w:rsidRPr="00572528">
        <w:rPr>
          <w:rFonts w:ascii="Arial" w:hAnsi="Arial" w:cs="Arial"/>
          <w:sz w:val="20"/>
          <w:szCs w:val="20"/>
        </w:rPr>
        <w:t>.</w:t>
      </w:r>
    </w:p>
    <w:p w14:paraId="32D2196D" w14:textId="1F41C369" w:rsidR="002D7BD0" w:rsidRPr="00572528" w:rsidRDefault="006718DD" w:rsidP="006718DD">
      <w:pPr>
        <w:spacing w:before="240" w:line="480" w:lineRule="auto"/>
        <w:jc w:val="both"/>
        <w:rPr>
          <w:rFonts w:ascii="Arial" w:hAnsi="Arial" w:cs="Arial"/>
          <w:sz w:val="20"/>
          <w:szCs w:val="20"/>
        </w:rPr>
      </w:pPr>
      <w:commentRangeStart w:id="11"/>
      <w:r w:rsidRPr="00572528">
        <w:rPr>
          <w:rFonts w:ascii="Arial" w:hAnsi="Arial" w:cs="Arial"/>
          <w:b/>
          <w:bCs/>
          <w:sz w:val="20"/>
          <w:szCs w:val="20"/>
        </w:rPr>
        <w:t>Collection, Identification And Processing Of The Plant</w:t>
      </w:r>
      <w:commentRangeEnd w:id="11"/>
      <w:r w:rsidR="00E26510">
        <w:rPr>
          <w:rStyle w:val="CommentReference"/>
          <w:rFonts w:ascii="Arial" w:hAnsi="Arial" w:cs="Arial"/>
          <w:b/>
          <w:bCs/>
          <w:sz w:val="20"/>
          <w:szCs w:val="20"/>
        </w:rPr>
        <w:commentReference w:id="11"/>
      </w:r>
      <w:r>
        <w:rPr>
          <w:rFonts w:ascii="Arial" w:hAnsi="Arial" w:cs="Arial"/>
          <w:b/>
          <w:bCs/>
          <w:sz w:val="20"/>
          <w:szCs w:val="20"/>
        </w:rPr>
        <w:t xml:space="preserve">: </w:t>
      </w:r>
      <w:r w:rsidR="002D7BD0" w:rsidRPr="00572528">
        <w:rPr>
          <w:rFonts w:ascii="Arial" w:hAnsi="Arial" w:cs="Arial"/>
          <w:sz w:val="20"/>
          <w:szCs w:val="20"/>
        </w:rPr>
        <w:t xml:space="preserve">Bitter kola was bought at collected at </w:t>
      </w:r>
      <w:bookmarkStart w:id="12" w:name="_Hlk179187101"/>
      <w:r w:rsidR="002D7BD0" w:rsidRPr="00572528">
        <w:rPr>
          <w:rFonts w:ascii="Arial" w:hAnsi="Arial" w:cs="Arial"/>
          <w:sz w:val="20"/>
          <w:szCs w:val="20"/>
        </w:rPr>
        <w:t>ugwo odogu farm land in Enugu North L.G.A. Enugu State</w:t>
      </w:r>
      <w:bookmarkEnd w:id="12"/>
      <w:r w:rsidR="002D7BD0" w:rsidRPr="00572528">
        <w:rPr>
          <w:rFonts w:ascii="Arial" w:hAnsi="Arial" w:cs="Arial"/>
          <w:sz w:val="20"/>
          <w:szCs w:val="20"/>
        </w:rPr>
        <w:t xml:space="preserve">. It was then taken to the phytochemistry Laboratory, National Arbovirus and Vector Research Centre Enugu state, Nigeria. </w:t>
      </w:r>
      <w:commentRangeStart w:id="13"/>
      <w:r w:rsidR="002D7BD0" w:rsidRPr="00572528">
        <w:rPr>
          <w:rFonts w:ascii="Arial" w:hAnsi="Arial" w:cs="Arial"/>
          <w:sz w:val="20"/>
          <w:szCs w:val="20"/>
        </w:rPr>
        <w:t xml:space="preserve">Where it was identified by a Taxonomist as </w:t>
      </w:r>
      <w:r w:rsidR="002D7BD0" w:rsidRPr="00572528">
        <w:rPr>
          <w:rFonts w:ascii="Arial" w:hAnsi="Arial" w:cs="Arial"/>
          <w:i/>
          <w:sz w:val="20"/>
          <w:szCs w:val="20"/>
        </w:rPr>
        <w:t>Garcinia kola</w:t>
      </w:r>
      <w:commentRangeEnd w:id="13"/>
      <w:r w:rsidR="00E9393A" w:rsidRPr="00572528">
        <w:rPr>
          <w:rStyle w:val="CommentReference"/>
          <w:rFonts w:ascii="Arial" w:hAnsi="Arial" w:cs="Arial"/>
          <w:i/>
          <w:sz w:val="20"/>
          <w:szCs w:val="20"/>
        </w:rPr>
        <w:commentReference w:id="13"/>
      </w:r>
      <w:r w:rsidR="002D7BD0" w:rsidRPr="00572528">
        <w:rPr>
          <w:rFonts w:ascii="Arial" w:hAnsi="Arial" w:cs="Arial"/>
          <w:i/>
          <w:sz w:val="20"/>
          <w:szCs w:val="20"/>
        </w:rPr>
        <w:t>.</w:t>
      </w:r>
      <w:r w:rsidR="002D7BD0" w:rsidRPr="00572528">
        <w:rPr>
          <w:rFonts w:ascii="Arial" w:hAnsi="Arial" w:cs="Arial"/>
          <w:sz w:val="20"/>
          <w:szCs w:val="20"/>
        </w:rPr>
        <w:t xml:space="preserve"> </w:t>
      </w:r>
    </w:p>
    <w:p w14:paraId="70259C02" w14:textId="7C999E0A"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 xml:space="preserve">Plant Preparation: </w:t>
      </w:r>
      <w:r w:rsidRPr="00572528">
        <w:rPr>
          <w:rFonts w:ascii="Arial" w:hAnsi="Arial" w:cs="Arial"/>
          <w:sz w:val="20"/>
          <w:szCs w:val="20"/>
        </w:rPr>
        <w:t xml:space="preserve">The collected bitter kola seeds were conveyed by a polyethene bag to the laboratory. The bitter kola seeds were properly washed in tap water and then rinsed in distilled water and then rinsed in distilled water. The rinsed bitter kola seeds were sun dried for seven days so as to reduce the moisture </w:t>
      </w:r>
      <w:r w:rsidRPr="00572528">
        <w:rPr>
          <w:rFonts w:ascii="Arial" w:hAnsi="Arial" w:cs="Arial"/>
          <w:sz w:val="20"/>
          <w:szCs w:val="20"/>
        </w:rPr>
        <w:lastRenderedPageBreak/>
        <w:t>content. The dried bitter kola seeds were grounded into powdery form using a grinding mill and were stored in air tight plastic containers until ready for extraction.</w:t>
      </w:r>
    </w:p>
    <w:p w14:paraId="5545D20F" w14:textId="76238DF5" w:rsidR="00B704DA"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Extraction Technique / Procedure</w:t>
      </w:r>
      <w:r>
        <w:rPr>
          <w:rFonts w:ascii="Arial" w:hAnsi="Arial" w:cs="Arial"/>
          <w:b/>
          <w:bCs/>
          <w:sz w:val="20"/>
          <w:szCs w:val="20"/>
        </w:rPr>
        <w:t xml:space="preserve">: </w:t>
      </w:r>
      <w:commentRangeStart w:id="14"/>
      <w:r w:rsidR="002D7BD0" w:rsidRPr="00572528">
        <w:rPr>
          <w:rFonts w:ascii="Arial" w:hAnsi="Arial" w:cs="Arial"/>
          <w:sz w:val="20"/>
          <w:szCs w:val="20"/>
        </w:rPr>
        <w:t>One hundred gram of the dried seed samples were weighed out, wrapped in filter paper and then put in the timber of the soxhlet apparatus compartment. Thereafter, the condenser/ heating mantle was carefully and efficiently connected. An initial 500 ml volume of the solvent (methanol) were added with the aid of a funnel by passing it through the timber containing the sample to the round bottom flask system of the soxhlet.</w:t>
      </w:r>
      <w:commentRangeEnd w:id="14"/>
      <w:r w:rsidR="006452D5" w:rsidRPr="00572528">
        <w:rPr>
          <w:rStyle w:val="CommentReference"/>
          <w:rFonts w:ascii="Arial" w:hAnsi="Arial" w:cs="Arial"/>
          <w:sz w:val="20"/>
          <w:szCs w:val="20"/>
        </w:rPr>
        <w:commentReference w:id="14"/>
      </w:r>
      <w:r w:rsidR="002D7BD0" w:rsidRPr="00572528">
        <w:rPr>
          <w:rFonts w:ascii="Arial" w:hAnsi="Arial" w:cs="Arial"/>
          <w:sz w:val="20"/>
          <w:szCs w:val="20"/>
        </w:rPr>
        <w:t xml:space="preserve"> Inlet and outlet of the condenser were connected to a hose respectively, for the recycling of the cold water during the extraction. Thereafter the heat source was switched on about 5cm from the flask finally, the crude extract was concentrated using water bath,</w:t>
      </w:r>
    </w:p>
    <w:p w14:paraId="672C2E96" w14:textId="030B71FE" w:rsidR="002D7BD0" w:rsidRPr="00572528" w:rsidRDefault="002D7BD0" w:rsidP="007806E8">
      <w:pPr>
        <w:spacing w:line="480" w:lineRule="auto"/>
        <w:jc w:val="both"/>
        <w:rPr>
          <w:rFonts w:ascii="Arial" w:hAnsi="Arial" w:cs="Arial"/>
          <w:b/>
          <w:bCs/>
          <w:sz w:val="20"/>
          <w:szCs w:val="20"/>
        </w:rPr>
      </w:pPr>
      <w:r w:rsidRPr="00572528">
        <w:rPr>
          <w:rFonts w:ascii="Arial" w:hAnsi="Arial" w:cs="Arial"/>
          <w:b/>
          <w:bCs/>
          <w:sz w:val="20"/>
          <w:szCs w:val="20"/>
        </w:rPr>
        <w:t xml:space="preserve">Determination </w:t>
      </w:r>
      <w:r w:rsidR="006718DD" w:rsidRPr="00572528">
        <w:rPr>
          <w:rFonts w:ascii="Arial" w:hAnsi="Arial" w:cs="Arial"/>
          <w:b/>
          <w:bCs/>
          <w:sz w:val="20"/>
          <w:szCs w:val="20"/>
        </w:rPr>
        <w:t>Of Phytochemical Constituents</w:t>
      </w:r>
      <w:r w:rsidR="006718DD">
        <w:rPr>
          <w:rFonts w:ascii="Arial" w:hAnsi="Arial" w:cs="Arial"/>
          <w:b/>
          <w:bCs/>
          <w:sz w:val="20"/>
          <w:szCs w:val="20"/>
        </w:rPr>
        <w:t xml:space="preserve">: </w:t>
      </w:r>
      <w:r w:rsidRPr="00572528">
        <w:rPr>
          <w:rFonts w:ascii="Arial" w:hAnsi="Arial" w:cs="Arial"/>
          <w:sz w:val="20"/>
          <w:szCs w:val="20"/>
        </w:rPr>
        <w:t>The extracts were screened for the qualitative presence of carbohydrates, anthraquinones, alkaloids, saponins, flavonoids, cardiac glycosides, tannins and steroids using the methods described by Evan (1996).</w:t>
      </w:r>
    </w:p>
    <w:p w14:paraId="2BE138F1" w14:textId="64AA6B31"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Preparation of stock solution</w:t>
      </w:r>
      <w:r w:rsidR="006718DD">
        <w:rPr>
          <w:rFonts w:ascii="Arial" w:hAnsi="Arial" w:cs="Arial"/>
          <w:b/>
          <w:bCs/>
          <w:sz w:val="20"/>
          <w:szCs w:val="20"/>
        </w:rPr>
        <w:t xml:space="preserve">: </w:t>
      </w:r>
      <w:r w:rsidRPr="00572528">
        <w:rPr>
          <w:rFonts w:ascii="Arial" w:hAnsi="Arial" w:cs="Arial"/>
          <w:sz w:val="20"/>
          <w:szCs w:val="20"/>
        </w:rPr>
        <w:t>Two grams (2g) of the methanol extract of Bitter kola was weighed on a balance. Using a sterile syringe, 10ml of sterile distilled water was added to it and mixed. This formed the stock solution for Bitter kola aqueous extract (200mg/ml) and was stored at -20ᵒC for subsequent analysis.</w:t>
      </w:r>
    </w:p>
    <w:p w14:paraId="41918E73" w14:textId="59658BFC"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Preparation of Different Concentrations</w:t>
      </w:r>
      <w:r w:rsidR="006718DD">
        <w:rPr>
          <w:rFonts w:ascii="Arial" w:hAnsi="Arial" w:cs="Arial"/>
          <w:b/>
          <w:bCs/>
          <w:sz w:val="20"/>
          <w:szCs w:val="20"/>
        </w:rPr>
        <w:t xml:space="preserve">: </w:t>
      </w:r>
      <w:r w:rsidRPr="00572528">
        <w:rPr>
          <w:rFonts w:ascii="Arial" w:hAnsi="Arial" w:cs="Arial"/>
          <w:sz w:val="20"/>
          <w:szCs w:val="20"/>
        </w:rPr>
        <w:t>The stock solution was serially diluted with the distilled water, in sterile test tubes labelled and arranged from the highest to lowest concentration of extract desired. Double dilution series ranging from 1/5µl, to 1/50µl.were prepared from stock solution. The different dilutions were labelled and kept in sterile bottles for subsequent use.</w:t>
      </w:r>
    </w:p>
    <w:p w14:paraId="452DB0BF" w14:textId="636401DF" w:rsidR="002D7BD0" w:rsidRPr="00572528" w:rsidRDefault="002D7BD0" w:rsidP="007806E8">
      <w:pPr>
        <w:spacing w:line="480" w:lineRule="auto"/>
        <w:jc w:val="both"/>
        <w:rPr>
          <w:rFonts w:ascii="Arial" w:hAnsi="Arial" w:cs="Arial"/>
          <w:sz w:val="20"/>
          <w:szCs w:val="20"/>
        </w:rPr>
      </w:pPr>
      <w:commentRangeStart w:id="15"/>
      <w:r w:rsidRPr="00572528">
        <w:rPr>
          <w:rFonts w:ascii="Arial" w:hAnsi="Arial" w:cs="Arial"/>
          <w:b/>
          <w:bCs/>
          <w:sz w:val="20"/>
          <w:szCs w:val="20"/>
        </w:rPr>
        <w:t xml:space="preserve">Determination </w:t>
      </w:r>
      <w:r w:rsidR="006718DD" w:rsidRPr="00572528">
        <w:rPr>
          <w:rFonts w:ascii="Arial" w:hAnsi="Arial" w:cs="Arial"/>
          <w:b/>
          <w:bCs/>
          <w:sz w:val="20"/>
          <w:szCs w:val="20"/>
        </w:rPr>
        <w:t xml:space="preserve">Of The </w:t>
      </w:r>
      <w:r w:rsidRPr="00572528">
        <w:rPr>
          <w:rFonts w:ascii="Arial" w:hAnsi="Arial" w:cs="Arial"/>
          <w:b/>
          <w:bCs/>
          <w:sz w:val="20"/>
          <w:szCs w:val="20"/>
        </w:rPr>
        <w:t xml:space="preserve">Antibacterial </w:t>
      </w:r>
      <w:r w:rsidR="006718DD" w:rsidRPr="00572528">
        <w:rPr>
          <w:rFonts w:ascii="Arial" w:hAnsi="Arial" w:cs="Arial"/>
          <w:b/>
          <w:bCs/>
          <w:sz w:val="20"/>
          <w:szCs w:val="20"/>
        </w:rPr>
        <w:t xml:space="preserve">Activity Of </w:t>
      </w:r>
      <w:r w:rsidRPr="00572528">
        <w:rPr>
          <w:rFonts w:ascii="Arial" w:hAnsi="Arial" w:cs="Arial"/>
          <w:b/>
          <w:bCs/>
          <w:i/>
          <w:sz w:val="20"/>
          <w:szCs w:val="20"/>
        </w:rPr>
        <w:t xml:space="preserve">Garcinia </w:t>
      </w:r>
      <w:r w:rsidR="006718DD" w:rsidRPr="00572528">
        <w:rPr>
          <w:rFonts w:ascii="Arial" w:hAnsi="Arial" w:cs="Arial"/>
          <w:b/>
          <w:bCs/>
          <w:i/>
          <w:sz w:val="20"/>
          <w:szCs w:val="20"/>
        </w:rPr>
        <w:t>Kola</w:t>
      </w:r>
      <w:r w:rsidR="006718DD" w:rsidRPr="00572528">
        <w:rPr>
          <w:rFonts w:ascii="Arial" w:hAnsi="Arial" w:cs="Arial"/>
          <w:b/>
          <w:bCs/>
          <w:sz w:val="20"/>
          <w:szCs w:val="20"/>
        </w:rPr>
        <w:t xml:space="preserve"> Extract Against The </w:t>
      </w:r>
      <w:r w:rsidRPr="00572528">
        <w:rPr>
          <w:rFonts w:ascii="Arial" w:hAnsi="Arial" w:cs="Arial"/>
          <w:b/>
          <w:bCs/>
          <w:sz w:val="20"/>
          <w:szCs w:val="20"/>
        </w:rPr>
        <w:t xml:space="preserve">Test </w:t>
      </w:r>
      <w:r w:rsidR="006718DD" w:rsidRPr="00572528">
        <w:rPr>
          <w:rFonts w:ascii="Arial" w:hAnsi="Arial" w:cs="Arial"/>
          <w:b/>
          <w:bCs/>
          <w:sz w:val="20"/>
          <w:szCs w:val="20"/>
        </w:rPr>
        <w:t>Organism</w:t>
      </w:r>
      <w:commentRangeEnd w:id="15"/>
      <w:r w:rsidR="006452D5">
        <w:rPr>
          <w:rStyle w:val="CommentReference"/>
          <w:rFonts w:ascii="Arial" w:hAnsi="Arial" w:cs="Arial"/>
          <w:b/>
          <w:bCs/>
          <w:sz w:val="20"/>
          <w:szCs w:val="20"/>
        </w:rPr>
        <w:commentReference w:id="15"/>
      </w:r>
      <w:r w:rsidR="006718DD">
        <w:rPr>
          <w:rFonts w:ascii="Arial" w:hAnsi="Arial" w:cs="Arial"/>
          <w:b/>
          <w:bCs/>
          <w:sz w:val="20"/>
          <w:szCs w:val="20"/>
        </w:rPr>
        <w:t xml:space="preserve">: </w:t>
      </w:r>
      <w:r w:rsidRPr="00572528">
        <w:rPr>
          <w:rFonts w:ascii="Arial" w:hAnsi="Arial" w:cs="Arial"/>
          <w:sz w:val="20"/>
          <w:szCs w:val="20"/>
        </w:rPr>
        <w:t xml:space="preserve">The antibacterial activity of bitter kola </w:t>
      </w:r>
      <w:commentRangeStart w:id="16"/>
      <w:r w:rsidRPr="00572528">
        <w:rPr>
          <w:rFonts w:ascii="Arial" w:hAnsi="Arial" w:cs="Arial"/>
          <w:sz w:val="20"/>
          <w:szCs w:val="20"/>
        </w:rPr>
        <w:t xml:space="preserve">obtained ugwo odogu farm land in Enugu North L.G.A. Enugu State, </w:t>
      </w:r>
      <w:commentRangeEnd w:id="16"/>
      <w:r w:rsidR="006452D5" w:rsidRPr="00572528">
        <w:rPr>
          <w:rStyle w:val="CommentReference"/>
          <w:rFonts w:ascii="Arial" w:hAnsi="Arial" w:cs="Arial"/>
          <w:sz w:val="20"/>
          <w:szCs w:val="20"/>
        </w:rPr>
        <w:commentReference w:id="16"/>
      </w:r>
      <w:r w:rsidRPr="00572528">
        <w:rPr>
          <w:rFonts w:ascii="Arial" w:hAnsi="Arial" w:cs="Arial"/>
          <w:sz w:val="20"/>
          <w:szCs w:val="20"/>
        </w:rPr>
        <w:t xml:space="preserve">against </w:t>
      </w:r>
      <w:r w:rsidRPr="00572528">
        <w:rPr>
          <w:rFonts w:ascii="Arial" w:hAnsi="Arial" w:cs="Arial"/>
          <w:i/>
          <w:sz w:val="20"/>
          <w:szCs w:val="20"/>
        </w:rPr>
        <w:t>Escherichia coli</w:t>
      </w:r>
      <w:r w:rsidRPr="00572528">
        <w:rPr>
          <w:rFonts w:ascii="Arial" w:hAnsi="Arial" w:cs="Arial"/>
          <w:sz w:val="20"/>
          <w:szCs w:val="20"/>
        </w:rPr>
        <w:t xml:space="preserve"> was tested in vitro using agar well diffusion method (Kirby bauer’s method). The test materials were prepared by diluting the bitter kola extract in sterilized distilled water at different concentration </w:t>
      </w:r>
      <w:bookmarkStart w:id="17" w:name="_Hlk179187587"/>
      <w:r w:rsidRPr="00572528">
        <w:rPr>
          <w:rFonts w:ascii="Arial" w:hAnsi="Arial" w:cs="Arial"/>
          <w:sz w:val="20"/>
          <w:szCs w:val="20"/>
        </w:rPr>
        <w:t xml:space="preserve">2ml(neat), </w:t>
      </w:r>
      <w:bookmarkStart w:id="18" w:name="_Hlk179187333"/>
      <w:r w:rsidRPr="00572528">
        <w:rPr>
          <w:rFonts w:ascii="Arial" w:hAnsi="Arial" w:cs="Arial"/>
          <w:sz w:val="20"/>
          <w:szCs w:val="20"/>
        </w:rPr>
        <w:t>1/5µl, 1/10µl, 1/15µl, 1/20µl, 1/30µl, 1/40µl, and 1/50µl</w:t>
      </w:r>
      <w:bookmarkEnd w:id="17"/>
      <w:r w:rsidRPr="00572528">
        <w:rPr>
          <w:rFonts w:ascii="Arial" w:hAnsi="Arial" w:cs="Arial"/>
          <w:sz w:val="20"/>
          <w:szCs w:val="20"/>
        </w:rPr>
        <w:t>.</w:t>
      </w:r>
      <w:bookmarkEnd w:id="18"/>
      <w:r w:rsidRPr="00572528">
        <w:rPr>
          <w:rFonts w:ascii="Arial" w:hAnsi="Arial" w:cs="Arial"/>
          <w:sz w:val="20"/>
          <w:szCs w:val="20"/>
        </w:rPr>
        <w:t xml:space="preserve"> Mueller hilton agar plates were prepared and each plate was properly inoculated with each test organism using streaking method with the help of a sterile wire loop. Wells were made using a sterile cork borer and each well was filled with </w:t>
      </w:r>
      <w:r w:rsidRPr="00572528">
        <w:rPr>
          <w:rFonts w:ascii="Arial" w:hAnsi="Arial" w:cs="Arial"/>
          <w:sz w:val="20"/>
          <w:szCs w:val="20"/>
        </w:rPr>
        <w:lastRenderedPageBreak/>
        <w:t>different concentrations of the bitter kola extract. The plates were incubated at 37ºC for 24hours. At the end of incubation, the plates were examined for clear area around the wells, indicating the zone of inhibition. These areas were measured in diameter for each isolate. This in vitro experiment was compared with the use of a standard sensitivity disc (Ciprofloxacin) which served as a positive control.</w:t>
      </w:r>
    </w:p>
    <w:p w14:paraId="7A25A7AF" w14:textId="0986F016"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Data Analysis</w:t>
      </w:r>
      <w:r w:rsidR="006718DD">
        <w:rPr>
          <w:rFonts w:ascii="Arial" w:hAnsi="Arial" w:cs="Arial"/>
          <w:b/>
          <w:bCs/>
          <w:sz w:val="20"/>
          <w:szCs w:val="20"/>
        </w:rPr>
        <w:t xml:space="preserve">: </w:t>
      </w:r>
      <w:r w:rsidRPr="00572528">
        <w:rPr>
          <w:rFonts w:ascii="Arial" w:hAnsi="Arial" w:cs="Arial"/>
          <w:sz w:val="20"/>
          <w:szCs w:val="20"/>
        </w:rPr>
        <w:t>All the collected data were statistically analyzed using Microsoft Excel 2016.</w:t>
      </w:r>
    </w:p>
    <w:p w14:paraId="777DFC32" w14:textId="77777777" w:rsidR="006718DD" w:rsidRDefault="006718DD" w:rsidP="007806E8">
      <w:pPr>
        <w:spacing w:after="0" w:line="480" w:lineRule="auto"/>
        <w:jc w:val="both"/>
        <w:rPr>
          <w:rFonts w:ascii="Arial" w:eastAsia="Times New Roman" w:hAnsi="Arial" w:cs="Arial"/>
          <w:b/>
          <w:sz w:val="20"/>
          <w:szCs w:val="20"/>
        </w:rPr>
      </w:pPr>
    </w:p>
    <w:p w14:paraId="0256BE3B" w14:textId="18B51F49" w:rsidR="002D7BD0" w:rsidRPr="00572528" w:rsidRDefault="002D7BD0"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RESULT</w:t>
      </w:r>
    </w:p>
    <w:p w14:paraId="3582A7F6" w14:textId="764A64CC" w:rsidR="00344502" w:rsidRPr="00572528" w:rsidRDefault="00052792"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This chapter contains the results of this research. The study was carried out in ESUTH </w:t>
      </w:r>
      <w:r w:rsidR="000E32A3" w:rsidRPr="00572528">
        <w:rPr>
          <w:rFonts w:ascii="Arial" w:eastAsia="Times New Roman" w:hAnsi="Arial" w:cs="Arial"/>
          <w:sz w:val="20"/>
          <w:szCs w:val="20"/>
        </w:rPr>
        <w:t>park lane</w:t>
      </w:r>
      <w:r w:rsidRPr="00572528">
        <w:rPr>
          <w:rFonts w:ascii="Arial" w:eastAsia="Times New Roman" w:hAnsi="Arial" w:cs="Arial"/>
          <w:sz w:val="20"/>
          <w:szCs w:val="20"/>
        </w:rPr>
        <w:t xml:space="preserve"> located in Enugu metropolis for a period of 3 months, from August to October 2024. A total of 100 patients were invol</w:t>
      </w:r>
      <w:r w:rsidR="00513801" w:rsidRPr="00572528">
        <w:rPr>
          <w:rFonts w:ascii="Arial" w:eastAsia="Times New Roman" w:hAnsi="Arial" w:cs="Arial"/>
          <w:sz w:val="20"/>
          <w:szCs w:val="20"/>
        </w:rPr>
        <w:t xml:space="preserve">ved in this study of </w:t>
      </w:r>
      <w:r w:rsidR="00E13CA1" w:rsidRPr="00572528">
        <w:rPr>
          <w:rFonts w:ascii="Arial" w:eastAsia="Times New Roman" w:hAnsi="Arial" w:cs="Arial"/>
          <w:sz w:val="20"/>
          <w:szCs w:val="20"/>
        </w:rPr>
        <w:t xml:space="preserve">which </w:t>
      </w:r>
      <w:r w:rsidR="00FC02B5" w:rsidRPr="00572528">
        <w:rPr>
          <w:rFonts w:ascii="Arial" w:eastAsia="Times New Roman" w:hAnsi="Arial" w:cs="Arial"/>
          <w:sz w:val="20"/>
          <w:szCs w:val="20"/>
        </w:rPr>
        <w:t>29</w:t>
      </w:r>
      <w:r w:rsidR="00513801" w:rsidRPr="00572528">
        <w:rPr>
          <w:rFonts w:ascii="Arial" w:eastAsia="Times New Roman" w:hAnsi="Arial" w:cs="Arial"/>
          <w:sz w:val="20"/>
          <w:szCs w:val="20"/>
        </w:rPr>
        <w:t>% of</w:t>
      </w:r>
      <w:r w:rsidR="00FC02B5" w:rsidRPr="00572528">
        <w:rPr>
          <w:rFonts w:ascii="Arial" w:eastAsia="Times New Roman" w:hAnsi="Arial" w:cs="Arial"/>
          <w:sz w:val="20"/>
          <w:szCs w:val="20"/>
        </w:rPr>
        <w:t xml:space="preserve"> the</w:t>
      </w:r>
      <w:r w:rsidR="00513801" w:rsidRPr="00572528">
        <w:rPr>
          <w:rFonts w:ascii="Arial" w:eastAsia="Times New Roman" w:hAnsi="Arial" w:cs="Arial"/>
          <w:sz w:val="20"/>
          <w:szCs w:val="20"/>
        </w:rPr>
        <w:t xml:space="preserve"> </w:t>
      </w:r>
      <w:r w:rsidR="00513801" w:rsidRPr="00572528">
        <w:rPr>
          <w:rFonts w:ascii="Arial" w:eastAsia="Times New Roman" w:hAnsi="Arial" w:cs="Arial"/>
          <w:i/>
          <w:iCs/>
          <w:sz w:val="20"/>
          <w:szCs w:val="20"/>
        </w:rPr>
        <w:t>E</w:t>
      </w:r>
      <w:r w:rsidR="0028579D" w:rsidRPr="00572528">
        <w:rPr>
          <w:rFonts w:ascii="Arial" w:eastAsia="Times New Roman" w:hAnsi="Arial" w:cs="Arial"/>
          <w:i/>
          <w:iCs/>
          <w:sz w:val="20"/>
          <w:szCs w:val="20"/>
        </w:rPr>
        <w:t>.</w:t>
      </w:r>
      <w:r w:rsidR="00513801" w:rsidRPr="00572528">
        <w:rPr>
          <w:rFonts w:ascii="Arial" w:eastAsia="Times New Roman" w:hAnsi="Arial" w:cs="Arial"/>
          <w:i/>
          <w:iCs/>
          <w:sz w:val="20"/>
          <w:szCs w:val="20"/>
        </w:rPr>
        <w:t xml:space="preserve"> coli</w:t>
      </w:r>
      <w:r w:rsidR="00513801" w:rsidRPr="00572528">
        <w:rPr>
          <w:rFonts w:ascii="Arial" w:eastAsia="Times New Roman" w:hAnsi="Arial" w:cs="Arial"/>
          <w:sz w:val="20"/>
          <w:szCs w:val="20"/>
        </w:rPr>
        <w:t xml:space="preserve"> isolates </w:t>
      </w:r>
      <w:commentRangeStart w:id="19"/>
      <w:r w:rsidR="00513801" w:rsidRPr="00572528">
        <w:rPr>
          <w:rFonts w:ascii="Arial" w:eastAsia="Times New Roman" w:hAnsi="Arial" w:cs="Arial"/>
          <w:sz w:val="20"/>
          <w:szCs w:val="20"/>
        </w:rPr>
        <w:t>gotten</w:t>
      </w:r>
      <w:commentRangeEnd w:id="19"/>
      <w:r w:rsidR="00E9393A" w:rsidRPr="00572528">
        <w:rPr>
          <w:rStyle w:val="CommentReference"/>
          <w:rFonts w:ascii="Arial" w:eastAsia="Times New Roman" w:hAnsi="Arial" w:cs="Arial"/>
          <w:sz w:val="20"/>
          <w:szCs w:val="20"/>
        </w:rPr>
        <w:commentReference w:id="19"/>
      </w:r>
      <w:r w:rsidR="00513801" w:rsidRPr="00572528">
        <w:rPr>
          <w:rFonts w:ascii="Arial" w:eastAsia="Times New Roman" w:hAnsi="Arial" w:cs="Arial"/>
          <w:sz w:val="20"/>
          <w:szCs w:val="20"/>
        </w:rPr>
        <w:t xml:space="preserve"> from their urine samples were positive for ESBL production.</w:t>
      </w:r>
    </w:p>
    <w:p w14:paraId="69466711" w14:textId="051D22C8" w:rsidR="00344502" w:rsidRPr="00572528" w:rsidRDefault="001C7A71" w:rsidP="007806E8">
      <w:pPr>
        <w:spacing w:after="0" w:line="480" w:lineRule="auto"/>
        <w:jc w:val="both"/>
        <w:rPr>
          <w:rFonts w:ascii="Arial" w:eastAsia="Times New Roman" w:hAnsi="Arial" w:cs="Arial"/>
          <w:i/>
          <w:iCs/>
          <w:sz w:val="20"/>
          <w:szCs w:val="20"/>
        </w:rPr>
      </w:pPr>
      <w:r w:rsidRPr="00572528">
        <w:rPr>
          <w:rFonts w:ascii="Arial" w:eastAsia="Times New Roman" w:hAnsi="Arial" w:cs="Arial"/>
          <w:b/>
          <w:bCs/>
          <w:sz w:val="20"/>
          <w:szCs w:val="20"/>
        </w:rPr>
        <w:t xml:space="preserve">Table 1 </w:t>
      </w:r>
      <w:r w:rsidRPr="00572528">
        <w:rPr>
          <w:rFonts w:ascii="Arial" w:eastAsia="Times New Roman" w:hAnsi="Arial" w:cs="Arial"/>
          <w:sz w:val="20"/>
          <w:szCs w:val="20"/>
        </w:rPr>
        <w:t>shows the gram staining and biochemical tests resul</w:t>
      </w:r>
      <w:r w:rsidR="0047470E" w:rsidRPr="00572528">
        <w:rPr>
          <w:rFonts w:ascii="Arial" w:eastAsia="Times New Roman" w:hAnsi="Arial" w:cs="Arial"/>
          <w:sz w:val="20"/>
          <w:szCs w:val="20"/>
        </w:rPr>
        <w:t xml:space="preserve">ts which were used to confirm the identity of the test organism as </w:t>
      </w:r>
      <w:r w:rsidR="0047470E" w:rsidRPr="00572528">
        <w:rPr>
          <w:rFonts w:ascii="Arial" w:eastAsia="Times New Roman" w:hAnsi="Arial" w:cs="Arial"/>
          <w:i/>
          <w:iCs/>
          <w:sz w:val="20"/>
          <w:szCs w:val="20"/>
        </w:rPr>
        <w:t>Escherichia coli.</w:t>
      </w:r>
      <w:r w:rsidR="0047470E" w:rsidRPr="00572528">
        <w:rPr>
          <w:rFonts w:ascii="Arial" w:eastAsia="Times New Roman" w:hAnsi="Arial" w:cs="Arial"/>
          <w:sz w:val="20"/>
          <w:szCs w:val="20"/>
        </w:rPr>
        <w:t xml:space="preserve"> The negative Gram stain, positive indole test, and negative oxidase test are characteristic biochemical reactions of</w:t>
      </w:r>
      <w:r w:rsidR="0047470E" w:rsidRPr="00572528">
        <w:rPr>
          <w:rFonts w:ascii="Arial" w:eastAsia="Times New Roman" w:hAnsi="Arial" w:cs="Arial"/>
          <w:i/>
          <w:iCs/>
          <w:sz w:val="20"/>
          <w:szCs w:val="20"/>
        </w:rPr>
        <w:t xml:space="preserve"> E. coli.</w:t>
      </w:r>
    </w:p>
    <w:p w14:paraId="1AC36A27" w14:textId="32452156" w:rsidR="00344502" w:rsidRPr="00572528" w:rsidRDefault="00455CAC" w:rsidP="007806E8">
      <w:pPr>
        <w:spacing w:after="0" w:line="480" w:lineRule="auto"/>
        <w:jc w:val="both"/>
        <w:rPr>
          <w:rFonts w:ascii="Arial" w:eastAsia="Times New Roman" w:hAnsi="Arial" w:cs="Arial"/>
          <w:bCs/>
          <w:i/>
          <w:sz w:val="20"/>
          <w:szCs w:val="20"/>
        </w:rPr>
      </w:pPr>
      <w:r w:rsidRPr="00572528">
        <w:rPr>
          <w:rFonts w:ascii="Arial" w:eastAsia="Times New Roman" w:hAnsi="Arial" w:cs="Arial"/>
          <w:b/>
          <w:bCs/>
          <w:sz w:val="20"/>
          <w:szCs w:val="20"/>
        </w:rPr>
        <w:t>Table 2</w:t>
      </w:r>
      <w:r w:rsidRPr="00572528">
        <w:rPr>
          <w:rFonts w:ascii="Arial" w:eastAsia="Times New Roman" w:hAnsi="Arial" w:cs="Arial"/>
          <w:sz w:val="20"/>
          <w:szCs w:val="20"/>
        </w:rPr>
        <w:t xml:space="preserve"> presents the percentage occurrence of ESBL </w:t>
      </w:r>
      <w:r w:rsidRPr="00572528">
        <w:rPr>
          <w:rFonts w:ascii="Arial" w:eastAsia="Times New Roman" w:hAnsi="Arial" w:cs="Arial"/>
          <w:i/>
          <w:iCs/>
          <w:sz w:val="20"/>
          <w:szCs w:val="20"/>
        </w:rPr>
        <w:t>Escherichia coli</w:t>
      </w:r>
      <w:r w:rsidRPr="00572528">
        <w:rPr>
          <w:rFonts w:ascii="Arial" w:eastAsia="Times New Roman" w:hAnsi="Arial" w:cs="Arial"/>
          <w:sz w:val="20"/>
          <w:szCs w:val="20"/>
        </w:rPr>
        <w:t xml:space="preserve"> of the entire bacteria isolated. This table shows the distribution of </w:t>
      </w:r>
      <w:r w:rsidRPr="00572528">
        <w:rPr>
          <w:rFonts w:ascii="Arial" w:eastAsia="Times New Roman" w:hAnsi="Arial" w:cs="Arial"/>
          <w:i/>
          <w:iCs/>
          <w:sz w:val="20"/>
          <w:szCs w:val="20"/>
        </w:rPr>
        <w:t>E. coli</w:t>
      </w:r>
      <w:r w:rsidRPr="00572528">
        <w:rPr>
          <w:rFonts w:ascii="Arial" w:eastAsia="Times New Roman" w:hAnsi="Arial" w:cs="Arial"/>
          <w:sz w:val="20"/>
          <w:szCs w:val="20"/>
        </w:rPr>
        <w:t xml:space="preserve"> and ESBL-producing</w:t>
      </w:r>
      <w:r w:rsidRPr="00572528">
        <w:rPr>
          <w:rFonts w:ascii="Arial" w:eastAsia="Times New Roman" w:hAnsi="Arial" w:cs="Arial"/>
          <w:i/>
          <w:iCs/>
          <w:sz w:val="20"/>
          <w:szCs w:val="20"/>
        </w:rPr>
        <w:t xml:space="preserve"> E. coli</w:t>
      </w:r>
      <w:r w:rsidRPr="00572528">
        <w:rPr>
          <w:rFonts w:ascii="Arial" w:eastAsia="Times New Roman" w:hAnsi="Arial" w:cs="Arial"/>
          <w:sz w:val="20"/>
          <w:szCs w:val="20"/>
        </w:rPr>
        <w:t xml:space="preserve"> among the isolated bacteria. </w:t>
      </w:r>
      <w:r w:rsidR="00A3348E" w:rsidRPr="00572528">
        <w:rPr>
          <w:rFonts w:ascii="Arial" w:eastAsia="Times New Roman" w:hAnsi="Arial" w:cs="Arial"/>
          <w:bCs/>
          <w:sz w:val="20"/>
          <w:szCs w:val="20"/>
        </w:rPr>
        <w:t>A total of 100 urine samples were coll</w:t>
      </w:r>
      <w:r w:rsidR="00377973" w:rsidRPr="00572528">
        <w:rPr>
          <w:rFonts w:ascii="Arial" w:eastAsia="Times New Roman" w:hAnsi="Arial" w:cs="Arial"/>
          <w:bCs/>
          <w:sz w:val="20"/>
          <w:szCs w:val="20"/>
        </w:rPr>
        <w:t>ected and analyzed, of which 88 yielded bacterial isolates, representing 88% of the samples. Out of these</w:t>
      </w:r>
      <w:r w:rsidR="00FC02B5" w:rsidRPr="00572528">
        <w:rPr>
          <w:rFonts w:ascii="Arial" w:eastAsia="Times New Roman" w:hAnsi="Arial" w:cs="Arial"/>
          <w:bCs/>
          <w:sz w:val="20"/>
          <w:szCs w:val="20"/>
        </w:rPr>
        <w:t>,</w:t>
      </w:r>
      <w:r w:rsidR="00377973" w:rsidRPr="00572528">
        <w:rPr>
          <w:rFonts w:ascii="Arial" w:eastAsia="Times New Roman" w:hAnsi="Arial" w:cs="Arial"/>
          <w:bCs/>
          <w:sz w:val="20"/>
          <w:szCs w:val="20"/>
        </w:rPr>
        <w:t xml:space="preserve"> </w:t>
      </w:r>
      <w:r w:rsidR="00A3348E" w:rsidRPr="00572528">
        <w:rPr>
          <w:rFonts w:ascii="Arial" w:eastAsia="Times New Roman" w:hAnsi="Arial" w:cs="Arial"/>
          <w:bCs/>
          <w:sz w:val="20"/>
          <w:szCs w:val="20"/>
        </w:rPr>
        <w:t xml:space="preserve">34 </w:t>
      </w:r>
      <w:r w:rsidR="00377973" w:rsidRPr="00572528">
        <w:rPr>
          <w:rFonts w:ascii="Arial" w:eastAsia="Times New Roman" w:hAnsi="Arial" w:cs="Arial"/>
          <w:bCs/>
          <w:sz w:val="20"/>
          <w:szCs w:val="20"/>
        </w:rPr>
        <w:t>(39</w:t>
      </w:r>
      <w:r w:rsidR="00A3348E" w:rsidRPr="00572528">
        <w:rPr>
          <w:rFonts w:ascii="Arial" w:eastAsia="Times New Roman" w:hAnsi="Arial" w:cs="Arial"/>
          <w:bCs/>
          <w:sz w:val="20"/>
          <w:szCs w:val="20"/>
        </w:rPr>
        <w:t xml:space="preserve">%) </w:t>
      </w:r>
      <w:r w:rsidR="00377973" w:rsidRPr="00572528">
        <w:rPr>
          <w:rFonts w:ascii="Arial" w:eastAsia="Times New Roman" w:hAnsi="Arial" w:cs="Arial"/>
          <w:bCs/>
          <w:sz w:val="20"/>
          <w:szCs w:val="20"/>
        </w:rPr>
        <w:t>isolates were confirmed as</w:t>
      </w:r>
      <w:r w:rsidR="00A3348E" w:rsidRPr="00572528">
        <w:rPr>
          <w:rFonts w:ascii="Arial" w:eastAsia="Times New Roman" w:hAnsi="Arial" w:cs="Arial"/>
          <w:bCs/>
          <w:sz w:val="20"/>
          <w:szCs w:val="20"/>
        </w:rPr>
        <w:t xml:space="preserve"> </w:t>
      </w:r>
      <w:r w:rsidR="00A3348E" w:rsidRPr="00572528">
        <w:rPr>
          <w:rFonts w:ascii="Arial" w:eastAsia="Times New Roman" w:hAnsi="Arial" w:cs="Arial"/>
          <w:bCs/>
          <w:i/>
          <w:iCs/>
          <w:sz w:val="20"/>
          <w:szCs w:val="20"/>
        </w:rPr>
        <w:t>E. coli</w:t>
      </w:r>
      <w:r w:rsidR="00377973" w:rsidRPr="00572528">
        <w:rPr>
          <w:rFonts w:ascii="Arial" w:eastAsia="Times New Roman" w:hAnsi="Arial" w:cs="Arial"/>
          <w:bCs/>
          <w:sz w:val="20"/>
          <w:szCs w:val="20"/>
        </w:rPr>
        <w:t>.</w:t>
      </w:r>
      <w:r w:rsidR="00A3348E" w:rsidRPr="00572528">
        <w:rPr>
          <w:rFonts w:ascii="Arial" w:eastAsia="Times New Roman" w:hAnsi="Arial" w:cs="Arial"/>
          <w:bCs/>
          <w:sz w:val="20"/>
          <w:szCs w:val="20"/>
        </w:rPr>
        <w:t xml:space="preserve"> </w:t>
      </w:r>
      <w:r w:rsidR="00FC02B5" w:rsidRPr="00572528">
        <w:rPr>
          <w:rFonts w:ascii="Arial" w:eastAsia="Times New Roman" w:hAnsi="Arial" w:cs="Arial"/>
          <w:bCs/>
          <w:sz w:val="20"/>
          <w:szCs w:val="20"/>
        </w:rPr>
        <w:t xml:space="preserve"> 54 isolates (61) were non </w:t>
      </w:r>
      <w:r w:rsidR="00FC02B5" w:rsidRPr="00572528">
        <w:rPr>
          <w:rFonts w:ascii="Arial" w:eastAsia="Times New Roman" w:hAnsi="Arial" w:cs="Arial"/>
          <w:bCs/>
          <w:i/>
          <w:sz w:val="20"/>
          <w:szCs w:val="20"/>
        </w:rPr>
        <w:t xml:space="preserve">E. coli </w:t>
      </w:r>
      <w:r w:rsidR="00FC02B5" w:rsidRPr="00572528">
        <w:rPr>
          <w:rFonts w:ascii="Arial" w:eastAsia="Times New Roman" w:hAnsi="Arial" w:cs="Arial"/>
          <w:bCs/>
          <w:sz w:val="20"/>
          <w:szCs w:val="20"/>
        </w:rPr>
        <w:t xml:space="preserve">species suggesting a diverse microbial population with other bacterial species dominating. Within the 34 </w:t>
      </w:r>
      <w:r w:rsidR="00FC02B5" w:rsidRPr="00572528">
        <w:rPr>
          <w:rFonts w:ascii="Arial" w:eastAsia="Times New Roman" w:hAnsi="Arial" w:cs="Arial"/>
          <w:bCs/>
          <w:i/>
          <w:sz w:val="20"/>
          <w:szCs w:val="20"/>
        </w:rPr>
        <w:t xml:space="preserve">E. coli </w:t>
      </w:r>
      <w:r w:rsidR="00FC02B5" w:rsidRPr="00572528">
        <w:rPr>
          <w:rFonts w:ascii="Arial" w:eastAsia="Times New Roman" w:hAnsi="Arial" w:cs="Arial"/>
          <w:bCs/>
          <w:sz w:val="20"/>
          <w:szCs w:val="20"/>
        </w:rPr>
        <w:t xml:space="preserve">isolates, 10 isolates (29%) were identified as ESBL producing </w:t>
      </w:r>
      <w:r w:rsidR="00FC02B5" w:rsidRPr="00572528">
        <w:rPr>
          <w:rFonts w:ascii="Arial" w:eastAsia="Times New Roman" w:hAnsi="Arial" w:cs="Arial"/>
          <w:bCs/>
          <w:i/>
          <w:sz w:val="20"/>
          <w:szCs w:val="20"/>
        </w:rPr>
        <w:t xml:space="preserve">E .coli </w:t>
      </w:r>
      <w:r w:rsidR="00FC02B5" w:rsidRPr="00572528">
        <w:rPr>
          <w:rFonts w:ascii="Arial" w:eastAsia="Times New Roman" w:hAnsi="Arial" w:cs="Arial"/>
          <w:bCs/>
          <w:sz w:val="20"/>
          <w:szCs w:val="20"/>
        </w:rPr>
        <w:t xml:space="preserve">while 24 isolates (71) were non ESBL </w:t>
      </w:r>
      <w:r w:rsidR="00FC02B5" w:rsidRPr="00572528">
        <w:rPr>
          <w:rFonts w:ascii="Arial" w:eastAsia="Times New Roman" w:hAnsi="Arial" w:cs="Arial"/>
          <w:bCs/>
          <w:i/>
          <w:sz w:val="20"/>
          <w:szCs w:val="20"/>
        </w:rPr>
        <w:t>E. coli.</w:t>
      </w:r>
    </w:p>
    <w:p w14:paraId="6D56AC17" w14:textId="6A19AAA4" w:rsidR="00DE5FCA" w:rsidRPr="00572528" w:rsidRDefault="00A3348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 xml:space="preserve">Table 3 </w:t>
      </w:r>
      <w:r w:rsidR="00DE5FCA" w:rsidRPr="00572528">
        <w:rPr>
          <w:rFonts w:ascii="Arial" w:hAnsi="Arial" w:cs="Arial"/>
          <w:sz w:val="20"/>
          <w:szCs w:val="20"/>
        </w:rPr>
        <w:t xml:space="preserve">Table 3 shows the zone of inhibition of </w:t>
      </w:r>
      <w:r w:rsidR="00DE5FCA" w:rsidRPr="00572528">
        <w:rPr>
          <w:rFonts w:ascii="Arial" w:hAnsi="Arial" w:cs="Arial"/>
          <w:i/>
          <w:iCs/>
          <w:sz w:val="20"/>
          <w:szCs w:val="20"/>
        </w:rPr>
        <w:t>E. coli</w:t>
      </w:r>
      <w:r w:rsidR="00DE5FCA" w:rsidRPr="00572528">
        <w:rPr>
          <w:rFonts w:ascii="Arial" w:hAnsi="Arial" w:cs="Arial"/>
          <w:sz w:val="20"/>
          <w:szCs w:val="20"/>
        </w:rPr>
        <w:t xml:space="preserve"> isolates to third generation cephalosporins; ceftazidime and cefotaxime. The Zone of inhibition of</w:t>
      </w:r>
      <w:r w:rsidR="00DE5FCA" w:rsidRPr="00572528">
        <w:rPr>
          <w:rFonts w:ascii="Arial" w:eastAsia="Times New Roman" w:hAnsi="Arial" w:cs="Arial"/>
          <w:sz w:val="20"/>
          <w:szCs w:val="20"/>
        </w:rPr>
        <w:t xml:space="preserve"> </w:t>
      </w:r>
      <w:r w:rsidR="00DE5FCA" w:rsidRPr="00572528">
        <w:rPr>
          <w:rFonts w:ascii="Arial" w:eastAsia="Times New Roman" w:hAnsi="Arial" w:cs="Arial"/>
          <w:i/>
          <w:iCs/>
          <w:sz w:val="20"/>
          <w:szCs w:val="20"/>
        </w:rPr>
        <w:t>E. coli</w:t>
      </w:r>
      <w:r w:rsidR="00DE5FCA" w:rsidRPr="00572528">
        <w:rPr>
          <w:rFonts w:ascii="Arial" w:eastAsia="Times New Roman" w:hAnsi="Arial" w:cs="Arial"/>
          <w:sz w:val="20"/>
          <w:szCs w:val="20"/>
        </w:rPr>
        <w:t xml:space="preserve"> isolates to the ceftazidime is 17mm while that of cefotaxime is 20mm</w:t>
      </w:r>
      <w:r w:rsidRPr="00572528">
        <w:rPr>
          <w:rFonts w:ascii="Arial" w:eastAsia="Times New Roman" w:hAnsi="Arial" w:cs="Arial"/>
          <w:sz w:val="20"/>
          <w:szCs w:val="20"/>
        </w:rPr>
        <w:t xml:space="preserve"> This can indicate potential ESBL production.</w:t>
      </w:r>
    </w:p>
    <w:p w14:paraId="6CA79A06" w14:textId="7417C937" w:rsidR="00344502" w:rsidRPr="00572528" w:rsidRDefault="00A3348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 xml:space="preserve">Table 4 </w:t>
      </w:r>
      <w:r w:rsidRPr="00572528">
        <w:rPr>
          <w:rFonts w:ascii="Arial" w:eastAsia="Times New Roman" w:hAnsi="Arial" w:cs="Arial"/>
          <w:sz w:val="20"/>
          <w:szCs w:val="20"/>
        </w:rPr>
        <w:t>show</w:t>
      </w:r>
      <w:r w:rsidR="00ED156E" w:rsidRPr="00572528">
        <w:rPr>
          <w:rFonts w:ascii="Arial" w:eastAsia="Times New Roman" w:hAnsi="Arial" w:cs="Arial"/>
          <w:sz w:val="20"/>
          <w:szCs w:val="20"/>
        </w:rPr>
        <w:t>s</w:t>
      </w:r>
      <w:r w:rsidRPr="00572528">
        <w:rPr>
          <w:rFonts w:ascii="Arial" w:eastAsia="Times New Roman" w:hAnsi="Arial" w:cs="Arial"/>
          <w:sz w:val="20"/>
          <w:szCs w:val="20"/>
        </w:rPr>
        <w:t xml:space="preserve"> the </w:t>
      </w:r>
      <w:commentRangeStart w:id="20"/>
      <w:r w:rsidRPr="00572528">
        <w:rPr>
          <w:rFonts w:ascii="Arial" w:eastAsia="Times New Roman" w:hAnsi="Arial" w:cs="Arial"/>
          <w:sz w:val="20"/>
          <w:szCs w:val="20"/>
        </w:rPr>
        <w:t>result for the double synergy test</w:t>
      </w:r>
      <w:commentRangeEnd w:id="20"/>
      <w:r w:rsidR="00E9393A" w:rsidRPr="00572528">
        <w:rPr>
          <w:rStyle w:val="CommentReference"/>
          <w:rFonts w:ascii="Arial" w:eastAsia="Times New Roman" w:hAnsi="Arial" w:cs="Arial"/>
          <w:sz w:val="20"/>
          <w:szCs w:val="20"/>
        </w:rPr>
        <w:commentReference w:id="20"/>
      </w:r>
      <w:r w:rsidRPr="00572528">
        <w:rPr>
          <w:rFonts w:ascii="Arial" w:eastAsia="Times New Roman" w:hAnsi="Arial" w:cs="Arial"/>
          <w:sz w:val="20"/>
          <w:szCs w:val="20"/>
        </w:rPr>
        <w:t xml:space="preserve"> used in the identification of ESBL producing enterobactereacea. The zone of inhibition around the ceftazidime-clavulanic acid disk (25) is significantly larger than the zone around the ceftazidime disk alone (17mm)</w:t>
      </w:r>
      <w:r w:rsidR="00ED156E" w:rsidRPr="00572528">
        <w:rPr>
          <w:rFonts w:ascii="Arial" w:eastAsia="Times New Roman" w:hAnsi="Arial" w:cs="Arial"/>
          <w:sz w:val="20"/>
          <w:szCs w:val="20"/>
        </w:rPr>
        <w:t>.</w:t>
      </w:r>
      <w:r w:rsidRPr="00572528">
        <w:rPr>
          <w:rFonts w:ascii="Arial" w:eastAsia="Times New Roman" w:hAnsi="Arial" w:cs="Arial"/>
          <w:sz w:val="20"/>
          <w:szCs w:val="20"/>
        </w:rPr>
        <w:t xml:space="preserve"> </w:t>
      </w:r>
      <w:r w:rsidR="00DE5FCA" w:rsidRPr="00572528">
        <w:rPr>
          <w:rFonts w:ascii="Arial" w:eastAsia="Times New Roman" w:hAnsi="Arial" w:cs="Arial"/>
          <w:sz w:val="20"/>
          <w:szCs w:val="20"/>
        </w:rPr>
        <w:t xml:space="preserve">When the zone of inhibition around the </w:t>
      </w:r>
      <w:r w:rsidR="00DE5FCA" w:rsidRPr="00572528">
        <w:rPr>
          <w:rFonts w:ascii="Arial" w:eastAsia="Times New Roman" w:hAnsi="Arial" w:cs="Arial"/>
          <w:sz w:val="20"/>
          <w:szCs w:val="20"/>
        </w:rPr>
        <w:lastRenderedPageBreak/>
        <w:t>ceftazidime-clavulanic acid disk is significantly larger than the zone around the ceftazidime disk alone, it indicates the presence of ESBL. This is because the clavulanic acid inhibits the ESBL enzyme, allowing the antibiotic to be more effective</w:t>
      </w:r>
    </w:p>
    <w:p w14:paraId="7FB7945A" w14:textId="442889CE" w:rsidR="00344502" w:rsidRPr="00572528" w:rsidRDefault="00ED156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Table 5</w:t>
      </w:r>
      <w:r w:rsidRPr="00572528">
        <w:rPr>
          <w:rFonts w:ascii="Arial" w:eastAsia="Times New Roman" w:hAnsi="Arial" w:cs="Arial"/>
          <w:sz w:val="20"/>
          <w:szCs w:val="20"/>
        </w:rPr>
        <w:t xml:space="preserve"> presents the quantitative phytochemical analysis of bitter kola, a plant known for its medicinal properties. This analysis quantifies the concentration of various bioactive compounds present in the plant which includes: Saponin (4.56 mg/100g), Alkaloid (3.37 mg/100g), Tannin (12.6 mg/100g), Phenol (2.684 mg/100g), Flavonoid (4.78 mg/100g), Glycoside (2.987 mg/100g), Steroid (12.05 mg/100g).</w:t>
      </w:r>
      <w:r w:rsidR="00344502" w:rsidRPr="00572528">
        <w:rPr>
          <w:rFonts w:ascii="Arial" w:eastAsia="Times New Roman" w:hAnsi="Arial" w:cs="Arial"/>
          <w:sz w:val="20"/>
          <w:szCs w:val="20"/>
        </w:rPr>
        <w:t xml:space="preserve"> with tannin being the highest bioactive compound, followed by steroid. While, phenol remains the smallest bioactive comp</w:t>
      </w:r>
      <w:r w:rsidR="0072176D" w:rsidRPr="00572528">
        <w:rPr>
          <w:rFonts w:ascii="Arial" w:eastAsia="Times New Roman" w:hAnsi="Arial" w:cs="Arial"/>
          <w:sz w:val="20"/>
          <w:szCs w:val="20"/>
        </w:rPr>
        <w:t>o</w:t>
      </w:r>
      <w:r w:rsidR="00344502" w:rsidRPr="00572528">
        <w:rPr>
          <w:rFonts w:ascii="Arial" w:eastAsia="Times New Roman" w:hAnsi="Arial" w:cs="Arial"/>
          <w:sz w:val="20"/>
          <w:szCs w:val="20"/>
        </w:rPr>
        <w:t>unds. These compounds work synergistically to provide various health benefits attributed to the consumption bitter kola seeds.</w:t>
      </w:r>
    </w:p>
    <w:p w14:paraId="3A724E47" w14:textId="21CC6AF1" w:rsidR="00ED156E" w:rsidRPr="00572528" w:rsidRDefault="00ED156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 xml:space="preserve">Table </w:t>
      </w:r>
      <w:r w:rsidR="00DE5FCA" w:rsidRPr="00572528">
        <w:rPr>
          <w:rFonts w:ascii="Arial" w:eastAsia="Times New Roman" w:hAnsi="Arial" w:cs="Arial"/>
          <w:b/>
          <w:bCs/>
          <w:sz w:val="20"/>
          <w:szCs w:val="20"/>
        </w:rPr>
        <w:t>6</w:t>
      </w:r>
      <w:r w:rsidRPr="00572528">
        <w:rPr>
          <w:rFonts w:ascii="Arial" w:eastAsia="Times New Roman" w:hAnsi="Arial" w:cs="Arial"/>
          <w:sz w:val="20"/>
          <w:szCs w:val="20"/>
        </w:rPr>
        <w:t xml:space="preserve"> presents data on the antimicrobial strength of bitter kola extract against various </w:t>
      </w:r>
      <w:commentRangeStart w:id="21"/>
      <w:r w:rsidRPr="00572528">
        <w:rPr>
          <w:rFonts w:ascii="Arial" w:eastAsia="Times New Roman" w:hAnsi="Arial" w:cs="Arial"/>
          <w:sz w:val="20"/>
          <w:szCs w:val="20"/>
        </w:rPr>
        <w:t>Esbl</w:t>
      </w:r>
      <w:commentRangeEnd w:id="21"/>
      <w:r w:rsidR="009F0E6E" w:rsidRPr="00572528">
        <w:rPr>
          <w:rStyle w:val="CommentReference"/>
          <w:rFonts w:ascii="Arial" w:eastAsia="Times New Roman" w:hAnsi="Arial" w:cs="Arial"/>
          <w:sz w:val="20"/>
          <w:szCs w:val="20"/>
        </w:rPr>
        <w:commentReference w:id="21"/>
      </w:r>
      <w:r w:rsidRPr="00572528">
        <w:rPr>
          <w:rFonts w:ascii="Arial" w:eastAsia="Times New Roman" w:hAnsi="Arial" w:cs="Arial"/>
          <w:sz w:val="20"/>
          <w:szCs w:val="20"/>
        </w:rPr>
        <w:t xml:space="preserve"> producing </w:t>
      </w:r>
      <w:r w:rsidRPr="00572528">
        <w:rPr>
          <w:rFonts w:ascii="Arial" w:eastAsia="Times New Roman" w:hAnsi="Arial" w:cs="Arial"/>
          <w:i/>
          <w:iCs/>
          <w:sz w:val="20"/>
          <w:szCs w:val="20"/>
        </w:rPr>
        <w:t>E.coli</w:t>
      </w:r>
      <w:r w:rsidRPr="00572528">
        <w:rPr>
          <w:rFonts w:ascii="Arial" w:eastAsia="Times New Roman" w:hAnsi="Arial" w:cs="Arial"/>
          <w:sz w:val="20"/>
          <w:szCs w:val="20"/>
        </w:rPr>
        <w:t xml:space="preserve"> bacterial isolates, represented as Org 1 to Org 10. The efficacy of the extract is measured by the zone of inhibition (in millimeters) around the well impregnated with the extract.</w:t>
      </w:r>
      <w:r w:rsidR="00344502" w:rsidRPr="00572528">
        <w:rPr>
          <w:rFonts w:ascii="Arial" w:eastAsia="Times New Roman" w:hAnsi="Arial" w:cs="Arial"/>
          <w:sz w:val="20"/>
          <w:szCs w:val="20"/>
        </w:rPr>
        <w:t xml:space="preserve"> </w:t>
      </w:r>
    </w:p>
    <w:p w14:paraId="77D695CF" w14:textId="1F09CB91" w:rsidR="00E75491" w:rsidRPr="00572528" w:rsidRDefault="00344502" w:rsidP="000E32A3">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The </w:t>
      </w:r>
      <w:commentRangeStart w:id="22"/>
      <w:r w:rsidRPr="00572528">
        <w:rPr>
          <w:rFonts w:ascii="Arial" w:eastAsia="Times New Roman" w:hAnsi="Arial" w:cs="Arial"/>
          <w:sz w:val="20"/>
          <w:szCs w:val="20"/>
        </w:rPr>
        <w:t xml:space="preserve">sensitivity of different Esbl producing </w:t>
      </w:r>
      <w:r w:rsidRPr="00572528">
        <w:rPr>
          <w:rFonts w:ascii="Arial" w:eastAsia="Times New Roman" w:hAnsi="Arial" w:cs="Arial"/>
          <w:i/>
          <w:iCs/>
          <w:sz w:val="20"/>
          <w:szCs w:val="20"/>
        </w:rPr>
        <w:t>Escherichia coli</w:t>
      </w:r>
      <w:r w:rsidRPr="00572528">
        <w:rPr>
          <w:rFonts w:ascii="Arial" w:eastAsia="Times New Roman" w:hAnsi="Arial" w:cs="Arial"/>
          <w:sz w:val="20"/>
          <w:szCs w:val="20"/>
        </w:rPr>
        <w:t xml:space="preserve"> isolates </w:t>
      </w:r>
      <w:commentRangeEnd w:id="22"/>
      <w:r w:rsidR="009F0E6E" w:rsidRPr="00572528">
        <w:rPr>
          <w:rStyle w:val="CommentReference"/>
          <w:rFonts w:ascii="Arial" w:eastAsia="Times New Roman" w:hAnsi="Arial" w:cs="Arial"/>
          <w:sz w:val="20"/>
          <w:szCs w:val="20"/>
        </w:rPr>
        <w:commentReference w:id="22"/>
      </w:r>
      <w:r w:rsidRPr="00572528">
        <w:rPr>
          <w:rFonts w:ascii="Arial" w:eastAsia="Times New Roman" w:hAnsi="Arial" w:cs="Arial"/>
          <w:sz w:val="20"/>
          <w:szCs w:val="20"/>
        </w:rPr>
        <w:t>to the bitter kola extract varied. Some organisms, exhibited significant sensitivity, as evidenced by the large zones of inhibition, even at lower extract concentrations. In contrast, other organisms, were less susceptible, requiring higher concentrations to achieve similar levels of inhibition. The zone of inhibition generally increases with increasing concentrations of bitter kola extract. This indicates that the antimicrobial potency of the extract is concentration-dependent. At higher concentrations (neat and 1:5 dilutions), the extract exhibits significant inhibitory activity against most of the bacterial isolates. As the extract is diluted further (1:10, 1:15, and so on), the zone of inhibition decreases, suggesting a decline in antimicrobial activity</w:t>
      </w:r>
    </w:p>
    <w:p w14:paraId="34EDA068" w14:textId="77777777" w:rsidR="00E418CF" w:rsidRDefault="00E418CF" w:rsidP="007806E8">
      <w:pPr>
        <w:spacing w:after="0" w:line="480" w:lineRule="auto"/>
        <w:jc w:val="both"/>
        <w:rPr>
          <w:rFonts w:ascii="Arial" w:eastAsia="Times New Roman" w:hAnsi="Arial" w:cs="Arial"/>
          <w:b/>
          <w:sz w:val="20"/>
          <w:szCs w:val="20"/>
        </w:rPr>
      </w:pPr>
    </w:p>
    <w:p w14:paraId="6F19F3B8" w14:textId="33A3FB54" w:rsidR="002D7BD0" w:rsidRPr="00572528" w:rsidRDefault="002D7BD0"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Table 1: The result of the biochemical test carried out in order to identify the test organism.</w:t>
      </w:r>
    </w:p>
    <w:tbl>
      <w:tblPr>
        <w:tblStyle w:val="PlainTable4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337"/>
        <w:gridCol w:w="2337"/>
        <w:gridCol w:w="2338"/>
        <w:gridCol w:w="2338"/>
      </w:tblGrid>
      <w:tr w:rsidR="002D7BD0" w:rsidRPr="00572528" w14:paraId="7B2B41AD" w14:textId="77777777" w:rsidTr="000E3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51A7D4F3" w14:textId="77777777" w:rsidR="002D7BD0" w:rsidRPr="00572528" w:rsidRDefault="002D7BD0"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Test organism</w:t>
            </w:r>
          </w:p>
        </w:tc>
        <w:tc>
          <w:tcPr>
            <w:tcW w:w="2337" w:type="dxa"/>
            <w:shd w:val="clear" w:color="auto" w:fill="FFFFFF" w:themeFill="background1"/>
          </w:tcPr>
          <w:p w14:paraId="2EA158E7"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Gram stain</w:t>
            </w:r>
          </w:p>
        </w:tc>
        <w:tc>
          <w:tcPr>
            <w:tcW w:w="2338" w:type="dxa"/>
            <w:shd w:val="clear" w:color="auto" w:fill="FFFFFF" w:themeFill="background1"/>
          </w:tcPr>
          <w:p w14:paraId="7EDC5B99"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Indole Test</w:t>
            </w:r>
          </w:p>
        </w:tc>
        <w:tc>
          <w:tcPr>
            <w:tcW w:w="2338" w:type="dxa"/>
            <w:shd w:val="clear" w:color="auto" w:fill="FFFFFF" w:themeFill="background1"/>
          </w:tcPr>
          <w:p w14:paraId="66B2F9EF"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Oxidase Test</w:t>
            </w:r>
          </w:p>
        </w:tc>
      </w:tr>
      <w:tr w:rsidR="002D7BD0" w:rsidRPr="00572528" w14:paraId="246FC4EA"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458393B7" w14:textId="77777777" w:rsidR="002D7BD0" w:rsidRPr="00572528" w:rsidRDefault="002D7BD0" w:rsidP="007806E8">
            <w:pPr>
              <w:spacing w:line="480" w:lineRule="auto"/>
              <w:jc w:val="both"/>
              <w:rPr>
                <w:rFonts w:ascii="Arial" w:eastAsia="Times New Roman" w:hAnsi="Arial" w:cs="Arial"/>
                <w:i/>
                <w:iCs/>
                <w:sz w:val="20"/>
                <w:szCs w:val="20"/>
              </w:rPr>
            </w:pPr>
            <w:r w:rsidRPr="00572528">
              <w:rPr>
                <w:rFonts w:ascii="Arial" w:eastAsia="Times New Roman" w:hAnsi="Arial" w:cs="Arial"/>
                <w:i/>
                <w:iCs/>
                <w:sz w:val="20"/>
                <w:szCs w:val="20"/>
              </w:rPr>
              <w:t>E. coli</w:t>
            </w:r>
          </w:p>
        </w:tc>
        <w:tc>
          <w:tcPr>
            <w:tcW w:w="2337" w:type="dxa"/>
            <w:shd w:val="clear" w:color="auto" w:fill="FFFFFF" w:themeFill="background1"/>
          </w:tcPr>
          <w:p w14:paraId="63C6B5B6"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72528">
              <w:rPr>
                <w:rFonts w:ascii="Arial" w:eastAsia="Times New Roman" w:hAnsi="Arial" w:cs="Arial"/>
                <w:b/>
                <w:sz w:val="20"/>
                <w:szCs w:val="20"/>
              </w:rPr>
              <w:t xml:space="preserve">             -</w:t>
            </w:r>
          </w:p>
        </w:tc>
        <w:tc>
          <w:tcPr>
            <w:tcW w:w="2338" w:type="dxa"/>
            <w:shd w:val="clear" w:color="auto" w:fill="FFFFFF" w:themeFill="background1"/>
          </w:tcPr>
          <w:p w14:paraId="5935E5FA"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72528">
              <w:rPr>
                <w:rFonts w:ascii="Arial" w:eastAsia="Times New Roman" w:hAnsi="Arial" w:cs="Arial"/>
                <w:b/>
                <w:sz w:val="20"/>
                <w:szCs w:val="20"/>
              </w:rPr>
              <w:t xml:space="preserve">              +</w:t>
            </w:r>
          </w:p>
        </w:tc>
        <w:tc>
          <w:tcPr>
            <w:tcW w:w="2338" w:type="dxa"/>
            <w:shd w:val="clear" w:color="auto" w:fill="FFFFFF" w:themeFill="background1"/>
          </w:tcPr>
          <w:p w14:paraId="03C48004"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72528">
              <w:rPr>
                <w:rFonts w:ascii="Arial" w:eastAsia="Times New Roman" w:hAnsi="Arial" w:cs="Arial"/>
                <w:b/>
                <w:sz w:val="20"/>
                <w:szCs w:val="20"/>
              </w:rPr>
              <w:t xml:space="preserve">          -</w:t>
            </w:r>
          </w:p>
        </w:tc>
      </w:tr>
    </w:tbl>
    <w:p w14:paraId="13BAA6B5" w14:textId="6D29F2F3" w:rsidR="002D7BD0" w:rsidRPr="00572528" w:rsidRDefault="002D7BD0" w:rsidP="007806E8">
      <w:pPr>
        <w:spacing w:after="0" w:line="480" w:lineRule="auto"/>
        <w:jc w:val="both"/>
        <w:rPr>
          <w:rFonts w:ascii="Arial" w:eastAsia="Times New Roman" w:hAnsi="Arial" w:cs="Arial"/>
          <w:i/>
          <w:iCs/>
          <w:sz w:val="20"/>
          <w:szCs w:val="20"/>
        </w:rPr>
      </w:pPr>
      <w:r w:rsidRPr="00572528">
        <w:rPr>
          <w:rFonts w:ascii="Arial" w:eastAsia="Times New Roman" w:hAnsi="Arial" w:cs="Arial"/>
          <w:b/>
          <w:sz w:val="20"/>
          <w:szCs w:val="20"/>
        </w:rPr>
        <w:t> </w:t>
      </w:r>
      <w:r w:rsidRPr="0065768B">
        <w:rPr>
          <w:rFonts w:ascii="Arial" w:eastAsia="Times New Roman" w:hAnsi="Arial" w:cs="Arial"/>
          <w:i/>
          <w:iCs/>
          <w:sz w:val="18"/>
          <w:szCs w:val="18"/>
        </w:rPr>
        <w:t>Key: + = positive, - = Negative E</w:t>
      </w:r>
      <w:r w:rsidR="000E32A3" w:rsidRPr="0065768B">
        <w:rPr>
          <w:rFonts w:ascii="Arial" w:eastAsia="Times New Roman" w:hAnsi="Arial" w:cs="Arial"/>
          <w:i/>
          <w:iCs/>
          <w:sz w:val="18"/>
          <w:szCs w:val="18"/>
        </w:rPr>
        <w:t xml:space="preserve"> </w:t>
      </w:r>
      <w:r w:rsidRPr="0065768B">
        <w:rPr>
          <w:rFonts w:ascii="Arial" w:eastAsia="Times New Roman" w:hAnsi="Arial" w:cs="Arial"/>
          <w:i/>
          <w:iCs/>
          <w:sz w:val="18"/>
          <w:szCs w:val="18"/>
        </w:rPr>
        <w:t>=Escherichia coli</w:t>
      </w:r>
    </w:p>
    <w:p w14:paraId="0F14CB31" w14:textId="13D6278D" w:rsidR="00D86ADE"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Table 1 confirms the identity of the test organism as </w:t>
      </w:r>
      <w:r w:rsidRPr="00572528">
        <w:rPr>
          <w:rFonts w:ascii="Arial" w:eastAsia="Times New Roman" w:hAnsi="Arial" w:cs="Arial"/>
          <w:i/>
          <w:iCs/>
          <w:sz w:val="20"/>
          <w:szCs w:val="20"/>
        </w:rPr>
        <w:t>Escherichia coli.</w:t>
      </w:r>
      <w:r w:rsidRPr="00572528">
        <w:rPr>
          <w:rFonts w:ascii="Arial" w:eastAsia="Times New Roman" w:hAnsi="Arial" w:cs="Arial"/>
          <w:sz w:val="20"/>
          <w:szCs w:val="20"/>
        </w:rPr>
        <w:t xml:space="preserve"> The negative Gram stain, positive indole test, and negative oxidase test are characteristic biochemical reactions of</w:t>
      </w:r>
      <w:r w:rsidRPr="00572528">
        <w:rPr>
          <w:rFonts w:ascii="Arial" w:eastAsia="Times New Roman" w:hAnsi="Arial" w:cs="Arial"/>
          <w:i/>
          <w:iCs/>
          <w:sz w:val="20"/>
          <w:szCs w:val="20"/>
        </w:rPr>
        <w:t xml:space="preserve"> E. coli</w:t>
      </w:r>
      <w:r w:rsidRPr="00572528">
        <w:rPr>
          <w:rFonts w:ascii="Arial" w:eastAsia="Times New Roman" w:hAnsi="Arial" w:cs="Arial"/>
          <w:sz w:val="20"/>
          <w:szCs w:val="20"/>
        </w:rPr>
        <w:t>.</w:t>
      </w:r>
    </w:p>
    <w:p w14:paraId="5B8FB873" w14:textId="77777777" w:rsidR="00E418CF" w:rsidRDefault="00E418CF" w:rsidP="007806E8">
      <w:pPr>
        <w:spacing w:after="0" w:line="480" w:lineRule="auto"/>
        <w:jc w:val="both"/>
        <w:rPr>
          <w:rFonts w:ascii="Arial" w:eastAsia="Times New Roman" w:hAnsi="Arial" w:cs="Arial"/>
          <w:b/>
          <w:bCs/>
          <w:sz w:val="20"/>
          <w:szCs w:val="20"/>
        </w:rPr>
      </w:pPr>
    </w:p>
    <w:p w14:paraId="479C077A" w14:textId="0E5E87E3" w:rsidR="00455CAC"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Table 2: Percentage count of bacteria isolated</w:t>
      </w:r>
    </w:p>
    <w:p w14:paraId="2EC81F74" w14:textId="0B51AC38" w:rsidR="008D1F3A"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Sample size = 100</w:t>
      </w:r>
    </w:p>
    <w:p w14:paraId="75B0B81E" w14:textId="4FC00B5A" w:rsidR="00EB6C26" w:rsidRPr="00572528" w:rsidRDefault="00EB6C26"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Table 2.</w:t>
      </w:r>
      <w:r w:rsidR="003467F4">
        <w:rPr>
          <w:rFonts w:ascii="Arial" w:eastAsia="Times New Roman" w:hAnsi="Arial" w:cs="Arial"/>
          <w:b/>
          <w:sz w:val="20"/>
          <w:szCs w:val="20"/>
        </w:rPr>
        <w:t>a</w:t>
      </w:r>
      <w:r w:rsidR="00BC5B59" w:rsidRPr="00572528">
        <w:rPr>
          <w:rFonts w:ascii="Arial" w:eastAsia="Times New Roman" w:hAnsi="Arial" w:cs="Arial"/>
          <w:b/>
          <w:sz w:val="20"/>
          <w:szCs w:val="20"/>
        </w:rPr>
        <w:t xml:space="preserve">: percentage count of </w:t>
      </w:r>
      <w:r w:rsidR="00BC5B59" w:rsidRPr="00572528">
        <w:rPr>
          <w:rFonts w:ascii="Arial" w:eastAsia="Times New Roman" w:hAnsi="Arial" w:cs="Arial"/>
          <w:b/>
          <w:i/>
          <w:iCs/>
          <w:sz w:val="20"/>
          <w:szCs w:val="20"/>
        </w:rPr>
        <w:t>E. coli</w:t>
      </w:r>
      <w:r w:rsidR="00BC5B59" w:rsidRPr="00572528">
        <w:rPr>
          <w:rFonts w:ascii="Arial" w:eastAsia="Times New Roman" w:hAnsi="Arial" w:cs="Arial"/>
          <w:b/>
          <w:sz w:val="20"/>
          <w:szCs w:val="20"/>
        </w:rPr>
        <w:t xml:space="preserve"> and non </w:t>
      </w:r>
      <w:r w:rsidR="00BC5B59" w:rsidRPr="00572528">
        <w:rPr>
          <w:rFonts w:ascii="Arial" w:eastAsia="Times New Roman" w:hAnsi="Arial" w:cs="Arial"/>
          <w:b/>
          <w:i/>
          <w:iCs/>
          <w:sz w:val="20"/>
          <w:szCs w:val="20"/>
        </w:rPr>
        <w:t>E.coli</w:t>
      </w:r>
      <w:r w:rsidR="00BC5B59" w:rsidRPr="00572528">
        <w:rPr>
          <w:rFonts w:ascii="Arial" w:eastAsia="Times New Roman" w:hAnsi="Arial" w:cs="Arial"/>
          <w:b/>
          <w:sz w:val="20"/>
          <w:szCs w:val="20"/>
        </w:rPr>
        <w:t xml:space="preserve"> isolates</w:t>
      </w:r>
    </w:p>
    <w:tbl>
      <w:tblPr>
        <w:tblStyle w:val="PlainTable41"/>
        <w:tblW w:w="0" w:type="auto"/>
        <w:tblLook w:val="04A0" w:firstRow="1" w:lastRow="0" w:firstColumn="1" w:lastColumn="0" w:noHBand="0" w:noVBand="1"/>
      </w:tblPr>
      <w:tblGrid>
        <w:gridCol w:w="3116"/>
        <w:gridCol w:w="3117"/>
        <w:gridCol w:w="3117"/>
      </w:tblGrid>
      <w:tr w:rsidR="002D7BD0" w:rsidRPr="00572528" w14:paraId="7953D789" w14:textId="77777777" w:rsidTr="00455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bottom w:val="single" w:sz="4" w:space="0" w:color="auto"/>
            </w:tcBorders>
          </w:tcPr>
          <w:p w14:paraId="1D5FE6D7" w14:textId="77777777" w:rsidR="002D7BD0" w:rsidRPr="00572528" w:rsidRDefault="002D7BD0" w:rsidP="007806E8">
            <w:pPr>
              <w:spacing w:line="480" w:lineRule="auto"/>
              <w:jc w:val="both"/>
              <w:rPr>
                <w:rFonts w:ascii="Arial" w:eastAsia="Times New Roman" w:hAnsi="Arial" w:cs="Arial"/>
                <w:sz w:val="20"/>
                <w:szCs w:val="20"/>
              </w:rPr>
            </w:pPr>
            <w:bookmarkStart w:id="23" w:name="_Hlk182922069"/>
            <w:r w:rsidRPr="00572528">
              <w:rPr>
                <w:rFonts w:ascii="Arial" w:eastAsia="Times New Roman" w:hAnsi="Arial" w:cs="Arial"/>
                <w:sz w:val="20"/>
                <w:szCs w:val="20"/>
              </w:rPr>
              <w:t>Organism isolated</w:t>
            </w:r>
          </w:p>
        </w:tc>
        <w:tc>
          <w:tcPr>
            <w:tcW w:w="3117" w:type="dxa"/>
            <w:tcBorders>
              <w:top w:val="single" w:sz="4" w:space="0" w:color="auto"/>
              <w:bottom w:val="single" w:sz="4" w:space="0" w:color="auto"/>
            </w:tcBorders>
          </w:tcPr>
          <w:p w14:paraId="03279AB4"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 xml:space="preserve">Number </w:t>
            </w:r>
          </w:p>
        </w:tc>
        <w:tc>
          <w:tcPr>
            <w:tcW w:w="3117" w:type="dxa"/>
            <w:tcBorders>
              <w:top w:val="single" w:sz="4" w:space="0" w:color="auto"/>
              <w:bottom w:val="single" w:sz="4" w:space="0" w:color="auto"/>
            </w:tcBorders>
          </w:tcPr>
          <w:p w14:paraId="2166A1A4" w14:textId="0CAD0BA9" w:rsidR="00B55DBC"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72528">
              <w:rPr>
                <w:rFonts w:ascii="Arial" w:eastAsia="Times New Roman" w:hAnsi="Arial" w:cs="Arial"/>
                <w:sz w:val="20"/>
                <w:szCs w:val="20"/>
              </w:rPr>
              <w:t xml:space="preserve">Percentage </w:t>
            </w:r>
          </w:p>
        </w:tc>
      </w:tr>
      <w:tr w:rsidR="002D7BD0" w:rsidRPr="00572528" w14:paraId="0489C008" w14:textId="77777777" w:rsidTr="00B55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1714834" w14:textId="07C21A6C" w:rsidR="002D7BD0" w:rsidRPr="00572528" w:rsidRDefault="002D7BD0"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w:t>
            </w:r>
            <w:r w:rsidRPr="00572528">
              <w:rPr>
                <w:rFonts w:ascii="Arial" w:eastAsia="Times New Roman" w:hAnsi="Arial" w:cs="Arial"/>
                <w:i/>
                <w:iCs/>
                <w:sz w:val="20"/>
                <w:szCs w:val="20"/>
              </w:rPr>
              <w:t>E.coli</w:t>
            </w:r>
            <w:r w:rsidR="00E75491" w:rsidRPr="00572528">
              <w:rPr>
                <w:rFonts w:ascii="Arial" w:eastAsia="Times New Roman" w:hAnsi="Arial" w:cs="Arial"/>
                <w:i/>
                <w:iCs/>
                <w:sz w:val="20"/>
                <w:szCs w:val="20"/>
              </w:rPr>
              <w:t xml:space="preserve"> </w:t>
            </w:r>
            <w:r w:rsidR="00E75491" w:rsidRPr="00572528">
              <w:rPr>
                <w:rFonts w:ascii="Arial" w:eastAsia="Times New Roman" w:hAnsi="Arial" w:cs="Arial"/>
                <w:sz w:val="20"/>
                <w:szCs w:val="20"/>
              </w:rPr>
              <w:t>isolates</w:t>
            </w:r>
          </w:p>
        </w:tc>
        <w:tc>
          <w:tcPr>
            <w:tcW w:w="3117" w:type="dxa"/>
            <w:shd w:val="clear" w:color="auto" w:fill="auto"/>
          </w:tcPr>
          <w:p w14:paraId="71EBA949"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34</w:t>
            </w:r>
          </w:p>
        </w:tc>
        <w:tc>
          <w:tcPr>
            <w:tcW w:w="3117" w:type="dxa"/>
            <w:shd w:val="clear" w:color="auto" w:fill="auto"/>
          </w:tcPr>
          <w:p w14:paraId="78CA50C6" w14:textId="4B5844E1"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w:t>
            </w:r>
            <w:r w:rsidR="00E75491" w:rsidRPr="00572528">
              <w:rPr>
                <w:rFonts w:ascii="Arial" w:eastAsia="Times New Roman" w:hAnsi="Arial" w:cs="Arial"/>
                <w:sz w:val="20"/>
                <w:szCs w:val="20"/>
              </w:rPr>
              <w:t>9%</w:t>
            </w:r>
          </w:p>
        </w:tc>
      </w:tr>
      <w:tr w:rsidR="00EB6C26" w:rsidRPr="00572528" w14:paraId="627CD138" w14:textId="77777777" w:rsidTr="00B55DBC">
        <w:tc>
          <w:tcPr>
            <w:cnfStyle w:val="001000000000" w:firstRow="0" w:lastRow="0" w:firstColumn="1" w:lastColumn="0" w:oddVBand="0" w:evenVBand="0" w:oddHBand="0" w:evenHBand="0" w:firstRowFirstColumn="0" w:firstRowLastColumn="0" w:lastRowFirstColumn="0" w:lastRowLastColumn="0"/>
            <w:tcW w:w="3116" w:type="dxa"/>
          </w:tcPr>
          <w:p w14:paraId="59AEC69E" w14:textId="63EBE4EE"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non </w:t>
            </w:r>
            <w:r w:rsidRPr="00572528">
              <w:rPr>
                <w:rFonts w:ascii="Arial" w:eastAsia="Times New Roman" w:hAnsi="Arial" w:cs="Arial"/>
                <w:i/>
                <w:iCs/>
                <w:sz w:val="20"/>
                <w:szCs w:val="20"/>
              </w:rPr>
              <w:t>E.coli</w:t>
            </w:r>
            <w:r w:rsidRPr="00572528">
              <w:rPr>
                <w:rFonts w:ascii="Arial" w:eastAsia="Times New Roman" w:hAnsi="Arial" w:cs="Arial"/>
                <w:sz w:val="20"/>
                <w:szCs w:val="20"/>
              </w:rPr>
              <w:t xml:space="preserve"> isolates</w:t>
            </w:r>
          </w:p>
        </w:tc>
        <w:tc>
          <w:tcPr>
            <w:tcW w:w="3117" w:type="dxa"/>
          </w:tcPr>
          <w:p w14:paraId="210691B6" w14:textId="3FCA408B" w:rsidR="00EB6C26" w:rsidRPr="00572528" w:rsidRDefault="00E75491"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54</w:t>
            </w:r>
          </w:p>
        </w:tc>
        <w:tc>
          <w:tcPr>
            <w:tcW w:w="3117" w:type="dxa"/>
          </w:tcPr>
          <w:p w14:paraId="1410C5B1" w14:textId="5C893F53" w:rsidR="00EB6C26" w:rsidRPr="00572528" w:rsidRDefault="00E75491"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61%</w:t>
            </w:r>
          </w:p>
        </w:tc>
      </w:tr>
      <w:tr w:rsidR="00EB6C26" w:rsidRPr="00572528" w14:paraId="0124ADB3"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shd w:val="clear" w:color="auto" w:fill="auto"/>
          </w:tcPr>
          <w:p w14:paraId="08651C7B" w14:textId="58AA6ACC"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Total</w:t>
            </w:r>
            <w:r w:rsidR="00E75491" w:rsidRPr="00572528">
              <w:rPr>
                <w:rFonts w:ascii="Arial" w:eastAsia="Times New Roman" w:hAnsi="Arial" w:cs="Arial"/>
                <w:sz w:val="20"/>
                <w:szCs w:val="20"/>
              </w:rPr>
              <w:t xml:space="preserve"> number of isolates</w:t>
            </w:r>
          </w:p>
        </w:tc>
        <w:tc>
          <w:tcPr>
            <w:tcW w:w="3117" w:type="dxa"/>
            <w:tcBorders>
              <w:bottom w:val="single" w:sz="4" w:space="0" w:color="auto"/>
            </w:tcBorders>
            <w:shd w:val="clear" w:color="auto" w:fill="auto"/>
          </w:tcPr>
          <w:p w14:paraId="2A025AC0" w14:textId="42EE6CCD" w:rsidR="00EB6C26" w:rsidRPr="00572528" w:rsidRDefault="00E75491"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88</w:t>
            </w:r>
          </w:p>
        </w:tc>
        <w:tc>
          <w:tcPr>
            <w:tcW w:w="3117" w:type="dxa"/>
            <w:tcBorders>
              <w:bottom w:val="single" w:sz="4" w:space="0" w:color="auto"/>
            </w:tcBorders>
            <w:shd w:val="clear" w:color="auto" w:fill="auto"/>
          </w:tcPr>
          <w:p w14:paraId="376036D7" w14:textId="16B40804" w:rsidR="00EB6C26" w:rsidRPr="00572528" w:rsidRDefault="00E75491"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100%</w:t>
            </w:r>
          </w:p>
        </w:tc>
      </w:tr>
      <w:bookmarkEnd w:id="23"/>
    </w:tbl>
    <w:p w14:paraId="2D506D5D" w14:textId="77777777" w:rsidR="00E75491" w:rsidRPr="00572528" w:rsidRDefault="00E75491" w:rsidP="007806E8">
      <w:pPr>
        <w:spacing w:after="0" w:line="480" w:lineRule="auto"/>
        <w:jc w:val="both"/>
        <w:rPr>
          <w:rFonts w:ascii="Arial" w:eastAsia="Times New Roman" w:hAnsi="Arial" w:cs="Arial"/>
          <w:sz w:val="20"/>
          <w:szCs w:val="20"/>
        </w:rPr>
      </w:pPr>
    </w:p>
    <w:p w14:paraId="325D87F1" w14:textId="1D7ACD9C" w:rsidR="00E75491" w:rsidRPr="00572528" w:rsidRDefault="00BC5B59"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f</w:t>
      </w:r>
      <w:r w:rsidR="00E75491" w:rsidRPr="00572528">
        <w:rPr>
          <w:rFonts w:ascii="Arial" w:eastAsia="Times New Roman" w:hAnsi="Arial" w:cs="Arial"/>
          <w:sz w:val="20"/>
          <w:szCs w:val="20"/>
        </w:rPr>
        <w:t xml:space="preserve">rom a sample of 100, 88 bacterial isolates were identified, with 34 (39% of the identified isolates) being </w:t>
      </w:r>
      <w:r w:rsidR="00E75491" w:rsidRPr="00572528">
        <w:rPr>
          <w:rFonts w:ascii="Arial" w:eastAsia="Times New Roman" w:hAnsi="Arial" w:cs="Arial"/>
          <w:i/>
          <w:iCs/>
          <w:sz w:val="20"/>
          <w:szCs w:val="20"/>
        </w:rPr>
        <w:t>E. coli</w:t>
      </w:r>
      <w:r w:rsidR="00E75491" w:rsidRPr="00572528">
        <w:rPr>
          <w:rFonts w:ascii="Arial" w:eastAsia="Times New Roman" w:hAnsi="Arial" w:cs="Arial"/>
          <w:sz w:val="20"/>
          <w:szCs w:val="20"/>
        </w:rPr>
        <w:t xml:space="preserve"> and 54 (61% of the identified isolates) being other bacterial species.</w:t>
      </w:r>
    </w:p>
    <w:p w14:paraId="2826D21D" w14:textId="77777777" w:rsidR="00E75491" w:rsidRPr="00572528" w:rsidRDefault="00E75491" w:rsidP="007806E8">
      <w:pPr>
        <w:spacing w:after="0" w:line="480" w:lineRule="auto"/>
        <w:jc w:val="both"/>
        <w:rPr>
          <w:rFonts w:ascii="Arial" w:eastAsia="Times New Roman" w:hAnsi="Arial" w:cs="Arial"/>
          <w:sz w:val="20"/>
          <w:szCs w:val="20"/>
        </w:rPr>
      </w:pPr>
    </w:p>
    <w:p w14:paraId="315DF6CF" w14:textId="7692239F" w:rsidR="005A4C03" w:rsidRPr="00572528" w:rsidRDefault="00EB6C26" w:rsidP="007806E8">
      <w:pPr>
        <w:spacing w:after="0" w:line="480" w:lineRule="auto"/>
        <w:jc w:val="both"/>
        <w:rPr>
          <w:rFonts w:ascii="Arial" w:eastAsia="Times New Roman" w:hAnsi="Arial" w:cs="Arial"/>
          <w:b/>
          <w:i/>
          <w:sz w:val="20"/>
          <w:szCs w:val="20"/>
        </w:rPr>
      </w:pPr>
      <w:r w:rsidRPr="00572528">
        <w:rPr>
          <w:rFonts w:ascii="Arial" w:eastAsia="Times New Roman" w:hAnsi="Arial" w:cs="Arial"/>
          <w:b/>
          <w:sz w:val="20"/>
          <w:szCs w:val="20"/>
        </w:rPr>
        <w:t xml:space="preserve">Table </w:t>
      </w:r>
      <w:r w:rsidR="005A4C03" w:rsidRPr="00572528">
        <w:rPr>
          <w:rFonts w:ascii="Arial" w:eastAsia="Times New Roman" w:hAnsi="Arial" w:cs="Arial"/>
          <w:b/>
          <w:sz w:val="20"/>
          <w:szCs w:val="20"/>
        </w:rPr>
        <w:t>2.</w:t>
      </w:r>
      <w:r w:rsidR="003467F4">
        <w:rPr>
          <w:rFonts w:ascii="Arial" w:eastAsia="Times New Roman" w:hAnsi="Arial" w:cs="Arial"/>
          <w:b/>
          <w:sz w:val="20"/>
          <w:szCs w:val="20"/>
        </w:rPr>
        <w:t>b</w:t>
      </w:r>
      <w:r w:rsidR="005A4C03" w:rsidRPr="00572528">
        <w:rPr>
          <w:rFonts w:ascii="Arial" w:eastAsia="Times New Roman" w:hAnsi="Arial" w:cs="Arial"/>
          <w:b/>
          <w:sz w:val="20"/>
          <w:szCs w:val="20"/>
        </w:rPr>
        <w:t xml:space="preserve"> Percentage count of ESBL and non ESBL producing </w:t>
      </w:r>
      <w:r w:rsidR="005A4C03" w:rsidRPr="00572528">
        <w:rPr>
          <w:rFonts w:ascii="Arial" w:eastAsia="Times New Roman" w:hAnsi="Arial" w:cs="Arial"/>
          <w:b/>
          <w:i/>
          <w:sz w:val="20"/>
          <w:szCs w:val="20"/>
        </w:rPr>
        <w:t>Escherichia coli</w:t>
      </w:r>
    </w:p>
    <w:tbl>
      <w:tblPr>
        <w:tblStyle w:val="PlainTable41"/>
        <w:tblW w:w="0" w:type="auto"/>
        <w:tblLook w:val="04A0" w:firstRow="1" w:lastRow="0" w:firstColumn="1" w:lastColumn="0" w:noHBand="0" w:noVBand="1"/>
      </w:tblPr>
      <w:tblGrid>
        <w:gridCol w:w="3116"/>
        <w:gridCol w:w="3117"/>
        <w:gridCol w:w="3117"/>
      </w:tblGrid>
      <w:tr w:rsidR="00EB6C26" w:rsidRPr="00572528" w14:paraId="1CD50589" w14:textId="77777777" w:rsidTr="00E75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bottom w:val="single" w:sz="4" w:space="0" w:color="auto"/>
            </w:tcBorders>
            <w:shd w:val="clear" w:color="auto" w:fill="FFFFFF" w:themeFill="background1"/>
          </w:tcPr>
          <w:p w14:paraId="7EE6FE18" w14:textId="4D428645" w:rsidR="00EB6C26" w:rsidRPr="00572528" w:rsidRDefault="00EB6C26" w:rsidP="007806E8">
            <w:pPr>
              <w:spacing w:line="480" w:lineRule="auto"/>
              <w:jc w:val="both"/>
              <w:rPr>
                <w:rFonts w:ascii="Arial" w:eastAsia="Times New Roman" w:hAnsi="Arial" w:cs="Arial"/>
                <w:sz w:val="20"/>
                <w:szCs w:val="20"/>
              </w:rPr>
            </w:pPr>
            <w:bookmarkStart w:id="24" w:name="_Hlk185520032"/>
            <w:r w:rsidRPr="00572528">
              <w:rPr>
                <w:rFonts w:ascii="Arial" w:eastAsia="Times New Roman" w:hAnsi="Arial" w:cs="Arial"/>
                <w:sz w:val="20"/>
                <w:szCs w:val="20"/>
              </w:rPr>
              <w:t>Organism isolated</w:t>
            </w:r>
          </w:p>
        </w:tc>
        <w:tc>
          <w:tcPr>
            <w:tcW w:w="3117" w:type="dxa"/>
            <w:tcBorders>
              <w:top w:val="single" w:sz="4" w:space="0" w:color="auto"/>
              <w:bottom w:val="single" w:sz="4" w:space="0" w:color="auto"/>
            </w:tcBorders>
            <w:shd w:val="clear" w:color="auto" w:fill="FFFFFF" w:themeFill="background1"/>
          </w:tcPr>
          <w:p w14:paraId="7EAED9BF" w14:textId="465FB06D" w:rsidR="00EB6C26" w:rsidRPr="00572528" w:rsidRDefault="00EB6C26"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72528">
              <w:rPr>
                <w:rFonts w:ascii="Arial" w:eastAsia="Times New Roman" w:hAnsi="Arial" w:cs="Arial"/>
                <w:b w:val="0"/>
                <w:bCs w:val="0"/>
                <w:sz w:val="20"/>
                <w:szCs w:val="20"/>
              </w:rPr>
              <w:t xml:space="preserve">Number </w:t>
            </w:r>
          </w:p>
        </w:tc>
        <w:tc>
          <w:tcPr>
            <w:tcW w:w="3117" w:type="dxa"/>
            <w:tcBorders>
              <w:top w:val="single" w:sz="4" w:space="0" w:color="auto"/>
              <w:bottom w:val="single" w:sz="4" w:space="0" w:color="auto"/>
            </w:tcBorders>
            <w:shd w:val="clear" w:color="auto" w:fill="FFFFFF" w:themeFill="background1"/>
          </w:tcPr>
          <w:p w14:paraId="14E47E7C" w14:textId="0E1FD887" w:rsidR="00EB6C26" w:rsidRPr="00572528" w:rsidRDefault="00EB6C26"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72528">
              <w:rPr>
                <w:rFonts w:ascii="Arial" w:eastAsia="Times New Roman" w:hAnsi="Arial" w:cs="Arial"/>
                <w:b w:val="0"/>
                <w:bCs w:val="0"/>
                <w:sz w:val="20"/>
                <w:szCs w:val="20"/>
              </w:rPr>
              <w:t xml:space="preserve">Percentage </w:t>
            </w:r>
          </w:p>
        </w:tc>
      </w:tr>
      <w:tr w:rsidR="00EB6C26" w:rsidRPr="00572528" w14:paraId="6B781FD0" w14:textId="77777777" w:rsidTr="00E75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tcBorders>
            <w:shd w:val="clear" w:color="auto" w:fill="FFFFFF" w:themeFill="background1"/>
          </w:tcPr>
          <w:p w14:paraId="33420BDF" w14:textId="06CC08AA"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ESBL </w:t>
            </w:r>
            <w:r w:rsidRPr="00572528">
              <w:rPr>
                <w:rFonts w:ascii="Arial" w:eastAsia="Times New Roman" w:hAnsi="Arial" w:cs="Arial"/>
                <w:i/>
                <w:iCs/>
                <w:sz w:val="20"/>
                <w:szCs w:val="20"/>
              </w:rPr>
              <w:t>E.coli</w:t>
            </w:r>
          </w:p>
        </w:tc>
        <w:tc>
          <w:tcPr>
            <w:tcW w:w="3117" w:type="dxa"/>
            <w:tcBorders>
              <w:top w:val="single" w:sz="4" w:space="0" w:color="auto"/>
            </w:tcBorders>
            <w:shd w:val="clear" w:color="auto" w:fill="FFFFFF" w:themeFill="background1"/>
          </w:tcPr>
          <w:p w14:paraId="07CE3F35" w14:textId="67DDB418"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10</w:t>
            </w:r>
          </w:p>
        </w:tc>
        <w:tc>
          <w:tcPr>
            <w:tcW w:w="3117" w:type="dxa"/>
            <w:tcBorders>
              <w:top w:val="single" w:sz="4" w:space="0" w:color="auto"/>
            </w:tcBorders>
            <w:shd w:val="clear" w:color="auto" w:fill="FFFFFF" w:themeFill="background1"/>
          </w:tcPr>
          <w:p w14:paraId="0E5B9BE4" w14:textId="05498124"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29%</w:t>
            </w:r>
          </w:p>
        </w:tc>
      </w:tr>
      <w:tr w:rsidR="00EB6C26" w:rsidRPr="00572528" w14:paraId="0BE3F29D" w14:textId="77777777" w:rsidTr="00E75491">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7A697249" w14:textId="09DB2392"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non ESBL </w:t>
            </w:r>
            <w:r w:rsidRPr="00572528">
              <w:rPr>
                <w:rFonts w:ascii="Arial" w:eastAsia="Times New Roman" w:hAnsi="Arial" w:cs="Arial"/>
                <w:i/>
                <w:iCs/>
                <w:sz w:val="20"/>
                <w:szCs w:val="20"/>
              </w:rPr>
              <w:t>E.coli</w:t>
            </w:r>
          </w:p>
        </w:tc>
        <w:tc>
          <w:tcPr>
            <w:tcW w:w="3117" w:type="dxa"/>
            <w:shd w:val="clear" w:color="auto" w:fill="FFFFFF" w:themeFill="background1"/>
          </w:tcPr>
          <w:p w14:paraId="3A5240F2" w14:textId="6A2BA488" w:rsidR="00EB6C26" w:rsidRPr="00572528" w:rsidRDefault="00EB6C26"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24</w:t>
            </w:r>
          </w:p>
        </w:tc>
        <w:tc>
          <w:tcPr>
            <w:tcW w:w="3117" w:type="dxa"/>
            <w:shd w:val="clear" w:color="auto" w:fill="FFFFFF" w:themeFill="background1"/>
          </w:tcPr>
          <w:p w14:paraId="00926972" w14:textId="284DA2A5" w:rsidR="00EB6C26" w:rsidRPr="00572528" w:rsidRDefault="00EB6C26"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71%</w:t>
            </w:r>
          </w:p>
        </w:tc>
      </w:tr>
      <w:tr w:rsidR="00EB6C26" w:rsidRPr="00572528" w14:paraId="596C505E"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shd w:val="clear" w:color="auto" w:fill="FFFFFF" w:themeFill="background1"/>
          </w:tcPr>
          <w:p w14:paraId="42DF2D5B" w14:textId="01E64C16"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w:t>
            </w:r>
          </w:p>
        </w:tc>
        <w:tc>
          <w:tcPr>
            <w:tcW w:w="3117" w:type="dxa"/>
            <w:tcBorders>
              <w:bottom w:val="single" w:sz="4" w:space="0" w:color="auto"/>
            </w:tcBorders>
            <w:shd w:val="clear" w:color="auto" w:fill="FFFFFF" w:themeFill="background1"/>
          </w:tcPr>
          <w:p w14:paraId="06DBC382" w14:textId="544E4F3D"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34</w:t>
            </w:r>
          </w:p>
        </w:tc>
        <w:tc>
          <w:tcPr>
            <w:tcW w:w="3117" w:type="dxa"/>
            <w:tcBorders>
              <w:bottom w:val="single" w:sz="4" w:space="0" w:color="auto"/>
            </w:tcBorders>
            <w:shd w:val="clear" w:color="auto" w:fill="FFFFFF" w:themeFill="background1"/>
          </w:tcPr>
          <w:p w14:paraId="37E7F9F0" w14:textId="48E3F8C8"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100%</w:t>
            </w:r>
          </w:p>
        </w:tc>
      </w:tr>
    </w:tbl>
    <w:p w14:paraId="21F5D1BC" w14:textId="77777777" w:rsidR="00EB6C26" w:rsidRPr="00572528" w:rsidRDefault="00EB6C26" w:rsidP="007806E8">
      <w:pPr>
        <w:spacing w:after="0" w:line="480" w:lineRule="auto"/>
        <w:jc w:val="both"/>
        <w:rPr>
          <w:rFonts w:ascii="Arial" w:eastAsia="Times New Roman" w:hAnsi="Arial" w:cs="Arial"/>
          <w:sz w:val="20"/>
          <w:szCs w:val="20"/>
        </w:rPr>
      </w:pPr>
    </w:p>
    <w:p w14:paraId="730C88BF" w14:textId="4AB685BC" w:rsidR="00B27AF6" w:rsidRPr="00572528" w:rsidRDefault="002D7BD0" w:rsidP="007806E8">
      <w:pPr>
        <w:spacing w:after="0" w:line="480" w:lineRule="auto"/>
        <w:jc w:val="both"/>
        <w:rPr>
          <w:rFonts w:ascii="Arial" w:eastAsia="Times New Roman" w:hAnsi="Arial" w:cs="Arial"/>
          <w:bCs/>
          <w:sz w:val="20"/>
          <w:szCs w:val="20"/>
        </w:rPr>
      </w:pPr>
      <w:r w:rsidRPr="00572528">
        <w:rPr>
          <w:rFonts w:ascii="Arial" w:eastAsia="Times New Roman" w:hAnsi="Arial" w:cs="Arial"/>
          <w:sz w:val="20"/>
          <w:szCs w:val="20"/>
        </w:rPr>
        <w:t xml:space="preserve">Table </w:t>
      </w:r>
      <w:r w:rsidR="00B27AF6" w:rsidRPr="00572528">
        <w:rPr>
          <w:rFonts w:ascii="Arial" w:eastAsia="Times New Roman" w:hAnsi="Arial" w:cs="Arial"/>
          <w:sz w:val="20"/>
          <w:szCs w:val="20"/>
        </w:rPr>
        <w:t xml:space="preserve">2 </w:t>
      </w:r>
      <w:r w:rsidRPr="00572528">
        <w:rPr>
          <w:rFonts w:ascii="Arial" w:eastAsia="Times New Roman" w:hAnsi="Arial" w:cs="Arial"/>
          <w:sz w:val="20"/>
          <w:szCs w:val="20"/>
        </w:rPr>
        <w:t xml:space="preserve">presents the percentage </w:t>
      </w:r>
      <w:r w:rsidR="009F0E6E" w:rsidRPr="00572528">
        <w:rPr>
          <w:rFonts w:ascii="Arial" w:eastAsia="Times New Roman" w:hAnsi="Arial" w:cs="Arial"/>
          <w:sz w:val="20"/>
          <w:szCs w:val="20"/>
        </w:rPr>
        <w:t>occurrence</w:t>
      </w:r>
      <w:r w:rsidRPr="00572528">
        <w:rPr>
          <w:rFonts w:ascii="Arial" w:eastAsia="Times New Roman" w:hAnsi="Arial" w:cs="Arial"/>
          <w:sz w:val="20"/>
          <w:szCs w:val="20"/>
        </w:rPr>
        <w:t xml:space="preserve"> of ESBL </w:t>
      </w:r>
      <w:r w:rsidRPr="00572528">
        <w:rPr>
          <w:rFonts w:ascii="Arial" w:eastAsia="Times New Roman" w:hAnsi="Arial" w:cs="Arial"/>
          <w:i/>
          <w:iCs/>
          <w:sz w:val="20"/>
          <w:szCs w:val="20"/>
        </w:rPr>
        <w:t>Escherichia coli</w:t>
      </w:r>
      <w:r w:rsidRPr="00572528">
        <w:rPr>
          <w:rFonts w:ascii="Arial" w:eastAsia="Times New Roman" w:hAnsi="Arial" w:cs="Arial"/>
          <w:sz w:val="20"/>
          <w:szCs w:val="20"/>
        </w:rPr>
        <w:t xml:space="preserve"> of the entire bacteria isolated.</w:t>
      </w:r>
      <w:r w:rsidR="00B27AF6" w:rsidRPr="00572528">
        <w:rPr>
          <w:rFonts w:ascii="Arial" w:eastAsia="Times New Roman" w:hAnsi="Arial" w:cs="Arial"/>
          <w:bCs/>
          <w:sz w:val="20"/>
          <w:szCs w:val="20"/>
        </w:rPr>
        <w:t xml:space="preserve"> A total of 100 urine samples were collected and analyzed, 88%</w:t>
      </w:r>
      <w:r w:rsidR="0028579D" w:rsidRPr="00572528">
        <w:rPr>
          <w:rFonts w:ascii="Arial" w:eastAsia="Times New Roman" w:hAnsi="Arial" w:cs="Arial"/>
          <w:bCs/>
          <w:sz w:val="20"/>
          <w:szCs w:val="20"/>
        </w:rPr>
        <w:t xml:space="preserve"> of the </w:t>
      </w:r>
      <w:r w:rsidR="00B27AF6" w:rsidRPr="00572528">
        <w:rPr>
          <w:rFonts w:ascii="Arial" w:eastAsia="Times New Roman" w:hAnsi="Arial" w:cs="Arial"/>
          <w:bCs/>
          <w:sz w:val="20"/>
          <w:szCs w:val="20"/>
        </w:rPr>
        <w:t xml:space="preserve">samples </w:t>
      </w:r>
      <w:r w:rsidR="00FE7392" w:rsidRPr="00572528">
        <w:rPr>
          <w:rFonts w:ascii="Arial" w:eastAsia="Times New Roman" w:hAnsi="Arial" w:cs="Arial"/>
          <w:bCs/>
          <w:sz w:val="20"/>
          <w:szCs w:val="20"/>
        </w:rPr>
        <w:t>yielded</w:t>
      </w:r>
      <w:r w:rsidR="00B27AF6" w:rsidRPr="00572528">
        <w:rPr>
          <w:rFonts w:ascii="Arial" w:eastAsia="Times New Roman" w:hAnsi="Arial" w:cs="Arial"/>
          <w:bCs/>
          <w:sz w:val="20"/>
          <w:szCs w:val="20"/>
        </w:rPr>
        <w:t xml:space="preserve"> growth while 1</w:t>
      </w:r>
      <w:r w:rsidR="00BC5B59" w:rsidRPr="00572528">
        <w:rPr>
          <w:rFonts w:ascii="Arial" w:eastAsia="Times New Roman" w:hAnsi="Arial" w:cs="Arial"/>
          <w:bCs/>
          <w:sz w:val="20"/>
          <w:szCs w:val="20"/>
        </w:rPr>
        <w:t>2%</w:t>
      </w:r>
      <w:r w:rsidR="00B27AF6" w:rsidRPr="00572528">
        <w:rPr>
          <w:rFonts w:ascii="Arial" w:eastAsia="Times New Roman" w:hAnsi="Arial" w:cs="Arial"/>
          <w:bCs/>
          <w:sz w:val="20"/>
          <w:szCs w:val="20"/>
        </w:rPr>
        <w:t xml:space="preserve"> yielded no significant bacteria growth. Out of the 88</w:t>
      </w:r>
      <w:r w:rsidR="0028579D" w:rsidRPr="00572528">
        <w:rPr>
          <w:rFonts w:ascii="Arial" w:eastAsia="Times New Roman" w:hAnsi="Arial" w:cs="Arial"/>
          <w:bCs/>
          <w:sz w:val="20"/>
          <w:szCs w:val="20"/>
        </w:rPr>
        <w:t xml:space="preserve">%, </w:t>
      </w:r>
      <w:r w:rsidR="00B27AF6" w:rsidRPr="00572528">
        <w:rPr>
          <w:rFonts w:ascii="Arial" w:eastAsia="Times New Roman" w:hAnsi="Arial" w:cs="Arial"/>
          <w:bCs/>
          <w:sz w:val="20"/>
          <w:szCs w:val="20"/>
        </w:rPr>
        <w:t>3</w:t>
      </w:r>
      <w:r w:rsidR="00BC5B59" w:rsidRPr="00572528">
        <w:rPr>
          <w:rFonts w:ascii="Arial" w:eastAsia="Times New Roman" w:hAnsi="Arial" w:cs="Arial"/>
          <w:bCs/>
          <w:sz w:val="20"/>
          <w:szCs w:val="20"/>
        </w:rPr>
        <w:t>9</w:t>
      </w:r>
      <w:r w:rsidR="0028579D" w:rsidRPr="00572528">
        <w:rPr>
          <w:rFonts w:ascii="Arial" w:eastAsia="Times New Roman" w:hAnsi="Arial" w:cs="Arial"/>
          <w:bCs/>
          <w:sz w:val="20"/>
          <w:szCs w:val="20"/>
        </w:rPr>
        <w:t>%</w:t>
      </w:r>
      <w:r w:rsidR="00B27AF6" w:rsidRPr="00572528">
        <w:rPr>
          <w:rFonts w:ascii="Arial" w:eastAsia="Times New Roman" w:hAnsi="Arial" w:cs="Arial"/>
          <w:bCs/>
          <w:sz w:val="20"/>
          <w:szCs w:val="20"/>
        </w:rPr>
        <w:t xml:space="preserve"> yie</w:t>
      </w:r>
      <w:r w:rsidR="0028579D" w:rsidRPr="00572528">
        <w:rPr>
          <w:rFonts w:ascii="Arial" w:eastAsia="Times New Roman" w:hAnsi="Arial" w:cs="Arial"/>
          <w:bCs/>
          <w:sz w:val="20"/>
          <w:szCs w:val="20"/>
        </w:rPr>
        <w:t>l</w:t>
      </w:r>
      <w:r w:rsidR="00B27AF6" w:rsidRPr="00572528">
        <w:rPr>
          <w:rFonts w:ascii="Arial" w:eastAsia="Times New Roman" w:hAnsi="Arial" w:cs="Arial"/>
          <w:bCs/>
          <w:sz w:val="20"/>
          <w:szCs w:val="20"/>
        </w:rPr>
        <w:t>d</w:t>
      </w:r>
      <w:r w:rsidR="0028579D" w:rsidRPr="00572528">
        <w:rPr>
          <w:rFonts w:ascii="Arial" w:eastAsia="Times New Roman" w:hAnsi="Arial" w:cs="Arial"/>
          <w:bCs/>
          <w:sz w:val="20"/>
          <w:szCs w:val="20"/>
        </w:rPr>
        <w:t>ed</w:t>
      </w:r>
      <w:r w:rsidR="00B27AF6" w:rsidRPr="00572528">
        <w:rPr>
          <w:rFonts w:ascii="Arial" w:eastAsia="Times New Roman" w:hAnsi="Arial" w:cs="Arial"/>
          <w:bCs/>
          <w:sz w:val="20"/>
          <w:szCs w:val="20"/>
        </w:rPr>
        <w:t xml:space="preserve"> </w:t>
      </w:r>
      <w:r w:rsidR="00B27AF6" w:rsidRPr="00572528">
        <w:rPr>
          <w:rFonts w:ascii="Arial" w:eastAsia="Times New Roman" w:hAnsi="Arial" w:cs="Arial"/>
          <w:bCs/>
          <w:i/>
          <w:iCs/>
          <w:sz w:val="20"/>
          <w:szCs w:val="20"/>
        </w:rPr>
        <w:t>E. coli</w:t>
      </w:r>
      <w:r w:rsidR="00B27AF6" w:rsidRPr="00572528">
        <w:rPr>
          <w:rFonts w:ascii="Arial" w:eastAsia="Times New Roman" w:hAnsi="Arial" w:cs="Arial"/>
          <w:bCs/>
          <w:sz w:val="20"/>
          <w:szCs w:val="20"/>
        </w:rPr>
        <w:t xml:space="preserve"> isolates, of which</w:t>
      </w:r>
      <w:r w:rsidR="0028579D" w:rsidRPr="00572528">
        <w:rPr>
          <w:rFonts w:ascii="Arial" w:eastAsia="Times New Roman" w:hAnsi="Arial" w:cs="Arial"/>
          <w:bCs/>
          <w:sz w:val="20"/>
          <w:szCs w:val="20"/>
        </w:rPr>
        <w:t xml:space="preserve"> </w:t>
      </w:r>
      <w:r w:rsidR="00DB57EC" w:rsidRPr="00572528">
        <w:rPr>
          <w:rFonts w:ascii="Arial" w:eastAsia="Times New Roman" w:hAnsi="Arial" w:cs="Arial"/>
          <w:bCs/>
          <w:sz w:val="20"/>
          <w:szCs w:val="20"/>
        </w:rPr>
        <w:t>29</w:t>
      </w:r>
      <w:r w:rsidR="0028579D" w:rsidRPr="00572528">
        <w:rPr>
          <w:rFonts w:ascii="Arial" w:eastAsia="Times New Roman" w:hAnsi="Arial" w:cs="Arial"/>
          <w:bCs/>
          <w:sz w:val="20"/>
          <w:szCs w:val="20"/>
        </w:rPr>
        <w:t xml:space="preserve">% of the </w:t>
      </w:r>
      <w:r w:rsidR="0028579D" w:rsidRPr="00572528">
        <w:rPr>
          <w:rFonts w:ascii="Arial" w:eastAsia="Times New Roman" w:hAnsi="Arial" w:cs="Arial"/>
          <w:bCs/>
          <w:i/>
          <w:iCs/>
          <w:sz w:val="20"/>
          <w:szCs w:val="20"/>
        </w:rPr>
        <w:t>E, coli</w:t>
      </w:r>
      <w:r w:rsidR="0028579D" w:rsidRPr="00572528">
        <w:rPr>
          <w:rFonts w:ascii="Arial" w:eastAsia="Times New Roman" w:hAnsi="Arial" w:cs="Arial"/>
          <w:bCs/>
          <w:sz w:val="20"/>
          <w:szCs w:val="20"/>
        </w:rPr>
        <w:t xml:space="preserve"> isolates</w:t>
      </w:r>
      <w:r w:rsidR="00B27AF6" w:rsidRPr="00572528">
        <w:rPr>
          <w:rFonts w:ascii="Arial" w:eastAsia="Times New Roman" w:hAnsi="Arial" w:cs="Arial"/>
          <w:bCs/>
          <w:sz w:val="20"/>
          <w:szCs w:val="20"/>
        </w:rPr>
        <w:t xml:space="preserve"> were ESBL-positive. </w:t>
      </w:r>
      <w:r w:rsidRPr="00572528">
        <w:rPr>
          <w:rFonts w:ascii="Arial" w:eastAsia="Times New Roman" w:hAnsi="Arial" w:cs="Arial"/>
          <w:sz w:val="20"/>
          <w:szCs w:val="20"/>
        </w:rPr>
        <w:t xml:space="preserve">This table shows the distribution of </w:t>
      </w:r>
      <w:r w:rsidRPr="00572528">
        <w:rPr>
          <w:rFonts w:ascii="Arial" w:eastAsia="Times New Roman" w:hAnsi="Arial" w:cs="Arial"/>
          <w:i/>
          <w:iCs/>
          <w:sz w:val="20"/>
          <w:szCs w:val="20"/>
        </w:rPr>
        <w:t>E. coli</w:t>
      </w:r>
      <w:r w:rsidRPr="00572528">
        <w:rPr>
          <w:rFonts w:ascii="Arial" w:eastAsia="Times New Roman" w:hAnsi="Arial" w:cs="Arial"/>
          <w:sz w:val="20"/>
          <w:szCs w:val="20"/>
        </w:rPr>
        <w:t xml:space="preserve"> and ESBL-producing</w:t>
      </w:r>
      <w:r w:rsidRPr="00572528">
        <w:rPr>
          <w:rFonts w:ascii="Arial" w:eastAsia="Times New Roman" w:hAnsi="Arial" w:cs="Arial"/>
          <w:i/>
          <w:iCs/>
          <w:sz w:val="20"/>
          <w:szCs w:val="20"/>
        </w:rPr>
        <w:t xml:space="preserve"> E. coli</w:t>
      </w:r>
      <w:r w:rsidRPr="00572528">
        <w:rPr>
          <w:rFonts w:ascii="Arial" w:eastAsia="Times New Roman" w:hAnsi="Arial" w:cs="Arial"/>
          <w:sz w:val="20"/>
          <w:szCs w:val="20"/>
        </w:rPr>
        <w:t xml:space="preserve"> among the isolated bacteria. The high percentage of ESBL-producing </w:t>
      </w:r>
      <w:r w:rsidRPr="00572528">
        <w:rPr>
          <w:rFonts w:ascii="Arial" w:eastAsia="Times New Roman" w:hAnsi="Arial" w:cs="Arial"/>
          <w:i/>
          <w:iCs/>
          <w:sz w:val="20"/>
          <w:szCs w:val="20"/>
        </w:rPr>
        <w:t>E. coli</w:t>
      </w:r>
      <w:r w:rsidRPr="00572528">
        <w:rPr>
          <w:rFonts w:ascii="Arial" w:eastAsia="Times New Roman" w:hAnsi="Arial" w:cs="Arial"/>
          <w:sz w:val="20"/>
          <w:szCs w:val="20"/>
        </w:rPr>
        <w:t xml:space="preserve"> is a significant concern, as these strains are resistant to multiple antibiotics, making infections difficult to treat.</w:t>
      </w:r>
      <w:bookmarkEnd w:id="24"/>
    </w:p>
    <w:p w14:paraId="135D98EC" w14:textId="77777777" w:rsidR="00D86ADE" w:rsidRPr="00572528" w:rsidRDefault="00D86ADE" w:rsidP="007806E8">
      <w:pPr>
        <w:spacing w:line="360" w:lineRule="auto"/>
        <w:jc w:val="both"/>
        <w:rPr>
          <w:rFonts w:ascii="Arial" w:hAnsi="Arial" w:cs="Arial"/>
          <w:b/>
          <w:bCs/>
          <w:sz w:val="20"/>
          <w:szCs w:val="20"/>
        </w:rPr>
      </w:pPr>
    </w:p>
    <w:p w14:paraId="432CDFF5" w14:textId="37988624" w:rsidR="002D7BD0" w:rsidRPr="00572528" w:rsidRDefault="002D7BD0" w:rsidP="007806E8">
      <w:pPr>
        <w:spacing w:line="360" w:lineRule="auto"/>
        <w:jc w:val="both"/>
        <w:rPr>
          <w:rFonts w:ascii="Arial" w:hAnsi="Arial" w:cs="Arial"/>
          <w:sz w:val="20"/>
          <w:szCs w:val="20"/>
        </w:rPr>
      </w:pPr>
      <w:r w:rsidRPr="00572528">
        <w:rPr>
          <w:rFonts w:ascii="Arial" w:hAnsi="Arial" w:cs="Arial"/>
          <w:b/>
          <w:bCs/>
          <w:sz w:val="20"/>
          <w:szCs w:val="20"/>
        </w:rPr>
        <w:t xml:space="preserve">Table 3: </w:t>
      </w:r>
      <w:r w:rsidR="00B27AF6" w:rsidRPr="00572528">
        <w:rPr>
          <w:rFonts w:ascii="Arial" w:hAnsi="Arial" w:cs="Arial"/>
          <w:b/>
          <w:bCs/>
          <w:sz w:val="20"/>
          <w:szCs w:val="20"/>
        </w:rPr>
        <w:t xml:space="preserve">Kirby </w:t>
      </w:r>
      <w:r w:rsidR="009F0E6E">
        <w:rPr>
          <w:rFonts w:ascii="Arial" w:hAnsi="Arial" w:cs="Arial"/>
          <w:b/>
          <w:bCs/>
          <w:sz w:val="20"/>
          <w:szCs w:val="20"/>
        </w:rPr>
        <w:t>B</w:t>
      </w:r>
      <w:r w:rsidR="00B27AF6" w:rsidRPr="00572528">
        <w:rPr>
          <w:rFonts w:ascii="Arial" w:hAnsi="Arial" w:cs="Arial"/>
          <w:b/>
          <w:bCs/>
          <w:sz w:val="20"/>
          <w:szCs w:val="20"/>
        </w:rPr>
        <w:t>auer</w:t>
      </w:r>
      <w:r w:rsidRPr="00572528">
        <w:rPr>
          <w:rFonts w:ascii="Arial" w:hAnsi="Arial" w:cs="Arial"/>
          <w:b/>
          <w:bCs/>
          <w:sz w:val="20"/>
          <w:szCs w:val="20"/>
        </w:rPr>
        <w:t xml:space="preserve"> disc diffusion test results with third generation cephalosporins antibiotics</w:t>
      </w:r>
      <w:r w:rsidRPr="00572528">
        <w:rPr>
          <w:rFonts w:ascii="Arial" w:hAnsi="Arial" w:cs="Arial"/>
          <w:sz w:val="20"/>
          <w:szCs w:val="20"/>
        </w:rPr>
        <w:t xml:space="preserve"> </w:t>
      </w:r>
    </w:p>
    <w:tbl>
      <w:tblPr>
        <w:tblStyle w:val="PlainTable41"/>
        <w:tblW w:w="5000" w:type="pct"/>
        <w:tblLook w:val="04A0" w:firstRow="1" w:lastRow="0" w:firstColumn="1" w:lastColumn="0" w:noHBand="0" w:noVBand="1"/>
      </w:tblPr>
      <w:tblGrid>
        <w:gridCol w:w="2357"/>
        <w:gridCol w:w="4347"/>
        <w:gridCol w:w="2656"/>
      </w:tblGrid>
      <w:tr w:rsidR="002D7BD0" w:rsidRPr="00572528" w14:paraId="19E349CF" w14:textId="77777777" w:rsidTr="000E3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top w:val="single" w:sz="4" w:space="0" w:color="auto"/>
              <w:bottom w:val="single" w:sz="4" w:space="0" w:color="auto"/>
            </w:tcBorders>
            <w:hideMark/>
          </w:tcPr>
          <w:p w14:paraId="2B98A3BB" w14:textId="77777777" w:rsidR="002D7BD0" w:rsidRPr="00572528" w:rsidRDefault="002D7BD0" w:rsidP="007806E8">
            <w:pPr>
              <w:spacing w:after="160" w:line="360" w:lineRule="auto"/>
              <w:jc w:val="both"/>
              <w:rPr>
                <w:rFonts w:ascii="Arial" w:hAnsi="Arial" w:cs="Arial"/>
                <w:sz w:val="20"/>
                <w:szCs w:val="20"/>
              </w:rPr>
            </w:pPr>
            <w:r w:rsidRPr="00572528">
              <w:rPr>
                <w:rFonts w:ascii="Arial" w:hAnsi="Arial" w:cs="Arial"/>
                <w:sz w:val="20"/>
                <w:szCs w:val="20"/>
              </w:rPr>
              <w:lastRenderedPageBreak/>
              <w:t>Antibiotic</w:t>
            </w:r>
          </w:p>
        </w:tc>
        <w:tc>
          <w:tcPr>
            <w:tcW w:w="2322" w:type="pct"/>
            <w:tcBorders>
              <w:top w:val="single" w:sz="4" w:space="0" w:color="auto"/>
              <w:bottom w:val="single" w:sz="4" w:space="0" w:color="auto"/>
            </w:tcBorders>
            <w:hideMark/>
          </w:tcPr>
          <w:p w14:paraId="19CDFBBA" w14:textId="77777777" w:rsidR="002D7BD0" w:rsidRPr="00572528" w:rsidRDefault="002D7BD0" w:rsidP="007806E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Zone of Inhibition (mm)</w:t>
            </w:r>
          </w:p>
        </w:tc>
        <w:tc>
          <w:tcPr>
            <w:tcW w:w="1420" w:type="pct"/>
            <w:tcBorders>
              <w:top w:val="single" w:sz="4" w:space="0" w:color="auto"/>
              <w:bottom w:val="single" w:sz="4" w:space="0" w:color="auto"/>
            </w:tcBorders>
            <w:hideMark/>
          </w:tcPr>
          <w:p w14:paraId="0E3ECA4B" w14:textId="77777777" w:rsidR="002D7BD0" w:rsidRPr="00572528" w:rsidRDefault="002D7BD0" w:rsidP="007806E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Interpretation</w:t>
            </w:r>
          </w:p>
        </w:tc>
      </w:tr>
      <w:tr w:rsidR="002D7BD0" w:rsidRPr="00572528" w14:paraId="300F29D3"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top w:val="single" w:sz="4" w:space="0" w:color="auto"/>
            </w:tcBorders>
            <w:shd w:val="clear" w:color="auto" w:fill="auto"/>
            <w:hideMark/>
          </w:tcPr>
          <w:p w14:paraId="3F934445" w14:textId="77777777" w:rsidR="002D7BD0" w:rsidRPr="00572528" w:rsidRDefault="002D7BD0" w:rsidP="007806E8">
            <w:pPr>
              <w:spacing w:after="160" w:line="360" w:lineRule="auto"/>
              <w:jc w:val="both"/>
              <w:rPr>
                <w:rFonts w:ascii="Arial" w:hAnsi="Arial" w:cs="Arial"/>
                <w:sz w:val="20"/>
                <w:szCs w:val="20"/>
              </w:rPr>
            </w:pPr>
            <w:r w:rsidRPr="00572528">
              <w:rPr>
                <w:rFonts w:ascii="Arial" w:hAnsi="Arial" w:cs="Arial"/>
                <w:sz w:val="20"/>
                <w:szCs w:val="20"/>
              </w:rPr>
              <w:t>Ceftazidime</w:t>
            </w:r>
          </w:p>
        </w:tc>
        <w:tc>
          <w:tcPr>
            <w:tcW w:w="2322" w:type="pct"/>
            <w:tcBorders>
              <w:top w:val="single" w:sz="4" w:space="0" w:color="auto"/>
            </w:tcBorders>
            <w:shd w:val="clear" w:color="auto" w:fill="auto"/>
            <w:hideMark/>
          </w:tcPr>
          <w:p w14:paraId="0FAEDC24" w14:textId="64CAA280" w:rsidR="002D7BD0" w:rsidRPr="00572528" w:rsidRDefault="00F22C45" w:rsidP="007806E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28">
              <w:rPr>
                <w:rFonts w:ascii="Arial" w:hAnsi="Arial" w:cs="Arial"/>
                <w:sz w:val="20"/>
                <w:szCs w:val="20"/>
              </w:rPr>
              <w:t>17 m</w:t>
            </w:r>
            <w:r w:rsidR="002D7BD0" w:rsidRPr="00572528">
              <w:rPr>
                <w:rFonts w:ascii="Arial" w:hAnsi="Arial" w:cs="Arial"/>
                <w:sz w:val="20"/>
                <w:szCs w:val="20"/>
              </w:rPr>
              <w:t>m</w:t>
            </w:r>
          </w:p>
        </w:tc>
        <w:tc>
          <w:tcPr>
            <w:tcW w:w="1420" w:type="pct"/>
            <w:tcBorders>
              <w:top w:val="single" w:sz="4" w:space="0" w:color="auto"/>
            </w:tcBorders>
            <w:shd w:val="clear" w:color="auto" w:fill="auto"/>
            <w:hideMark/>
          </w:tcPr>
          <w:p w14:paraId="42401916" w14:textId="77777777" w:rsidR="002D7BD0" w:rsidRPr="00572528" w:rsidRDefault="002D7BD0" w:rsidP="007806E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28">
              <w:rPr>
                <w:rFonts w:ascii="Arial" w:hAnsi="Arial" w:cs="Arial"/>
                <w:sz w:val="20"/>
                <w:szCs w:val="20"/>
              </w:rPr>
              <w:t>Resistant</w:t>
            </w:r>
          </w:p>
        </w:tc>
      </w:tr>
      <w:tr w:rsidR="002D7BD0" w:rsidRPr="00572528" w14:paraId="25EFB847" w14:textId="77777777" w:rsidTr="000E32A3">
        <w:tc>
          <w:tcPr>
            <w:cnfStyle w:val="001000000000" w:firstRow="0" w:lastRow="0" w:firstColumn="1" w:lastColumn="0" w:oddVBand="0" w:evenVBand="0" w:oddHBand="0" w:evenHBand="0" w:firstRowFirstColumn="0" w:firstRowLastColumn="0" w:lastRowFirstColumn="0" w:lastRowLastColumn="0"/>
            <w:tcW w:w="1259" w:type="pct"/>
            <w:tcBorders>
              <w:bottom w:val="single" w:sz="4" w:space="0" w:color="auto"/>
            </w:tcBorders>
            <w:hideMark/>
          </w:tcPr>
          <w:p w14:paraId="69C2846F" w14:textId="77777777" w:rsidR="002D7BD0" w:rsidRPr="00572528" w:rsidRDefault="002D7BD0" w:rsidP="007806E8">
            <w:pPr>
              <w:spacing w:after="160" w:line="360" w:lineRule="auto"/>
              <w:jc w:val="both"/>
              <w:rPr>
                <w:rFonts w:ascii="Arial" w:hAnsi="Arial" w:cs="Arial"/>
                <w:sz w:val="20"/>
                <w:szCs w:val="20"/>
              </w:rPr>
            </w:pPr>
            <w:r w:rsidRPr="00572528">
              <w:rPr>
                <w:rFonts w:ascii="Arial" w:hAnsi="Arial" w:cs="Arial"/>
                <w:sz w:val="20"/>
                <w:szCs w:val="20"/>
              </w:rPr>
              <w:t>Cefotaxime</w:t>
            </w:r>
          </w:p>
        </w:tc>
        <w:tc>
          <w:tcPr>
            <w:tcW w:w="2322" w:type="pct"/>
            <w:tcBorders>
              <w:bottom w:val="single" w:sz="4" w:space="0" w:color="auto"/>
            </w:tcBorders>
            <w:hideMark/>
          </w:tcPr>
          <w:p w14:paraId="665F73FC" w14:textId="0A8E78BC" w:rsidR="002D7BD0" w:rsidRPr="00572528" w:rsidRDefault="00F22C45" w:rsidP="007806E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20</w:t>
            </w:r>
            <w:r w:rsidR="002D7BD0" w:rsidRPr="00572528">
              <w:rPr>
                <w:rFonts w:ascii="Arial" w:hAnsi="Arial" w:cs="Arial"/>
                <w:sz w:val="20"/>
                <w:szCs w:val="20"/>
              </w:rPr>
              <w:t xml:space="preserve"> mm</w:t>
            </w:r>
          </w:p>
        </w:tc>
        <w:tc>
          <w:tcPr>
            <w:tcW w:w="1420" w:type="pct"/>
            <w:tcBorders>
              <w:bottom w:val="single" w:sz="4" w:space="0" w:color="auto"/>
            </w:tcBorders>
            <w:hideMark/>
          </w:tcPr>
          <w:p w14:paraId="76F16655" w14:textId="77777777" w:rsidR="002D7BD0" w:rsidRPr="00572528" w:rsidRDefault="002D7BD0" w:rsidP="007806E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Resistant</w:t>
            </w:r>
          </w:p>
        </w:tc>
      </w:tr>
    </w:tbl>
    <w:p w14:paraId="6F137F4A" w14:textId="77777777" w:rsidR="0065768B" w:rsidRDefault="0065768B" w:rsidP="007806E8">
      <w:pPr>
        <w:spacing w:line="480" w:lineRule="auto"/>
        <w:jc w:val="both"/>
        <w:rPr>
          <w:rFonts w:ascii="Arial" w:hAnsi="Arial" w:cs="Arial"/>
          <w:sz w:val="20"/>
          <w:szCs w:val="20"/>
        </w:rPr>
      </w:pPr>
      <w:bookmarkStart w:id="25" w:name="_Hlk185523778"/>
      <w:bookmarkStart w:id="26" w:name="_Hlk185520201"/>
    </w:p>
    <w:p w14:paraId="6F1F516B" w14:textId="78A1B7C2" w:rsidR="00B27AF6" w:rsidRPr="00572528" w:rsidRDefault="00F22C45" w:rsidP="007806E8">
      <w:pPr>
        <w:spacing w:line="480" w:lineRule="auto"/>
        <w:jc w:val="both"/>
        <w:rPr>
          <w:rFonts w:ascii="Arial" w:hAnsi="Arial" w:cs="Arial"/>
          <w:sz w:val="20"/>
          <w:szCs w:val="20"/>
        </w:rPr>
      </w:pPr>
      <w:r w:rsidRPr="00572528">
        <w:rPr>
          <w:rFonts w:ascii="Arial" w:hAnsi="Arial" w:cs="Arial"/>
          <w:sz w:val="20"/>
          <w:szCs w:val="20"/>
        </w:rPr>
        <w:t xml:space="preserve">Table 3 shows the zone of inhibition of </w:t>
      </w:r>
      <w:r w:rsidRPr="00572528">
        <w:rPr>
          <w:rFonts w:ascii="Arial" w:hAnsi="Arial" w:cs="Arial"/>
          <w:i/>
          <w:iCs/>
          <w:sz w:val="20"/>
          <w:szCs w:val="20"/>
        </w:rPr>
        <w:t>E.</w:t>
      </w:r>
      <w:r w:rsidR="00E13CA1" w:rsidRPr="00572528">
        <w:rPr>
          <w:rFonts w:ascii="Arial" w:hAnsi="Arial" w:cs="Arial"/>
          <w:i/>
          <w:iCs/>
          <w:sz w:val="20"/>
          <w:szCs w:val="20"/>
        </w:rPr>
        <w:t xml:space="preserve"> </w:t>
      </w:r>
      <w:r w:rsidRPr="00572528">
        <w:rPr>
          <w:rFonts w:ascii="Arial" w:hAnsi="Arial" w:cs="Arial"/>
          <w:i/>
          <w:iCs/>
          <w:sz w:val="20"/>
          <w:szCs w:val="20"/>
        </w:rPr>
        <w:t xml:space="preserve">coli </w:t>
      </w:r>
      <w:r w:rsidRPr="00572528">
        <w:rPr>
          <w:rFonts w:ascii="Arial" w:hAnsi="Arial" w:cs="Arial"/>
          <w:sz w:val="20"/>
          <w:szCs w:val="20"/>
        </w:rPr>
        <w:t>isolates to third generation cephalosporins</w:t>
      </w:r>
      <w:r w:rsidR="00B27AF6" w:rsidRPr="00572528">
        <w:rPr>
          <w:rFonts w:ascii="Arial" w:hAnsi="Arial" w:cs="Arial"/>
          <w:sz w:val="20"/>
          <w:szCs w:val="20"/>
        </w:rPr>
        <w:t>; ceftazidime and cefotaxime. Zo</w:t>
      </w:r>
      <w:r w:rsidRPr="00572528">
        <w:rPr>
          <w:rFonts w:ascii="Arial" w:hAnsi="Arial" w:cs="Arial"/>
          <w:sz w:val="20"/>
          <w:szCs w:val="20"/>
        </w:rPr>
        <w:t>ne of inhibition</w:t>
      </w:r>
      <w:bookmarkEnd w:id="25"/>
      <w:r w:rsidRPr="00572528">
        <w:rPr>
          <w:rFonts w:ascii="Arial" w:hAnsi="Arial" w:cs="Arial"/>
          <w:sz w:val="20"/>
          <w:szCs w:val="20"/>
        </w:rPr>
        <w:t xml:space="preserve"> &lt; 18mm for the antibiotic ceftazidime and &lt; 22mm for cefotaxime, shows that the organism is resistant to both antibiotics. </w:t>
      </w:r>
    </w:p>
    <w:p w14:paraId="2141DEA9" w14:textId="1CC8BD0D" w:rsidR="008D1F3A"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Resistance to third-generation cephalosp</w:t>
      </w:r>
      <w:r w:rsidR="00DB57EC" w:rsidRPr="00572528">
        <w:rPr>
          <w:rFonts w:ascii="Arial" w:hAnsi="Arial" w:cs="Arial"/>
          <w:sz w:val="20"/>
          <w:szCs w:val="20"/>
        </w:rPr>
        <w:t>orins (ceftazidime, cefotaxime)</w:t>
      </w:r>
      <w:r w:rsidRPr="00572528">
        <w:rPr>
          <w:rFonts w:ascii="Arial" w:hAnsi="Arial" w:cs="Arial"/>
          <w:sz w:val="20"/>
          <w:szCs w:val="20"/>
        </w:rPr>
        <w:t xml:space="preserve"> can indicate potential ESBL production.</w:t>
      </w:r>
      <w:bookmarkEnd w:id="26"/>
      <w:r w:rsidR="00B27AF6" w:rsidRPr="00572528">
        <w:rPr>
          <w:rFonts w:ascii="Arial" w:hAnsi="Arial" w:cs="Arial"/>
          <w:sz w:val="20"/>
          <w:szCs w:val="20"/>
        </w:rPr>
        <w:t xml:space="preserve"> </w:t>
      </w:r>
      <w:r w:rsidRPr="00572528">
        <w:rPr>
          <w:rFonts w:ascii="Arial" w:hAnsi="Arial" w:cs="Arial"/>
          <w:sz w:val="20"/>
          <w:szCs w:val="20"/>
        </w:rPr>
        <w:t xml:space="preserve">However, to definitively confirm ESBL production, more </w:t>
      </w:r>
      <w:r w:rsidR="00F22C45" w:rsidRPr="00572528">
        <w:rPr>
          <w:rFonts w:ascii="Arial" w:hAnsi="Arial" w:cs="Arial"/>
          <w:sz w:val="20"/>
          <w:szCs w:val="20"/>
        </w:rPr>
        <w:t>confirmatory</w:t>
      </w:r>
      <w:r w:rsidRPr="00572528">
        <w:rPr>
          <w:rFonts w:ascii="Arial" w:hAnsi="Arial" w:cs="Arial"/>
          <w:sz w:val="20"/>
          <w:szCs w:val="20"/>
        </w:rPr>
        <w:t xml:space="preserve"> tests like the double-disk synergy test or molecular methods are necessary.</w:t>
      </w:r>
    </w:p>
    <w:p w14:paraId="52059FAA" w14:textId="72538D7E" w:rsidR="00506198"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Table 4 presentation of Double Disk Synergy Test (DDST)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9"/>
        <w:gridCol w:w="2827"/>
        <w:gridCol w:w="3968"/>
        <w:gridCol w:w="1556"/>
      </w:tblGrid>
      <w:tr w:rsidR="002D7BD0" w:rsidRPr="00572528" w14:paraId="52C0CE10" w14:textId="77777777" w:rsidTr="00EF2A51">
        <w:trPr>
          <w:tblCellSpacing w:w="15" w:type="dxa"/>
        </w:trPr>
        <w:tc>
          <w:tcPr>
            <w:tcW w:w="0" w:type="auto"/>
            <w:tcBorders>
              <w:top w:val="single" w:sz="4" w:space="0" w:color="auto"/>
              <w:bottom w:val="single" w:sz="4" w:space="0" w:color="auto"/>
            </w:tcBorders>
            <w:vAlign w:val="center"/>
            <w:hideMark/>
          </w:tcPr>
          <w:p w14:paraId="59E53A1B" w14:textId="77777777"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Organism</w:t>
            </w:r>
          </w:p>
        </w:tc>
        <w:tc>
          <w:tcPr>
            <w:tcW w:w="0" w:type="auto"/>
            <w:tcBorders>
              <w:top w:val="single" w:sz="4" w:space="0" w:color="auto"/>
              <w:bottom w:val="single" w:sz="4" w:space="0" w:color="auto"/>
            </w:tcBorders>
            <w:vAlign w:val="center"/>
            <w:hideMark/>
          </w:tcPr>
          <w:p w14:paraId="49F30DE7" w14:textId="77777777"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Ceftazidime Zone of Inhibition (mm)</w:t>
            </w:r>
          </w:p>
        </w:tc>
        <w:tc>
          <w:tcPr>
            <w:tcW w:w="0" w:type="auto"/>
            <w:tcBorders>
              <w:top w:val="single" w:sz="4" w:space="0" w:color="auto"/>
              <w:bottom w:val="single" w:sz="4" w:space="0" w:color="auto"/>
            </w:tcBorders>
            <w:vAlign w:val="center"/>
            <w:hideMark/>
          </w:tcPr>
          <w:p w14:paraId="0C692692" w14:textId="77777777"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Ceftazidime-Clavulanic Acid Zone of Inhibition (mm)</w:t>
            </w:r>
          </w:p>
        </w:tc>
        <w:tc>
          <w:tcPr>
            <w:tcW w:w="0" w:type="auto"/>
            <w:tcBorders>
              <w:top w:val="single" w:sz="4" w:space="0" w:color="auto"/>
              <w:bottom w:val="single" w:sz="4" w:space="0" w:color="auto"/>
            </w:tcBorders>
            <w:vAlign w:val="center"/>
            <w:hideMark/>
          </w:tcPr>
          <w:p w14:paraId="38F965BD" w14:textId="77777777"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ESBL Production</w:t>
            </w:r>
          </w:p>
        </w:tc>
      </w:tr>
      <w:tr w:rsidR="002D7BD0" w:rsidRPr="00572528" w14:paraId="67492DC7" w14:textId="77777777" w:rsidTr="000E32A3">
        <w:trPr>
          <w:tblCellSpacing w:w="15" w:type="dxa"/>
        </w:trPr>
        <w:tc>
          <w:tcPr>
            <w:tcW w:w="0" w:type="auto"/>
            <w:tcBorders>
              <w:bottom w:val="single" w:sz="4" w:space="0" w:color="auto"/>
            </w:tcBorders>
            <w:vAlign w:val="center"/>
            <w:hideMark/>
          </w:tcPr>
          <w:p w14:paraId="49AE23D0" w14:textId="77777777" w:rsidR="002D7BD0"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i/>
                <w:iCs/>
                <w:sz w:val="20"/>
                <w:szCs w:val="20"/>
              </w:rPr>
              <w:t>E. coli</w:t>
            </w:r>
          </w:p>
        </w:tc>
        <w:tc>
          <w:tcPr>
            <w:tcW w:w="0" w:type="auto"/>
            <w:tcBorders>
              <w:bottom w:val="single" w:sz="4" w:space="0" w:color="auto"/>
            </w:tcBorders>
            <w:vAlign w:val="center"/>
            <w:hideMark/>
          </w:tcPr>
          <w:p w14:paraId="38A0C0E6" w14:textId="683A9BB5" w:rsidR="002D7BD0"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1</w:t>
            </w:r>
            <w:r w:rsidR="00F22C45" w:rsidRPr="00572528">
              <w:rPr>
                <w:rFonts w:ascii="Arial" w:eastAsia="Times New Roman" w:hAnsi="Arial" w:cs="Arial"/>
                <w:sz w:val="20"/>
                <w:szCs w:val="20"/>
              </w:rPr>
              <w:t>7</w:t>
            </w:r>
          </w:p>
        </w:tc>
        <w:tc>
          <w:tcPr>
            <w:tcW w:w="0" w:type="auto"/>
            <w:tcBorders>
              <w:bottom w:val="single" w:sz="4" w:space="0" w:color="auto"/>
            </w:tcBorders>
            <w:vAlign w:val="center"/>
            <w:hideMark/>
          </w:tcPr>
          <w:p w14:paraId="0A150555" w14:textId="77777777" w:rsidR="002D7BD0"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25</w:t>
            </w:r>
          </w:p>
        </w:tc>
        <w:tc>
          <w:tcPr>
            <w:tcW w:w="0" w:type="auto"/>
            <w:tcBorders>
              <w:bottom w:val="single" w:sz="4" w:space="0" w:color="auto"/>
            </w:tcBorders>
            <w:vAlign w:val="center"/>
            <w:hideMark/>
          </w:tcPr>
          <w:p w14:paraId="637A562F" w14:textId="77777777" w:rsidR="002D7BD0"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Positive</w:t>
            </w:r>
          </w:p>
        </w:tc>
      </w:tr>
    </w:tbl>
    <w:p w14:paraId="7D6E09ED" w14:textId="77777777" w:rsidR="002D7BD0" w:rsidRPr="00572528" w:rsidRDefault="002D7BD0" w:rsidP="007806E8">
      <w:pPr>
        <w:spacing w:after="0" w:line="480" w:lineRule="auto"/>
        <w:jc w:val="both"/>
        <w:rPr>
          <w:rFonts w:ascii="Arial" w:eastAsia="Times New Roman" w:hAnsi="Arial" w:cs="Arial"/>
          <w:sz w:val="20"/>
          <w:szCs w:val="20"/>
        </w:rPr>
      </w:pPr>
    </w:p>
    <w:p w14:paraId="1AF927B9" w14:textId="11DC00BB" w:rsidR="002D7BD0" w:rsidRPr="00572528" w:rsidRDefault="00BC5FEC" w:rsidP="007806E8">
      <w:pPr>
        <w:spacing w:after="0" w:line="480" w:lineRule="auto"/>
        <w:jc w:val="both"/>
        <w:rPr>
          <w:rFonts w:ascii="Arial" w:eastAsia="Times New Roman" w:hAnsi="Arial" w:cs="Arial"/>
          <w:sz w:val="20"/>
          <w:szCs w:val="20"/>
        </w:rPr>
      </w:pPr>
      <w:bookmarkStart w:id="27" w:name="_Hlk185520515"/>
      <w:bookmarkStart w:id="28" w:name="_Hlk185523720"/>
      <w:r w:rsidRPr="00572528">
        <w:rPr>
          <w:rFonts w:ascii="Arial" w:eastAsia="Times New Roman" w:hAnsi="Arial" w:cs="Arial"/>
          <w:sz w:val="20"/>
          <w:szCs w:val="20"/>
        </w:rPr>
        <w:t xml:space="preserve">Table 4 shows the result for the double synergy test used in the identification of ESBL producing enterobactereacea. The zone of inhibition around the ceftazidime-clavulanic acid disk (25) is significantly larger than the zone around the ceftazidime disk alone (17mm). </w:t>
      </w:r>
      <w:r w:rsidR="002D7BD0" w:rsidRPr="00572528">
        <w:rPr>
          <w:rFonts w:ascii="Arial" w:eastAsia="Times New Roman" w:hAnsi="Arial" w:cs="Arial"/>
          <w:sz w:val="20"/>
          <w:szCs w:val="20"/>
        </w:rPr>
        <w:t>When the zone of inhibition around the ceftazidime-clavulanic acid disk is significantly larger than the zone around the ceftazidime disk alone, it indicates the presence of ESBL. This is because the clavulanic acid inhibits the ESBL enzyme, allowing the antibiotic to be more effective</w:t>
      </w:r>
      <w:bookmarkEnd w:id="27"/>
      <w:bookmarkEnd w:id="28"/>
      <w:r w:rsidR="00E13CA1" w:rsidRPr="00572528">
        <w:rPr>
          <w:rFonts w:ascii="Arial" w:eastAsia="Times New Roman" w:hAnsi="Arial" w:cs="Arial"/>
          <w:sz w:val="20"/>
          <w:szCs w:val="20"/>
        </w:rPr>
        <w:t xml:space="preserve">. But </w:t>
      </w:r>
      <w:r w:rsidR="002D7BD0" w:rsidRPr="00572528">
        <w:rPr>
          <w:rFonts w:ascii="Arial" w:eastAsia="Times New Roman" w:hAnsi="Arial" w:cs="Arial"/>
          <w:sz w:val="20"/>
          <w:szCs w:val="20"/>
        </w:rPr>
        <w:t>If there is no significant difference in the zone of inhibition between the two disks, it suggests that the organism does not produce ESBL</w:t>
      </w:r>
    </w:p>
    <w:p w14:paraId="77B43F27" w14:textId="77BD6FEF" w:rsidR="009D397D" w:rsidRPr="00572528" w:rsidRDefault="009D397D" w:rsidP="007806E8">
      <w:pPr>
        <w:tabs>
          <w:tab w:val="left" w:pos="90"/>
        </w:tabs>
        <w:spacing w:before="100" w:beforeAutospacing="1" w:after="100" w:afterAutospacing="1" w:line="480" w:lineRule="auto"/>
        <w:jc w:val="both"/>
        <w:rPr>
          <w:rFonts w:ascii="Arial" w:hAnsi="Arial" w:cs="Arial"/>
          <w:b/>
          <w:bCs/>
          <w:sz w:val="20"/>
          <w:szCs w:val="20"/>
        </w:rPr>
      </w:pPr>
      <w:r w:rsidRPr="00572528">
        <w:rPr>
          <w:rFonts w:ascii="Arial" w:hAnsi="Arial" w:cs="Arial"/>
          <w:b/>
          <w:bCs/>
          <w:sz w:val="20"/>
          <w:szCs w:val="20"/>
        </w:rPr>
        <w:t xml:space="preserve">Table </w:t>
      </w:r>
      <w:r w:rsidR="00DE5FCA" w:rsidRPr="00572528">
        <w:rPr>
          <w:rFonts w:ascii="Arial" w:hAnsi="Arial" w:cs="Arial"/>
          <w:b/>
          <w:bCs/>
          <w:sz w:val="20"/>
          <w:szCs w:val="20"/>
        </w:rPr>
        <w:t>5</w:t>
      </w:r>
      <w:r w:rsidRPr="00572528">
        <w:rPr>
          <w:rFonts w:ascii="Arial" w:hAnsi="Arial" w:cs="Arial"/>
          <w:b/>
          <w:bCs/>
          <w:sz w:val="20"/>
          <w:szCs w:val="20"/>
        </w:rPr>
        <w:t>: Phytochemical Constituents of Extracts of Bitter Kola</w:t>
      </w:r>
    </w:p>
    <w:tbl>
      <w:tblPr>
        <w:tblStyle w:val="PlainTable41"/>
        <w:tblW w:w="5000" w:type="pct"/>
        <w:tblLook w:val="04A0" w:firstRow="1" w:lastRow="0" w:firstColumn="1" w:lastColumn="0" w:noHBand="0" w:noVBand="1"/>
      </w:tblPr>
      <w:tblGrid>
        <w:gridCol w:w="1872"/>
        <w:gridCol w:w="7488"/>
      </w:tblGrid>
      <w:tr w:rsidR="009D397D" w:rsidRPr="00572528" w14:paraId="4A573C80" w14:textId="77777777" w:rsidTr="000E3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shd w:val="clear" w:color="auto" w:fill="FFFFFF" w:themeFill="background1"/>
            <w:hideMark/>
          </w:tcPr>
          <w:p w14:paraId="58E7A950"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Results of Quantitative Phytochemical Analysis</w:t>
            </w:r>
          </w:p>
        </w:tc>
      </w:tr>
      <w:tr w:rsidR="009D397D" w:rsidRPr="00572528" w14:paraId="3E7560BC"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shd w:val="clear" w:color="auto" w:fill="FFFFFF" w:themeFill="background1"/>
            <w:hideMark/>
          </w:tcPr>
          <w:p w14:paraId="0FB8DD8F"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Saponin</w:t>
            </w:r>
          </w:p>
        </w:tc>
        <w:tc>
          <w:tcPr>
            <w:tcW w:w="4000" w:type="pct"/>
            <w:tcBorders>
              <w:top w:val="single" w:sz="4" w:space="0" w:color="auto"/>
            </w:tcBorders>
            <w:shd w:val="clear" w:color="auto" w:fill="FFFFFF" w:themeFill="background1"/>
            <w:hideMark/>
          </w:tcPr>
          <w:p w14:paraId="42186F5F"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4.56mg/100g</w:t>
            </w:r>
          </w:p>
        </w:tc>
      </w:tr>
      <w:tr w:rsidR="009D397D" w:rsidRPr="00572528" w14:paraId="5AAC930A" w14:textId="77777777" w:rsidTr="000E32A3">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380CE23E"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lastRenderedPageBreak/>
              <w:t>Alkaloid</w:t>
            </w:r>
          </w:p>
        </w:tc>
        <w:tc>
          <w:tcPr>
            <w:tcW w:w="4000" w:type="pct"/>
            <w:shd w:val="clear" w:color="auto" w:fill="FFFFFF" w:themeFill="background1"/>
            <w:hideMark/>
          </w:tcPr>
          <w:p w14:paraId="6150251C" w14:textId="77777777" w:rsidR="009D397D" w:rsidRPr="00572528" w:rsidRDefault="009D397D" w:rsidP="007806E8">
            <w:pPr>
              <w:tabs>
                <w:tab w:val="left" w:pos="90"/>
              </w:tabs>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3.37mg/100g</w:t>
            </w:r>
          </w:p>
        </w:tc>
      </w:tr>
      <w:tr w:rsidR="009D397D" w:rsidRPr="00572528" w14:paraId="54532045"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2991C7BE"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Tannin</w:t>
            </w:r>
          </w:p>
        </w:tc>
        <w:tc>
          <w:tcPr>
            <w:tcW w:w="4000" w:type="pct"/>
            <w:shd w:val="clear" w:color="auto" w:fill="FFFFFF" w:themeFill="background1"/>
            <w:hideMark/>
          </w:tcPr>
          <w:p w14:paraId="58A88715"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12.6mg/100g</w:t>
            </w:r>
          </w:p>
        </w:tc>
      </w:tr>
      <w:tr w:rsidR="009D397D" w:rsidRPr="00572528" w14:paraId="5CA15AF3" w14:textId="77777777" w:rsidTr="000E32A3">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1409E9A3"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Phenol</w:t>
            </w:r>
          </w:p>
        </w:tc>
        <w:tc>
          <w:tcPr>
            <w:tcW w:w="4000" w:type="pct"/>
            <w:shd w:val="clear" w:color="auto" w:fill="FFFFFF" w:themeFill="background1"/>
            <w:hideMark/>
          </w:tcPr>
          <w:p w14:paraId="5B54BB46" w14:textId="77777777" w:rsidR="009D397D" w:rsidRPr="00572528" w:rsidRDefault="009D397D" w:rsidP="007806E8">
            <w:pPr>
              <w:tabs>
                <w:tab w:val="left" w:pos="90"/>
              </w:tabs>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2.684mg/100g</w:t>
            </w:r>
          </w:p>
        </w:tc>
      </w:tr>
      <w:tr w:rsidR="009D397D" w:rsidRPr="00572528" w14:paraId="595EFAE9"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352AF30C"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Flavonoid</w:t>
            </w:r>
          </w:p>
        </w:tc>
        <w:tc>
          <w:tcPr>
            <w:tcW w:w="4000" w:type="pct"/>
            <w:shd w:val="clear" w:color="auto" w:fill="FFFFFF" w:themeFill="background1"/>
            <w:hideMark/>
          </w:tcPr>
          <w:p w14:paraId="4BBAD3DF"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4.78mg/100g</w:t>
            </w:r>
          </w:p>
        </w:tc>
      </w:tr>
      <w:tr w:rsidR="009D397D" w:rsidRPr="00572528" w14:paraId="70E31F9D" w14:textId="77777777" w:rsidTr="000E32A3">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2BCCA1E0"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Glycoside</w:t>
            </w:r>
          </w:p>
        </w:tc>
        <w:tc>
          <w:tcPr>
            <w:tcW w:w="4000" w:type="pct"/>
            <w:shd w:val="clear" w:color="auto" w:fill="FFFFFF" w:themeFill="background1"/>
            <w:hideMark/>
          </w:tcPr>
          <w:p w14:paraId="646AD10F" w14:textId="77777777" w:rsidR="009D397D" w:rsidRPr="00572528" w:rsidRDefault="009D397D" w:rsidP="007806E8">
            <w:pPr>
              <w:tabs>
                <w:tab w:val="left" w:pos="90"/>
              </w:tabs>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2.987mg/100g</w:t>
            </w:r>
          </w:p>
        </w:tc>
      </w:tr>
      <w:tr w:rsidR="009D397D" w:rsidRPr="00572528" w14:paraId="69460F94"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shd w:val="clear" w:color="auto" w:fill="FFFFFF" w:themeFill="background1"/>
            <w:hideMark/>
          </w:tcPr>
          <w:p w14:paraId="5440AAD7"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Steroid</w:t>
            </w:r>
          </w:p>
        </w:tc>
        <w:tc>
          <w:tcPr>
            <w:tcW w:w="4000" w:type="pct"/>
            <w:tcBorders>
              <w:bottom w:val="single" w:sz="4" w:space="0" w:color="auto"/>
            </w:tcBorders>
            <w:shd w:val="clear" w:color="auto" w:fill="FFFFFF" w:themeFill="background1"/>
            <w:hideMark/>
          </w:tcPr>
          <w:p w14:paraId="4FE6EE05"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12.05mg/100g</w:t>
            </w:r>
          </w:p>
        </w:tc>
      </w:tr>
    </w:tbl>
    <w:p w14:paraId="3FD091D5" w14:textId="77777777" w:rsidR="009D397D" w:rsidRPr="00572528" w:rsidRDefault="009D397D" w:rsidP="007806E8">
      <w:pPr>
        <w:spacing w:after="0" w:line="480" w:lineRule="auto"/>
        <w:jc w:val="both"/>
        <w:rPr>
          <w:rFonts w:ascii="Arial" w:eastAsia="Times New Roman" w:hAnsi="Arial" w:cs="Arial"/>
          <w:sz w:val="20"/>
          <w:szCs w:val="20"/>
        </w:rPr>
      </w:pPr>
    </w:p>
    <w:p w14:paraId="3F7775E4" w14:textId="667FA054" w:rsidR="009D397D" w:rsidRPr="00572528" w:rsidRDefault="009D397D"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Table </w:t>
      </w:r>
      <w:r w:rsidR="00DE5FCA" w:rsidRPr="00572528">
        <w:rPr>
          <w:rFonts w:ascii="Arial" w:eastAsia="Times New Roman" w:hAnsi="Arial" w:cs="Arial"/>
          <w:sz w:val="20"/>
          <w:szCs w:val="20"/>
        </w:rPr>
        <w:t>5</w:t>
      </w:r>
      <w:r w:rsidRPr="00572528">
        <w:rPr>
          <w:rFonts w:ascii="Arial" w:eastAsia="Times New Roman" w:hAnsi="Arial" w:cs="Arial"/>
          <w:sz w:val="20"/>
          <w:szCs w:val="20"/>
        </w:rPr>
        <w:t xml:space="preserve"> </w:t>
      </w:r>
      <w:bookmarkStart w:id="29" w:name="_Hlk185520831"/>
      <w:r w:rsidRPr="00572528">
        <w:rPr>
          <w:rFonts w:ascii="Arial" w:eastAsia="Times New Roman" w:hAnsi="Arial" w:cs="Arial"/>
          <w:sz w:val="20"/>
          <w:szCs w:val="20"/>
        </w:rPr>
        <w:t>presents the quantitative phytochemical analysis of bitter kola, a plant known for its medicinal properties. This analysis quantifies the concentration of various bioactive compounds present in the plant which includes: Saponin (4.56 mg/100g), Alkaloid (3.37 mg/100g), Tannin (12.6 mg/100g), Phenol (2.684 mg/100g), Flavonoid (4.78 mg/100g), Glycoside (2.987 mg/100g), Steroid (12.05 mg/100g).</w:t>
      </w:r>
    </w:p>
    <w:bookmarkEnd w:id="29"/>
    <w:p w14:paraId="35950851" w14:textId="715EEEDD" w:rsidR="00EE33A4" w:rsidRPr="00572528" w:rsidRDefault="009D397D"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In essence, this table highlights the rich phytochemical profile of bitter kola, which contributes to its diverse medicinal properties. </w:t>
      </w:r>
      <w:bookmarkStart w:id="30" w:name="_Hlk185521806"/>
      <w:commentRangeStart w:id="31"/>
      <w:r w:rsidRPr="00572528">
        <w:rPr>
          <w:rFonts w:ascii="Arial" w:eastAsia="Times New Roman" w:hAnsi="Arial" w:cs="Arial"/>
          <w:sz w:val="20"/>
          <w:szCs w:val="20"/>
        </w:rPr>
        <w:t>These compounds work synergistically to provide various health benefits</w:t>
      </w:r>
      <w:commentRangeEnd w:id="31"/>
      <w:r w:rsidR="009F0E6E" w:rsidRPr="00572528">
        <w:rPr>
          <w:rStyle w:val="CommentReference"/>
          <w:rFonts w:ascii="Arial" w:eastAsia="Times New Roman" w:hAnsi="Arial" w:cs="Arial"/>
          <w:sz w:val="20"/>
          <w:szCs w:val="20"/>
        </w:rPr>
        <w:commentReference w:id="31"/>
      </w:r>
      <w:r w:rsidRPr="00572528">
        <w:rPr>
          <w:rFonts w:ascii="Arial" w:eastAsia="Times New Roman" w:hAnsi="Arial" w:cs="Arial"/>
          <w:sz w:val="20"/>
          <w:szCs w:val="20"/>
        </w:rPr>
        <w:t>.</w:t>
      </w:r>
      <w:bookmarkEnd w:id="30"/>
      <w:r w:rsidR="009F0E6E">
        <w:rPr>
          <w:rFonts w:ascii="Arial" w:eastAsia="Times New Roman" w:hAnsi="Arial" w:cs="Arial"/>
          <w:sz w:val="20"/>
          <w:szCs w:val="20"/>
        </w:rPr>
        <w:t xml:space="preserve"> </w:t>
      </w:r>
    </w:p>
    <w:p w14:paraId="3539E45B" w14:textId="5BEC4029"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 xml:space="preserve">Table </w:t>
      </w:r>
      <w:r w:rsidR="00D73242" w:rsidRPr="00572528">
        <w:rPr>
          <w:rFonts w:ascii="Arial" w:eastAsia="Times New Roman" w:hAnsi="Arial" w:cs="Arial"/>
          <w:b/>
          <w:bCs/>
          <w:sz w:val="20"/>
          <w:szCs w:val="20"/>
        </w:rPr>
        <w:t>6</w:t>
      </w:r>
      <w:r w:rsidRPr="00572528">
        <w:rPr>
          <w:rFonts w:ascii="Arial" w:eastAsia="Times New Roman" w:hAnsi="Arial" w:cs="Arial"/>
          <w:b/>
          <w:bCs/>
          <w:sz w:val="20"/>
          <w:szCs w:val="20"/>
        </w:rPr>
        <w:t>: Zone of inhibition (mm) and Bitter kola extract concentration</w:t>
      </w:r>
      <w:r w:rsidRPr="00572528">
        <w:rPr>
          <w:rFonts w:ascii="Arial" w:eastAsia="Times New Roman" w:hAnsi="Arial" w:cs="Arial"/>
          <w:sz w:val="20"/>
          <w:szCs w:val="20"/>
        </w:rPr>
        <w:t>.</w:t>
      </w:r>
    </w:p>
    <w:tbl>
      <w:tblPr>
        <w:tblStyle w:val="PlainTable41"/>
        <w:tblW w:w="0" w:type="auto"/>
        <w:tblLook w:val="04A0" w:firstRow="1" w:lastRow="0" w:firstColumn="1" w:lastColumn="0" w:noHBand="0" w:noVBand="1"/>
      </w:tblPr>
      <w:tblGrid>
        <w:gridCol w:w="761"/>
        <w:gridCol w:w="869"/>
        <w:gridCol w:w="869"/>
        <w:gridCol w:w="869"/>
        <w:gridCol w:w="870"/>
        <w:gridCol w:w="870"/>
        <w:gridCol w:w="870"/>
        <w:gridCol w:w="870"/>
        <w:gridCol w:w="870"/>
        <w:gridCol w:w="870"/>
        <w:gridCol w:w="772"/>
      </w:tblGrid>
      <w:tr w:rsidR="002D7BD0" w:rsidRPr="00572528" w14:paraId="60219917" w14:textId="77777777" w:rsidTr="00360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bottom w:val="single" w:sz="4" w:space="0" w:color="auto"/>
            </w:tcBorders>
            <w:shd w:val="clear" w:color="auto" w:fill="FFFFFF" w:themeFill="background1"/>
          </w:tcPr>
          <w:p w14:paraId="08FA4417"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DILU</w:t>
            </w:r>
          </w:p>
          <w:p w14:paraId="0412CF58"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TION</w:t>
            </w:r>
          </w:p>
        </w:tc>
        <w:tc>
          <w:tcPr>
            <w:tcW w:w="881" w:type="dxa"/>
            <w:tcBorders>
              <w:top w:val="single" w:sz="4" w:space="0" w:color="auto"/>
              <w:bottom w:val="single" w:sz="4" w:space="0" w:color="auto"/>
            </w:tcBorders>
            <w:shd w:val="clear" w:color="auto" w:fill="FFFFFF" w:themeFill="background1"/>
          </w:tcPr>
          <w:p w14:paraId="60A92428"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1</w:t>
            </w:r>
          </w:p>
        </w:tc>
        <w:tc>
          <w:tcPr>
            <w:tcW w:w="881" w:type="dxa"/>
            <w:tcBorders>
              <w:top w:val="single" w:sz="4" w:space="0" w:color="auto"/>
              <w:bottom w:val="single" w:sz="4" w:space="0" w:color="auto"/>
            </w:tcBorders>
            <w:shd w:val="clear" w:color="auto" w:fill="FFFFFF" w:themeFill="background1"/>
          </w:tcPr>
          <w:p w14:paraId="53DCED6B"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2</w:t>
            </w:r>
          </w:p>
        </w:tc>
        <w:tc>
          <w:tcPr>
            <w:tcW w:w="881" w:type="dxa"/>
            <w:tcBorders>
              <w:top w:val="single" w:sz="4" w:space="0" w:color="auto"/>
              <w:bottom w:val="single" w:sz="4" w:space="0" w:color="auto"/>
            </w:tcBorders>
            <w:shd w:val="clear" w:color="auto" w:fill="FFFFFF" w:themeFill="background1"/>
          </w:tcPr>
          <w:p w14:paraId="5D8D085F"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w:t>
            </w:r>
          </w:p>
          <w:p w14:paraId="068710F0"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w:t>
            </w:r>
          </w:p>
        </w:tc>
        <w:tc>
          <w:tcPr>
            <w:tcW w:w="882" w:type="dxa"/>
            <w:tcBorders>
              <w:top w:val="single" w:sz="4" w:space="0" w:color="auto"/>
              <w:bottom w:val="single" w:sz="4" w:space="0" w:color="auto"/>
            </w:tcBorders>
            <w:shd w:val="clear" w:color="auto" w:fill="FFFFFF" w:themeFill="background1"/>
          </w:tcPr>
          <w:p w14:paraId="06A1744C"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4</w:t>
            </w:r>
          </w:p>
        </w:tc>
        <w:tc>
          <w:tcPr>
            <w:tcW w:w="882" w:type="dxa"/>
            <w:tcBorders>
              <w:top w:val="single" w:sz="4" w:space="0" w:color="auto"/>
              <w:bottom w:val="single" w:sz="4" w:space="0" w:color="auto"/>
            </w:tcBorders>
            <w:shd w:val="clear" w:color="auto" w:fill="FFFFFF" w:themeFill="background1"/>
          </w:tcPr>
          <w:p w14:paraId="7AF7486B"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5</w:t>
            </w:r>
          </w:p>
        </w:tc>
        <w:tc>
          <w:tcPr>
            <w:tcW w:w="882" w:type="dxa"/>
            <w:tcBorders>
              <w:top w:val="single" w:sz="4" w:space="0" w:color="auto"/>
              <w:bottom w:val="single" w:sz="4" w:space="0" w:color="auto"/>
            </w:tcBorders>
            <w:shd w:val="clear" w:color="auto" w:fill="FFFFFF" w:themeFill="background1"/>
          </w:tcPr>
          <w:p w14:paraId="7BA235A4"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6</w:t>
            </w:r>
          </w:p>
        </w:tc>
        <w:tc>
          <w:tcPr>
            <w:tcW w:w="882" w:type="dxa"/>
            <w:tcBorders>
              <w:top w:val="single" w:sz="4" w:space="0" w:color="auto"/>
              <w:bottom w:val="single" w:sz="4" w:space="0" w:color="auto"/>
            </w:tcBorders>
            <w:shd w:val="clear" w:color="auto" w:fill="FFFFFF" w:themeFill="background1"/>
          </w:tcPr>
          <w:p w14:paraId="18F0CFB0"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7</w:t>
            </w:r>
          </w:p>
        </w:tc>
        <w:tc>
          <w:tcPr>
            <w:tcW w:w="882" w:type="dxa"/>
            <w:tcBorders>
              <w:top w:val="single" w:sz="4" w:space="0" w:color="auto"/>
              <w:bottom w:val="single" w:sz="4" w:space="0" w:color="auto"/>
            </w:tcBorders>
            <w:shd w:val="clear" w:color="auto" w:fill="FFFFFF" w:themeFill="background1"/>
          </w:tcPr>
          <w:p w14:paraId="695C5732"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8</w:t>
            </w:r>
          </w:p>
        </w:tc>
        <w:tc>
          <w:tcPr>
            <w:tcW w:w="882" w:type="dxa"/>
            <w:tcBorders>
              <w:top w:val="single" w:sz="4" w:space="0" w:color="auto"/>
              <w:bottom w:val="single" w:sz="4" w:space="0" w:color="auto"/>
            </w:tcBorders>
            <w:shd w:val="clear" w:color="auto" w:fill="FFFFFF" w:themeFill="background1"/>
          </w:tcPr>
          <w:p w14:paraId="168A0537"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9</w:t>
            </w:r>
          </w:p>
        </w:tc>
        <w:tc>
          <w:tcPr>
            <w:tcW w:w="713" w:type="dxa"/>
            <w:tcBorders>
              <w:top w:val="single" w:sz="4" w:space="0" w:color="auto"/>
              <w:bottom w:val="single" w:sz="4" w:space="0" w:color="auto"/>
            </w:tcBorders>
            <w:shd w:val="clear" w:color="auto" w:fill="FFFFFF" w:themeFill="background1"/>
          </w:tcPr>
          <w:p w14:paraId="47F6BF9C"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10</w:t>
            </w:r>
          </w:p>
        </w:tc>
      </w:tr>
      <w:tr w:rsidR="002D7BD0" w:rsidRPr="00572528" w14:paraId="134D6501"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tcBorders>
            <w:shd w:val="clear" w:color="auto" w:fill="FFFFFF" w:themeFill="background1"/>
          </w:tcPr>
          <w:p w14:paraId="03FAE3E5"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NEAT</w:t>
            </w:r>
          </w:p>
        </w:tc>
        <w:tc>
          <w:tcPr>
            <w:tcW w:w="881" w:type="dxa"/>
            <w:tcBorders>
              <w:top w:val="single" w:sz="4" w:space="0" w:color="auto"/>
            </w:tcBorders>
            <w:shd w:val="clear" w:color="auto" w:fill="FFFFFF" w:themeFill="background1"/>
          </w:tcPr>
          <w:p w14:paraId="4B05882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10mm</w:t>
            </w:r>
          </w:p>
        </w:tc>
        <w:tc>
          <w:tcPr>
            <w:tcW w:w="881" w:type="dxa"/>
            <w:tcBorders>
              <w:top w:val="single" w:sz="4" w:space="0" w:color="auto"/>
            </w:tcBorders>
            <w:shd w:val="clear" w:color="auto" w:fill="FFFFFF" w:themeFill="background1"/>
          </w:tcPr>
          <w:p w14:paraId="2E462B32"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20mm</w:t>
            </w:r>
          </w:p>
        </w:tc>
        <w:tc>
          <w:tcPr>
            <w:tcW w:w="881" w:type="dxa"/>
            <w:tcBorders>
              <w:top w:val="single" w:sz="4" w:space="0" w:color="auto"/>
            </w:tcBorders>
            <w:shd w:val="clear" w:color="auto" w:fill="FFFFFF" w:themeFill="background1"/>
          </w:tcPr>
          <w:p w14:paraId="54F3F8E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15mm</w:t>
            </w:r>
          </w:p>
        </w:tc>
        <w:tc>
          <w:tcPr>
            <w:tcW w:w="882" w:type="dxa"/>
            <w:tcBorders>
              <w:top w:val="single" w:sz="4" w:space="0" w:color="auto"/>
            </w:tcBorders>
            <w:shd w:val="clear" w:color="auto" w:fill="FFFFFF" w:themeFill="background1"/>
          </w:tcPr>
          <w:p w14:paraId="2E9F8FC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13mm</w:t>
            </w:r>
          </w:p>
        </w:tc>
        <w:tc>
          <w:tcPr>
            <w:tcW w:w="882" w:type="dxa"/>
            <w:tcBorders>
              <w:top w:val="single" w:sz="4" w:space="0" w:color="auto"/>
            </w:tcBorders>
            <w:shd w:val="clear" w:color="auto" w:fill="FFFFFF" w:themeFill="background1"/>
          </w:tcPr>
          <w:p w14:paraId="3A5C90E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10mm</w:t>
            </w:r>
          </w:p>
        </w:tc>
        <w:tc>
          <w:tcPr>
            <w:tcW w:w="882" w:type="dxa"/>
            <w:tcBorders>
              <w:top w:val="single" w:sz="4" w:space="0" w:color="auto"/>
            </w:tcBorders>
            <w:shd w:val="clear" w:color="auto" w:fill="FFFFFF" w:themeFill="background1"/>
          </w:tcPr>
          <w:p w14:paraId="0C30ABB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20mm</w:t>
            </w:r>
          </w:p>
        </w:tc>
        <w:tc>
          <w:tcPr>
            <w:tcW w:w="882" w:type="dxa"/>
            <w:tcBorders>
              <w:top w:val="single" w:sz="4" w:space="0" w:color="auto"/>
            </w:tcBorders>
            <w:shd w:val="clear" w:color="auto" w:fill="FFFFFF" w:themeFill="background1"/>
          </w:tcPr>
          <w:p w14:paraId="423765B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11mm</w:t>
            </w:r>
          </w:p>
        </w:tc>
        <w:tc>
          <w:tcPr>
            <w:tcW w:w="882" w:type="dxa"/>
            <w:tcBorders>
              <w:top w:val="single" w:sz="4" w:space="0" w:color="auto"/>
            </w:tcBorders>
            <w:shd w:val="clear" w:color="auto" w:fill="FFFFFF" w:themeFill="background1"/>
          </w:tcPr>
          <w:p w14:paraId="6246E597"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10mm</w:t>
            </w:r>
          </w:p>
        </w:tc>
        <w:tc>
          <w:tcPr>
            <w:tcW w:w="882" w:type="dxa"/>
            <w:tcBorders>
              <w:top w:val="single" w:sz="4" w:space="0" w:color="auto"/>
            </w:tcBorders>
            <w:shd w:val="clear" w:color="auto" w:fill="FFFFFF" w:themeFill="background1"/>
          </w:tcPr>
          <w:p w14:paraId="54E2BB34"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12mm</w:t>
            </w:r>
          </w:p>
        </w:tc>
        <w:tc>
          <w:tcPr>
            <w:tcW w:w="713" w:type="dxa"/>
            <w:tcBorders>
              <w:top w:val="single" w:sz="4" w:space="0" w:color="auto"/>
            </w:tcBorders>
            <w:shd w:val="clear" w:color="auto" w:fill="FFFFFF" w:themeFill="background1"/>
          </w:tcPr>
          <w:p w14:paraId="1934A29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13mm</w:t>
            </w:r>
          </w:p>
        </w:tc>
      </w:tr>
      <w:tr w:rsidR="002D7BD0" w:rsidRPr="00572528" w14:paraId="6A87898B" w14:textId="77777777" w:rsidTr="00360C38">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1B28800D"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1:5</w:t>
            </w:r>
          </w:p>
        </w:tc>
        <w:tc>
          <w:tcPr>
            <w:tcW w:w="881" w:type="dxa"/>
            <w:shd w:val="clear" w:color="auto" w:fill="FFFFFF" w:themeFill="background1"/>
          </w:tcPr>
          <w:p w14:paraId="7BC53E6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5mm</w:t>
            </w:r>
          </w:p>
        </w:tc>
        <w:tc>
          <w:tcPr>
            <w:tcW w:w="881" w:type="dxa"/>
            <w:shd w:val="clear" w:color="auto" w:fill="FFFFFF" w:themeFill="background1"/>
          </w:tcPr>
          <w:p w14:paraId="58F7BA6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7mm</w:t>
            </w:r>
          </w:p>
        </w:tc>
        <w:tc>
          <w:tcPr>
            <w:tcW w:w="881" w:type="dxa"/>
            <w:shd w:val="clear" w:color="auto" w:fill="FFFFFF" w:themeFill="background1"/>
          </w:tcPr>
          <w:p w14:paraId="32B7CCA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5mm</w:t>
            </w:r>
          </w:p>
        </w:tc>
        <w:tc>
          <w:tcPr>
            <w:tcW w:w="882" w:type="dxa"/>
            <w:shd w:val="clear" w:color="auto" w:fill="FFFFFF" w:themeFill="background1"/>
          </w:tcPr>
          <w:p w14:paraId="5033E3F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1BD296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00EA813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6mm</w:t>
            </w:r>
          </w:p>
        </w:tc>
        <w:tc>
          <w:tcPr>
            <w:tcW w:w="882" w:type="dxa"/>
            <w:shd w:val="clear" w:color="auto" w:fill="FFFFFF" w:themeFill="background1"/>
          </w:tcPr>
          <w:p w14:paraId="3F6B7CA3"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19993D67"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26D56299"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63345AA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r>
      <w:tr w:rsidR="002D7BD0" w:rsidRPr="00572528" w14:paraId="681DBE80"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6CB48C82"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1:10</w:t>
            </w:r>
          </w:p>
        </w:tc>
        <w:tc>
          <w:tcPr>
            <w:tcW w:w="881" w:type="dxa"/>
            <w:shd w:val="clear" w:color="auto" w:fill="FFFFFF" w:themeFill="background1"/>
          </w:tcPr>
          <w:p w14:paraId="657F5075"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1" w:type="dxa"/>
            <w:shd w:val="clear" w:color="auto" w:fill="FFFFFF" w:themeFill="background1"/>
          </w:tcPr>
          <w:p w14:paraId="603E94C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1" w:type="dxa"/>
            <w:shd w:val="clear" w:color="auto" w:fill="FFFFFF" w:themeFill="background1"/>
          </w:tcPr>
          <w:p w14:paraId="5BDFB026"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2F7591A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2" w:type="dxa"/>
            <w:shd w:val="clear" w:color="auto" w:fill="FFFFFF" w:themeFill="background1"/>
          </w:tcPr>
          <w:p w14:paraId="4C625497"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3540E47"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7AB4A96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FD4FA09"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2" w:type="dxa"/>
            <w:shd w:val="clear" w:color="auto" w:fill="FFFFFF" w:themeFill="background1"/>
          </w:tcPr>
          <w:p w14:paraId="28892F12"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31DF8C7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r>
      <w:tr w:rsidR="002D7BD0" w:rsidRPr="00572528" w14:paraId="64F272EA" w14:textId="77777777" w:rsidTr="00360C38">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58221096"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1:15</w:t>
            </w:r>
          </w:p>
        </w:tc>
        <w:tc>
          <w:tcPr>
            <w:tcW w:w="881" w:type="dxa"/>
            <w:shd w:val="clear" w:color="auto" w:fill="FFFFFF" w:themeFill="background1"/>
          </w:tcPr>
          <w:p w14:paraId="2DE32D6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1" w:type="dxa"/>
            <w:shd w:val="clear" w:color="auto" w:fill="FFFFFF" w:themeFill="background1"/>
          </w:tcPr>
          <w:p w14:paraId="7F5172E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1" w:type="dxa"/>
            <w:shd w:val="clear" w:color="auto" w:fill="FFFFFF" w:themeFill="background1"/>
          </w:tcPr>
          <w:p w14:paraId="72B1E161"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2D2041F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498EB68F"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02FE570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25D8187"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2" w:type="dxa"/>
            <w:shd w:val="clear" w:color="auto" w:fill="FFFFFF" w:themeFill="background1"/>
          </w:tcPr>
          <w:p w14:paraId="083F1E0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786F67A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64E94B1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r>
      <w:tr w:rsidR="002D7BD0" w:rsidRPr="00572528" w14:paraId="2330B7BC"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442F78BD"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1:20</w:t>
            </w:r>
          </w:p>
        </w:tc>
        <w:tc>
          <w:tcPr>
            <w:tcW w:w="881" w:type="dxa"/>
            <w:shd w:val="clear" w:color="auto" w:fill="FFFFFF" w:themeFill="background1"/>
          </w:tcPr>
          <w:p w14:paraId="6C37BC8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1" w:type="dxa"/>
            <w:shd w:val="clear" w:color="auto" w:fill="FFFFFF" w:themeFill="background1"/>
          </w:tcPr>
          <w:p w14:paraId="314981E2"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1" w:type="dxa"/>
            <w:shd w:val="clear" w:color="auto" w:fill="FFFFFF" w:themeFill="background1"/>
          </w:tcPr>
          <w:p w14:paraId="6C087CF6"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1CAEDC9C"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7B520E3B"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15F8EB2B"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09627C4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22479235"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2EC0B4E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31E7C30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r>
      <w:tr w:rsidR="002D7BD0" w:rsidRPr="00572528" w14:paraId="5E5A40A1" w14:textId="77777777" w:rsidTr="00360C38">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1F056DE2"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1:30</w:t>
            </w:r>
          </w:p>
        </w:tc>
        <w:tc>
          <w:tcPr>
            <w:tcW w:w="881" w:type="dxa"/>
            <w:shd w:val="clear" w:color="auto" w:fill="FFFFFF" w:themeFill="background1"/>
          </w:tcPr>
          <w:p w14:paraId="2E552EA0"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1" w:type="dxa"/>
            <w:shd w:val="clear" w:color="auto" w:fill="FFFFFF" w:themeFill="background1"/>
          </w:tcPr>
          <w:p w14:paraId="14EA7A7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shd w:val="clear" w:color="auto" w:fill="FFFFFF" w:themeFill="background1"/>
          </w:tcPr>
          <w:p w14:paraId="0268952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012F9B7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1A6B0B7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17A343F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6D7337D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7832590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3E8F363E"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713" w:type="dxa"/>
            <w:shd w:val="clear" w:color="auto" w:fill="FFFFFF" w:themeFill="background1"/>
          </w:tcPr>
          <w:p w14:paraId="1720BF5E"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r>
      <w:tr w:rsidR="002D7BD0" w:rsidRPr="00572528" w14:paraId="323CE37B"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476E4544"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1:40</w:t>
            </w:r>
          </w:p>
        </w:tc>
        <w:tc>
          <w:tcPr>
            <w:tcW w:w="881" w:type="dxa"/>
            <w:shd w:val="clear" w:color="auto" w:fill="FFFFFF" w:themeFill="background1"/>
          </w:tcPr>
          <w:p w14:paraId="6C64274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1" w:type="dxa"/>
            <w:shd w:val="clear" w:color="auto" w:fill="FFFFFF" w:themeFill="background1"/>
          </w:tcPr>
          <w:p w14:paraId="5944C0D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shd w:val="clear" w:color="auto" w:fill="FFFFFF" w:themeFill="background1"/>
          </w:tcPr>
          <w:p w14:paraId="3DA7BCEC"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67076D05"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22EE370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27C0E134"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2D8C587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7C29A4A3"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649E0D4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713" w:type="dxa"/>
            <w:shd w:val="clear" w:color="auto" w:fill="FFFFFF" w:themeFill="background1"/>
          </w:tcPr>
          <w:p w14:paraId="1E6F633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r>
      <w:tr w:rsidR="002D7BD0" w:rsidRPr="00572528" w14:paraId="1F6C6D09" w14:textId="77777777" w:rsidTr="000E32A3">
        <w:tc>
          <w:tcPr>
            <w:cnfStyle w:val="001000000000" w:firstRow="0" w:lastRow="0" w:firstColumn="1" w:lastColumn="0" w:oddVBand="0" w:evenVBand="0" w:oddHBand="0" w:evenHBand="0" w:firstRowFirstColumn="0" w:firstRowLastColumn="0" w:lastRowFirstColumn="0" w:lastRowLastColumn="0"/>
            <w:tcW w:w="712" w:type="dxa"/>
            <w:tcBorders>
              <w:bottom w:val="single" w:sz="4" w:space="0" w:color="auto"/>
            </w:tcBorders>
            <w:shd w:val="clear" w:color="auto" w:fill="FFFFFF" w:themeFill="background1"/>
          </w:tcPr>
          <w:p w14:paraId="64EFC49E"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1:50</w:t>
            </w:r>
          </w:p>
        </w:tc>
        <w:tc>
          <w:tcPr>
            <w:tcW w:w="881" w:type="dxa"/>
            <w:tcBorders>
              <w:bottom w:val="single" w:sz="4" w:space="0" w:color="auto"/>
            </w:tcBorders>
            <w:shd w:val="clear" w:color="auto" w:fill="FFFFFF" w:themeFill="background1"/>
          </w:tcPr>
          <w:p w14:paraId="5D56C08E"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tcBorders>
              <w:bottom w:val="single" w:sz="4" w:space="0" w:color="auto"/>
            </w:tcBorders>
            <w:shd w:val="clear" w:color="auto" w:fill="FFFFFF" w:themeFill="background1"/>
          </w:tcPr>
          <w:p w14:paraId="6425FBA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tcBorders>
              <w:bottom w:val="single" w:sz="4" w:space="0" w:color="auto"/>
            </w:tcBorders>
            <w:shd w:val="clear" w:color="auto" w:fill="FFFFFF" w:themeFill="background1"/>
          </w:tcPr>
          <w:p w14:paraId="2033F70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0497CA31"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4E3471B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tcBorders>
              <w:bottom w:val="single" w:sz="4" w:space="0" w:color="auto"/>
            </w:tcBorders>
            <w:shd w:val="clear" w:color="auto" w:fill="FFFFFF" w:themeFill="background1"/>
          </w:tcPr>
          <w:p w14:paraId="4CFAA6D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46DF2C2B"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7AAE51F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0C8AB970"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713" w:type="dxa"/>
            <w:tcBorders>
              <w:bottom w:val="single" w:sz="4" w:space="0" w:color="auto"/>
            </w:tcBorders>
            <w:shd w:val="clear" w:color="auto" w:fill="FFFFFF" w:themeFill="background1"/>
          </w:tcPr>
          <w:p w14:paraId="40F8AF5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r>
    </w:tbl>
    <w:p w14:paraId="13E7FC8F" w14:textId="77777777" w:rsidR="002D7BD0" w:rsidRPr="0065768B" w:rsidRDefault="002D7BD0" w:rsidP="007806E8">
      <w:pPr>
        <w:spacing w:after="0" w:line="480" w:lineRule="auto"/>
        <w:jc w:val="both"/>
        <w:rPr>
          <w:rFonts w:ascii="Arial" w:eastAsia="Times New Roman" w:hAnsi="Arial" w:cs="Arial"/>
          <w:i/>
          <w:sz w:val="18"/>
          <w:szCs w:val="18"/>
        </w:rPr>
      </w:pPr>
      <w:r w:rsidRPr="0065768B">
        <w:rPr>
          <w:rFonts w:ascii="Arial" w:eastAsia="Times New Roman" w:hAnsi="Arial" w:cs="Arial"/>
          <w:i/>
          <w:sz w:val="18"/>
          <w:szCs w:val="18"/>
        </w:rPr>
        <w:t>Key: Definition of susceptibility is zone of inhibition greater than or equal to 5mm</w:t>
      </w:r>
    </w:p>
    <w:p w14:paraId="163B07D5" w14:textId="1C087262" w:rsidR="00F15336" w:rsidRPr="00572528" w:rsidRDefault="002D7BD0" w:rsidP="007806E8">
      <w:pPr>
        <w:spacing w:after="0" w:line="480" w:lineRule="auto"/>
        <w:jc w:val="both"/>
        <w:rPr>
          <w:rFonts w:ascii="Arial" w:eastAsia="Times New Roman" w:hAnsi="Arial" w:cs="Arial"/>
          <w:iCs/>
          <w:sz w:val="20"/>
          <w:szCs w:val="20"/>
        </w:rPr>
      </w:pPr>
      <w:r w:rsidRPr="00572528">
        <w:rPr>
          <w:rFonts w:ascii="Arial" w:eastAsia="Times New Roman" w:hAnsi="Arial" w:cs="Arial"/>
          <w:sz w:val="20"/>
          <w:szCs w:val="20"/>
        </w:rPr>
        <w:t xml:space="preserve">Table </w:t>
      </w:r>
      <w:r w:rsidR="00D73242" w:rsidRPr="00572528">
        <w:rPr>
          <w:rFonts w:ascii="Arial" w:eastAsia="Times New Roman" w:hAnsi="Arial" w:cs="Arial"/>
          <w:sz w:val="20"/>
          <w:szCs w:val="20"/>
        </w:rPr>
        <w:t>6</w:t>
      </w:r>
      <w:r w:rsidRPr="00572528">
        <w:rPr>
          <w:rFonts w:ascii="Arial" w:eastAsia="Times New Roman" w:hAnsi="Arial" w:cs="Arial"/>
          <w:sz w:val="20"/>
          <w:szCs w:val="20"/>
        </w:rPr>
        <w:t xml:space="preserve"> highlights the mean of the different concentration of bitter kola extract and the </w:t>
      </w:r>
      <w:r w:rsidRPr="00572528">
        <w:rPr>
          <w:rFonts w:ascii="Arial" w:eastAsia="Times New Roman" w:hAnsi="Arial" w:cs="Arial"/>
          <w:bCs/>
          <w:sz w:val="20"/>
          <w:szCs w:val="20"/>
        </w:rPr>
        <w:t xml:space="preserve">potency of bitter kola extract for the different ESBL – producing </w:t>
      </w:r>
      <w:r w:rsidRPr="00572528">
        <w:rPr>
          <w:rFonts w:ascii="Arial" w:eastAsia="Times New Roman" w:hAnsi="Arial" w:cs="Arial"/>
          <w:bCs/>
          <w:i/>
          <w:iCs/>
          <w:sz w:val="20"/>
          <w:szCs w:val="20"/>
        </w:rPr>
        <w:t>E.coli</w:t>
      </w:r>
      <w:r w:rsidRPr="00572528">
        <w:rPr>
          <w:rFonts w:ascii="Arial" w:eastAsia="Times New Roman" w:hAnsi="Arial" w:cs="Arial"/>
          <w:bCs/>
          <w:sz w:val="20"/>
          <w:szCs w:val="20"/>
        </w:rPr>
        <w:t xml:space="preserve"> isolate at different concentration levels.</w:t>
      </w:r>
      <w:r w:rsidRPr="00572528">
        <w:rPr>
          <w:rFonts w:ascii="Arial" w:eastAsia="Times New Roman" w:hAnsi="Arial" w:cs="Arial"/>
          <w:sz w:val="20"/>
          <w:szCs w:val="20"/>
        </w:rPr>
        <w:t xml:space="preserve"> At NEAT </w:t>
      </w:r>
      <w:r w:rsidRPr="00572528">
        <w:rPr>
          <w:rFonts w:ascii="Arial" w:eastAsia="Times New Roman" w:hAnsi="Arial" w:cs="Arial"/>
          <w:sz w:val="20"/>
          <w:szCs w:val="20"/>
        </w:rPr>
        <w:lastRenderedPageBreak/>
        <w:t xml:space="preserve">concentration, Bitter kola extract was effective on the ESBL </w:t>
      </w:r>
      <w:r w:rsidRPr="00572528">
        <w:rPr>
          <w:rFonts w:ascii="Arial" w:eastAsia="Times New Roman" w:hAnsi="Arial" w:cs="Arial"/>
          <w:i/>
          <w:iCs/>
          <w:sz w:val="20"/>
          <w:szCs w:val="20"/>
        </w:rPr>
        <w:t>E. coli</w:t>
      </w:r>
      <w:r w:rsidRPr="00572528">
        <w:rPr>
          <w:rFonts w:ascii="Arial" w:eastAsia="Times New Roman" w:hAnsi="Arial" w:cs="Arial"/>
          <w:sz w:val="20"/>
          <w:szCs w:val="20"/>
        </w:rPr>
        <w:t xml:space="preserve"> isolates and </w:t>
      </w:r>
      <w:r w:rsidRPr="00572528">
        <w:rPr>
          <w:rFonts w:ascii="Arial" w:eastAsia="Times New Roman" w:hAnsi="Arial" w:cs="Arial"/>
          <w:iCs/>
          <w:sz w:val="20"/>
          <w:szCs w:val="20"/>
        </w:rPr>
        <w:t>ineffective at all other concentration.</w:t>
      </w:r>
      <w:r w:rsidRPr="00572528">
        <w:rPr>
          <w:rFonts w:ascii="Arial" w:eastAsia="Times New Roman" w:hAnsi="Arial" w:cs="Arial"/>
          <w:iCs/>
          <w:sz w:val="20"/>
          <w:szCs w:val="20"/>
        </w:rPr>
        <w:tab/>
      </w:r>
    </w:p>
    <w:p w14:paraId="332F64FA" w14:textId="77777777" w:rsidR="00D116EA" w:rsidRPr="00572528" w:rsidRDefault="00D116EA" w:rsidP="007806E8">
      <w:pPr>
        <w:spacing w:after="0" w:line="480" w:lineRule="auto"/>
        <w:jc w:val="both"/>
        <w:rPr>
          <w:rFonts w:ascii="Arial" w:eastAsia="Times New Roman" w:hAnsi="Arial" w:cs="Arial"/>
          <w:sz w:val="20"/>
          <w:szCs w:val="20"/>
        </w:rPr>
      </w:pPr>
    </w:p>
    <w:p w14:paraId="4093F3B5" w14:textId="1BA278EF" w:rsidR="00341649" w:rsidRPr="00572528" w:rsidRDefault="00852EC3"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DISCUSSION</w:t>
      </w:r>
      <w:bookmarkStart w:id="32" w:name="_Hlk185367383"/>
    </w:p>
    <w:p w14:paraId="17A8893E" w14:textId="64B182A9" w:rsidR="005D048F" w:rsidRPr="005D048F" w:rsidRDefault="00341649" w:rsidP="005D048F">
      <w:pPr>
        <w:spacing w:line="480" w:lineRule="auto"/>
        <w:jc w:val="both"/>
        <w:rPr>
          <w:rFonts w:ascii="Arial" w:eastAsiaTheme="minorHAnsi" w:hAnsi="Arial" w:cs="Arial"/>
          <w:sz w:val="20"/>
          <w:szCs w:val="20"/>
        </w:rPr>
      </w:pPr>
      <w:r w:rsidRPr="00572528">
        <w:rPr>
          <w:rFonts w:ascii="Arial" w:hAnsi="Arial" w:cs="Arial"/>
          <w:sz w:val="20"/>
          <w:szCs w:val="20"/>
        </w:rPr>
        <w:t xml:space="preserve">Extended-spectrum beta-lactamases (ESBLs) are enzymes produced by certain bacteria that cause resistance to most beta-lactam antibiotics, such as penicillins and cephalosporins (Husna </w:t>
      </w:r>
      <w:r w:rsidRPr="00572528">
        <w:rPr>
          <w:rFonts w:ascii="Arial" w:hAnsi="Arial" w:cs="Arial"/>
          <w:i/>
          <w:iCs/>
          <w:sz w:val="20"/>
          <w:szCs w:val="20"/>
        </w:rPr>
        <w:t>et al.</w:t>
      </w:r>
      <w:r w:rsidRPr="00572528">
        <w:rPr>
          <w:rFonts w:ascii="Arial" w:hAnsi="Arial" w:cs="Arial"/>
          <w:sz w:val="20"/>
          <w:szCs w:val="20"/>
        </w:rPr>
        <w:t xml:space="preserve">, 2023). </w:t>
      </w:r>
      <w:r w:rsidRPr="00572528">
        <w:rPr>
          <w:rFonts w:ascii="Arial" w:hAnsi="Arial" w:cs="Arial"/>
          <w:i/>
          <w:sz w:val="20"/>
          <w:szCs w:val="20"/>
        </w:rPr>
        <w:t>E. coli</w:t>
      </w:r>
      <w:r w:rsidRPr="00572528">
        <w:rPr>
          <w:rFonts w:ascii="Arial" w:hAnsi="Arial" w:cs="Arial"/>
          <w:sz w:val="20"/>
          <w:szCs w:val="20"/>
        </w:rPr>
        <w:t xml:space="preserve"> is a frequent cause of urinary tract infections (UTIs), and the rise of ESBL-producing E. coli makes these infections harder to treat (Halabi </w:t>
      </w:r>
      <w:r w:rsidRPr="00572528">
        <w:rPr>
          <w:rFonts w:ascii="Arial" w:hAnsi="Arial" w:cs="Arial"/>
          <w:i/>
          <w:iCs/>
          <w:sz w:val="20"/>
          <w:szCs w:val="20"/>
        </w:rPr>
        <w:t>et al</w:t>
      </w:r>
      <w:r w:rsidRPr="00572528">
        <w:rPr>
          <w:rFonts w:ascii="Arial" w:hAnsi="Arial" w:cs="Arial"/>
          <w:sz w:val="20"/>
          <w:szCs w:val="20"/>
        </w:rPr>
        <w:t>., 2021)</w:t>
      </w:r>
      <w:r w:rsidR="005D048F">
        <w:rPr>
          <w:rFonts w:ascii="Arial" w:hAnsi="Arial" w:cs="Arial"/>
          <w:sz w:val="20"/>
          <w:szCs w:val="20"/>
        </w:rPr>
        <w:t xml:space="preserve">. </w:t>
      </w:r>
      <w:r w:rsidR="005D048F" w:rsidRPr="005D048F">
        <w:rPr>
          <w:rFonts w:ascii="Arial" w:eastAsiaTheme="minorHAnsi" w:hAnsi="Arial" w:cs="Arial"/>
          <w:sz w:val="20"/>
          <w:szCs w:val="20"/>
        </w:rPr>
        <w:t xml:space="preserve">The recovery of 88 bacterial isolates from 100 urine samples (88%) </w:t>
      </w:r>
      <w:r w:rsidR="005D048F">
        <w:rPr>
          <w:rFonts w:ascii="Arial" w:eastAsiaTheme="minorHAnsi" w:hAnsi="Arial" w:cs="Arial"/>
          <w:sz w:val="20"/>
          <w:szCs w:val="20"/>
        </w:rPr>
        <w:t>shows</w:t>
      </w:r>
      <w:r w:rsidR="005D048F" w:rsidRPr="005D048F">
        <w:rPr>
          <w:rFonts w:ascii="Arial" w:eastAsiaTheme="minorHAnsi" w:hAnsi="Arial" w:cs="Arial"/>
          <w:sz w:val="20"/>
          <w:szCs w:val="20"/>
        </w:rPr>
        <w:t xml:space="preserve"> a high prevalence of bacteriuria among patients at ESUTH Teaching Hospital, with uropathogenic </w:t>
      </w:r>
      <w:commentRangeStart w:id="33"/>
      <w:r w:rsidR="005D048F" w:rsidRPr="005D048F">
        <w:rPr>
          <w:rFonts w:ascii="Arial" w:eastAsiaTheme="minorHAnsi" w:hAnsi="Arial" w:cs="Arial"/>
          <w:sz w:val="20"/>
          <w:szCs w:val="20"/>
        </w:rPr>
        <w:t xml:space="preserve">Escherichia coli </w:t>
      </w:r>
      <w:commentRangeEnd w:id="33"/>
      <w:r w:rsidR="009F0E6E" w:rsidRPr="005D048F">
        <w:rPr>
          <w:rStyle w:val="CommentReference"/>
          <w:rFonts w:ascii="Arial" w:eastAsiaTheme="minorHAnsi" w:hAnsi="Arial" w:cs="Arial"/>
          <w:sz w:val="20"/>
          <w:szCs w:val="20"/>
        </w:rPr>
        <w:commentReference w:id="33"/>
      </w:r>
      <w:r w:rsidR="005D048F" w:rsidRPr="005D048F">
        <w:rPr>
          <w:rFonts w:ascii="Arial" w:eastAsiaTheme="minorHAnsi" w:hAnsi="Arial" w:cs="Arial"/>
          <w:sz w:val="20"/>
          <w:szCs w:val="20"/>
        </w:rPr>
        <w:t>(UPEC) accounting for 39% of these isolates. This significant presence of E. coli as the primary etiologic agent in urinary tract infections is in line with the findings of Mancini et al. (2021), who identified it as the most common pathogen in both community and hospital settings.</w:t>
      </w:r>
    </w:p>
    <w:p w14:paraId="3502BBDE" w14:textId="04BBF84F" w:rsidR="005D048F" w:rsidRPr="005D048F" w:rsidRDefault="005D048F" w:rsidP="005D048F">
      <w:pPr>
        <w:spacing w:line="480" w:lineRule="auto"/>
        <w:jc w:val="both"/>
        <w:rPr>
          <w:rFonts w:ascii="Arial" w:eastAsiaTheme="minorHAnsi" w:hAnsi="Arial" w:cs="Arial"/>
          <w:sz w:val="20"/>
          <w:szCs w:val="20"/>
        </w:rPr>
      </w:pPr>
      <w:r w:rsidRPr="005D048F">
        <w:rPr>
          <w:rFonts w:ascii="Arial" w:eastAsiaTheme="minorHAnsi" w:hAnsi="Arial" w:cs="Arial"/>
          <w:sz w:val="20"/>
          <w:szCs w:val="20"/>
        </w:rPr>
        <w:t>The detection of a 29% ESBL-production rate among the E. coli isolates (Table 2.</w:t>
      </w:r>
      <w:r w:rsidR="00702C4F">
        <w:rPr>
          <w:rFonts w:ascii="Arial" w:eastAsiaTheme="minorHAnsi" w:hAnsi="Arial" w:cs="Arial"/>
          <w:sz w:val="20"/>
          <w:szCs w:val="20"/>
        </w:rPr>
        <w:t>b</w:t>
      </w:r>
      <w:r w:rsidRPr="005D048F">
        <w:rPr>
          <w:rFonts w:ascii="Arial" w:eastAsiaTheme="minorHAnsi" w:hAnsi="Arial" w:cs="Arial"/>
          <w:sz w:val="20"/>
          <w:szCs w:val="20"/>
        </w:rPr>
        <w:t>) presents a serious clinical challenge. This aligns with Pantha et al. (2024), where similar resistance patterns to third-generation cephalosporins were observed in urinary isolates. Additionally, this prevalence highlights a concerning global trend of increasing resistance reported by Bezabih et al. (2021) regarding the trend of human intestinal carriage of ESBL-producing strains. However, contrary to the findings of Isegohi et al. (2021), who reported a 25% prevalence rate for ESBL-producing E. coli, this study observed a slightly higher rate of 29%. This discrepancy could be attributed to variations in sample size and the specific clinical environment of the study area.</w:t>
      </w:r>
    </w:p>
    <w:p w14:paraId="73F945F8" w14:textId="4A41E49C" w:rsidR="005D048F" w:rsidRDefault="005D048F" w:rsidP="005D048F">
      <w:pPr>
        <w:spacing w:line="480" w:lineRule="auto"/>
        <w:jc w:val="both"/>
        <w:rPr>
          <w:rFonts w:ascii="Arial" w:eastAsiaTheme="minorHAnsi" w:hAnsi="Arial" w:cs="Arial"/>
          <w:sz w:val="20"/>
          <w:szCs w:val="20"/>
        </w:rPr>
      </w:pPr>
      <w:r w:rsidRPr="005D048F">
        <w:rPr>
          <w:rFonts w:ascii="Arial" w:eastAsiaTheme="minorHAnsi" w:hAnsi="Arial" w:cs="Arial"/>
          <w:sz w:val="20"/>
          <w:szCs w:val="20"/>
        </w:rPr>
        <w:t>The diagnostic accuracy of the Double Disk Synergy Test (DDST) used in this study (Table 4) was pivotal. The significant expansion of the zone of inhibition from 17 mm (Ceftazidime alone) to 25 mm (Ceftazidime-Clavulanic acid) confirmed the presence of ESBL enzymes. This is in line with Iqbal et al. (2017), who advocated for the reliability of DDST as a diagnostic tool for detecting ESBL-producing uropathogens in resource-limited settings. Such resistance to third-generation cephalosporins aligns with reports from Rebecca et al. (2023), indicating the widespread emergence of these strains in various environmental and clinical settings in Nigeria.</w:t>
      </w:r>
      <w:r>
        <w:rPr>
          <w:rFonts w:ascii="Arial" w:eastAsiaTheme="minorHAnsi" w:hAnsi="Arial" w:cs="Arial"/>
          <w:sz w:val="20"/>
          <w:szCs w:val="20"/>
        </w:rPr>
        <w:t xml:space="preserve"> </w:t>
      </w:r>
      <w:r w:rsidRPr="005D048F">
        <w:rPr>
          <w:rFonts w:ascii="Arial" w:eastAsiaTheme="minorHAnsi" w:hAnsi="Arial" w:cs="Arial"/>
          <w:sz w:val="20"/>
          <w:szCs w:val="20"/>
        </w:rPr>
        <w:t xml:space="preserve">The phytochemical profiling of Garcinia kola (Table 5) revealed a complex array </w:t>
      </w:r>
      <w:r w:rsidRPr="005D048F">
        <w:rPr>
          <w:rFonts w:ascii="Arial" w:eastAsiaTheme="minorHAnsi" w:hAnsi="Arial" w:cs="Arial"/>
          <w:sz w:val="20"/>
          <w:szCs w:val="20"/>
        </w:rPr>
        <w:lastRenderedPageBreak/>
        <w:t>of bioactive compounds, notably tannins (12.6 mg/100g) and steroids (12.05 mg/100g) as the most abundant constituents. This aligns with Rabiu et al. (2024) and Onwuliri et al. (2021), who reported that the medicinal value of bitter kola is directly linked to its rich phytochemical composition. Interestingly, contrary to the findings of Ibedu et al. (2018) and Bilar and Akudo (2021), who found flavonoids to be the most prevalent compound (9.78 and 10.20 respectively), this study found flavonoids at a lower concentration of 4.78 mg/100g. Such differences in relative abundance are likely due to variations in geographical sourcing and extraction techniques.</w:t>
      </w:r>
      <w:r>
        <w:rPr>
          <w:rFonts w:ascii="Arial" w:eastAsiaTheme="minorHAnsi" w:hAnsi="Arial" w:cs="Arial"/>
          <w:sz w:val="20"/>
          <w:szCs w:val="20"/>
        </w:rPr>
        <w:t xml:space="preserve"> </w:t>
      </w:r>
      <w:r w:rsidRPr="005D048F">
        <w:rPr>
          <w:rFonts w:ascii="Arial" w:eastAsiaTheme="minorHAnsi" w:hAnsi="Arial" w:cs="Arial"/>
          <w:sz w:val="20"/>
          <w:szCs w:val="20"/>
        </w:rPr>
        <w:t xml:space="preserve">The antimicrobial evaluation (Table 6) demonstrated that the methanolic extract of G. kola possesses significant inhibitory activity against ESBL-producing UPEC, with the "neat" extract producing zones of inhibition between 10 mm and 20 mm. This is in line with Ohalete et al. (2016), who noted the potential of bitter kola in targeting resistant bacterial strains. Furthermore, the observation that antibacterial efficacy is strictly concentration-dependent aligns with Nwadike et al. (2024), where zones of inhibition decreased significantly as the extract was diluted. The mechanism of action is likely tied to the high flavonoid and saponin content, which as noted by </w:t>
      </w:r>
      <w:commentRangeStart w:id="34"/>
      <w:r w:rsidRPr="005D048F">
        <w:rPr>
          <w:rFonts w:ascii="Arial" w:eastAsiaTheme="minorHAnsi" w:hAnsi="Arial" w:cs="Arial"/>
          <w:sz w:val="20"/>
          <w:szCs w:val="20"/>
        </w:rPr>
        <w:t>Ali &amp; Ibekwe</w:t>
      </w:r>
      <w:commentRangeEnd w:id="34"/>
      <w:r w:rsidR="009F0E6E" w:rsidRPr="005D048F">
        <w:rPr>
          <w:rStyle w:val="CommentReference"/>
          <w:rFonts w:ascii="Arial" w:eastAsiaTheme="minorHAnsi" w:hAnsi="Arial" w:cs="Arial"/>
          <w:sz w:val="20"/>
          <w:szCs w:val="20"/>
        </w:rPr>
        <w:commentReference w:id="34"/>
      </w:r>
      <w:r w:rsidRPr="005D048F">
        <w:rPr>
          <w:rFonts w:ascii="Arial" w:eastAsiaTheme="minorHAnsi" w:hAnsi="Arial" w:cs="Arial"/>
          <w:sz w:val="20"/>
          <w:szCs w:val="20"/>
        </w:rPr>
        <w:t xml:space="preserve"> (2021), can disrupt microbial cell membranes and inhibit essential enzymatic activities</w:t>
      </w:r>
    </w:p>
    <w:p w14:paraId="771458D0" w14:textId="164BC60B" w:rsidR="00D8685A" w:rsidRPr="00572528" w:rsidRDefault="00A75DF2" w:rsidP="005D048F">
      <w:pPr>
        <w:spacing w:line="480" w:lineRule="auto"/>
        <w:jc w:val="both"/>
        <w:rPr>
          <w:rFonts w:ascii="Arial" w:eastAsia="SimSun" w:hAnsi="Arial" w:cs="Arial"/>
          <w:b/>
          <w:bCs/>
          <w:kern w:val="2"/>
          <w:sz w:val="20"/>
          <w:szCs w:val="20"/>
          <w:lang w:val="en-GB" w:eastAsia="en-GB"/>
          <w14:ligatures w14:val="standardContextual"/>
        </w:rPr>
      </w:pPr>
      <w:r w:rsidRPr="00572528">
        <w:rPr>
          <w:rFonts w:ascii="Arial" w:eastAsia="SimSun" w:hAnsi="Arial" w:cs="Arial"/>
          <w:b/>
          <w:bCs/>
          <w:kern w:val="2"/>
          <w:sz w:val="20"/>
          <w:szCs w:val="20"/>
          <w:lang w:val="en-GB" w:eastAsia="en-GB"/>
          <w14:ligatures w14:val="standardContextual"/>
        </w:rPr>
        <w:t>CONCLUSION</w:t>
      </w:r>
    </w:p>
    <w:p w14:paraId="75997133" w14:textId="241DFD61" w:rsidR="005D048F" w:rsidRDefault="005D048F" w:rsidP="005D048F">
      <w:pPr>
        <w:spacing w:line="480" w:lineRule="auto"/>
        <w:jc w:val="both"/>
        <w:rPr>
          <w:rFonts w:ascii="Arial" w:eastAsia="SimSun" w:hAnsi="Arial" w:cs="Arial"/>
          <w:kern w:val="2"/>
          <w:sz w:val="20"/>
          <w:szCs w:val="20"/>
          <w:lang w:val="en-GB" w:eastAsia="en-GB"/>
          <w14:ligatures w14:val="standardContextual"/>
        </w:rPr>
      </w:pPr>
      <w:r w:rsidRPr="005D048F">
        <w:rPr>
          <w:rFonts w:ascii="Arial" w:eastAsia="SimSun" w:hAnsi="Arial" w:cs="Arial"/>
          <w:kern w:val="2"/>
          <w:sz w:val="20"/>
          <w:szCs w:val="20"/>
          <w:lang w:val="en-GB" w:eastAsia="en-GB"/>
          <w14:ligatures w14:val="standardContextual"/>
        </w:rPr>
        <w:t xml:space="preserve">This study provides compelling evidence that the methanolic extract of Garcinia kola (bitter kola) possesses significant in vitro antibacterial activity against Extended-Spectrum Beta-Lactamase (ESBL)-producing uropathogenic Escherichia coli. The findings demonstrate that the antimicrobial potency of the extract is strictly concentration-dependent, with the undiluted (neat) extract producing substantial zones of inhibition ranging from 10 mm to 20 mm. This efficacy </w:t>
      </w:r>
      <w:commentRangeStart w:id="35"/>
      <w:r w:rsidRPr="005D048F">
        <w:rPr>
          <w:rFonts w:ascii="Arial" w:eastAsia="SimSun" w:hAnsi="Arial" w:cs="Arial"/>
          <w:kern w:val="2"/>
          <w:sz w:val="20"/>
          <w:szCs w:val="20"/>
          <w:lang w:val="en-GB" w:eastAsia="en-GB"/>
          <w14:ligatures w14:val="standardContextual"/>
        </w:rPr>
        <w:t>is</w:t>
      </w:r>
      <w:commentRangeEnd w:id="35"/>
      <w:r w:rsidR="009F0E6E" w:rsidRPr="005D048F">
        <w:rPr>
          <w:rStyle w:val="CommentReference"/>
          <w:rFonts w:ascii="Arial" w:eastAsia="SimSun" w:hAnsi="Arial" w:cs="Arial"/>
          <w:kern w:val="2"/>
          <w:sz w:val="20"/>
          <w:szCs w:val="20"/>
          <w:lang w:val="en-GB" w:eastAsia="en-GB"/>
          <w14:ligatures w14:val="standardContextual"/>
        </w:rPr>
        <w:commentReference w:id="35"/>
      </w:r>
      <w:r w:rsidRPr="005D048F">
        <w:rPr>
          <w:rFonts w:ascii="Arial" w:eastAsia="SimSun" w:hAnsi="Arial" w:cs="Arial"/>
          <w:kern w:val="2"/>
          <w:sz w:val="20"/>
          <w:szCs w:val="20"/>
          <w:lang w:val="en-GB" w:eastAsia="en-GB"/>
          <w14:ligatures w14:val="standardContextual"/>
        </w:rPr>
        <w:t xml:space="preserve"> largely attributed to a rich phytochemical profile, particularly high concentrations of tannins and steroids, which likely work synergistically to disrupt resistant bacterial mechanisms.</w:t>
      </w:r>
      <w:r>
        <w:rPr>
          <w:rFonts w:ascii="Arial" w:eastAsia="SimSun" w:hAnsi="Arial" w:cs="Arial"/>
          <w:kern w:val="2"/>
          <w:sz w:val="20"/>
          <w:szCs w:val="20"/>
          <w:lang w:val="en-GB" w:eastAsia="en-GB"/>
          <w14:ligatures w14:val="standardContextual"/>
        </w:rPr>
        <w:t xml:space="preserve"> </w:t>
      </w:r>
      <w:r w:rsidRPr="005D048F">
        <w:rPr>
          <w:rFonts w:ascii="Arial" w:eastAsia="SimSun" w:hAnsi="Arial" w:cs="Arial"/>
          <w:kern w:val="2"/>
          <w:sz w:val="20"/>
          <w:szCs w:val="20"/>
          <w:lang w:val="en-GB" w:eastAsia="en-GB"/>
          <w14:ligatures w14:val="standardContextual"/>
        </w:rPr>
        <w:t>The high prevalence of ESBL-producing E. coli (29%) identified among clinical isolates at the ESUT Teaching Hospital underscores the escalating public health threat of antimicrobial resistance in Nigeria. As traditional beta-lactam antibiotics become increasingly ineffective, the results of this research suggest that G. kola may serve as a valuable natural therapeutic adjunct in managing resistant urinary tract infections. Despite these promising results, the significant reduction in antibacterial activity at lower concentrations highlights the need for standardization and formulation optimization</w:t>
      </w:r>
    </w:p>
    <w:p w14:paraId="17C4CFB7" w14:textId="3F8BE9E9" w:rsidR="00F24ED5" w:rsidRPr="00572528" w:rsidRDefault="00D8685A" w:rsidP="005D048F">
      <w:pPr>
        <w:spacing w:line="480" w:lineRule="auto"/>
        <w:jc w:val="both"/>
        <w:rPr>
          <w:rFonts w:ascii="Arial" w:eastAsia="SimSun" w:hAnsi="Arial" w:cs="Arial"/>
          <w:b/>
          <w:bCs/>
          <w:kern w:val="2"/>
          <w:sz w:val="20"/>
          <w:szCs w:val="20"/>
          <w:lang w:val="en-GB" w:eastAsia="en-GB"/>
          <w14:ligatures w14:val="standardContextual"/>
        </w:rPr>
      </w:pPr>
      <w:commentRangeStart w:id="36"/>
      <w:r w:rsidRPr="00572528">
        <w:rPr>
          <w:rFonts w:ascii="Arial" w:eastAsia="SimSun" w:hAnsi="Arial" w:cs="Arial"/>
          <w:b/>
          <w:bCs/>
          <w:kern w:val="2"/>
          <w:sz w:val="20"/>
          <w:szCs w:val="20"/>
          <w:lang w:val="en-GB" w:eastAsia="en-GB"/>
          <w14:ligatures w14:val="standardContextual"/>
        </w:rPr>
        <w:lastRenderedPageBreak/>
        <w:t>RECOMMENDATION</w:t>
      </w:r>
    </w:p>
    <w:p w14:paraId="5666D573" w14:textId="77777777" w:rsidR="005D048F" w:rsidRPr="005D048F" w:rsidRDefault="005D048F" w:rsidP="005D048F">
      <w:pPr>
        <w:pStyle w:val="ListParagraph"/>
        <w:numPr>
          <w:ilvl w:val="0"/>
          <w:numId w:val="32"/>
        </w:numPr>
        <w:spacing w:line="480" w:lineRule="auto"/>
        <w:jc w:val="both"/>
        <w:rPr>
          <w:rFonts w:ascii="Arial" w:eastAsia="SimSun" w:hAnsi="Arial" w:cs="Arial"/>
          <w:kern w:val="2"/>
          <w:sz w:val="20"/>
          <w:szCs w:val="20"/>
          <w:lang w:val="en-GB" w:eastAsia="en-GB"/>
          <w14:ligatures w14:val="standardContextual"/>
        </w:rPr>
      </w:pPr>
      <w:bookmarkStart w:id="37" w:name="_Hlk224724497"/>
      <w:bookmarkEnd w:id="3"/>
      <w:bookmarkEnd w:id="32"/>
      <w:r w:rsidRPr="005D048F">
        <w:rPr>
          <w:rFonts w:ascii="Arial" w:eastAsia="SimSun" w:hAnsi="Arial" w:cs="Arial"/>
          <w:kern w:val="2"/>
          <w:sz w:val="20"/>
          <w:szCs w:val="20"/>
          <w:lang w:val="en-GB" w:eastAsia="en-GB"/>
          <w14:ligatures w14:val="standardContextual"/>
        </w:rPr>
        <w:t>In Vivo and Safety Assessment: Comprehensive animal studies are required to evaluate the safety, pharmacokinetics, and optimal therapeutic dosage of bitter kola extracts to bridge the gap between in vitro results and clinical use.</w:t>
      </w:r>
    </w:p>
    <w:p w14:paraId="42178FCB" w14:textId="77777777" w:rsidR="005D048F" w:rsidRPr="005D048F" w:rsidRDefault="005D048F" w:rsidP="005D048F">
      <w:pPr>
        <w:pStyle w:val="ListParagraph"/>
        <w:numPr>
          <w:ilvl w:val="0"/>
          <w:numId w:val="32"/>
        </w:numPr>
        <w:spacing w:line="480" w:lineRule="auto"/>
        <w:jc w:val="both"/>
        <w:rPr>
          <w:rFonts w:ascii="Arial" w:eastAsia="SimSun" w:hAnsi="Arial" w:cs="Arial"/>
          <w:kern w:val="2"/>
          <w:sz w:val="20"/>
          <w:szCs w:val="20"/>
          <w:lang w:val="en-GB" w:eastAsia="en-GB"/>
          <w14:ligatures w14:val="standardContextual"/>
        </w:rPr>
      </w:pPr>
      <w:r w:rsidRPr="005D048F">
        <w:rPr>
          <w:rFonts w:ascii="Arial" w:eastAsia="SimSun" w:hAnsi="Arial" w:cs="Arial"/>
          <w:kern w:val="2"/>
          <w:sz w:val="20"/>
          <w:szCs w:val="20"/>
          <w:lang w:val="en-GB" w:eastAsia="en-GB"/>
          <w14:ligatures w14:val="standardContextual"/>
        </w:rPr>
        <w:t>Mechanism of Action: Further investigation into the specific molecular mechanisms by which bitter kola phytochemicals inhibit ESBL enzymes is essential for targeted drug development.</w:t>
      </w:r>
    </w:p>
    <w:p w14:paraId="1CF4319F" w14:textId="77777777" w:rsidR="005D048F" w:rsidRPr="005D048F" w:rsidRDefault="005D048F" w:rsidP="005D048F">
      <w:pPr>
        <w:pStyle w:val="ListParagraph"/>
        <w:numPr>
          <w:ilvl w:val="0"/>
          <w:numId w:val="32"/>
        </w:numPr>
        <w:spacing w:line="480" w:lineRule="auto"/>
        <w:jc w:val="both"/>
        <w:rPr>
          <w:rFonts w:ascii="Arial" w:eastAsia="SimSun" w:hAnsi="Arial" w:cs="Arial"/>
          <w:kern w:val="2"/>
          <w:sz w:val="20"/>
          <w:szCs w:val="20"/>
          <w:lang w:val="en-GB" w:eastAsia="en-GB"/>
          <w14:ligatures w14:val="standardContextual"/>
        </w:rPr>
      </w:pPr>
      <w:r w:rsidRPr="005D048F">
        <w:rPr>
          <w:rFonts w:ascii="Arial" w:eastAsia="SimSun" w:hAnsi="Arial" w:cs="Arial"/>
          <w:kern w:val="2"/>
          <w:sz w:val="20"/>
          <w:szCs w:val="20"/>
          <w:lang w:val="en-GB" w:eastAsia="en-GB"/>
          <w14:ligatures w14:val="standardContextual"/>
        </w:rPr>
        <w:t>Synergy Studies: Research should explore the synergistic effects of combining G. kola extracts with conventional antibiotics to determine if natural compounds can restore the efficacy of drugs like ceftazidime and cefotaxime.</w:t>
      </w:r>
    </w:p>
    <w:p w14:paraId="5F205031" w14:textId="6BFD8CB9" w:rsidR="005D048F" w:rsidRDefault="005D048F" w:rsidP="005D048F">
      <w:pPr>
        <w:pStyle w:val="ListParagraph"/>
        <w:numPr>
          <w:ilvl w:val="0"/>
          <w:numId w:val="32"/>
        </w:numPr>
        <w:spacing w:line="480" w:lineRule="auto"/>
        <w:jc w:val="both"/>
        <w:rPr>
          <w:rFonts w:ascii="Arial" w:eastAsia="SimSun" w:hAnsi="Arial" w:cs="Arial"/>
          <w:kern w:val="2"/>
          <w:sz w:val="20"/>
          <w:szCs w:val="20"/>
          <w:lang w:val="en-GB" w:eastAsia="en-GB"/>
          <w14:ligatures w14:val="standardContextual"/>
        </w:rPr>
      </w:pPr>
      <w:r w:rsidRPr="005D048F">
        <w:rPr>
          <w:rFonts w:ascii="Arial" w:eastAsia="SimSun" w:hAnsi="Arial" w:cs="Arial"/>
          <w:kern w:val="2"/>
          <w:sz w:val="20"/>
          <w:szCs w:val="20"/>
          <w:lang w:val="en-GB" w:eastAsia="en-GB"/>
          <w14:ligatures w14:val="standardContextual"/>
        </w:rPr>
        <w:t>Clinical Trials: Implementation of human clinical trials is necessary to validate the therapeutic potential and efficacy of bitter kola in treating symptomatic urinary tract infections caused by resistant UPEC strains</w:t>
      </w:r>
      <w:r>
        <w:rPr>
          <w:rFonts w:ascii="Arial" w:eastAsia="SimSun" w:hAnsi="Arial" w:cs="Arial"/>
          <w:kern w:val="2"/>
          <w:sz w:val="20"/>
          <w:szCs w:val="20"/>
          <w:lang w:val="en-GB" w:eastAsia="en-GB"/>
          <w14:ligatures w14:val="standardContextual"/>
        </w:rPr>
        <w:t>.</w:t>
      </w:r>
      <w:commentRangeEnd w:id="36"/>
      <w:r w:rsidR="00615733">
        <w:rPr>
          <w:rStyle w:val="CommentReference"/>
          <w:rFonts w:ascii="Arial" w:eastAsia="SimSun" w:hAnsi="Arial" w:cs="Arial"/>
          <w:kern w:val="2"/>
          <w:sz w:val="20"/>
          <w:szCs w:val="20"/>
          <w:lang w:val="en-GB" w:eastAsia="en-GB"/>
          <w14:ligatures w14:val="standardContextual"/>
        </w:rPr>
        <w:commentReference w:id="36"/>
      </w:r>
    </w:p>
    <w:p w14:paraId="7EC9114F" w14:textId="77777777" w:rsidR="004428A3" w:rsidRDefault="004428A3" w:rsidP="00BC0128">
      <w:pPr>
        <w:spacing w:line="480" w:lineRule="auto"/>
        <w:jc w:val="both"/>
        <w:rPr>
          <w:rFonts w:ascii="Arial" w:eastAsia="SimSun" w:hAnsi="Arial" w:cs="Arial"/>
          <w:b/>
          <w:bCs/>
          <w:kern w:val="2"/>
          <w:sz w:val="20"/>
          <w:szCs w:val="20"/>
          <w:lang w:val="en-GB" w:eastAsia="en-GB"/>
          <w14:ligatures w14:val="standardContextual"/>
        </w:rPr>
      </w:pPr>
    </w:p>
    <w:p w14:paraId="755B1F45" w14:textId="2805BA4E" w:rsidR="00BC0128" w:rsidRPr="00BC0128" w:rsidRDefault="00BC0128" w:rsidP="00BC0128">
      <w:pPr>
        <w:spacing w:line="480" w:lineRule="auto"/>
        <w:jc w:val="both"/>
        <w:rPr>
          <w:rFonts w:ascii="Arial" w:eastAsia="SimSun" w:hAnsi="Arial" w:cs="Arial"/>
          <w:b/>
          <w:bCs/>
          <w:kern w:val="2"/>
          <w:sz w:val="20"/>
          <w:szCs w:val="20"/>
          <w:lang w:val="en-GB" w:eastAsia="en-GB"/>
          <w14:ligatures w14:val="standardContextual"/>
        </w:rPr>
      </w:pPr>
      <w:commentRangeStart w:id="38"/>
      <w:r w:rsidRPr="00BC0128">
        <w:rPr>
          <w:rFonts w:ascii="Arial" w:eastAsia="SimSun" w:hAnsi="Arial" w:cs="Arial"/>
          <w:b/>
          <w:bCs/>
          <w:kern w:val="2"/>
          <w:sz w:val="20"/>
          <w:szCs w:val="20"/>
          <w:lang w:val="en-GB" w:eastAsia="en-GB"/>
          <w14:ligatures w14:val="standardContextual"/>
        </w:rPr>
        <w:t>CONSENT</w:t>
      </w:r>
    </w:p>
    <w:p w14:paraId="7423CF33" w14:textId="16EB6383" w:rsidR="00BC0128" w:rsidRPr="00BC0128" w:rsidRDefault="00BC0128" w:rsidP="00BC0128">
      <w:pPr>
        <w:spacing w:line="480" w:lineRule="auto"/>
        <w:jc w:val="both"/>
        <w:rPr>
          <w:rFonts w:ascii="Arial" w:eastAsia="SimSun" w:hAnsi="Arial" w:cs="Arial"/>
          <w:kern w:val="2"/>
          <w:sz w:val="20"/>
          <w:szCs w:val="20"/>
          <w:lang w:val="en-GB" w:eastAsia="en-GB"/>
          <w14:ligatures w14:val="standardContextual"/>
        </w:rPr>
      </w:pPr>
      <w:r w:rsidRPr="00BC0128">
        <w:rPr>
          <w:rFonts w:ascii="Arial" w:eastAsia="SimSun" w:hAnsi="Arial" w:cs="Arial"/>
          <w:kern w:val="2"/>
          <w:sz w:val="20"/>
          <w:szCs w:val="20"/>
          <w:lang w:val="en-GB" w:eastAsia="en-GB"/>
          <w14:ligatures w14:val="standardContextual"/>
        </w:rPr>
        <w:t>All authors declare that written informed consent was obtained from the patient for publication of this research.</w:t>
      </w:r>
      <w:commentRangeEnd w:id="38"/>
      <w:r w:rsidR="00615733" w:rsidRPr="00BC0128">
        <w:rPr>
          <w:rStyle w:val="CommentReference"/>
          <w:rFonts w:ascii="Arial" w:eastAsia="SimSun" w:hAnsi="Arial" w:cs="Arial"/>
          <w:kern w:val="2"/>
          <w:sz w:val="20"/>
          <w:szCs w:val="20"/>
          <w:lang w:val="en-GB" w:eastAsia="en-GB"/>
          <w14:ligatures w14:val="standardContextual"/>
        </w:rPr>
        <w:commentReference w:id="38"/>
      </w:r>
    </w:p>
    <w:p w14:paraId="1CD0BFAE" w14:textId="77777777" w:rsidR="00BC0128" w:rsidRPr="00BC0128" w:rsidRDefault="00BC0128" w:rsidP="00BC0128">
      <w:pPr>
        <w:spacing w:line="480" w:lineRule="auto"/>
        <w:jc w:val="both"/>
        <w:rPr>
          <w:rFonts w:ascii="Arial" w:eastAsia="SimSun" w:hAnsi="Arial" w:cs="Arial"/>
          <w:b/>
          <w:bCs/>
          <w:kern w:val="2"/>
          <w:sz w:val="20"/>
          <w:szCs w:val="20"/>
          <w:lang w:val="en-GB" w:eastAsia="en-GB"/>
          <w14:ligatures w14:val="standardContextual"/>
        </w:rPr>
      </w:pPr>
      <w:commentRangeStart w:id="39"/>
      <w:r w:rsidRPr="00BC0128">
        <w:rPr>
          <w:rFonts w:ascii="Arial" w:eastAsia="SimSun" w:hAnsi="Arial" w:cs="Arial"/>
          <w:b/>
          <w:bCs/>
          <w:kern w:val="2"/>
          <w:sz w:val="20"/>
          <w:szCs w:val="20"/>
          <w:lang w:val="en-GB" w:eastAsia="en-GB"/>
          <w14:ligatures w14:val="standardContextual"/>
        </w:rPr>
        <w:t>ETHICAL APPROVAL</w:t>
      </w:r>
    </w:p>
    <w:p w14:paraId="790C933C" w14:textId="51491211" w:rsidR="00BC0128" w:rsidRDefault="00BC0128" w:rsidP="00BC0128">
      <w:pPr>
        <w:spacing w:line="480" w:lineRule="auto"/>
        <w:jc w:val="both"/>
        <w:rPr>
          <w:rFonts w:ascii="Arial" w:eastAsia="SimSun" w:hAnsi="Arial" w:cs="Arial"/>
          <w:kern w:val="2"/>
          <w:sz w:val="20"/>
          <w:szCs w:val="20"/>
          <w:lang w:val="en-GB" w:eastAsia="en-GB"/>
          <w14:ligatures w14:val="standardContextual"/>
        </w:rPr>
      </w:pPr>
      <w:r w:rsidRPr="00BC0128">
        <w:rPr>
          <w:rFonts w:ascii="Arial" w:eastAsia="SimSun" w:hAnsi="Arial" w:cs="Arial"/>
          <w:kern w:val="2"/>
          <w:sz w:val="20"/>
          <w:szCs w:val="20"/>
          <w:lang w:val="en-GB" w:eastAsia="en-GB"/>
          <w14:ligatures w14:val="standardContextual"/>
        </w:rPr>
        <w:t>All authors hereby declare that all experiments have been examined and approved by the appropriate ethics committee and have therefore been performed in accordance with the ethical standards laid down in the 1964 Declaration of Helsinki.</w:t>
      </w:r>
      <w:commentRangeEnd w:id="39"/>
      <w:r w:rsidR="00615733">
        <w:rPr>
          <w:rStyle w:val="CommentReference"/>
          <w:rFonts w:ascii="Arial" w:eastAsia="SimSun" w:hAnsi="Arial" w:cs="Arial"/>
          <w:kern w:val="2"/>
          <w:sz w:val="20"/>
          <w:szCs w:val="20"/>
          <w:lang w:val="en-GB" w:eastAsia="en-GB"/>
          <w14:ligatures w14:val="standardContextual"/>
        </w:rPr>
        <w:commentReference w:id="39"/>
      </w:r>
    </w:p>
    <w:p w14:paraId="0A0294A3" w14:textId="77777777" w:rsidR="00BC0128" w:rsidRPr="00BC0128" w:rsidRDefault="00BC0128" w:rsidP="00BC0128">
      <w:pPr>
        <w:spacing w:line="480" w:lineRule="auto"/>
        <w:jc w:val="both"/>
        <w:rPr>
          <w:rFonts w:ascii="Arial" w:eastAsia="SimSun" w:hAnsi="Arial" w:cs="Arial"/>
          <w:kern w:val="2"/>
          <w:sz w:val="20"/>
          <w:szCs w:val="20"/>
          <w:lang w:val="en-GB" w:eastAsia="en-GB"/>
          <w14:ligatures w14:val="standardContextual"/>
        </w:rPr>
      </w:pPr>
    </w:p>
    <w:p w14:paraId="0D741AED" w14:textId="4CE064B0" w:rsidR="002D7BD0" w:rsidRPr="00572528" w:rsidRDefault="002D7BD0" w:rsidP="007806E8">
      <w:pPr>
        <w:spacing w:line="480" w:lineRule="auto"/>
        <w:jc w:val="both"/>
        <w:rPr>
          <w:rFonts w:ascii="Arial" w:hAnsi="Arial" w:cs="Arial"/>
          <w:b/>
          <w:bCs/>
          <w:sz w:val="20"/>
          <w:szCs w:val="20"/>
        </w:rPr>
      </w:pPr>
      <w:r w:rsidRPr="00572528">
        <w:rPr>
          <w:rFonts w:ascii="Arial" w:hAnsi="Arial" w:cs="Arial"/>
          <w:b/>
          <w:bCs/>
          <w:sz w:val="20"/>
          <w:szCs w:val="20"/>
        </w:rPr>
        <w:t>REFERENCES</w:t>
      </w:r>
    </w:p>
    <w:p w14:paraId="4F774887" w14:textId="7F8D5DD3" w:rsidR="007806E8" w:rsidRPr="00572528" w:rsidRDefault="007806E8" w:rsidP="007806E8">
      <w:pPr>
        <w:pStyle w:val="ListParagraph"/>
        <w:numPr>
          <w:ilvl w:val="0"/>
          <w:numId w:val="31"/>
        </w:numPr>
        <w:spacing w:line="480" w:lineRule="auto"/>
        <w:jc w:val="both"/>
        <w:rPr>
          <w:rFonts w:ascii="Arial" w:hAnsi="Arial" w:cs="Arial"/>
          <w:sz w:val="20"/>
          <w:szCs w:val="20"/>
        </w:rPr>
      </w:pPr>
      <w:commentRangeStart w:id="40"/>
      <w:r w:rsidRPr="00572528">
        <w:rPr>
          <w:rFonts w:ascii="Arial" w:hAnsi="Arial" w:cs="Arial"/>
          <w:sz w:val="20"/>
          <w:szCs w:val="20"/>
        </w:rPr>
        <w:t>Akpaka, P.E., Vaillant, A., Wilson, C. and Jayaratne, P., 2021. Extended Spectrum Beta</w:t>
      </w:r>
      <w:r w:rsidRPr="00572528">
        <w:rPr>
          <w:rFonts w:ascii="Cambria Math" w:hAnsi="Cambria Math" w:cs="Cambria Math"/>
          <w:sz w:val="20"/>
          <w:szCs w:val="20"/>
        </w:rPr>
        <w:t>‐</w:t>
      </w:r>
      <w:r w:rsidRPr="00572528">
        <w:rPr>
          <w:rFonts w:ascii="Arial" w:hAnsi="Arial" w:cs="Arial"/>
          <w:sz w:val="20"/>
          <w:szCs w:val="20"/>
        </w:rPr>
        <w:t>Lactamase (ESBL) Produced by Gram</w:t>
      </w:r>
      <w:r w:rsidRPr="00572528">
        <w:rPr>
          <w:rFonts w:ascii="Cambria Math" w:hAnsi="Cambria Math" w:cs="Cambria Math"/>
          <w:sz w:val="20"/>
          <w:szCs w:val="20"/>
        </w:rPr>
        <w:t>‐</w:t>
      </w:r>
      <w:r w:rsidRPr="00572528">
        <w:rPr>
          <w:rFonts w:ascii="Arial" w:hAnsi="Arial" w:cs="Arial"/>
          <w:sz w:val="20"/>
          <w:szCs w:val="20"/>
        </w:rPr>
        <w:t xml:space="preserve">Negative Bacteria in Trinidad and Tobago. International Journal of Microbiology, 2021(1), p. 1 – 16. </w:t>
      </w:r>
      <w:hyperlink r:id="rId12" w:history="1">
        <w:r w:rsidRPr="00572528">
          <w:rPr>
            <w:rStyle w:val="Hyperlink"/>
            <w:rFonts w:ascii="Arial" w:hAnsi="Arial" w:cs="Arial"/>
            <w:sz w:val="20"/>
            <w:szCs w:val="20"/>
          </w:rPr>
          <w:t>https://doi.org/10.1155/2021/5582755</w:t>
        </w:r>
      </w:hyperlink>
      <w:r w:rsidRPr="00572528">
        <w:rPr>
          <w:rFonts w:ascii="Arial" w:hAnsi="Arial" w:cs="Arial"/>
          <w:sz w:val="20"/>
          <w:szCs w:val="20"/>
        </w:rPr>
        <w:t>.</w:t>
      </w:r>
    </w:p>
    <w:p w14:paraId="2E26311F" w14:textId="7CDD4EAD"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lastRenderedPageBreak/>
        <w:t xml:space="preserve">Badger-Emeka LI, Khalil HE, Emeka PM. 2018. Evaluation of Different Fractions of </w:t>
      </w:r>
      <w:r w:rsidRPr="00572528">
        <w:rPr>
          <w:rFonts w:ascii="Arial" w:hAnsi="Arial" w:cs="Arial"/>
          <w:i/>
          <w:iCs/>
          <w:sz w:val="20"/>
          <w:szCs w:val="20"/>
        </w:rPr>
        <w:t xml:space="preserve">Garcinia kola </w:t>
      </w:r>
      <w:r w:rsidRPr="00572528">
        <w:rPr>
          <w:rFonts w:ascii="Arial" w:hAnsi="Arial" w:cs="Arial"/>
          <w:sz w:val="20"/>
          <w:szCs w:val="20"/>
        </w:rPr>
        <w:t xml:space="preserve">Extracts against Multidrug Resistant Clinical Bacterial and Fungal Isolates. </w:t>
      </w:r>
      <w:r w:rsidRPr="00572528">
        <w:rPr>
          <w:rFonts w:ascii="Arial" w:hAnsi="Arial" w:cs="Arial"/>
          <w:i/>
          <w:iCs/>
          <w:sz w:val="20"/>
          <w:szCs w:val="20"/>
        </w:rPr>
        <w:t>Pharmacogn J.</w:t>
      </w:r>
      <w:r w:rsidRPr="00572528">
        <w:rPr>
          <w:rFonts w:ascii="Arial" w:hAnsi="Arial" w:cs="Arial"/>
          <w:sz w:val="20"/>
          <w:szCs w:val="20"/>
        </w:rPr>
        <w:t xml:space="preserve">;10(5):1055-1060. </w:t>
      </w:r>
      <w:hyperlink r:id="rId13" w:history="1">
        <w:r w:rsidR="00C440A2" w:rsidRPr="00572528">
          <w:rPr>
            <w:rStyle w:val="Hyperlink"/>
            <w:rFonts w:ascii="Arial" w:hAnsi="Arial" w:cs="Arial"/>
            <w:sz w:val="20"/>
            <w:szCs w:val="20"/>
          </w:rPr>
          <w:t>https://doi.org/10.5530/pj.2018.5.178</w:t>
        </w:r>
      </w:hyperlink>
    </w:p>
    <w:p w14:paraId="0A373015" w14:textId="69B82350"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Bezabih, Y.M., Sabiiti, W., Alamneh, E., Bezabih, A., Peterson, G.M., Bezabhe, W.M. and Roujeinikova, A. (2021). The global prevalence and trend of human intestinal carriage of ESBL-producing </w:t>
      </w:r>
      <w:r w:rsidRPr="00572528">
        <w:rPr>
          <w:rFonts w:ascii="Arial" w:hAnsi="Arial" w:cs="Arial"/>
          <w:i/>
          <w:sz w:val="20"/>
          <w:szCs w:val="20"/>
        </w:rPr>
        <w:t xml:space="preserve">Escherichia coli </w:t>
      </w:r>
      <w:r w:rsidRPr="00572528">
        <w:rPr>
          <w:rFonts w:ascii="Arial" w:hAnsi="Arial" w:cs="Arial"/>
          <w:sz w:val="20"/>
          <w:szCs w:val="20"/>
        </w:rPr>
        <w:t xml:space="preserve">in the community. </w:t>
      </w:r>
      <w:r w:rsidRPr="00572528">
        <w:rPr>
          <w:rFonts w:ascii="Arial" w:hAnsi="Arial" w:cs="Arial"/>
          <w:i/>
          <w:iCs/>
          <w:sz w:val="20"/>
          <w:szCs w:val="20"/>
        </w:rPr>
        <w:t>Journal of Antimicrobial Chemotherapy</w:t>
      </w:r>
      <w:r w:rsidRPr="00572528">
        <w:rPr>
          <w:rFonts w:ascii="Arial" w:hAnsi="Arial" w:cs="Arial"/>
          <w:sz w:val="20"/>
          <w:szCs w:val="20"/>
        </w:rPr>
        <w:t>, 76(1), pp.22-29.</w:t>
      </w:r>
      <w:r w:rsidR="00C440A2" w:rsidRPr="00572528">
        <w:rPr>
          <w:rFonts w:ascii="Arial" w:hAnsi="Arial" w:cs="Arial"/>
          <w:sz w:val="20"/>
          <w:szCs w:val="20"/>
        </w:rPr>
        <w:t xml:space="preserve"> </w:t>
      </w:r>
      <w:hyperlink r:id="rId14" w:history="1">
        <w:r w:rsidR="00C440A2" w:rsidRPr="00572528">
          <w:rPr>
            <w:rStyle w:val="Hyperlink"/>
            <w:rFonts w:ascii="Arial" w:hAnsi="Arial" w:cs="Arial"/>
            <w:color w:val="006FB7"/>
            <w:sz w:val="20"/>
            <w:szCs w:val="20"/>
            <w:bdr w:val="none" w:sz="0" w:space="0" w:color="auto" w:frame="1"/>
            <w:shd w:val="clear" w:color="auto" w:fill="FFFFFF"/>
          </w:rPr>
          <w:t>https://doi.org/10.1093/jac/dkaa399</w:t>
        </w:r>
      </w:hyperlink>
    </w:p>
    <w:p w14:paraId="023C437D" w14:textId="1F954359"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Bilar, A. and Akudo, I.P. (2021). Phytochemical and antioxidant properties of the Nigeria Kola: Kola acuminata (Oji Igbo) Kola vera (Oji Hausa) and </w:t>
      </w:r>
      <w:r w:rsidRPr="00572528">
        <w:rPr>
          <w:rFonts w:ascii="Arial" w:hAnsi="Arial" w:cs="Arial"/>
          <w:i/>
          <w:sz w:val="20"/>
          <w:szCs w:val="20"/>
        </w:rPr>
        <w:t>Garcinia kola</w:t>
      </w:r>
      <w:r w:rsidRPr="00572528">
        <w:rPr>
          <w:rFonts w:ascii="Arial" w:hAnsi="Arial" w:cs="Arial"/>
          <w:sz w:val="20"/>
          <w:szCs w:val="20"/>
        </w:rPr>
        <w:t xml:space="preserve"> (Bitter Kola). </w:t>
      </w:r>
      <w:r w:rsidRPr="00572528">
        <w:rPr>
          <w:rFonts w:ascii="Arial" w:hAnsi="Arial" w:cs="Arial"/>
          <w:i/>
          <w:iCs/>
          <w:sz w:val="20"/>
          <w:szCs w:val="20"/>
        </w:rPr>
        <w:t>Journal of medicinal plants studies</w:t>
      </w:r>
      <w:r w:rsidRPr="00572528">
        <w:rPr>
          <w:rFonts w:ascii="Arial" w:hAnsi="Arial" w:cs="Arial"/>
          <w:sz w:val="20"/>
          <w:szCs w:val="20"/>
        </w:rPr>
        <w:t>.9 (5): 41 – 46</w:t>
      </w:r>
      <w:r w:rsidR="00C440A2" w:rsidRPr="00572528">
        <w:rPr>
          <w:rFonts w:ascii="Arial" w:hAnsi="Arial" w:cs="Arial"/>
          <w:sz w:val="20"/>
          <w:szCs w:val="20"/>
        </w:rPr>
        <w:t xml:space="preserve">. </w:t>
      </w:r>
      <w:hyperlink r:id="rId15" w:history="1">
        <w:r w:rsidR="00C440A2" w:rsidRPr="00572528">
          <w:rPr>
            <w:rStyle w:val="Hyperlink"/>
            <w:rFonts w:ascii="Arial" w:hAnsi="Arial" w:cs="Arial"/>
            <w:sz w:val="20"/>
            <w:szCs w:val="20"/>
          </w:rPr>
          <w:t>https://www.plantsjournal.com/archives/2021/vol9issue5/PartA/9-5-2-376.pdf</w:t>
        </w:r>
      </w:hyperlink>
    </w:p>
    <w:p w14:paraId="5CF5CC2E" w14:textId="75019804"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Dogara AM, Hamad SW, Hama HA, Bradosty SW, Kayfi S, Al-Rawi S, Lema A. 2022, Biological Evaluation of </w:t>
      </w:r>
      <w:r w:rsidRPr="00572528">
        <w:rPr>
          <w:rFonts w:ascii="Arial" w:hAnsi="Arial" w:cs="Arial"/>
          <w:i/>
          <w:sz w:val="20"/>
          <w:szCs w:val="20"/>
        </w:rPr>
        <w:t>Garcinia kola</w:t>
      </w:r>
      <w:r w:rsidRPr="00572528">
        <w:rPr>
          <w:rFonts w:ascii="Arial" w:hAnsi="Arial" w:cs="Arial"/>
          <w:sz w:val="20"/>
          <w:szCs w:val="20"/>
        </w:rPr>
        <w:t xml:space="preserve"> Heckel. </w:t>
      </w:r>
      <w:r w:rsidRPr="00572528">
        <w:rPr>
          <w:rFonts w:ascii="Arial" w:hAnsi="Arial" w:cs="Arial"/>
          <w:i/>
          <w:iCs/>
          <w:sz w:val="20"/>
          <w:szCs w:val="20"/>
        </w:rPr>
        <w:t>Advances in Pharmacological and Pharmaceutical Sciences Article</w:t>
      </w:r>
      <w:r w:rsidRPr="00572528">
        <w:rPr>
          <w:rFonts w:ascii="Arial" w:hAnsi="Arial" w:cs="Arial"/>
          <w:sz w:val="20"/>
          <w:szCs w:val="20"/>
        </w:rPr>
        <w:t xml:space="preserve"> ID 3837965, 1 </w:t>
      </w:r>
      <w:r w:rsidR="00D42D1C" w:rsidRPr="00572528">
        <w:rPr>
          <w:rFonts w:ascii="Arial" w:hAnsi="Arial" w:cs="Arial"/>
          <w:sz w:val="20"/>
          <w:szCs w:val="20"/>
        </w:rPr>
        <w:t>–</w:t>
      </w:r>
      <w:r w:rsidRPr="00572528">
        <w:rPr>
          <w:rFonts w:ascii="Arial" w:hAnsi="Arial" w:cs="Arial"/>
          <w:sz w:val="20"/>
          <w:szCs w:val="20"/>
        </w:rPr>
        <w:t xml:space="preserve"> 15</w:t>
      </w:r>
      <w:r w:rsidR="00D42D1C" w:rsidRPr="00572528">
        <w:rPr>
          <w:rFonts w:ascii="Arial" w:hAnsi="Arial" w:cs="Arial"/>
          <w:sz w:val="20"/>
          <w:szCs w:val="20"/>
        </w:rPr>
        <w:t xml:space="preserve">. </w:t>
      </w:r>
      <w:hyperlink r:id="rId16" w:history="1">
        <w:r w:rsidR="00D42D1C" w:rsidRPr="00572528">
          <w:rPr>
            <w:rStyle w:val="Hyperlink"/>
            <w:rFonts w:ascii="Arial" w:hAnsi="Arial" w:cs="Arial"/>
            <w:sz w:val="20"/>
            <w:szCs w:val="20"/>
          </w:rPr>
          <w:t>https://doi.org/10.1155/2022/3837965</w:t>
        </w:r>
      </w:hyperlink>
    </w:p>
    <w:p w14:paraId="5CA6DC46" w14:textId="7F8AB473"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Halabi, M, K., Lahlou, F, A., Diawara, I., Adouzi, Y., Marnaoui, R., Benmessaoud, R., Smyej, I. 2021. Antibiotic Resistance Pattern of Extended Spectrum Beta Lactamase Producing Escherichia </w:t>
      </w:r>
      <w:r w:rsidRPr="00572528">
        <w:rPr>
          <w:rFonts w:ascii="Arial" w:hAnsi="Arial" w:cs="Arial"/>
          <w:i/>
          <w:sz w:val="20"/>
          <w:szCs w:val="20"/>
        </w:rPr>
        <w:t>coli</w:t>
      </w:r>
      <w:r w:rsidRPr="00572528">
        <w:rPr>
          <w:rFonts w:ascii="Arial" w:hAnsi="Arial" w:cs="Arial"/>
          <w:sz w:val="20"/>
          <w:szCs w:val="20"/>
        </w:rPr>
        <w:t xml:space="preserve"> Isolated from Patients With Urinary Tract Infection in Morocco</w:t>
      </w:r>
      <w:r w:rsidR="00D42D1C" w:rsidRPr="00572528">
        <w:rPr>
          <w:rFonts w:ascii="Arial" w:hAnsi="Arial" w:cs="Arial"/>
          <w:i/>
          <w:iCs/>
          <w:sz w:val="20"/>
          <w:szCs w:val="20"/>
        </w:rPr>
        <w:t>.</w:t>
      </w:r>
      <w:r w:rsidRPr="00572528">
        <w:rPr>
          <w:rFonts w:ascii="Arial" w:hAnsi="Arial" w:cs="Arial"/>
          <w:i/>
          <w:iCs/>
          <w:sz w:val="20"/>
          <w:szCs w:val="20"/>
        </w:rPr>
        <w:t xml:space="preserve"> Frontiers in Cellular and Infection Microbiology, </w:t>
      </w:r>
      <w:r w:rsidRPr="00572528">
        <w:rPr>
          <w:rFonts w:ascii="Arial" w:hAnsi="Arial" w:cs="Arial"/>
          <w:sz w:val="20"/>
          <w:szCs w:val="20"/>
        </w:rPr>
        <w:t>11, 720701</w:t>
      </w:r>
      <w:r w:rsidR="00D42D1C" w:rsidRPr="00572528">
        <w:rPr>
          <w:rFonts w:ascii="Arial" w:hAnsi="Arial" w:cs="Arial"/>
          <w:sz w:val="20"/>
          <w:szCs w:val="20"/>
        </w:rPr>
        <w:t xml:space="preserve">. </w:t>
      </w:r>
      <w:hyperlink r:id="rId17" w:history="1">
        <w:r w:rsidR="00D42D1C" w:rsidRPr="00572528">
          <w:rPr>
            <w:rStyle w:val="Hyperlink"/>
            <w:rFonts w:ascii="Arial" w:hAnsi="Arial" w:cs="Arial"/>
            <w:sz w:val="20"/>
            <w:szCs w:val="20"/>
          </w:rPr>
          <w:t>https://doi.org/10.3389/fcimb.2021.720701</w:t>
        </w:r>
      </w:hyperlink>
    </w:p>
    <w:p w14:paraId="085D58ED" w14:textId="12E88EF8"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Husna, A.; Rahman, M.M.; Badruzzaman, A.T.M.; Sikder, M.H.; Islam, M.R.; Rahman, M.T.; Alam, J.; Ashour, H.M. 2023 Extended-Spectrum_-Lactamases (ESBL): Challenges and Opportunities. </w:t>
      </w:r>
      <w:r w:rsidRPr="00572528">
        <w:rPr>
          <w:rFonts w:ascii="Arial" w:hAnsi="Arial" w:cs="Arial"/>
          <w:i/>
          <w:iCs/>
          <w:sz w:val="20"/>
          <w:szCs w:val="20"/>
        </w:rPr>
        <w:t>Biomedicines</w:t>
      </w:r>
      <w:r w:rsidRPr="00572528">
        <w:rPr>
          <w:rFonts w:ascii="Arial" w:hAnsi="Arial" w:cs="Arial"/>
          <w:sz w:val="20"/>
          <w:szCs w:val="20"/>
        </w:rPr>
        <w:t>.11, 2937.</w:t>
      </w:r>
      <w:r w:rsidR="00C440A2" w:rsidRPr="00572528">
        <w:rPr>
          <w:rFonts w:ascii="Arial" w:hAnsi="Arial" w:cs="Arial"/>
          <w:sz w:val="20"/>
          <w:szCs w:val="20"/>
        </w:rPr>
        <w:t xml:space="preserve"> </w:t>
      </w:r>
      <w:hyperlink r:id="rId18" w:history="1">
        <w:r w:rsidR="00C440A2" w:rsidRPr="00572528">
          <w:rPr>
            <w:rStyle w:val="Hyperlink"/>
            <w:rFonts w:ascii="Arial" w:hAnsi="Arial" w:cs="Arial"/>
            <w:sz w:val="20"/>
            <w:szCs w:val="20"/>
          </w:rPr>
          <w:t>https://doi.org/10.3390/biomedicines11112937</w:t>
        </w:r>
      </w:hyperlink>
      <w:r w:rsidR="00C440A2" w:rsidRPr="00572528">
        <w:rPr>
          <w:rFonts w:ascii="Arial" w:hAnsi="Arial" w:cs="Arial"/>
          <w:sz w:val="20"/>
          <w:szCs w:val="20"/>
        </w:rPr>
        <w:t>.</w:t>
      </w:r>
    </w:p>
    <w:p w14:paraId="00293A5E" w14:textId="30F9CD36"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Ibedu C, L., Ihetu C, C., Okoro O, S., Obeagu, E,I. (2018). Phytochemical composition and antimicrobial properties of </w:t>
      </w:r>
      <w:r w:rsidRPr="00572528">
        <w:rPr>
          <w:rFonts w:ascii="Arial" w:hAnsi="Arial" w:cs="Arial"/>
          <w:i/>
          <w:sz w:val="20"/>
          <w:szCs w:val="20"/>
        </w:rPr>
        <w:t>Garcinia kola</w:t>
      </w:r>
      <w:r w:rsidRPr="00572528">
        <w:rPr>
          <w:rFonts w:ascii="Arial" w:hAnsi="Arial" w:cs="Arial"/>
          <w:sz w:val="20"/>
          <w:szCs w:val="20"/>
        </w:rPr>
        <w:t xml:space="preserve"> (Bitter Kola) seed extract. </w:t>
      </w:r>
      <w:r w:rsidRPr="00572528">
        <w:rPr>
          <w:rFonts w:ascii="Arial" w:hAnsi="Arial" w:cs="Arial"/>
          <w:i/>
          <w:iCs/>
          <w:sz w:val="20"/>
          <w:szCs w:val="20"/>
        </w:rPr>
        <w:t>International journal of current research in chemistry and pharmaceutical science</w:t>
      </w:r>
      <w:r w:rsidRPr="00572528">
        <w:rPr>
          <w:rFonts w:ascii="Arial" w:hAnsi="Arial" w:cs="Arial"/>
          <w:sz w:val="20"/>
          <w:szCs w:val="20"/>
        </w:rPr>
        <w:t>s. 5(11): 8-12</w:t>
      </w:r>
      <w:r w:rsidR="00D42D1C" w:rsidRPr="00572528">
        <w:rPr>
          <w:rFonts w:ascii="Arial" w:hAnsi="Arial" w:cs="Arial"/>
          <w:sz w:val="20"/>
          <w:szCs w:val="20"/>
        </w:rPr>
        <w:t xml:space="preserve">. </w:t>
      </w:r>
      <w:hyperlink r:id="rId19" w:history="1">
        <w:r w:rsidR="00D42D1C" w:rsidRPr="00572528">
          <w:rPr>
            <w:rStyle w:val="Hyperlink"/>
            <w:rFonts w:ascii="Arial" w:hAnsi="Arial" w:cs="Arial"/>
            <w:sz w:val="20"/>
            <w:szCs w:val="20"/>
          </w:rPr>
          <w:t>https://doi.org/10.22192/ijcrcps.2018.05.11.002</w:t>
        </w:r>
      </w:hyperlink>
    </w:p>
    <w:p w14:paraId="48B0D973" w14:textId="63DEE2FF"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Ibrahim, D.R., Dodd, C.E.R., Stekel, D.J., Meshioye, R.T., Diggle, M., Lister, M., Hobman, J.L. (2023). Multidrug-Resistant ESBL-Producing E. coli in Clinical Samples from the UK. </w:t>
      </w:r>
      <w:r w:rsidRPr="00572528">
        <w:rPr>
          <w:rFonts w:ascii="Arial" w:hAnsi="Arial" w:cs="Arial"/>
          <w:i/>
          <w:iCs/>
          <w:sz w:val="20"/>
          <w:szCs w:val="20"/>
        </w:rPr>
        <w:t>Antibiotics</w:t>
      </w:r>
      <w:r w:rsidRPr="00572528">
        <w:rPr>
          <w:rFonts w:ascii="Arial" w:hAnsi="Arial" w:cs="Arial"/>
          <w:sz w:val="20"/>
          <w:szCs w:val="20"/>
        </w:rPr>
        <w:t>, 12, 169.</w:t>
      </w:r>
      <w:r w:rsidR="00D42D1C" w:rsidRPr="00572528">
        <w:rPr>
          <w:rFonts w:ascii="Arial" w:hAnsi="Arial" w:cs="Arial"/>
          <w:sz w:val="20"/>
          <w:szCs w:val="20"/>
        </w:rPr>
        <w:t xml:space="preserve"> </w:t>
      </w:r>
      <w:hyperlink r:id="rId20" w:history="1">
        <w:r w:rsidR="00D42D1C" w:rsidRPr="00572528">
          <w:rPr>
            <w:rStyle w:val="Hyperlink"/>
            <w:rFonts w:ascii="Arial" w:hAnsi="Arial" w:cs="Arial"/>
            <w:sz w:val="20"/>
            <w:szCs w:val="20"/>
          </w:rPr>
          <w:t>https://doi.org/10.3390/antibiotics12010169</w:t>
        </w:r>
      </w:hyperlink>
    </w:p>
    <w:p w14:paraId="4392FE8D" w14:textId="4412DC7D"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lastRenderedPageBreak/>
        <w:t xml:space="preserve">Iqbal, R., Ikram, N., Shoaib, M., Muhammad, J.A., Raja, T.M., Abid, A.N., Aanam, A., Bushra, I. and Faiza, N. (2017). Phenotypic cofirmatory disc diffusion test (PCDDT), double disc synergy test (DDST), E-test OS diagnostic tool for detection of extended spectrum beta lactamase (ESΒL) producing Uropathogens. </w:t>
      </w:r>
      <w:r w:rsidRPr="00572528">
        <w:rPr>
          <w:rFonts w:ascii="Arial" w:hAnsi="Arial" w:cs="Arial"/>
          <w:i/>
          <w:iCs/>
          <w:sz w:val="20"/>
          <w:szCs w:val="20"/>
        </w:rPr>
        <w:t>Journal of Applied Biotechnology Bioengineering</w:t>
      </w:r>
      <w:r w:rsidRPr="00572528">
        <w:rPr>
          <w:rFonts w:ascii="Arial" w:hAnsi="Arial" w:cs="Arial"/>
          <w:sz w:val="20"/>
          <w:szCs w:val="20"/>
        </w:rPr>
        <w:t>, 3(3), pp.344-349.</w:t>
      </w:r>
      <w:r w:rsidR="00D42D1C" w:rsidRPr="00572528">
        <w:rPr>
          <w:rFonts w:ascii="Arial" w:hAnsi="Arial" w:cs="Arial"/>
          <w:sz w:val="20"/>
          <w:szCs w:val="20"/>
        </w:rPr>
        <w:t xml:space="preserve"> </w:t>
      </w:r>
      <w:hyperlink r:id="rId21" w:history="1">
        <w:r w:rsidR="00D42D1C" w:rsidRPr="00572528">
          <w:rPr>
            <w:rStyle w:val="Hyperlink"/>
            <w:rFonts w:ascii="Arial" w:hAnsi="Arial" w:cs="Arial"/>
            <w:sz w:val="20"/>
            <w:szCs w:val="20"/>
          </w:rPr>
          <w:t>https://doi.org/10.15406/jabb.2017.03.00068</w:t>
        </w:r>
      </w:hyperlink>
    </w:p>
    <w:p w14:paraId="793C2D0D" w14:textId="0ACA3690"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Iseghohi, F., Igwe, J.C., Galadima, M., Kuta, A.F., Abdullahi, A.M. and Chukwunwejim, C.R. (2020). Prevalence Of Extended Spectrum Beta-Lactamases (ESBLs)-Producing </w:t>
      </w:r>
      <w:r w:rsidRPr="00572528">
        <w:rPr>
          <w:rFonts w:ascii="Arial" w:hAnsi="Arial" w:cs="Arial"/>
          <w:i/>
          <w:sz w:val="20"/>
          <w:szCs w:val="20"/>
        </w:rPr>
        <w:t>Escherichia Coli</w:t>
      </w:r>
      <w:r w:rsidRPr="00572528">
        <w:rPr>
          <w:rFonts w:ascii="Arial" w:hAnsi="Arial" w:cs="Arial"/>
          <w:sz w:val="20"/>
          <w:szCs w:val="20"/>
        </w:rPr>
        <w:t xml:space="preserve"> Isolated From UTI Patients Attending some Selected Hospitals In Minna, </w:t>
      </w:r>
      <w:r w:rsidRPr="00572528">
        <w:rPr>
          <w:rFonts w:ascii="Arial" w:hAnsi="Arial" w:cs="Arial"/>
          <w:i/>
          <w:iCs/>
          <w:sz w:val="20"/>
          <w:szCs w:val="20"/>
        </w:rPr>
        <w:t>Nigeria. Nigerian Journal of Biotechnology</w:t>
      </w:r>
      <w:r w:rsidRPr="00572528">
        <w:rPr>
          <w:rFonts w:ascii="Arial" w:hAnsi="Arial" w:cs="Arial"/>
          <w:sz w:val="20"/>
          <w:szCs w:val="20"/>
        </w:rPr>
        <w:t>, 37(2), pp.56-73.</w:t>
      </w:r>
      <w:r w:rsidR="00D42D1C" w:rsidRPr="00572528">
        <w:rPr>
          <w:rFonts w:ascii="Arial" w:hAnsi="Arial" w:cs="Arial"/>
          <w:sz w:val="20"/>
          <w:szCs w:val="20"/>
        </w:rPr>
        <w:t xml:space="preserve"> </w:t>
      </w:r>
      <w:hyperlink r:id="rId22" w:history="1">
        <w:r w:rsidR="00D42D1C" w:rsidRPr="00572528">
          <w:rPr>
            <w:rStyle w:val="Hyperlink"/>
            <w:rFonts w:ascii="Arial" w:hAnsi="Arial" w:cs="Arial"/>
            <w:sz w:val="20"/>
            <w:szCs w:val="20"/>
          </w:rPr>
          <w:t>https://dx.doi.org/10.4314/njb.v37i2.6</w:t>
        </w:r>
      </w:hyperlink>
    </w:p>
    <w:p w14:paraId="14995704" w14:textId="0B7A43B4"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Mancini, A., Pucciarelli, S., Lombardi, E.F., Barocci, S., Pauri, P., Lodolini, S. 2020. Differences between Community - and Hospital – acquired urinary tract infections in a tertiary care hospital</w:t>
      </w:r>
      <w:r w:rsidR="00D42D1C" w:rsidRPr="00572528">
        <w:rPr>
          <w:rFonts w:ascii="Arial" w:hAnsi="Arial" w:cs="Arial"/>
          <w:sz w:val="20"/>
          <w:szCs w:val="20"/>
        </w:rPr>
        <w:t>.</w:t>
      </w:r>
      <w:r w:rsidRPr="00572528">
        <w:rPr>
          <w:rFonts w:ascii="Arial" w:hAnsi="Arial" w:cs="Arial"/>
          <w:sz w:val="20"/>
          <w:szCs w:val="20"/>
        </w:rPr>
        <w:t xml:space="preserve"> </w:t>
      </w:r>
      <w:r w:rsidRPr="00572528">
        <w:rPr>
          <w:rFonts w:ascii="Arial" w:hAnsi="Arial" w:cs="Arial"/>
          <w:i/>
          <w:iCs/>
          <w:sz w:val="20"/>
          <w:szCs w:val="20"/>
        </w:rPr>
        <w:t>New Microbiologica</w:t>
      </w:r>
      <w:r w:rsidRPr="00572528">
        <w:rPr>
          <w:rFonts w:ascii="Arial" w:hAnsi="Arial" w:cs="Arial"/>
          <w:sz w:val="20"/>
          <w:szCs w:val="20"/>
        </w:rPr>
        <w:t>, 43, 1, 17-21</w:t>
      </w:r>
      <w:r w:rsidR="00D42D1C" w:rsidRPr="00572528">
        <w:rPr>
          <w:rFonts w:ascii="Arial" w:hAnsi="Arial" w:cs="Arial"/>
          <w:sz w:val="20"/>
          <w:szCs w:val="20"/>
        </w:rPr>
        <w:t xml:space="preserve">. </w:t>
      </w:r>
      <w:hyperlink r:id="rId23" w:history="1">
        <w:r w:rsidR="00D42D1C" w:rsidRPr="00572528">
          <w:rPr>
            <w:rStyle w:val="Hyperlink"/>
            <w:rFonts w:ascii="Arial" w:hAnsi="Arial" w:cs="Arial"/>
            <w:sz w:val="20"/>
            <w:szCs w:val="20"/>
          </w:rPr>
          <w:t>https://www.researchgate.net/profile/Alessio-Mancini/publication/337870227_Differences_between_Community-_and_Hospital-acquired_urinary_tract_infections_in_a_tertiary_care_hospital/links/5e614757a6fdccac3cee8aa7/Differences-between-Community-and-Hospital-acquired-urinary-tract-infections-in-a-tertiary-care-hospital.pdf</w:t>
        </w:r>
      </w:hyperlink>
    </w:p>
    <w:p w14:paraId="59AC01B4" w14:textId="748C946F" w:rsidR="007806E8" w:rsidRPr="00572528" w:rsidRDefault="007806E8" w:rsidP="007806E8">
      <w:pPr>
        <w:pStyle w:val="ListParagraph"/>
        <w:numPr>
          <w:ilvl w:val="0"/>
          <w:numId w:val="31"/>
        </w:numPr>
        <w:spacing w:line="480" w:lineRule="auto"/>
        <w:jc w:val="both"/>
        <w:rPr>
          <w:rFonts w:ascii="Arial" w:hAnsi="Arial" w:cs="Arial"/>
          <w:sz w:val="20"/>
          <w:szCs w:val="20"/>
        </w:rPr>
      </w:pPr>
      <w:bookmarkStart w:id="41" w:name="_Hlk179187056"/>
      <w:r w:rsidRPr="00572528">
        <w:rPr>
          <w:rFonts w:ascii="Arial" w:hAnsi="Arial" w:cs="Arial"/>
          <w:sz w:val="20"/>
          <w:szCs w:val="20"/>
        </w:rPr>
        <w:t>Manourová</w:t>
      </w:r>
      <w:bookmarkEnd w:id="41"/>
      <w:r w:rsidRPr="00572528">
        <w:rPr>
          <w:rFonts w:ascii="Arial" w:hAnsi="Arial" w:cs="Arial"/>
          <w:sz w:val="20"/>
          <w:szCs w:val="20"/>
        </w:rPr>
        <w:t xml:space="preserve"> A, Leuner O, Tchoundjeu Z, Van Damme P, Verner V, Pˇribyl O and Lojka B. </w:t>
      </w:r>
      <w:r w:rsidR="006E5F4E" w:rsidRPr="00572528">
        <w:rPr>
          <w:rFonts w:ascii="Arial" w:hAnsi="Arial" w:cs="Arial"/>
          <w:sz w:val="20"/>
          <w:szCs w:val="20"/>
        </w:rPr>
        <w:t>(</w:t>
      </w:r>
      <w:r w:rsidRPr="00572528">
        <w:rPr>
          <w:rFonts w:ascii="Arial" w:hAnsi="Arial" w:cs="Arial"/>
          <w:sz w:val="20"/>
          <w:szCs w:val="20"/>
        </w:rPr>
        <w:t>2019</w:t>
      </w:r>
      <w:r w:rsidR="006E5F4E" w:rsidRPr="00572528">
        <w:rPr>
          <w:rFonts w:ascii="Arial" w:hAnsi="Arial" w:cs="Arial"/>
          <w:sz w:val="20"/>
          <w:szCs w:val="20"/>
        </w:rPr>
        <w:t>).</w:t>
      </w:r>
      <w:r w:rsidRPr="00572528">
        <w:rPr>
          <w:rFonts w:ascii="Arial" w:hAnsi="Arial" w:cs="Arial"/>
          <w:sz w:val="20"/>
          <w:szCs w:val="20"/>
        </w:rPr>
        <w:t xml:space="preserve"> Medicinal Potential, Utilization and Domestication Status of Bitter Kola (Garcinia kola Heckel) in West and Central Africa. </w:t>
      </w:r>
      <w:r w:rsidRPr="00572528">
        <w:rPr>
          <w:rFonts w:ascii="Arial" w:hAnsi="Arial" w:cs="Arial"/>
          <w:i/>
          <w:iCs/>
          <w:sz w:val="20"/>
          <w:szCs w:val="20"/>
        </w:rPr>
        <w:t>Forests</w:t>
      </w:r>
      <w:r w:rsidRPr="00572528">
        <w:rPr>
          <w:rFonts w:ascii="Arial" w:hAnsi="Arial" w:cs="Arial"/>
          <w:sz w:val="20"/>
          <w:szCs w:val="20"/>
        </w:rPr>
        <w:t>, 10, 124</w:t>
      </w:r>
      <w:r w:rsidR="006E5F4E" w:rsidRPr="00572528">
        <w:rPr>
          <w:rFonts w:ascii="Arial" w:hAnsi="Arial" w:cs="Arial"/>
          <w:sz w:val="20"/>
          <w:szCs w:val="20"/>
        </w:rPr>
        <w:t xml:space="preserve">. </w:t>
      </w:r>
      <w:hyperlink r:id="rId24" w:history="1">
        <w:r w:rsidR="006E5F4E" w:rsidRPr="00572528">
          <w:rPr>
            <w:rStyle w:val="Hyperlink"/>
            <w:rFonts w:ascii="Arial" w:hAnsi="Arial" w:cs="Arial"/>
            <w:sz w:val="20"/>
            <w:szCs w:val="20"/>
          </w:rPr>
          <w:t>https://doi.org/10.3390/f10020124</w:t>
        </w:r>
      </w:hyperlink>
      <w:r w:rsidR="006E5F4E" w:rsidRPr="00572528">
        <w:rPr>
          <w:rFonts w:ascii="Arial" w:hAnsi="Arial" w:cs="Arial"/>
          <w:sz w:val="20"/>
          <w:szCs w:val="20"/>
        </w:rPr>
        <w:t>.</w:t>
      </w:r>
    </w:p>
    <w:p w14:paraId="36CA3AA5" w14:textId="512927CA"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Nwadike, B, I., Oyetunji, K, J. (2024). Antibacterial, Phytochemical and Toxicological Activities of </w:t>
      </w:r>
      <w:r w:rsidRPr="00572528">
        <w:rPr>
          <w:rFonts w:ascii="Arial" w:hAnsi="Arial" w:cs="Arial"/>
          <w:i/>
          <w:sz w:val="20"/>
          <w:szCs w:val="20"/>
        </w:rPr>
        <w:t>Garcinia kola</w:t>
      </w:r>
      <w:r w:rsidRPr="00572528">
        <w:rPr>
          <w:rFonts w:ascii="Arial" w:hAnsi="Arial" w:cs="Arial"/>
          <w:sz w:val="20"/>
          <w:szCs w:val="20"/>
        </w:rPr>
        <w:t xml:space="preserve"> Extracts against Multidrug Resistant Clinical Bacteria. </w:t>
      </w:r>
      <w:r w:rsidRPr="00572528">
        <w:rPr>
          <w:rFonts w:ascii="Arial" w:hAnsi="Arial" w:cs="Arial"/>
          <w:i/>
          <w:iCs/>
          <w:sz w:val="20"/>
          <w:szCs w:val="20"/>
        </w:rPr>
        <w:t xml:space="preserve">International Journal of Traditional and Complementary </w:t>
      </w:r>
      <w:r w:rsidRPr="00572528">
        <w:rPr>
          <w:rFonts w:ascii="Arial" w:hAnsi="Arial" w:cs="Arial"/>
          <w:sz w:val="20"/>
          <w:szCs w:val="20"/>
        </w:rPr>
        <w:t>;5(1):28-38</w:t>
      </w:r>
      <w:r w:rsidR="006E5F4E" w:rsidRPr="00572528">
        <w:rPr>
          <w:rFonts w:ascii="Arial" w:hAnsi="Arial" w:cs="Arial"/>
          <w:sz w:val="20"/>
          <w:szCs w:val="20"/>
        </w:rPr>
        <w:t xml:space="preserve">. </w:t>
      </w:r>
      <w:hyperlink r:id="rId25" w:history="1">
        <w:r w:rsidR="006E5F4E" w:rsidRPr="00572528">
          <w:rPr>
            <w:rStyle w:val="Hyperlink"/>
            <w:rFonts w:ascii="Arial" w:hAnsi="Arial" w:cs="Arial"/>
            <w:sz w:val="20"/>
            <w:szCs w:val="20"/>
          </w:rPr>
          <w:t>https://doi.org/10.53811/ijtcmr.1407843</w:t>
        </w:r>
      </w:hyperlink>
    </w:p>
    <w:p w14:paraId="0738A722" w14:textId="0C459975"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Nwobodo, H. A., Udeani, T. K. C., and Abraham-Oyiugh A. (2021). Prevalence of Extended Broad-spectrum β-lactamase producing bacteria in individuals with urinary tract infections in selected health facilities in Enugu, Nigeria. </w:t>
      </w:r>
      <w:r w:rsidRPr="00572528">
        <w:rPr>
          <w:rFonts w:ascii="Arial" w:hAnsi="Arial" w:cs="Arial"/>
          <w:i/>
          <w:iCs/>
          <w:sz w:val="20"/>
          <w:szCs w:val="20"/>
        </w:rPr>
        <w:t>Experimental Research Journal</w:t>
      </w:r>
      <w:r w:rsidRPr="00572528">
        <w:rPr>
          <w:rFonts w:ascii="Arial" w:hAnsi="Arial" w:cs="Arial"/>
          <w:sz w:val="20"/>
          <w:szCs w:val="20"/>
        </w:rPr>
        <w:t>. 9(2). 77 – 86.</w:t>
      </w:r>
      <w:r w:rsidR="006E5F4E" w:rsidRPr="00572528">
        <w:rPr>
          <w:rFonts w:ascii="Arial" w:hAnsi="Arial" w:cs="Arial"/>
          <w:sz w:val="20"/>
          <w:szCs w:val="20"/>
        </w:rPr>
        <w:t xml:space="preserve"> </w:t>
      </w:r>
      <w:hyperlink r:id="rId26" w:history="1">
        <w:r w:rsidR="006E5F4E" w:rsidRPr="00572528">
          <w:rPr>
            <w:rStyle w:val="Hyperlink"/>
            <w:rFonts w:ascii="Arial" w:hAnsi="Arial" w:cs="Arial"/>
            <w:sz w:val="20"/>
            <w:szCs w:val="20"/>
          </w:rPr>
          <w:t>http://www.er-journal.com/papers/NWOBODO1_June_2021_9_2_68-76.pdf</w:t>
        </w:r>
      </w:hyperlink>
    </w:p>
    <w:p w14:paraId="23707901" w14:textId="209815F4"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Onwuliri E. A., Opara J. K., Agumah N. B., Onwuliri F. C., Oru C. M., Njoku M. (2021)</w:t>
      </w:r>
      <w:r w:rsidR="006E5F4E" w:rsidRPr="00572528">
        <w:rPr>
          <w:rFonts w:ascii="Arial" w:hAnsi="Arial" w:cs="Arial"/>
          <w:sz w:val="20"/>
          <w:szCs w:val="20"/>
        </w:rPr>
        <w:t>.</w:t>
      </w:r>
      <w:r w:rsidRPr="00572528">
        <w:rPr>
          <w:rFonts w:ascii="Arial" w:hAnsi="Arial" w:cs="Arial"/>
          <w:sz w:val="20"/>
          <w:szCs w:val="20"/>
        </w:rPr>
        <w:t xml:space="preserve"> Evaluation of Phytochemical and Proximate Composition of </w:t>
      </w:r>
      <w:r w:rsidRPr="00572528">
        <w:rPr>
          <w:rFonts w:ascii="Arial" w:hAnsi="Arial" w:cs="Arial"/>
          <w:i/>
          <w:sz w:val="20"/>
          <w:szCs w:val="20"/>
        </w:rPr>
        <w:t>Garcinia Kola</w:t>
      </w:r>
      <w:r w:rsidRPr="00572528">
        <w:rPr>
          <w:rFonts w:ascii="Arial" w:hAnsi="Arial" w:cs="Arial"/>
          <w:sz w:val="20"/>
          <w:szCs w:val="20"/>
        </w:rPr>
        <w:t xml:space="preserve"> Seeds and </w:t>
      </w:r>
      <w:r w:rsidRPr="00572528">
        <w:rPr>
          <w:rFonts w:ascii="Arial" w:hAnsi="Arial" w:cs="Arial"/>
          <w:i/>
          <w:sz w:val="20"/>
          <w:szCs w:val="20"/>
        </w:rPr>
        <w:t xml:space="preserve">Vernonia </w:t>
      </w:r>
      <w:r w:rsidRPr="00572528">
        <w:rPr>
          <w:rFonts w:ascii="Arial" w:hAnsi="Arial" w:cs="Arial"/>
          <w:i/>
          <w:sz w:val="20"/>
          <w:szCs w:val="20"/>
        </w:rPr>
        <w:lastRenderedPageBreak/>
        <w:t>Amygdalina</w:t>
      </w:r>
      <w:r w:rsidRPr="00572528">
        <w:rPr>
          <w:rFonts w:ascii="Arial" w:hAnsi="Arial" w:cs="Arial"/>
          <w:sz w:val="20"/>
          <w:szCs w:val="20"/>
        </w:rPr>
        <w:t xml:space="preserve"> Leaves Sold In Abuja. </w:t>
      </w:r>
      <w:r w:rsidRPr="00572528">
        <w:rPr>
          <w:rFonts w:ascii="Arial" w:hAnsi="Arial" w:cs="Arial"/>
          <w:i/>
          <w:iCs/>
          <w:sz w:val="20"/>
          <w:szCs w:val="20"/>
        </w:rPr>
        <w:t>Journal Of Pharmacy</w:t>
      </w:r>
      <w:r w:rsidRPr="00572528">
        <w:rPr>
          <w:rFonts w:ascii="Arial" w:hAnsi="Arial" w:cs="Arial"/>
          <w:sz w:val="20"/>
          <w:szCs w:val="20"/>
        </w:rPr>
        <w:t>.11 (4) PP. 22-28</w:t>
      </w:r>
      <w:r w:rsidR="00BF424A" w:rsidRPr="00572528">
        <w:rPr>
          <w:rFonts w:ascii="Arial" w:hAnsi="Arial" w:cs="Arial"/>
          <w:sz w:val="20"/>
          <w:szCs w:val="20"/>
        </w:rPr>
        <w:t xml:space="preserve">. </w:t>
      </w:r>
      <w:hyperlink r:id="rId27" w:history="1">
        <w:r w:rsidR="00BF424A" w:rsidRPr="00572528">
          <w:rPr>
            <w:rStyle w:val="Hyperlink"/>
            <w:rFonts w:ascii="Arial" w:hAnsi="Arial" w:cs="Arial"/>
            <w:sz w:val="20"/>
            <w:szCs w:val="20"/>
          </w:rPr>
          <w:t>https://www.academia.edu/download/67423717/D1104012228.pdf</w:t>
        </w:r>
      </w:hyperlink>
    </w:p>
    <w:p w14:paraId="2CDED0F0" w14:textId="4BF65F93"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Pantha, S., Parajuli, H., Arjyal, C. (2024). Phenotypic characterization of ESBL-producing urinary isolates of </w:t>
      </w:r>
      <w:r w:rsidRPr="00572528">
        <w:rPr>
          <w:rFonts w:ascii="Arial" w:hAnsi="Arial" w:cs="Arial"/>
          <w:i/>
          <w:sz w:val="20"/>
          <w:szCs w:val="20"/>
        </w:rPr>
        <w:t>E. coli</w:t>
      </w:r>
      <w:r w:rsidRPr="00572528">
        <w:rPr>
          <w:rFonts w:ascii="Arial" w:hAnsi="Arial" w:cs="Arial"/>
          <w:sz w:val="20"/>
          <w:szCs w:val="20"/>
        </w:rPr>
        <w:t xml:space="preserve"> and </w:t>
      </w:r>
      <w:r w:rsidRPr="00572528">
        <w:rPr>
          <w:rFonts w:ascii="Arial" w:hAnsi="Arial" w:cs="Arial"/>
          <w:i/>
          <w:sz w:val="20"/>
          <w:szCs w:val="20"/>
        </w:rPr>
        <w:t>Klebsiella</w:t>
      </w:r>
      <w:r w:rsidRPr="00572528">
        <w:rPr>
          <w:rFonts w:ascii="Arial" w:hAnsi="Arial" w:cs="Arial"/>
          <w:sz w:val="20"/>
          <w:szCs w:val="20"/>
        </w:rPr>
        <w:t xml:space="preserve"> spp. in a tertiary care children's hospital in Nepal. </w:t>
      </w:r>
      <w:r w:rsidRPr="00572528">
        <w:rPr>
          <w:rFonts w:ascii="Arial" w:hAnsi="Arial" w:cs="Arial"/>
          <w:i/>
          <w:iCs/>
          <w:sz w:val="20"/>
          <w:szCs w:val="20"/>
        </w:rPr>
        <w:t>Tropical Medicine Health</w:t>
      </w:r>
      <w:r w:rsidRPr="00572528">
        <w:rPr>
          <w:rFonts w:ascii="Arial" w:hAnsi="Arial" w:cs="Arial"/>
          <w:sz w:val="20"/>
          <w:szCs w:val="20"/>
        </w:rPr>
        <w:t xml:space="preserve"> 52, 20</w:t>
      </w:r>
      <w:r w:rsidR="00BF424A" w:rsidRPr="00572528">
        <w:rPr>
          <w:rFonts w:ascii="Arial" w:hAnsi="Arial" w:cs="Arial"/>
          <w:sz w:val="20"/>
          <w:szCs w:val="20"/>
        </w:rPr>
        <w:t xml:space="preserve">. </w:t>
      </w:r>
      <w:hyperlink r:id="rId28" w:history="1">
        <w:r w:rsidR="00BF424A" w:rsidRPr="00572528">
          <w:rPr>
            <w:rStyle w:val="Hyperlink"/>
            <w:rFonts w:ascii="Arial" w:hAnsi="Arial" w:cs="Arial"/>
            <w:sz w:val="20"/>
            <w:szCs w:val="20"/>
            <w:shd w:val="clear" w:color="auto" w:fill="FFFFFF"/>
          </w:rPr>
          <w:t>https://doi.org/10.1186/s41182-024-00587-3</w:t>
        </w:r>
      </w:hyperlink>
    </w:p>
    <w:p w14:paraId="7B025C27" w14:textId="24CD36D7"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Rabiu, I., Madaki, S.M. and Abubakar, S. (2024). Phytochemical Analysis of Bitter Kola (</w:t>
      </w:r>
      <w:r w:rsidRPr="00572528">
        <w:rPr>
          <w:rFonts w:ascii="Arial" w:hAnsi="Arial" w:cs="Arial"/>
          <w:i/>
          <w:sz w:val="20"/>
          <w:szCs w:val="20"/>
        </w:rPr>
        <w:t>Garcinia kola</w:t>
      </w:r>
      <w:r w:rsidRPr="00572528">
        <w:rPr>
          <w:rFonts w:ascii="Arial" w:hAnsi="Arial" w:cs="Arial"/>
          <w:sz w:val="20"/>
          <w:szCs w:val="20"/>
        </w:rPr>
        <w:t xml:space="preserve">). </w:t>
      </w:r>
      <w:r w:rsidRPr="00572528">
        <w:rPr>
          <w:rFonts w:ascii="Arial" w:hAnsi="Arial" w:cs="Arial"/>
          <w:i/>
          <w:iCs/>
          <w:sz w:val="20"/>
          <w:szCs w:val="20"/>
        </w:rPr>
        <w:t>Faculty of Natural and Applied Sciences Journal of Applied Chemical Science Research</w:t>
      </w:r>
      <w:r w:rsidRPr="00572528">
        <w:rPr>
          <w:rFonts w:ascii="Arial" w:hAnsi="Arial" w:cs="Arial"/>
          <w:sz w:val="20"/>
          <w:szCs w:val="20"/>
        </w:rPr>
        <w:t>, 2(1), pp.1-5.</w:t>
      </w:r>
      <w:r w:rsidR="00BF424A" w:rsidRPr="00572528">
        <w:rPr>
          <w:rFonts w:ascii="Arial" w:hAnsi="Arial" w:cs="Arial"/>
          <w:sz w:val="20"/>
          <w:szCs w:val="20"/>
        </w:rPr>
        <w:t xml:space="preserve"> </w:t>
      </w:r>
      <w:hyperlink r:id="rId29" w:history="1">
        <w:r w:rsidR="00BF424A" w:rsidRPr="00572528">
          <w:rPr>
            <w:rStyle w:val="Hyperlink"/>
            <w:rFonts w:ascii="Arial" w:hAnsi="Arial" w:cs="Arial"/>
            <w:sz w:val="20"/>
            <w:szCs w:val="20"/>
            <w:shd w:val="clear" w:color="auto" w:fill="FFFFFF"/>
          </w:rPr>
          <w:t>https://www.fnasjournals.com/index.php/FNAS-JACSR/article/view/469</w:t>
        </w:r>
      </w:hyperlink>
    </w:p>
    <w:p w14:paraId="2496439F" w14:textId="77777777"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Rebecca, R., Ezejiofor, T. I. N., Nsofor, C. A. and Nkene, I. H. (2023) “Antibacterial Resistance and Phenotypic Detection of Extended Spectrum Beta-Lactamase (ESBL) Producing Enterobacteriaceae Isolated from Environmental Sources in Nasarawa State, Nigeria”, </w:t>
      </w:r>
      <w:r w:rsidRPr="00572528">
        <w:rPr>
          <w:rFonts w:ascii="Arial" w:hAnsi="Arial" w:cs="Arial"/>
          <w:i/>
          <w:iCs/>
          <w:sz w:val="20"/>
          <w:szCs w:val="20"/>
        </w:rPr>
        <w:t>European Journal of Biology and Biotechnology</w:t>
      </w:r>
      <w:r w:rsidRPr="00572528">
        <w:rPr>
          <w:rFonts w:ascii="Arial" w:hAnsi="Arial" w:cs="Arial"/>
          <w:sz w:val="20"/>
          <w:szCs w:val="20"/>
        </w:rPr>
        <w:t xml:space="preserve">, 4(5), pp. 6–12. </w:t>
      </w:r>
    </w:p>
    <w:p w14:paraId="33AD038E" w14:textId="6441CFAE"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Shakya, P., Shrestha, D., Maharjan, E., Sharma, V.K. and Paudyal, R. (2017). ESBL production among </w:t>
      </w:r>
      <w:r w:rsidRPr="00572528">
        <w:rPr>
          <w:rFonts w:ascii="Arial" w:hAnsi="Arial" w:cs="Arial"/>
          <w:i/>
          <w:sz w:val="20"/>
          <w:szCs w:val="20"/>
        </w:rPr>
        <w:t>E. coli</w:t>
      </w:r>
      <w:r w:rsidRPr="00572528">
        <w:rPr>
          <w:rFonts w:ascii="Arial" w:hAnsi="Arial" w:cs="Arial"/>
          <w:sz w:val="20"/>
          <w:szCs w:val="20"/>
        </w:rPr>
        <w:t xml:space="preserve"> and </w:t>
      </w:r>
      <w:r w:rsidRPr="00572528">
        <w:rPr>
          <w:rFonts w:ascii="Arial" w:hAnsi="Arial" w:cs="Arial"/>
          <w:i/>
          <w:sz w:val="20"/>
          <w:szCs w:val="20"/>
        </w:rPr>
        <w:t xml:space="preserve">Klebsiella </w:t>
      </w:r>
      <w:r w:rsidRPr="00572528">
        <w:rPr>
          <w:rFonts w:ascii="Arial" w:hAnsi="Arial" w:cs="Arial"/>
          <w:sz w:val="20"/>
          <w:szCs w:val="20"/>
        </w:rPr>
        <w:t xml:space="preserve">spp. causing urinary tract infection: a </w:t>
      </w:r>
      <w:r w:rsidR="00BF424A" w:rsidRPr="00572528">
        <w:rPr>
          <w:rFonts w:ascii="Arial" w:hAnsi="Arial" w:cs="Arial"/>
          <w:sz w:val="20"/>
          <w:szCs w:val="20"/>
        </w:rPr>
        <w:t>hospital-based</w:t>
      </w:r>
      <w:r w:rsidRPr="00572528">
        <w:rPr>
          <w:rFonts w:ascii="Arial" w:hAnsi="Arial" w:cs="Arial"/>
          <w:sz w:val="20"/>
          <w:szCs w:val="20"/>
        </w:rPr>
        <w:t xml:space="preserve"> study. </w:t>
      </w:r>
      <w:r w:rsidRPr="00572528">
        <w:rPr>
          <w:rFonts w:ascii="Arial" w:hAnsi="Arial" w:cs="Arial"/>
          <w:i/>
          <w:iCs/>
          <w:sz w:val="20"/>
          <w:szCs w:val="20"/>
        </w:rPr>
        <w:t>The open microbiology journal</w:t>
      </w:r>
      <w:r w:rsidRPr="00572528">
        <w:rPr>
          <w:rFonts w:ascii="Arial" w:hAnsi="Arial" w:cs="Arial"/>
          <w:sz w:val="20"/>
          <w:szCs w:val="20"/>
        </w:rPr>
        <w:t>, 11, 23-30</w:t>
      </w:r>
      <w:r w:rsidR="00BF424A" w:rsidRPr="00572528">
        <w:rPr>
          <w:rFonts w:ascii="Arial" w:hAnsi="Arial" w:cs="Arial"/>
          <w:sz w:val="20"/>
          <w:szCs w:val="20"/>
        </w:rPr>
        <w:t xml:space="preserve">. </w:t>
      </w:r>
      <w:hyperlink r:id="rId30" w:history="1">
        <w:r w:rsidR="00BF424A" w:rsidRPr="00572528">
          <w:rPr>
            <w:rStyle w:val="Hyperlink"/>
            <w:rFonts w:ascii="Arial" w:hAnsi="Arial" w:cs="Arial"/>
            <w:sz w:val="20"/>
            <w:szCs w:val="20"/>
          </w:rPr>
          <w:t>https://doi.org/10.2174/1874285801711010023</w:t>
        </w:r>
      </w:hyperlink>
      <w:commentRangeEnd w:id="40"/>
      <w:r w:rsidR="00615733" w:rsidRPr="00572528">
        <w:rPr>
          <w:rStyle w:val="CommentReference"/>
          <w:rFonts w:ascii="Arial" w:hAnsi="Arial" w:cs="Arial"/>
          <w:sz w:val="20"/>
          <w:szCs w:val="20"/>
        </w:rPr>
        <w:commentReference w:id="40"/>
      </w:r>
    </w:p>
    <w:bookmarkEnd w:id="37"/>
    <w:p w14:paraId="59C9BDE0" w14:textId="4995DD34" w:rsidR="00654392" w:rsidRPr="00572528" w:rsidRDefault="00654392" w:rsidP="007806E8">
      <w:pPr>
        <w:spacing w:line="480" w:lineRule="auto"/>
        <w:ind w:hanging="720"/>
        <w:jc w:val="both"/>
        <w:rPr>
          <w:rFonts w:ascii="Arial" w:hAnsi="Arial" w:cs="Arial"/>
          <w:sz w:val="20"/>
          <w:szCs w:val="20"/>
        </w:rPr>
      </w:pPr>
    </w:p>
    <w:sectPr w:rsidR="00654392" w:rsidRPr="00572528">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ثياقر راجن سنتنا ماري" w:date="2026-03-20T23:55:00Z" w:initials="ثم">
    <w:p w14:paraId="37CAB5D1" w14:textId="77777777" w:rsidR="00BD752B" w:rsidRDefault="00BD752B" w:rsidP="00BD752B">
      <w:pPr>
        <w:pStyle w:val="CommentText"/>
      </w:pPr>
      <w:r>
        <w:rPr>
          <w:rStyle w:val="CommentReference"/>
        </w:rPr>
        <w:annotationRef/>
      </w:r>
      <w:r>
        <w:t>Correct as:</w:t>
      </w:r>
    </w:p>
    <w:p w14:paraId="15033F0C" w14:textId="77777777" w:rsidR="00BD752B" w:rsidRDefault="00BD752B" w:rsidP="00BD752B">
      <w:pPr>
        <w:pStyle w:val="CommentText"/>
      </w:pPr>
      <w:r>
        <w:t>...which yielded...</w:t>
      </w:r>
    </w:p>
  </w:comment>
  <w:comment w:id="1" w:author="ثياقر راجن سنتنا ماري" w:date="2026-03-20T23:56:00Z" w:initials="ثم">
    <w:p w14:paraId="6455736A" w14:textId="77777777" w:rsidR="00BD752B" w:rsidRDefault="00BD752B" w:rsidP="00BD752B">
      <w:pPr>
        <w:pStyle w:val="CommentText"/>
      </w:pPr>
      <w:r>
        <w:rPr>
          <w:rStyle w:val="CommentReference"/>
        </w:rPr>
        <w:annotationRef/>
      </w:r>
      <w:r>
        <w:t>Correct as:</w:t>
      </w:r>
    </w:p>
    <w:p w14:paraId="1D58BC73" w14:textId="77777777" w:rsidR="00BD752B" w:rsidRDefault="00BD752B" w:rsidP="00BD752B">
      <w:pPr>
        <w:pStyle w:val="CommentText"/>
      </w:pPr>
      <w:r>
        <w:t>...confirmed as ESBL producers.</w:t>
      </w:r>
    </w:p>
  </w:comment>
  <w:comment w:id="2" w:author="ثياقر راجن سنتنا ماري" w:date="2026-03-21T01:26:00Z" w:initials="ثم">
    <w:p w14:paraId="528130FD" w14:textId="77777777" w:rsidR="00B7338B" w:rsidRDefault="00B7338B" w:rsidP="00B7338B">
      <w:pPr>
        <w:pStyle w:val="CommentText"/>
      </w:pPr>
      <w:r>
        <w:rPr>
          <w:rStyle w:val="CommentReference"/>
        </w:rPr>
        <w:annotationRef/>
      </w:r>
      <w:r>
        <w:rPr>
          <w:b/>
          <w:bCs/>
          <w:color w:val="EE0000"/>
        </w:rPr>
        <w:t xml:space="preserve">Check for correct grammatical phrasing. </w:t>
      </w:r>
    </w:p>
  </w:comment>
  <w:comment w:id="4" w:author="ثياقر راجن سنتنا ماري" w:date="2026-03-21T01:20:00Z" w:initials="ثم">
    <w:p w14:paraId="5B83A21F" w14:textId="77777777" w:rsidR="00B7338B" w:rsidRDefault="00B7338B" w:rsidP="00B7338B">
      <w:pPr>
        <w:pStyle w:val="CommentText"/>
      </w:pPr>
      <w:r>
        <w:rPr>
          <w:rStyle w:val="CommentReference"/>
        </w:rPr>
        <w:annotationRef/>
      </w:r>
      <w:r>
        <w:rPr>
          <w:b/>
          <w:bCs/>
          <w:color w:val="EE0000"/>
        </w:rPr>
        <w:t xml:space="preserve">Name of the bacteria must be italicized. </w:t>
      </w:r>
      <w:r>
        <w:t xml:space="preserve"> </w:t>
      </w:r>
    </w:p>
  </w:comment>
  <w:comment w:id="5" w:author="ثياقر راجن سنتنا ماري" w:date="2026-03-21T01:21:00Z" w:initials="ثم">
    <w:p w14:paraId="375AB653" w14:textId="77777777" w:rsidR="00B7338B" w:rsidRDefault="00B7338B" w:rsidP="00B7338B">
      <w:pPr>
        <w:pStyle w:val="CommentText"/>
        <w:ind w:left="300"/>
      </w:pPr>
      <w:r>
        <w:rPr>
          <w:rStyle w:val="CommentReference"/>
        </w:rPr>
        <w:annotationRef/>
      </w:r>
      <w:r>
        <w:rPr>
          <w:b/>
          <w:bCs/>
          <w:color w:val="EE0000"/>
        </w:rPr>
        <w:t xml:space="preserve">Name of the bacteria must be italicized. </w:t>
      </w:r>
    </w:p>
    <w:p w14:paraId="0FA983AC" w14:textId="77777777" w:rsidR="00B7338B" w:rsidRDefault="00B7338B" w:rsidP="00B7338B">
      <w:pPr>
        <w:pStyle w:val="CommentText"/>
        <w:ind w:left="300"/>
      </w:pPr>
      <w:r>
        <w:rPr>
          <w:b/>
          <w:bCs/>
          <w:color w:val="EE0000"/>
        </w:rPr>
        <w:t>Follow it in the whole manuscript.</w:t>
      </w:r>
    </w:p>
  </w:comment>
  <w:comment w:id="6" w:author="ثياقر راجن سنتنا ماري" w:date="2026-03-21T01:22:00Z" w:initials="ثم">
    <w:p w14:paraId="0F852215" w14:textId="77777777" w:rsidR="00B7338B" w:rsidRDefault="00B7338B" w:rsidP="00B7338B">
      <w:pPr>
        <w:pStyle w:val="CommentText"/>
      </w:pPr>
      <w:r>
        <w:rPr>
          <w:rStyle w:val="CommentReference"/>
        </w:rPr>
        <w:annotationRef/>
      </w:r>
      <w:r>
        <w:t>...enzymes..</w:t>
      </w:r>
    </w:p>
  </w:comment>
  <w:comment w:id="7" w:author="ثياقر راجن سنتنا ماري" w:date="2026-03-21T01:28:00Z" w:initials="ثم">
    <w:p w14:paraId="7BAE4385" w14:textId="77777777" w:rsidR="00E26510" w:rsidRDefault="00E26510" w:rsidP="00E26510">
      <w:pPr>
        <w:pStyle w:val="CommentText"/>
      </w:pPr>
      <w:r>
        <w:rPr>
          <w:rStyle w:val="CommentReference"/>
        </w:rPr>
        <w:annotationRef/>
      </w:r>
      <w:r>
        <w:rPr>
          <w:b/>
          <w:bCs/>
          <w:color w:val="EE0000"/>
        </w:rPr>
        <w:t>Make a new paragraph from here.</w:t>
      </w:r>
    </w:p>
  </w:comment>
  <w:comment w:id="9" w:author="ثياقر راجن سنتنا ماري" w:date="2026-03-21T01:31:00Z" w:initials="ثم">
    <w:p w14:paraId="51E08B2D" w14:textId="77777777" w:rsidR="00E26510" w:rsidRDefault="00E26510" w:rsidP="00E26510">
      <w:pPr>
        <w:pStyle w:val="CommentText"/>
      </w:pPr>
      <w:r>
        <w:rPr>
          <w:rStyle w:val="CommentReference"/>
        </w:rPr>
        <w:annotationRef/>
      </w:r>
      <w:r>
        <w:t>Correct as:</w:t>
      </w:r>
    </w:p>
    <w:p w14:paraId="4A2145F0" w14:textId="77777777" w:rsidR="00E26510" w:rsidRDefault="00E26510" w:rsidP="00E26510">
      <w:pPr>
        <w:pStyle w:val="CommentText"/>
      </w:pPr>
      <w:r>
        <w:t>...before being transported...</w:t>
      </w:r>
    </w:p>
  </w:comment>
  <w:comment w:id="10" w:author="ثياقر راجن سنتنا ماري" w:date="2026-03-21T01:34:00Z" w:initials="ثم">
    <w:p w14:paraId="71938085" w14:textId="77777777" w:rsidR="00E26510" w:rsidRDefault="00E26510" w:rsidP="00E26510">
      <w:pPr>
        <w:pStyle w:val="CommentText"/>
      </w:pPr>
      <w:r>
        <w:rPr>
          <w:rStyle w:val="CommentReference"/>
        </w:rPr>
        <w:annotationRef/>
      </w:r>
      <w:r>
        <w:rPr>
          <w:b/>
          <w:bCs/>
          <w:color w:val="EE0000"/>
        </w:rPr>
        <w:t>Sincere these are routine tests, it is not necessary to explain the procedures of staining and biochemical tests of bacterial identification.</w:t>
      </w:r>
    </w:p>
    <w:p w14:paraId="641D98B4" w14:textId="77777777" w:rsidR="00E26510" w:rsidRDefault="00E26510" w:rsidP="00E26510">
      <w:pPr>
        <w:pStyle w:val="CommentText"/>
      </w:pPr>
      <w:r>
        <w:rPr>
          <w:b/>
          <w:bCs/>
          <w:color w:val="EE0000"/>
        </w:rPr>
        <w:t>Just mention the names of the tests.</w:t>
      </w:r>
    </w:p>
  </w:comment>
  <w:comment w:id="11" w:author="ثياقر راجن سنتنا ماري" w:date="2026-03-21T01:35:00Z" w:initials="ثم">
    <w:p w14:paraId="53E968FD" w14:textId="77777777" w:rsidR="00E26510" w:rsidRDefault="00E26510" w:rsidP="00E26510">
      <w:pPr>
        <w:pStyle w:val="CommentText"/>
      </w:pPr>
      <w:r>
        <w:rPr>
          <w:rStyle w:val="CommentReference"/>
        </w:rPr>
        <w:annotationRef/>
      </w:r>
      <w:r>
        <w:t>Correct as:</w:t>
      </w:r>
    </w:p>
    <w:p w14:paraId="58F57E4A" w14:textId="77777777" w:rsidR="00E26510" w:rsidRDefault="00E26510" w:rsidP="00E26510">
      <w:pPr>
        <w:pStyle w:val="CommentText"/>
      </w:pPr>
      <w:r>
        <w:t>Collection, identification and processing of the plant material.</w:t>
      </w:r>
    </w:p>
  </w:comment>
  <w:comment w:id="13" w:author="ثياقر راجن سنتنا ماري" w:date="2026-03-21T01:43:00Z" w:initials="ثم">
    <w:p w14:paraId="24663C18" w14:textId="77777777" w:rsidR="00E9393A" w:rsidRDefault="00E9393A" w:rsidP="00E9393A">
      <w:pPr>
        <w:pStyle w:val="CommentText"/>
      </w:pPr>
      <w:r>
        <w:rPr>
          <w:rStyle w:val="CommentReference"/>
        </w:rPr>
        <w:annotationRef/>
      </w:r>
      <w:r>
        <w:rPr>
          <w:b/>
          <w:bCs/>
          <w:color w:val="EE0000"/>
        </w:rPr>
        <w:t>Insert a picture of the raw plant material.</w:t>
      </w:r>
    </w:p>
  </w:comment>
  <w:comment w:id="14" w:author="ثياقر راجن سنتنا ماري" w:date="2026-03-21T01:39:00Z" w:initials="ثم">
    <w:p w14:paraId="7F979C2F" w14:textId="77777777" w:rsidR="006452D5" w:rsidRDefault="006452D5" w:rsidP="006452D5">
      <w:pPr>
        <w:pStyle w:val="CommentText"/>
      </w:pPr>
      <w:r>
        <w:rPr>
          <w:rStyle w:val="CommentReference"/>
        </w:rPr>
        <w:annotationRef/>
      </w:r>
      <w:r>
        <w:rPr>
          <w:b/>
          <w:bCs/>
          <w:color w:val="EE0000"/>
        </w:rPr>
        <w:t>Rephrase it.</w:t>
      </w:r>
    </w:p>
  </w:comment>
  <w:comment w:id="15" w:author="ثياقر راجن سنتنا ماري" w:date="2026-03-21T01:40:00Z" w:initials="ثم">
    <w:p w14:paraId="29DA9B2D" w14:textId="77777777" w:rsidR="006452D5" w:rsidRDefault="006452D5" w:rsidP="006452D5">
      <w:pPr>
        <w:pStyle w:val="CommentText"/>
      </w:pPr>
      <w:r>
        <w:rPr>
          <w:rStyle w:val="CommentReference"/>
        </w:rPr>
        <w:annotationRef/>
      </w:r>
      <w:r>
        <w:rPr>
          <w:b/>
          <w:bCs/>
          <w:color w:val="EE0000"/>
        </w:rPr>
        <w:t>Print the sub-title in normal style.</w:t>
      </w:r>
    </w:p>
  </w:comment>
  <w:comment w:id="16" w:author="ثياقر راجن سنتنا ماري" w:date="2026-03-21T01:41:00Z" w:initials="ثم">
    <w:p w14:paraId="34E27403" w14:textId="77777777" w:rsidR="006452D5" w:rsidRDefault="006452D5" w:rsidP="006452D5">
      <w:pPr>
        <w:pStyle w:val="CommentText"/>
      </w:pPr>
      <w:r>
        <w:rPr>
          <w:rStyle w:val="CommentReference"/>
        </w:rPr>
        <w:annotationRef/>
      </w:r>
      <w:r>
        <w:rPr>
          <w:b/>
          <w:bCs/>
          <w:color w:val="EE0000"/>
        </w:rPr>
        <w:t>Delete it.</w:t>
      </w:r>
    </w:p>
  </w:comment>
  <w:comment w:id="19" w:author="ثياقر راجن سنتنا ماري" w:date="2026-03-21T01:44:00Z" w:initials="ثم">
    <w:p w14:paraId="0E64B0D0" w14:textId="77777777" w:rsidR="00E9393A" w:rsidRDefault="00E9393A" w:rsidP="00E9393A">
      <w:pPr>
        <w:pStyle w:val="CommentText"/>
      </w:pPr>
      <w:r>
        <w:rPr>
          <w:rStyle w:val="CommentReference"/>
        </w:rPr>
        <w:annotationRef/>
      </w:r>
      <w:r>
        <w:t>isolated</w:t>
      </w:r>
    </w:p>
  </w:comment>
  <w:comment w:id="20" w:author="ثياقر راجن سنتنا ماري" w:date="2026-03-21T01:46:00Z" w:initials="ثم">
    <w:p w14:paraId="6513B81D" w14:textId="77777777" w:rsidR="00E9393A" w:rsidRDefault="00E9393A" w:rsidP="00E9393A">
      <w:pPr>
        <w:pStyle w:val="CommentText"/>
      </w:pPr>
      <w:r>
        <w:rPr>
          <w:rStyle w:val="CommentReference"/>
        </w:rPr>
        <w:annotationRef/>
      </w:r>
      <w:r>
        <w:rPr>
          <w:b/>
          <w:bCs/>
          <w:color w:val="EE0000"/>
        </w:rPr>
        <w:t>Insert the image of it.</w:t>
      </w:r>
    </w:p>
  </w:comment>
  <w:comment w:id="21" w:author="ثياقر راجن سنتنا ماري" w:date="2026-03-21T01:47:00Z" w:initials="ثم">
    <w:p w14:paraId="4E491533" w14:textId="77777777" w:rsidR="009F0E6E" w:rsidRDefault="009F0E6E" w:rsidP="009F0E6E">
      <w:pPr>
        <w:pStyle w:val="CommentText"/>
      </w:pPr>
      <w:r>
        <w:rPr>
          <w:rStyle w:val="CommentReference"/>
        </w:rPr>
        <w:annotationRef/>
      </w:r>
      <w:r>
        <w:t>ESBL</w:t>
      </w:r>
    </w:p>
  </w:comment>
  <w:comment w:id="22" w:author="ثياقر راجن سنتنا ماري" w:date="2026-03-21T01:48:00Z" w:initials="ثم">
    <w:p w14:paraId="09B9E14C" w14:textId="77777777" w:rsidR="009F0E6E" w:rsidRDefault="009F0E6E" w:rsidP="009F0E6E">
      <w:pPr>
        <w:pStyle w:val="CommentText"/>
      </w:pPr>
      <w:r>
        <w:rPr>
          <w:rStyle w:val="CommentReference"/>
        </w:rPr>
        <w:annotationRef/>
      </w:r>
      <w:r>
        <w:rPr>
          <w:b/>
          <w:bCs/>
          <w:color w:val="EE0000"/>
        </w:rPr>
        <w:t>Insert the image of it.</w:t>
      </w:r>
    </w:p>
  </w:comment>
  <w:comment w:id="31" w:author="ثياقر راجن سنتنا ماري" w:date="2026-03-21T01:51:00Z" w:initials="ثم">
    <w:p w14:paraId="1F1B4625" w14:textId="77777777" w:rsidR="009F0E6E" w:rsidRDefault="009F0E6E" w:rsidP="009F0E6E">
      <w:pPr>
        <w:pStyle w:val="CommentText"/>
      </w:pPr>
      <w:r>
        <w:rPr>
          <w:rStyle w:val="CommentReference"/>
        </w:rPr>
        <w:annotationRef/>
      </w:r>
      <w:r>
        <w:rPr>
          <w:b/>
          <w:bCs/>
          <w:color w:val="EE0000"/>
        </w:rPr>
        <w:t>Any reference?</w:t>
      </w:r>
    </w:p>
    <w:p w14:paraId="61FE81AE" w14:textId="77777777" w:rsidR="009F0E6E" w:rsidRDefault="009F0E6E" w:rsidP="009F0E6E">
      <w:pPr>
        <w:pStyle w:val="CommentText"/>
      </w:pPr>
      <w:r>
        <w:rPr>
          <w:b/>
          <w:bCs/>
          <w:color w:val="EE0000"/>
        </w:rPr>
        <w:t>If not available, delete it.</w:t>
      </w:r>
    </w:p>
  </w:comment>
  <w:comment w:id="33" w:author="ثياقر راجن سنتنا ماري" w:date="2026-03-21T01:52:00Z" w:initials="ثم">
    <w:p w14:paraId="21956EAE" w14:textId="77777777" w:rsidR="009F0E6E" w:rsidRDefault="009F0E6E" w:rsidP="009F0E6E">
      <w:pPr>
        <w:pStyle w:val="CommentText"/>
      </w:pPr>
      <w:r>
        <w:rPr>
          <w:rStyle w:val="CommentReference"/>
        </w:rPr>
        <w:annotationRef/>
      </w:r>
      <w:r>
        <w:rPr>
          <w:b/>
          <w:bCs/>
          <w:color w:val="EE0000"/>
        </w:rPr>
        <w:t>Pay attention to italicize the names of the bacteria.</w:t>
      </w:r>
    </w:p>
  </w:comment>
  <w:comment w:id="34" w:author="ثياقر راجن سنتنا ماري" w:date="2026-03-21T01:54:00Z" w:initials="ثم">
    <w:p w14:paraId="2C69C5C1" w14:textId="77777777" w:rsidR="009F0E6E" w:rsidRDefault="009F0E6E" w:rsidP="009F0E6E">
      <w:pPr>
        <w:pStyle w:val="CommentText"/>
      </w:pPr>
      <w:r>
        <w:rPr>
          <w:rStyle w:val="CommentReference"/>
        </w:rPr>
        <w:annotationRef/>
      </w:r>
      <w:r>
        <w:rPr>
          <w:b/>
          <w:bCs/>
          <w:color w:val="EE0000"/>
        </w:rPr>
        <w:t>Follow standard style for citation,</w:t>
      </w:r>
    </w:p>
  </w:comment>
  <w:comment w:id="35" w:author="ثياقر راجن سنتنا ماري" w:date="2026-03-21T01:56:00Z" w:initials="ثم">
    <w:p w14:paraId="23273016" w14:textId="77777777" w:rsidR="009F0E6E" w:rsidRDefault="009F0E6E" w:rsidP="009F0E6E">
      <w:pPr>
        <w:pStyle w:val="CommentText"/>
      </w:pPr>
      <w:r>
        <w:rPr>
          <w:rStyle w:val="CommentReference"/>
        </w:rPr>
        <w:annotationRef/>
      </w:r>
      <w:r>
        <w:t>Correct as:</w:t>
      </w:r>
    </w:p>
    <w:p w14:paraId="12399CBC" w14:textId="77777777" w:rsidR="009F0E6E" w:rsidRDefault="009F0E6E" w:rsidP="009F0E6E">
      <w:pPr>
        <w:pStyle w:val="CommentText"/>
      </w:pPr>
      <w:r>
        <w:t>...could be...</w:t>
      </w:r>
    </w:p>
  </w:comment>
  <w:comment w:id="36" w:author="ثياقر راجن سنتنا ماري" w:date="2026-03-21T01:58:00Z" w:initials="ثم">
    <w:p w14:paraId="0C5183C4" w14:textId="77777777" w:rsidR="00615733" w:rsidRDefault="00615733" w:rsidP="00615733">
      <w:pPr>
        <w:pStyle w:val="CommentText"/>
      </w:pPr>
      <w:r>
        <w:rPr>
          <w:rStyle w:val="CommentReference"/>
        </w:rPr>
        <w:annotationRef/>
      </w:r>
      <w:r>
        <w:rPr>
          <w:b/>
          <w:bCs/>
          <w:color w:val="EE0000"/>
        </w:rPr>
        <w:t>Make it in brief as a single paragraph and present it under the discussion.</w:t>
      </w:r>
    </w:p>
  </w:comment>
  <w:comment w:id="38" w:author="ثياقر راجن سنتنا ماري" w:date="2026-03-21T01:59:00Z" w:initials="ثم">
    <w:p w14:paraId="0857D8D1" w14:textId="77777777" w:rsidR="00615733" w:rsidRDefault="00615733" w:rsidP="00615733">
      <w:pPr>
        <w:pStyle w:val="CommentText"/>
      </w:pPr>
      <w:r>
        <w:rPr>
          <w:rStyle w:val="CommentReference"/>
        </w:rPr>
        <w:annotationRef/>
      </w:r>
      <w:r>
        <w:rPr>
          <w:b/>
          <w:bCs/>
          <w:color w:val="EE0000"/>
        </w:rPr>
        <w:t>Delete it.</w:t>
      </w:r>
    </w:p>
  </w:comment>
  <w:comment w:id="39" w:author="ثياقر راجن سنتنا ماري" w:date="2026-03-21T01:59:00Z" w:initials="ثم">
    <w:p w14:paraId="1BC6979D" w14:textId="77777777" w:rsidR="00615733" w:rsidRDefault="00615733" w:rsidP="00615733">
      <w:pPr>
        <w:pStyle w:val="CommentText"/>
      </w:pPr>
      <w:r>
        <w:rPr>
          <w:rStyle w:val="CommentReference"/>
        </w:rPr>
        <w:annotationRef/>
      </w:r>
      <w:r>
        <w:rPr>
          <w:b/>
          <w:bCs/>
          <w:color w:val="EE0000"/>
        </w:rPr>
        <w:t>Present it under the Materials and Methods section.</w:t>
      </w:r>
    </w:p>
  </w:comment>
  <w:comment w:id="40" w:author="ثياقر راجن سنتنا ماري" w:date="2026-03-21T02:01:00Z" w:initials="ثم">
    <w:p w14:paraId="4AA03F4F" w14:textId="77777777" w:rsidR="00615733" w:rsidRDefault="00615733" w:rsidP="00615733">
      <w:pPr>
        <w:pStyle w:val="CommentText"/>
      </w:pPr>
      <w:r>
        <w:rPr>
          <w:rStyle w:val="CommentReference"/>
        </w:rPr>
        <w:annotationRef/>
      </w:r>
      <w:r>
        <w:rPr>
          <w:b/>
          <w:bCs/>
          <w:color w:val="EE0000"/>
        </w:rPr>
        <w:t>Present the references according to the style prescribed under the Author guidelines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033F0C" w15:done="0"/>
  <w15:commentEx w15:paraId="1D58BC73" w15:done="0"/>
  <w15:commentEx w15:paraId="528130FD" w15:done="0"/>
  <w15:commentEx w15:paraId="5B83A21F" w15:done="0"/>
  <w15:commentEx w15:paraId="0FA983AC" w15:done="0"/>
  <w15:commentEx w15:paraId="0F852215" w15:done="0"/>
  <w15:commentEx w15:paraId="7BAE4385" w15:done="0"/>
  <w15:commentEx w15:paraId="4A2145F0" w15:done="0"/>
  <w15:commentEx w15:paraId="641D98B4" w15:done="0"/>
  <w15:commentEx w15:paraId="58F57E4A" w15:done="0"/>
  <w15:commentEx w15:paraId="24663C18" w15:done="0"/>
  <w15:commentEx w15:paraId="7F979C2F" w15:done="0"/>
  <w15:commentEx w15:paraId="29DA9B2D" w15:done="0"/>
  <w15:commentEx w15:paraId="34E27403" w15:done="0"/>
  <w15:commentEx w15:paraId="0E64B0D0" w15:done="0"/>
  <w15:commentEx w15:paraId="6513B81D" w15:done="0"/>
  <w15:commentEx w15:paraId="4E491533" w15:done="0"/>
  <w15:commentEx w15:paraId="09B9E14C" w15:done="0"/>
  <w15:commentEx w15:paraId="61FE81AE" w15:done="0"/>
  <w15:commentEx w15:paraId="21956EAE" w15:done="0"/>
  <w15:commentEx w15:paraId="2C69C5C1" w15:done="0"/>
  <w15:commentEx w15:paraId="12399CBC" w15:done="0"/>
  <w15:commentEx w15:paraId="0C5183C4" w15:done="0"/>
  <w15:commentEx w15:paraId="0857D8D1" w15:done="0"/>
  <w15:commentEx w15:paraId="1BC6979D" w15:done="0"/>
  <w15:commentEx w15:paraId="4AA03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DCF5B4" w16cex:dateUtc="2026-03-20T20:55:00Z"/>
  <w16cex:commentExtensible w16cex:durableId="600B9A82" w16cex:dateUtc="2026-03-20T20:56:00Z"/>
  <w16cex:commentExtensible w16cex:durableId="17A4499A" w16cex:dateUtc="2026-03-20T22:26:00Z"/>
  <w16cex:commentExtensible w16cex:durableId="08FECFB7" w16cex:dateUtc="2026-03-20T22:20:00Z"/>
  <w16cex:commentExtensible w16cex:durableId="32E86344" w16cex:dateUtc="2026-03-20T22:21:00Z"/>
  <w16cex:commentExtensible w16cex:durableId="22D8EE11" w16cex:dateUtc="2026-03-20T22:22:00Z"/>
  <w16cex:commentExtensible w16cex:durableId="5AD8FC37" w16cex:dateUtc="2026-03-20T22:28:00Z"/>
  <w16cex:commentExtensible w16cex:durableId="3887FB7F" w16cex:dateUtc="2026-03-20T22:31:00Z"/>
  <w16cex:commentExtensible w16cex:durableId="50D5C3C2" w16cex:dateUtc="2026-03-20T22:34:00Z"/>
  <w16cex:commentExtensible w16cex:durableId="48E3E28C" w16cex:dateUtc="2026-03-20T22:35:00Z"/>
  <w16cex:commentExtensible w16cex:durableId="4AA279B2" w16cex:dateUtc="2026-03-20T22:43:00Z"/>
  <w16cex:commentExtensible w16cex:durableId="17F11F21" w16cex:dateUtc="2026-03-20T22:39:00Z"/>
  <w16cex:commentExtensible w16cex:durableId="04EB889C" w16cex:dateUtc="2026-03-20T22:40:00Z"/>
  <w16cex:commentExtensible w16cex:durableId="74B79532" w16cex:dateUtc="2026-03-20T22:41:00Z"/>
  <w16cex:commentExtensible w16cex:durableId="115147E0" w16cex:dateUtc="2026-03-20T22:44:00Z"/>
  <w16cex:commentExtensible w16cex:durableId="5D18BC59" w16cex:dateUtc="2026-03-20T22:46:00Z"/>
  <w16cex:commentExtensible w16cex:durableId="0ABF04EC" w16cex:dateUtc="2026-03-20T22:47:00Z"/>
  <w16cex:commentExtensible w16cex:durableId="30EF7910" w16cex:dateUtc="2026-03-20T22:48:00Z"/>
  <w16cex:commentExtensible w16cex:durableId="498739B2" w16cex:dateUtc="2026-03-20T22:51:00Z"/>
  <w16cex:commentExtensible w16cex:durableId="301D7E65" w16cex:dateUtc="2026-03-20T22:52:00Z"/>
  <w16cex:commentExtensible w16cex:durableId="0A57D6AA" w16cex:dateUtc="2026-03-20T22:54:00Z"/>
  <w16cex:commentExtensible w16cex:durableId="7A82B7A2" w16cex:dateUtc="2026-03-20T22:56:00Z"/>
  <w16cex:commentExtensible w16cex:durableId="56A84413" w16cex:dateUtc="2026-03-20T22:58:00Z"/>
  <w16cex:commentExtensible w16cex:durableId="7280C22B" w16cex:dateUtc="2026-03-20T22:59:00Z"/>
  <w16cex:commentExtensible w16cex:durableId="4BBD74AE" w16cex:dateUtc="2026-03-20T22:59:00Z"/>
  <w16cex:commentExtensible w16cex:durableId="4270EFAC" w16cex:dateUtc="2026-03-20T2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033F0C" w16cid:durableId="36DCF5B4"/>
  <w16cid:commentId w16cid:paraId="1D58BC73" w16cid:durableId="600B9A82"/>
  <w16cid:commentId w16cid:paraId="528130FD" w16cid:durableId="17A4499A"/>
  <w16cid:commentId w16cid:paraId="5B83A21F" w16cid:durableId="08FECFB7"/>
  <w16cid:commentId w16cid:paraId="0FA983AC" w16cid:durableId="32E86344"/>
  <w16cid:commentId w16cid:paraId="0F852215" w16cid:durableId="22D8EE11"/>
  <w16cid:commentId w16cid:paraId="7BAE4385" w16cid:durableId="5AD8FC37"/>
  <w16cid:commentId w16cid:paraId="4A2145F0" w16cid:durableId="3887FB7F"/>
  <w16cid:commentId w16cid:paraId="641D98B4" w16cid:durableId="50D5C3C2"/>
  <w16cid:commentId w16cid:paraId="58F57E4A" w16cid:durableId="48E3E28C"/>
  <w16cid:commentId w16cid:paraId="24663C18" w16cid:durableId="4AA279B2"/>
  <w16cid:commentId w16cid:paraId="7F979C2F" w16cid:durableId="17F11F21"/>
  <w16cid:commentId w16cid:paraId="29DA9B2D" w16cid:durableId="04EB889C"/>
  <w16cid:commentId w16cid:paraId="34E27403" w16cid:durableId="74B79532"/>
  <w16cid:commentId w16cid:paraId="0E64B0D0" w16cid:durableId="115147E0"/>
  <w16cid:commentId w16cid:paraId="6513B81D" w16cid:durableId="5D18BC59"/>
  <w16cid:commentId w16cid:paraId="4E491533" w16cid:durableId="0ABF04EC"/>
  <w16cid:commentId w16cid:paraId="09B9E14C" w16cid:durableId="30EF7910"/>
  <w16cid:commentId w16cid:paraId="61FE81AE" w16cid:durableId="498739B2"/>
  <w16cid:commentId w16cid:paraId="21956EAE" w16cid:durableId="301D7E65"/>
  <w16cid:commentId w16cid:paraId="2C69C5C1" w16cid:durableId="0A57D6AA"/>
  <w16cid:commentId w16cid:paraId="12399CBC" w16cid:durableId="7A82B7A2"/>
  <w16cid:commentId w16cid:paraId="0C5183C4" w16cid:durableId="56A84413"/>
  <w16cid:commentId w16cid:paraId="0857D8D1" w16cid:durableId="7280C22B"/>
  <w16cid:commentId w16cid:paraId="1BC6979D" w16cid:durableId="4BBD74AE"/>
  <w16cid:commentId w16cid:paraId="4AA03F4F" w16cid:durableId="4270EF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6984" w14:textId="77777777" w:rsidR="00FA51C7" w:rsidRDefault="00FA51C7">
      <w:pPr>
        <w:spacing w:after="0" w:line="240" w:lineRule="auto"/>
      </w:pPr>
      <w:r>
        <w:separator/>
      </w:r>
    </w:p>
  </w:endnote>
  <w:endnote w:type="continuationSeparator" w:id="0">
    <w:p w14:paraId="3BE08490" w14:textId="77777777" w:rsidR="00FA51C7" w:rsidRDefault="00FA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charset w:val="00"/>
    <w:family w:val="roman"/>
    <w:pitch w:val="default"/>
    <w:sig w:usb0="00000001"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560D" w14:textId="77777777" w:rsidR="004428A3" w:rsidRDefault="00442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9C25" w14:textId="77777777" w:rsidR="00D42D1C" w:rsidRDefault="00D42D1C">
    <w:pPr>
      <w:pStyle w:val="Footer"/>
      <w:jc w:val="center"/>
    </w:pPr>
    <w:r>
      <w:fldChar w:fldCharType="begin"/>
    </w:r>
    <w:r>
      <w:instrText xml:space="preserve"> PAGE   \* MERGEFORMAT </w:instrText>
    </w:r>
    <w:r>
      <w:fldChar w:fldCharType="separate"/>
    </w:r>
    <w:r>
      <w:rPr>
        <w:noProof/>
      </w:rPr>
      <w:t>19</w:t>
    </w:r>
    <w:r>
      <w:rPr>
        <w:noProof/>
      </w:rPr>
      <w:fldChar w:fldCharType="end"/>
    </w:r>
  </w:p>
  <w:p w14:paraId="4DA8151A" w14:textId="77777777" w:rsidR="00D42D1C" w:rsidRDefault="00D42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F3EB" w14:textId="77777777" w:rsidR="004428A3" w:rsidRDefault="0044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DCCF" w14:textId="77777777" w:rsidR="00FA51C7" w:rsidRDefault="00FA51C7">
      <w:pPr>
        <w:spacing w:after="0" w:line="240" w:lineRule="auto"/>
      </w:pPr>
      <w:r>
        <w:separator/>
      </w:r>
    </w:p>
  </w:footnote>
  <w:footnote w:type="continuationSeparator" w:id="0">
    <w:p w14:paraId="0A226996" w14:textId="77777777" w:rsidR="00FA51C7" w:rsidRDefault="00FA5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EB22" w14:textId="7C98DE6C" w:rsidR="004428A3" w:rsidRDefault="00000000">
    <w:pPr>
      <w:pStyle w:val="Header"/>
    </w:pPr>
    <w:r>
      <w:rPr>
        <w:noProof/>
      </w:rPr>
      <w:pict w14:anchorId="0A947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56367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EED4" w14:textId="2EA0AA0F" w:rsidR="004428A3" w:rsidRDefault="00000000">
    <w:pPr>
      <w:pStyle w:val="Header"/>
    </w:pPr>
    <w:r>
      <w:rPr>
        <w:noProof/>
      </w:rPr>
      <w:pict w14:anchorId="3057A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56367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527B" w14:textId="4BE88C46" w:rsidR="004428A3" w:rsidRDefault="00000000">
    <w:pPr>
      <w:pStyle w:val="Header"/>
    </w:pPr>
    <w:r>
      <w:rPr>
        <w:noProof/>
      </w:rPr>
      <w:pict w14:anchorId="31D17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56367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98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6CAD70C"/>
    <w:lvl w:ilvl="0" w:tplc="0409000F">
      <w:start w:val="1"/>
      <w:numFmt w:val="decimal"/>
      <w:lvlText w:val="%1."/>
      <w:lvlJc w:val="left"/>
      <w:pPr>
        <w:ind w:left="720" w:hanging="360"/>
      </w:pPr>
    </w:lvl>
    <w:lvl w:ilvl="1" w:tplc="4F549ED2">
      <w:start w:val="1"/>
      <w:numFmt w:val="upperRoman"/>
      <w:lvlText w:val="%2."/>
      <w:lvlJc w:val="left"/>
      <w:pPr>
        <w:ind w:left="1800" w:hanging="720"/>
      </w:pPr>
      <w:rPr>
        <w:rFonts w:hint="default"/>
      </w:rPr>
    </w:lvl>
    <w:lvl w:ilvl="2" w:tplc="8F3EB7A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DD7ED81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0000004"/>
    <w:multiLevelType w:val="multilevel"/>
    <w:tmpl w:val="35427B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69A4417E"/>
    <w:lvl w:ilvl="0" w:tplc="EB8887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66E245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247629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AEA69FBE"/>
    <w:lvl w:ilvl="0" w:tplc="36302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E23A5B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B2981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multilevel"/>
    <w:tmpl w:val="5344BC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hybridMultilevel"/>
    <w:tmpl w:val="C0224A8C"/>
    <w:lvl w:ilvl="0" w:tplc="34C005F6">
      <w:start w:val="1"/>
      <w:numFmt w:val="bullet"/>
      <w:lvlText w:val="•"/>
      <w:lvlJc w:val="left"/>
      <w:pPr>
        <w:tabs>
          <w:tab w:val="left" w:pos="720"/>
        </w:tabs>
        <w:ind w:left="720" w:hanging="360"/>
      </w:pPr>
      <w:rPr>
        <w:rFonts w:ascii="Arial" w:hAnsi="Arial" w:hint="default"/>
      </w:rPr>
    </w:lvl>
    <w:lvl w:ilvl="1" w:tplc="070EE7F6" w:tentative="1">
      <w:start w:val="1"/>
      <w:numFmt w:val="bullet"/>
      <w:lvlText w:val="•"/>
      <w:lvlJc w:val="left"/>
      <w:pPr>
        <w:tabs>
          <w:tab w:val="left" w:pos="1440"/>
        </w:tabs>
        <w:ind w:left="1440" w:hanging="360"/>
      </w:pPr>
      <w:rPr>
        <w:rFonts w:ascii="Arial" w:hAnsi="Arial" w:hint="default"/>
      </w:rPr>
    </w:lvl>
    <w:lvl w:ilvl="2" w:tplc="80A01768" w:tentative="1">
      <w:start w:val="1"/>
      <w:numFmt w:val="bullet"/>
      <w:lvlText w:val="•"/>
      <w:lvlJc w:val="left"/>
      <w:pPr>
        <w:tabs>
          <w:tab w:val="left" w:pos="2160"/>
        </w:tabs>
        <w:ind w:left="2160" w:hanging="360"/>
      </w:pPr>
      <w:rPr>
        <w:rFonts w:ascii="Arial" w:hAnsi="Arial" w:hint="default"/>
      </w:rPr>
    </w:lvl>
    <w:lvl w:ilvl="3" w:tplc="54F49F9C" w:tentative="1">
      <w:start w:val="1"/>
      <w:numFmt w:val="bullet"/>
      <w:lvlText w:val="•"/>
      <w:lvlJc w:val="left"/>
      <w:pPr>
        <w:tabs>
          <w:tab w:val="left" w:pos="2880"/>
        </w:tabs>
        <w:ind w:left="2880" w:hanging="360"/>
      </w:pPr>
      <w:rPr>
        <w:rFonts w:ascii="Arial" w:hAnsi="Arial" w:hint="default"/>
      </w:rPr>
    </w:lvl>
    <w:lvl w:ilvl="4" w:tplc="9D9CF422" w:tentative="1">
      <w:start w:val="1"/>
      <w:numFmt w:val="bullet"/>
      <w:lvlText w:val="•"/>
      <w:lvlJc w:val="left"/>
      <w:pPr>
        <w:tabs>
          <w:tab w:val="left" w:pos="3600"/>
        </w:tabs>
        <w:ind w:left="3600" w:hanging="360"/>
      </w:pPr>
      <w:rPr>
        <w:rFonts w:ascii="Arial" w:hAnsi="Arial" w:hint="default"/>
      </w:rPr>
    </w:lvl>
    <w:lvl w:ilvl="5" w:tplc="40EAC482" w:tentative="1">
      <w:start w:val="1"/>
      <w:numFmt w:val="bullet"/>
      <w:lvlText w:val="•"/>
      <w:lvlJc w:val="left"/>
      <w:pPr>
        <w:tabs>
          <w:tab w:val="left" w:pos="4320"/>
        </w:tabs>
        <w:ind w:left="4320" w:hanging="360"/>
      </w:pPr>
      <w:rPr>
        <w:rFonts w:ascii="Arial" w:hAnsi="Arial" w:hint="default"/>
      </w:rPr>
    </w:lvl>
    <w:lvl w:ilvl="6" w:tplc="2D1CE006" w:tentative="1">
      <w:start w:val="1"/>
      <w:numFmt w:val="bullet"/>
      <w:lvlText w:val="•"/>
      <w:lvlJc w:val="left"/>
      <w:pPr>
        <w:tabs>
          <w:tab w:val="left" w:pos="5040"/>
        </w:tabs>
        <w:ind w:left="5040" w:hanging="360"/>
      </w:pPr>
      <w:rPr>
        <w:rFonts w:ascii="Arial" w:hAnsi="Arial" w:hint="default"/>
      </w:rPr>
    </w:lvl>
    <w:lvl w:ilvl="7" w:tplc="D0C0D45A" w:tentative="1">
      <w:start w:val="1"/>
      <w:numFmt w:val="bullet"/>
      <w:lvlText w:val="•"/>
      <w:lvlJc w:val="left"/>
      <w:pPr>
        <w:tabs>
          <w:tab w:val="left" w:pos="5760"/>
        </w:tabs>
        <w:ind w:left="5760" w:hanging="360"/>
      </w:pPr>
      <w:rPr>
        <w:rFonts w:ascii="Arial" w:hAnsi="Arial" w:hint="default"/>
      </w:rPr>
    </w:lvl>
    <w:lvl w:ilvl="8" w:tplc="FB7EACFA" w:tentative="1">
      <w:start w:val="1"/>
      <w:numFmt w:val="bullet"/>
      <w:lvlText w:val="•"/>
      <w:lvlJc w:val="left"/>
      <w:pPr>
        <w:tabs>
          <w:tab w:val="left" w:pos="6480"/>
        </w:tabs>
        <w:ind w:left="6480" w:hanging="360"/>
      </w:pPr>
      <w:rPr>
        <w:rFonts w:ascii="Arial" w:hAnsi="Arial" w:hint="default"/>
      </w:rPr>
    </w:lvl>
  </w:abstractNum>
  <w:abstractNum w:abstractNumId="12" w15:restartNumberingAfterBreak="0">
    <w:nsid w:val="0000000D"/>
    <w:multiLevelType w:val="multilevel"/>
    <w:tmpl w:val="5186EE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E11EB7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279A99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hybridMultilevel"/>
    <w:tmpl w:val="9A58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CB3C74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4218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multilevel"/>
    <w:tmpl w:val="5C4C4C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4FAE45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CE66D7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hybridMultilevel"/>
    <w:tmpl w:val="01429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6207BBB"/>
    <w:multiLevelType w:val="multilevel"/>
    <w:tmpl w:val="8A820F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24E22727"/>
    <w:multiLevelType w:val="hybridMultilevel"/>
    <w:tmpl w:val="1EDA1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E1FC5"/>
    <w:multiLevelType w:val="hybridMultilevel"/>
    <w:tmpl w:val="038A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70564"/>
    <w:multiLevelType w:val="hybridMultilevel"/>
    <w:tmpl w:val="D87484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7FF7623"/>
    <w:multiLevelType w:val="multilevel"/>
    <w:tmpl w:val="B7A49A6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167C46"/>
    <w:multiLevelType w:val="hybridMultilevel"/>
    <w:tmpl w:val="B0064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139E2"/>
    <w:multiLevelType w:val="hybridMultilevel"/>
    <w:tmpl w:val="BE60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02C10"/>
    <w:multiLevelType w:val="hybridMultilevel"/>
    <w:tmpl w:val="1798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B95AA6"/>
    <w:multiLevelType w:val="hybridMultilevel"/>
    <w:tmpl w:val="A558B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6F1300"/>
    <w:multiLevelType w:val="hybridMultilevel"/>
    <w:tmpl w:val="575E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997847">
    <w:abstractNumId w:val="1"/>
  </w:num>
  <w:num w:numId="2" w16cid:durableId="1461148062">
    <w:abstractNumId w:val="4"/>
  </w:num>
  <w:num w:numId="3" w16cid:durableId="825173290">
    <w:abstractNumId w:val="7"/>
  </w:num>
  <w:num w:numId="4" w16cid:durableId="1129011511">
    <w:abstractNumId w:val="11"/>
  </w:num>
  <w:num w:numId="5" w16cid:durableId="15356370">
    <w:abstractNumId w:val="17"/>
  </w:num>
  <w:num w:numId="6" w16cid:durableId="1017389512">
    <w:abstractNumId w:val="3"/>
  </w:num>
  <w:num w:numId="7" w16cid:durableId="1423068642">
    <w:abstractNumId w:val="20"/>
  </w:num>
  <w:num w:numId="8" w16cid:durableId="485510916">
    <w:abstractNumId w:val="13"/>
  </w:num>
  <w:num w:numId="9" w16cid:durableId="1020861725">
    <w:abstractNumId w:val="5"/>
  </w:num>
  <w:num w:numId="10" w16cid:durableId="188185720">
    <w:abstractNumId w:val="16"/>
  </w:num>
  <w:num w:numId="11" w16cid:durableId="1352681219">
    <w:abstractNumId w:val="12"/>
  </w:num>
  <w:num w:numId="12" w16cid:durableId="163519820">
    <w:abstractNumId w:val="19"/>
  </w:num>
  <w:num w:numId="13" w16cid:durableId="1538202792">
    <w:abstractNumId w:val="0"/>
  </w:num>
  <w:num w:numId="14" w16cid:durableId="982471279">
    <w:abstractNumId w:val="9"/>
  </w:num>
  <w:num w:numId="15" w16cid:durableId="432820292">
    <w:abstractNumId w:val="6"/>
  </w:num>
  <w:num w:numId="16" w16cid:durableId="1710447818">
    <w:abstractNumId w:val="10"/>
  </w:num>
  <w:num w:numId="17" w16cid:durableId="1839733546">
    <w:abstractNumId w:val="18"/>
  </w:num>
  <w:num w:numId="18" w16cid:durableId="370806469">
    <w:abstractNumId w:val="8"/>
  </w:num>
  <w:num w:numId="19" w16cid:durableId="1737388334">
    <w:abstractNumId w:val="2"/>
  </w:num>
  <w:num w:numId="20" w16cid:durableId="1204102061">
    <w:abstractNumId w:val="21"/>
  </w:num>
  <w:num w:numId="21" w16cid:durableId="1687637666">
    <w:abstractNumId w:val="14"/>
  </w:num>
  <w:num w:numId="22" w16cid:durableId="1615822022">
    <w:abstractNumId w:val="15"/>
  </w:num>
  <w:num w:numId="23" w16cid:durableId="1599482164">
    <w:abstractNumId w:val="22"/>
  </w:num>
  <w:num w:numId="24" w16cid:durableId="409427884">
    <w:abstractNumId w:val="31"/>
  </w:num>
  <w:num w:numId="25" w16cid:durableId="1944729122">
    <w:abstractNumId w:val="26"/>
  </w:num>
  <w:num w:numId="26" w16cid:durableId="687760763">
    <w:abstractNumId w:val="27"/>
  </w:num>
  <w:num w:numId="27" w16cid:durableId="1471627781">
    <w:abstractNumId w:val="23"/>
  </w:num>
  <w:num w:numId="28" w16cid:durableId="788472524">
    <w:abstractNumId w:val="28"/>
  </w:num>
  <w:num w:numId="29" w16cid:durableId="2011525314">
    <w:abstractNumId w:val="24"/>
  </w:num>
  <w:num w:numId="30" w16cid:durableId="511803348">
    <w:abstractNumId w:val="25"/>
  </w:num>
  <w:num w:numId="31" w16cid:durableId="1708407473">
    <w:abstractNumId w:val="30"/>
  </w:num>
  <w:num w:numId="32" w16cid:durableId="10407131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ثياقر راجن سنتنا ماري">
    <w15:presenceInfo w15:providerId="AD" w15:userId="S::tamari@oc.edu.sa::41db555c-68ac-43a2-8d2a-8c4e9090a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D0"/>
    <w:rsid w:val="00025635"/>
    <w:rsid w:val="00025F84"/>
    <w:rsid w:val="00052792"/>
    <w:rsid w:val="0005773A"/>
    <w:rsid w:val="000650F3"/>
    <w:rsid w:val="0007599B"/>
    <w:rsid w:val="00097235"/>
    <w:rsid w:val="00097666"/>
    <w:rsid w:val="00097EB6"/>
    <w:rsid w:val="000A3D66"/>
    <w:rsid w:val="000D6524"/>
    <w:rsid w:val="000E32A3"/>
    <w:rsid w:val="00104D6D"/>
    <w:rsid w:val="00143C56"/>
    <w:rsid w:val="00147008"/>
    <w:rsid w:val="0015103C"/>
    <w:rsid w:val="00151E9B"/>
    <w:rsid w:val="00167AE7"/>
    <w:rsid w:val="00173E40"/>
    <w:rsid w:val="001760CA"/>
    <w:rsid w:val="001B70A5"/>
    <w:rsid w:val="001C7A71"/>
    <w:rsid w:val="001D209C"/>
    <w:rsid w:val="001F0AA7"/>
    <w:rsid w:val="001F271A"/>
    <w:rsid w:val="0020602B"/>
    <w:rsid w:val="00206F8E"/>
    <w:rsid w:val="00241249"/>
    <w:rsid w:val="00244336"/>
    <w:rsid w:val="00253F1F"/>
    <w:rsid w:val="00264ECE"/>
    <w:rsid w:val="0028579D"/>
    <w:rsid w:val="00286A62"/>
    <w:rsid w:val="002930AF"/>
    <w:rsid w:val="00294FB9"/>
    <w:rsid w:val="00295386"/>
    <w:rsid w:val="002A5313"/>
    <w:rsid w:val="002B57CB"/>
    <w:rsid w:val="002D229E"/>
    <w:rsid w:val="002D7BD0"/>
    <w:rsid w:val="002E6AA7"/>
    <w:rsid w:val="002F49DA"/>
    <w:rsid w:val="00314825"/>
    <w:rsid w:val="003154E2"/>
    <w:rsid w:val="003212A2"/>
    <w:rsid w:val="00325763"/>
    <w:rsid w:val="00330493"/>
    <w:rsid w:val="003363C4"/>
    <w:rsid w:val="00341649"/>
    <w:rsid w:val="00344502"/>
    <w:rsid w:val="003467F4"/>
    <w:rsid w:val="003504B1"/>
    <w:rsid w:val="00353F5A"/>
    <w:rsid w:val="00357931"/>
    <w:rsid w:val="00360C38"/>
    <w:rsid w:val="00363877"/>
    <w:rsid w:val="003709C3"/>
    <w:rsid w:val="00377973"/>
    <w:rsid w:val="0038073A"/>
    <w:rsid w:val="003942FF"/>
    <w:rsid w:val="003C2086"/>
    <w:rsid w:val="003D1831"/>
    <w:rsid w:val="003D7E97"/>
    <w:rsid w:val="00410DD9"/>
    <w:rsid w:val="00435279"/>
    <w:rsid w:val="004428A3"/>
    <w:rsid w:val="00446CBD"/>
    <w:rsid w:val="00454956"/>
    <w:rsid w:val="00455CAC"/>
    <w:rsid w:val="00456EB8"/>
    <w:rsid w:val="00465981"/>
    <w:rsid w:val="004707AB"/>
    <w:rsid w:val="0047108E"/>
    <w:rsid w:val="004735D9"/>
    <w:rsid w:val="0047470E"/>
    <w:rsid w:val="004824A8"/>
    <w:rsid w:val="00483E6B"/>
    <w:rsid w:val="00492A6B"/>
    <w:rsid w:val="00494880"/>
    <w:rsid w:val="004A2885"/>
    <w:rsid w:val="004C4329"/>
    <w:rsid w:val="004E1261"/>
    <w:rsid w:val="00501EC3"/>
    <w:rsid w:val="00506198"/>
    <w:rsid w:val="00513157"/>
    <w:rsid w:val="00513801"/>
    <w:rsid w:val="0051710B"/>
    <w:rsid w:val="005229FD"/>
    <w:rsid w:val="00550665"/>
    <w:rsid w:val="0055188F"/>
    <w:rsid w:val="005555E0"/>
    <w:rsid w:val="005608D0"/>
    <w:rsid w:val="00571419"/>
    <w:rsid w:val="00572528"/>
    <w:rsid w:val="00576889"/>
    <w:rsid w:val="0058325A"/>
    <w:rsid w:val="005832CC"/>
    <w:rsid w:val="00594309"/>
    <w:rsid w:val="005A4C03"/>
    <w:rsid w:val="005D048F"/>
    <w:rsid w:val="005D6C8D"/>
    <w:rsid w:val="005E1D41"/>
    <w:rsid w:val="005F1463"/>
    <w:rsid w:val="00611421"/>
    <w:rsid w:val="00615733"/>
    <w:rsid w:val="00617372"/>
    <w:rsid w:val="00624055"/>
    <w:rsid w:val="006266AA"/>
    <w:rsid w:val="006452D5"/>
    <w:rsid w:val="00654392"/>
    <w:rsid w:val="0065749C"/>
    <w:rsid w:val="0065768B"/>
    <w:rsid w:val="006718DD"/>
    <w:rsid w:val="00692763"/>
    <w:rsid w:val="006B2D5F"/>
    <w:rsid w:val="006B54DD"/>
    <w:rsid w:val="006C594A"/>
    <w:rsid w:val="006D191B"/>
    <w:rsid w:val="006D38B5"/>
    <w:rsid w:val="006E2E9C"/>
    <w:rsid w:val="006E5F4E"/>
    <w:rsid w:val="00702A61"/>
    <w:rsid w:val="00702C4F"/>
    <w:rsid w:val="007119B4"/>
    <w:rsid w:val="00715906"/>
    <w:rsid w:val="00715DBE"/>
    <w:rsid w:val="0072176D"/>
    <w:rsid w:val="00726969"/>
    <w:rsid w:val="0072787B"/>
    <w:rsid w:val="00743830"/>
    <w:rsid w:val="007449C5"/>
    <w:rsid w:val="007717C1"/>
    <w:rsid w:val="00772C57"/>
    <w:rsid w:val="007744B5"/>
    <w:rsid w:val="007806E8"/>
    <w:rsid w:val="00780EFF"/>
    <w:rsid w:val="007968A5"/>
    <w:rsid w:val="007A12E6"/>
    <w:rsid w:val="007B00A9"/>
    <w:rsid w:val="007B7EF7"/>
    <w:rsid w:val="007C7A20"/>
    <w:rsid w:val="007D5556"/>
    <w:rsid w:val="008159A4"/>
    <w:rsid w:val="008503C6"/>
    <w:rsid w:val="00852EC3"/>
    <w:rsid w:val="0086616A"/>
    <w:rsid w:val="008768C3"/>
    <w:rsid w:val="00886C5C"/>
    <w:rsid w:val="00892441"/>
    <w:rsid w:val="008B7FA9"/>
    <w:rsid w:val="008C3215"/>
    <w:rsid w:val="008D1F3A"/>
    <w:rsid w:val="008E4593"/>
    <w:rsid w:val="008F1432"/>
    <w:rsid w:val="008F5AA0"/>
    <w:rsid w:val="008F626A"/>
    <w:rsid w:val="00906D80"/>
    <w:rsid w:val="00927520"/>
    <w:rsid w:val="00935839"/>
    <w:rsid w:val="00940F01"/>
    <w:rsid w:val="00972E66"/>
    <w:rsid w:val="0098175B"/>
    <w:rsid w:val="0098228A"/>
    <w:rsid w:val="00992152"/>
    <w:rsid w:val="00994F45"/>
    <w:rsid w:val="0099576D"/>
    <w:rsid w:val="009979FF"/>
    <w:rsid w:val="009A3961"/>
    <w:rsid w:val="009A4A98"/>
    <w:rsid w:val="009A6846"/>
    <w:rsid w:val="009C4880"/>
    <w:rsid w:val="009D0F73"/>
    <w:rsid w:val="009D1C79"/>
    <w:rsid w:val="009D397D"/>
    <w:rsid w:val="009D5DBD"/>
    <w:rsid w:val="009E37B1"/>
    <w:rsid w:val="009E3C2F"/>
    <w:rsid w:val="009E4FBA"/>
    <w:rsid w:val="009F0E6E"/>
    <w:rsid w:val="009F58F4"/>
    <w:rsid w:val="00A01A21"/>
    <w:rsid w:val="00A123B3"/>
    <w:rsid w:val="00A27C53"/>
    <w:rsid w:val="00A31A10"/>
    <w:rsid w:val="00A3348E"/>
    <w:rsid w:val="00A35AED"/>
    <w:rsid w:val="00A6352B"/>
    <w:rsid w:val="00A64596"/>
    <w:rsid w:val="00A72829"/>
    <w:rsid w:val="00A75DF2"/>
    <w:rsid w:val="00A839E3"/>
    <w:rsid w:val="00A96693"/>
    <w:rsid w:val="00AA3895"/>
    <w:rsid w:val="00AA7CD9"/>
    <w:rsid w:val="00AC1F61"/>
    <w:rsid w:val="00AD131B"/>
    <w:rsid w:val="00AD2DD4"/>
    <w:rsid w:val="00AD4371"/>
    <w:rsid w:val="00AD5626"/>
    <w:rsid w:val="00AF05EB"/>
    <w:rsid w:val="00AF2702"/>
    <w:rsid w:val="00B138F0"/>
    <w:rsid w:val="00B15ACE"/>
    <w:rsid w:val="00B15ADD"/>
    <w:rsid w:val="00B20770"/>
    <w:rsid w:val="00B236BA"/>
    <w:rsid w:val="00B255C7"/>
    <w:rsid w:val="00B27AF6"/>
    <w:rsid w:val="00B3217D"/>
    <w:rsid w:val="00B32ACD"/>
    <w:rsid w:val="00B53C9C"/>
    <w:rsid w:val="00B55DBC"/>
    <w:rsid w:val="00B5616C"/>
    <w:rsid w:val="00B5718F"/>
    <w:rsid w:val="00B704DA"/>
    <w:rsid w:val="00B7338B"/>
    <w:rsid w:val="00B757EE"/>
    <w:rsid w:val="00B75BAE"/>
    <w:rsid w:val="00B838C3"/>
    <w:rsid w:val="00BC0128"/>
    <w:rsid w:val="00BC5B59"/>
    <w:rsid w:val="00BC5FEC"/>
    <w:rsid w:val="00BD752B"/>
    <w:rsid w:val="00BF424A"/>
    <w:rsid w:val="00C36C9B"/>
    <w:rsid w:val="00C440A2"/>
    <w:rsid w:val="00C47567"/>
    <w:rsid w:val="00C66402"/>
    <w:rsid w:val="00C67C86"/>
    <w:rsid w:val="00C74BB8"/>
    <w:rsid w:val="00C7680F"/>
    <w:rsid w:val="00C86A54"/>
    <w:rsid w:val="00CA1C08"/>
    <w:rsid w:val="00CC357E"/>
    <w:rsid w:val="00CF6C0D"/>
    <w:rsid w:val="00D116EA"/>
    <w:rsid w:val="00D164C7"/>
    <w:rsid w:val="00D32372"/>
    <w:rsid w:val="00D37124"/>
    <w:rsid w:val="00D4191B"/>
    <w:rsid w:val="00D42D1C"/>
    <w:rsid w:val="00D73242"/>
    <w:rsid w:val="00D8685A"/>
    <w:rsid w:val="00D86ADE"/>
    <w:rsid w:val="00DB57EC"/>
    <w:rsid w:val="00DC1248"/>
    <w:rsid w:val="00DC43DD"/>
    <w:rsid w:val="00DD15D5"/>
    <w:rsid w:val="00DE5FCA"/>
    <w:rsid w:val="00E02D49"/>
    <w:rsid w:val="00E13CA1"/>
    <w:rsid w:val="00E13FCE"/>
    <w:rsid w:val="00E26510"/>
    <w:rsid w:val="00E418CF"/>
    <w:rsid w:val="00E424EA"/>
    <w:rsid w:val="00E75491"/>
    <w:rsid w:val="00E9393A"/>
    <w:rsid w:val="00EA0231"/>
    <w:rsid w:val="00EB68E4"/>
    <w:rsid w:val="00EB6C26"/>
    <w:rsid w:val="00ED156E"/>
    <w:rsid w:val="00ED7571"/>
    <w:rsid w:val="00EE33A4"/>
    <w:rsid w:val="00EE62BE"/>
    <w:rsid w:val="00EF2A51"/>
    <w:rsid w:val="00F15336"/>
    <w:rsid w:val="00F22C45"/>
    <w:rsid w:val="00F23727"/>
    <w:rsid w:val="00F24ED5"/>
    <w:rsid w:val="00F24FDB"/>
    <w:rsid w:val="00F33A2C"/>
    <w:rsid w:val="00F637A7"/>
    <w:rsid w:val="00F74E25"/>
    <w:rsid w:val="00F765BE"/>
    <w:rsid w:val="00F8348E"/>
    <w:rsid w:val="00F84350"/>
    <w:rsid w:val="00FA51C7"/>
    <w:rsid w:val="00FB4CCA"/>
    <w:rsid w:val="00FC02B5"/>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0CDF6"/>
  <w15:chartTrackingRefBased/>
  <w15:docId w15:val="{ECAA1B01-EF29-4703-BE8B-A19C4D95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9B4"/>
    <w:rPr>
      <w:rFonts w:ascii="Calibri" w:eastAsia="Calibri" w:hAnsi="Calibri" w:cs="SimSun"/>
    </w:rPr>
  </w:style>
  <w:style w:type="paragraph" w:styleId="Heading2">
    <w:name w:val="heading 2"/>
    <w:basedOn w:val="Normal"/>
    <w:next w:val="Normal"/>
    <w:link w:val="Heading2Char"/>
    <w:uiPriority w:val="9"/>
    <w:semiHidden/>
    <w:unhideWhenUsed/>
    <w:qFormat/>
    <w:rsid w:val="002D7BD0"/>
    <w:pPr>
      <w:keepNext/>
      <w:keepLines/>
      <w:spacing w:before="160" w:after="80"/>
      <w:outlineLvl w:val="1"/>
    </w:pPr>
    <w:rPr>
      <w:rFonts w:ascii="Calibri Light" w:eastAsia="SimSu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D7BD0"/>
    <w:rPr>
      <w:rFonts w:ascii="Calibri Light" w:eastAsia="SimSun" w:hAnsi="Calibri Light" w:cs="SimSun"/>
      <w:color w:val="2F5496"/>
      <w:sz w:val="32"/>
      <w:szCs w:val="32"/>
    </w:rPr>
  </w:style>
  <w:style w:type="paragraph" w:styleId="Header">
    <w:name w:val="header"/>
    <w:basedOn w:val="Normal"/>
    <w:link w:val="HeaderChar"/>
    <w:uiPriority w:val="99"/>
    <w:rsid w:val="002D7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D0"/>
    <w:rPr>
      <w:rFonts w:ascii="Calibri" w:eastAsia="Calibri" w:hAnsi="Calibri" w:cs="SimSun"/>
    </w:rPr>
  </w:style>
  <w:style w:type="paragraph" w:styleId="Footer">
    <w:name w:val="footer"/>
    <w:basedOn w:val="Normal"/>
    <w:link w:val="FooterChar"/>
    <w:uiPriority w:val="99"/>
    <w:rsid w:val="002D7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D0"/>
    <w:rPr>
      <w:rFonts w:ascii="Calibri" w:eastAsia="Calibri" w:hAnsi="Calibri" w:cs="SimSun"/>
    </w:rPr>
  </w:style>
  <w:style w:type="paragraph" w:styleId="NormalWeb">
    <w:name w:val="Normal (Web)"/>
    <w:basedOn w:val="Normal"/>
    <w:uiPriority w:val="99"/>
    <w:rsid w:val="002D7B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7BD0"/>
    <w:rPr>
      <w:i/>
      <w:iCs/>
    </w:rPr>
  </w:style>
  <w:style w:type="character" w:styleId="Strong">
    <w:name w:val="Strong"/>
    <w:basedOn w:val="DefaultParagraphFont"/>
    <w:uiPriority w:val="22"/>
    <w:qFormat/>
    <w:rsid w:val="002D7BD0"/>
    <w:rPr>
      <w:b/>
      <w:bCs/>
    </w:rPr>
  </w:style>
  <w:style w:type="paragraph" w:styleId="ListParagraph">
    <w:name w:val="List Paragraph"/>
    <w:basedOn w:val="Normal"/>
    <w:uiPriority w:val="34"/>
    <w:qFormat/>
    <w:rsid w:val="002D7BD0"/>
    <w:pPr>
      <w:ind w:left="720"/>
      <w:contextualSpacing/>
    </w:pPr>
  </w:style>
  <w:style w:type="character" w:styleId="Hyperlink">
    <w:name w:val="Hyperlink"/>
    <w:basedOn w:val="DefaultParagraphFont"/>
    <w:uiPriority w:val="99"/>
    <w:rsid w:val="002D7BD0"/>
    <w:rPr>
      <w:color w:val="0563C1"/>
      <w:u w:val="single"/>
    </w:rPr>
  </w:style>
  <w:style w:type="character" w:customStyle="1" w:styleId="UnresolvedMention1">
    <w:name w:val="Unresolved Mention1"/>
    <w:basedOn w:val="DefaultParagraphFont"/>
    <w:uiPriority w:val="99"/>
    <w:rsid w:val="002D7BD0"/>
    <w:rPr>
      <w:color w:val="605E5C"/>
      <w:shd w:val="clear" w:color="auto" w:fill="E1DFDD"/>
    </w:rPr>
  </w:style>
  <w:style w:type="character" w:styleId="SubtleEmphasis">
    <w:name w:val="Subtle Emphasis"/>
    <w:basedOn w:val="DefaultParagraphFont"/>
    <w:uiPriority w:val="19"/>
    <w:qFormat/>
    <w:rsid w:val="002D7BD0"/>
    <w:rPr>
      <w:i/>
      <w:iCs/>
      <w:color w:val="404040"/>
    </w:rPr>
  </w:style>
  <w:style w:type="character" w:styleId="FollowedHyperlink">
    <w:name w:val="FollowedHyperlink"/>
    <w:basedOn w:val="DefaultParagraphFont"/>
    <w:uiPriority w:val="99"/>
    <w:rsid w:val="002D7BD0"/>
    <w:rPr>
      <w:color w:val="954F72"/>
      <w:u w:val="single"/>
    </w:rPr>
  </w:style>
  <w:style w:type="character" w:styleId="CommentReference">
    <w:name w:val="annotation reference"/>
    <w:basedOn w:val="DefaultParagraphFont"/>
    <w:uiPriority w:val="99"/>
    <w:rsid w:val="002D7BD0"/>
    <w:rPr>
      <w:sz w:val="16"/>
      <w:szCs w:val="16"/>
    </w:rPr>
  </w:style>
  <w:style w:type="paragraph" w:styleId="CommentText">
    <w:name w:val="annotation text"/>
    <w:basedOn w:val="Normal"/>
    <w:link w:val="CommentTextChar"/>
    <w:uiPriority w:val="99"/>
    <w:rsid w:val="002D7BD0"/>
    <w:pPr>
      <w:spacing w:line="240" w:lineRule="auto"/>
    </w:pPr>
    <w:rPr>
      <w:sz w:val="20"/>
      <w:szCs w:val="20"/>
    </w:rPr>
  </w:style>
  <w:style w:type="character" w:customStyle="1" w:styleId="CommentTextChar">
    <w:name w:val="Comment Text Char"/>
    <w:basedOn w:val="DefaultParagraphFont"/>
    <w:link w:val="CommentText"/>
    <w:uiPriority w:val="99"/>
    <w:rsid w:val="002D7BD0"/>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2D7BD0"/>
    <w:rPr>
      <w:b/>
      <w:bCs/>
    </w:rPr>
  </w:style>
  <w:style w:type="character" w:customStyle="1" w:styleId="CommentSubjectChar">
    <w:name w:val="Comment Subject Char"/>
    <w:basedOn w:val="CommentTextChar"/>
    <w:link w:val="CommentSubject"/>
    <w:uiPriority w:val="99"/>
    <w:rsid w:val="002D7BD0"/>
    <w:rPr>
      <w:rFonts w:ascii="Calibri" w:eastAsia="Calibri" w:hAnsi="Calibri" w:cs="SimSun"/>
      <w:b/>
      <w:bCs/>
      <w:sz w:val="20"/>
      <w:szCs w:val="20"/>
    </w:rPr>
  </w:style>
  <w:style w:type="paragraph" w:styleId="BalloonText">
    <w:name w:val="Balloon Text"/>
    <w:basedOn w:val="Normal"/>
    <w:link w:val="BalloonTextChar"/>
    <w:uiPriority w:val="99"/>
    <w:rsid w:val="002D7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D7BD0"/>
    <w:rPr>
      <w:rFonts w:ascii="Segoe UI" w:eastAsia="Calibri" w:hAnsi="Segoe UI" w:cs="Segoe UI"/>
      <w:sz w:val="18"/>
      <w:szCs w:val="18"/>
    </w:rPr>
  </w:style>
  <w:style w:type="character" w:customStyle="1" w:styleId="A3">
    <w:name w:val="A3"/>
    <w:uiPriority w:val="99"/>
    <w:rsid w:val="002D7BD0"/>
    <w:rPr>
      <w:rFonts w:cs="Minion Pro"/>
      <w:color w:val="000000"/>
      <w:sz w:val="20"/>
      <w:szCs w:val="20"/>
    </w:rPr>
  </w:style>
  <w:style w:type="character" w:styleId="PlaceholderText">
    <w:name w:val="Placeholder Text"/>
    <w:basedOn w:val="DefaultParagraphFont"/>
    <w:uiPriority w:val="99"/>
    <w:rsid w:val="002D7BD0"/>
    <w:rPr>
      <w:color w:val="808080"/>
    </w:rPr>
  </w:style>
  <w:style w:type="paragraph" w:customStyle="1" w:styleId="Default">
    <w:name w:val="Default"/>
    <w:rsid w:val="002D7BD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PlainTable21">
    <w:name w:val="Plain Table 21"/>
    <w:basedOn w:val="TableNormal"/>
    <w:uiPriority w:val="42"/>
    <w:rsid w:val="002D7BD0"/>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2D7BD0"/>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2D7BD0"/>
    <w:pPr>
      <w:spacing w:after="0" w:line="240" w:lineRule="auto"/>
    </w:pPr>
    <w:rPr>
      <w:rFonts w:ascii="Calibri" w:eastAsia="Calibri" w:hAnsi="Calibri" w:cs="SimSu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D7BD0"/>
    <w:pPr>
      <w:spacing w:after="0" w:line="240" w:lineRule="auto"/>
    </w:pPr>
    <w:rPr>
      <w:rFonts w:ascii="Calibri" w:eastAsia="Calibri" w:hAnsi="Calibri" w:cs="SimSu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itation-0">
    <w:name w:val="citation-0"/>
    <w:basedOn w:val="DefaultParagraphFont"/>
    <w:rsid w:val="002D7BD0"/>
  </w:style>
  <w:style w:type="character" w:customStyle="1" w:styleId="button-container">
    <w:name w:val="button-container"/>
    <w:basedOn w:val="DefaultParagraphFont"/>
    <w:rsid w:val="002D7BD0"/>
  </w:style>
  <w:style w:type="character" w:customStyle="1" w:styleId="source-card-title-index">
    <w:name w:val="source-card-title-index"/>
    <w:basedOn w:val="DefaultParagraphFont"/>
    <w:rsid w:val="002D7BD0"/>
  </w:style>
  <w:style w:type="character" w:customStyle="1" w:styleId="ellipsis">
    <w:name w:val="ellipsis"/>
    <w:basedOn w:val="DefaultParagraphFont"/>
    <w:rsid w:val="002D7BD0"/>
  </w:style>
  <w:style w:type="character" w:customStyle="1" w:styleId="source-card-attribution-text">
    <w:name w:val="source-card-attribution-text"/>
    <w:basedOn w:val="DefaultParagraphFont"/>
    <w:rsid w:val="002D7BD0"/>
  </w:style>
  <w:style w:type="table" w:customStyle="1" w:styleId="TableGrid1">
    <w:name w:val="Table Grid1"/>
    <w:basedOn w:val="TableNormal"/>
    <w:next w:val="TableGrid"/>
    <w:uiPriority w:val="39"/>
    <w:rsid w:val="002D7B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2D7BD0"/>
    <w:pPr>
      <w:spacing w:after="0" w:line="240" w:lineRule="auto"/>
    </w:pPr>
    <w:rPr>
      <w:rFonts w:ascii="Calibri" w:eastAsia="Calibri" w:hAnsi="Calibri" w:cs="SimSu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2">
    <w:name w:val="Unresolved Mention2"/>
    <w:basedOn w:val="DefaultParagraphFont"/>
    <w:uiPriority w:val="99"/>
    <w:semiHidden/>
    <w:unhideWhenUsed/>
    <w:rsid w:val="00025F84"/>
    <w:rPr>
      <w:color w:val="605E5C"/>
      <w:shd w:val="clear" w:color="auto" w:fill="E1DFDD"/>
    </w:rPr>
  </w:style>
  <w:style w:type="table" w:customStyle="1" w:styleId="PlainTable411">
    <w:name w:val="Plain Table 411"/>
    <w:basedOn w:val="TableNormal"/>
    <w:uiPriority w:val="44"/>
    <w:rsid w:val="0098228A"/>
    <w:pPr>
      <w:spacing w:after="0" w:line="240" w:lineRule="auto"/>
    </w:pPr>
    <w:rPr>
      <w:rFonts w:ascii="Calibri" w:eastAsia="Times New Roman"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7806E8"/>
    <w:rPr>
      <w:color w:val="605E5C"/>
      <w:shd w:val="clear" w:color="auto" w:fill="E1DFDD"/>
    </w:rPr>
  </w:style>
  <w:style w:type="character" w:customStyle="1" w:styleId="ng-star-inserted">
    <w:name w:val="ng-star-inserted"/>
    <w:basedOn w:val="DefaultParagraphFont"/>
    <w:rsid w:val="00572528"/>
  </w:style>
  <w:style w:type="paragraph" w:styleId="FootnoteText">
    <w:name w:val="footnote text"/>
    <w:basedOn w:val="Normal"/>
    <w:link w:val="FootnoteTextChar"/>
    <w:uiPriority w:val="99"/>
    <w:semiHidden/>
    <w:unhideWhenUsed/>
    <w:rsid w:val="00572528"/>
    <w:pPr>
      <w:widowControl w:val="0"/>
      <w:spacing w:after="0" w:line="240" w:lineRule="auto"/>
      <w:jc w:val="both"/>
    </w:pPr>
    <w:rPr>
      <w:rFonts w:ascii="Times New Roman" w:eastAsia="SimSun" w:hAnsi="Times New Roman" w:cs="Times New Roman"/>
      <w:kern w:val="2"/>
      <w:sz w:val="20"/>
      <w:szCs w:val="20"/>
      <w:lang w:eastAsia="zh-CN"/>
    </w:rPr>
  </w:style>
  <w:style w:type="character" w:customStyle="1" w:styleId="FootnoteTextChar">
    <w:name w:val="Footnote Text Char"/>
    <w:basedOn w:val="DefaultParagraphFont"/>
    <w:link w:val="FootnoteText"/>
    <w:uiPriority w:val="99"/>
    <w:semiHidden/>
    <w:rsid w:val="00572528"/>
    <w:rPr>
      <w:rFonts w:ascii="Times New Roman" w:eastAsia="SimSun" w:hAnsi="Times New Roman" w:cs="Times New Roman"/>
      <w:kern w:val="2"/>
      <w:sz w:val="20"/>
      <w:szCs w:val="20"/>
      <w:lang w:eastAsia="zh-CN"/>
    </w:rPr>
  </w:style>
  <w:style w:type="character" w:styleId="FootnoteReference">
    <w:name w:val="footnote reference"/>
    <w:basedOn w:val="DefaultParagraphFont"/>
    <w:uiPriority w:val="99"/>
    <w:semiHidden/>
    <w:unhideWhenUsed/>
    <w:rsid w:val="00572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627">
      <w:bodyDiv w:val="1"/>
      <w:marLeft w:val="0"/>
      <w:marRight w:val="0"/>
      <w:marTop w:val="0"/>
      <w:marBottom w:val="0"/>
      <w:divBdr>
        <w:top w:val="none" w:sz="0" w:space="0" w:color="auto"/>
        <w:left w:val="none" w:sz="0" w:space="0" w:color="auto"/>
        <w:bottom w:val="none" w:sz="0" w:space="0" w:color="auto"/>
        <w:right w:val="none" w:sz="0" w:space="0" w:color="auto"/>
      </w:divBdr>
    </w:div>
    <w:div w:id="469715397">
      <w:bodyDiv w:val="1"/>
      <w:marLeft w:val="0"/>
      <w:marRight w:val="0"/>
      <w:marTop w:val="0"/>
      <w:marBottom w:val="0"/>
      <w:divBdr>
        <w:top w:val="none" w:sz="0" w:space="0" w:color="auto"/>
        <w:left w:val="none" w:sz="0" w:space="0" w:color="auto"/>
        <w:bottom w:val="none" w:sz="0" w:space="0" w:color="auto"/>
        <w:right w:val="none" w:sz="0" w:space="0" w:color="auto"/>
      </w:divBdr>
      <w:divsChild>
        <w:div w:id="675499323">
          <w:marLeft w:val="0"/>
          <w:marRight w:val="0"/>
          <w:marTop w:val="0"/>
          <w:marBottom w:val="0"/>
          <w:divBdr>
            <w:top w:val="none" w:sz="0" w:space="0" w:color="auto"/>
            <w:left w:val="none" w:sz="0" w:space="0" w:color="auto"/>
            <w:bottom w:val="none" w:sz="0" w:space="0" w:color="auto"/>
            <w:right w:val="none" w:sz="0" w:space="0" w:color="auto"/>
          </w:divBdr>
        </w:div>
        <w:div w:id="2054956929">
          <w:marLeft w:val="0"/>
          <w:marRight w:val="0"/>
          <w:marTop w:val="0"/>
          <w:marBottom w:val="0"/>
          <w:divBdr>
            <w:top w:val="none" w:sz="0" w:space="0" w:color="auto"/>
            <w:left w:val="none" w:sz="0" w:space="0" w:color="auto"/>
            <w:bottom w:val="none" w:sz="0" w:space="0" w:color="auto"/>
            <w:right w:val="none" w:sz="0" w:space="0" w:color="auto"/>
          </w:divBdr>
        </w:div>
        <w:div w:id="360060209">
          <w:marLeft w:val="0"/>
          <w:marRight w:val="0"/>
          <w:marTop w:val="0"/>
          <w:marBottom w:val="0"/>
          <w:divBdr>
            <w:top w:val="none" w:sz="0" w:space="0" w:color="auto"/>
            <w:left w:val="none" w:sz="0" w:space="0" w:color="auto"/>
            <w:bottom w:val="none" w:sz="0" w:space="0" w:color="auto"/>
            <w:right w:val="none" w:sz="0" w:space="0" w:color="auto"/>
          </w:divBdr>
        </w:div>
        <w:div w:id="140271857">
          <w:marLeft w:val="0"/>
          <w:marRight w:val="0"/>
          <w:marTop w:val="0"/>
          <w:marBottom w:val="0"/>
          <w:divBdr>
            <w:top w:val="none" w:sz="0" w:space="0" w:color="auto"/>
            <w:left w:val="none" w:sz="0" w:space="0" w:color="auto"/>
            <w:bottom w:val="none" w:sz="0" w:space="0" w:color="auto"/>
            <w:right w:val="none" w:sz="0" w:space="0" w:color="auto"/>
          </w:divBdr>
        </w:div>
        <w:div w:id="297031628">
          <w:marLeft w:val="0"/>
          <w:marRight w:val="0"/>
          <w:marTop w:val="0"/>
          <w:marBottom w:val="0"/>
          <w:divBdr>
            <w:top w:val="none" w:sz="0" w:space="0" w:color="auto"/>
            <w:left w:val="none" w:sz="0" w:space="0" w:color="auto"/>
            <w:bottom w:val="none" w:sz="0" w:space="0" w:color="auto"/>
            <w:right w:val="none" w:sz="0" w:space="0" w:color="auto"/>
          </w:divBdr>
        </w:div>
        <w:div w:id="1027098967">
          <w:marLeft w:val="0"/>
          <w:marRight w:val="0"/>
          <w:marTop w:val="0"/>
          <w:marBottom w:val="0"/>
          <w:divBdr>
            <w:top w:val="none" w:sz="0" w:space="0" w:color="auto"/>
            <w:left w:val="none" w:sz="0" w:space="0" w:color="auto"/>
            <w:bottom w:val="none" w:sz="0" w:space="0" w:color="auto"/>
            <w:right w:val="none" w:sz="0" w:space="0" w:color="auto"/>
          </w:divBdr>
        </w:div>
        <w:div w:id="952058608">
          <w:marLeft w:val="0"/>
          <w:marRight w:val="0"/>
          <w:marTop w:val="0"/>
          <w:marBottom w:val="0"/>
          <w:divBdr>
            <w:top w:val="none" w:sz="0" w:space="0" w:color="auto"/>
            <w:left w:val="none" w:sz="0" w:space="0" w:color="auto"/>
            <w:bottom w:val="none" w:sz="0" w:space="0" w:color="auto"/>
            <w:right w:val="none" w:sz="0" w:space="0" w:color="auto"/>
          </w:divBdr>
        </w:div>
      </w:divsChild>
    </w:div>
    <w:div w:id="914975210">
      <w:bodyDiv w:val="1"/>
      <w:marLeft w:val="0"/>
      <w:marRight w:val="0"/>
      <w:marTop w:val="0"/>
      <w:marBottom w:val="0"/>
      <w:divBdr>
        <w:top w:val="none" w:sz="0" w:space="0" w:color="auto"/>
        <w:left w:val="none" w:sz="0" w:space="0" w:color="auto"/>
        <w:bottom w:val="none" w:sz="0" w:space="0" w:color="auto"/>
        <w:right w:val="none" w:sz="0" w:space="0" w:color="auto"/>
      </w:divBdr>
      <w:divsChild>
        <w:div w:id="158548144">
          <w:marLeft w:val="0"/>
          <w:marRight w:val="0"/>
          <w:marTop w:val="0"/>
          <w:marBottom w:val="0"/>
          <w:divBdr>
            <w:top w:val="none" w:sz="0" w:space="0" w:color="auto"/>
            <w:left w:val="none" w:sz="0" w:space="0" w:color="auto"/>
            <w:bottom w:val="none" w:sz="0" w:space="0" w:color="auto"/>
            <w:right w:val="none" w:sz="0" w:space="0" w:color="auto"/>
          </w:divBdr>
          <w:divsChild>
            <w:div w:id="1474525176">
              <w:marLeft w:val="0"/>
              <w:marRight w:val="0"/>
              <w:marTop w:val="0"/>
              <w:marBottom w:val="0"/>
              <w:divBdr>
                <w:top w:val="none" w:sz="0" w:space="0" w:color="auto"/>
                <w:left w:val="none" w:sz="0" w:space="0" w:color="auto"/>
                <w:bottom w:val="none" w:sz="0" w:space="0" w:color="auto"/>
                <w:right w:val="none" w:sz="0" w:space="0" w:color="auto"/>
              </w:divBdr>
              <w:divsChild>
                <w:div w:id="171772260">
                  <w:marLeft w:val="0"/>
                  <w:marRight w:val="0"/>
                  <w:marTop w:val="0"/>
                  <w:marBottom w:val="0"/>
                  <w:divBdr>
                    <w:top w:val="none" w:sz="0" w:space="0" w:color="auto"/>
                    <w:left w:val="none" w:sz="0" w:space="0" w:color="auto"/>
                    <w:bottom w:val="none" w:sz="0" w:space="0" w:color="auto"/>
                    <w:right w:val="none" w:sz="0" w:space="0" w:color="auto"/>
                  </w:divBdr>
                  <w:divsChild>
                    <w:div w:id="218245854">
                      <w:marLeft w:val="0"/>
                      <w:marRight w:val="0"/>
                      <w:marTop w:val="0"/>
                      <w:marBottom w:val="0"/>
                      <w:divBdr>
                        <w:top w:val="none" w:sz="0" w:space="0" w:color="auto"/>
                        <w:left w:val="none" w:sz="0" w:space="0" w:color="auto"/>
                        <w:bottom w:val="none" w:sz="0" w:space="0" w:color="auto"/>
                        <w:right w:val="none" w:sz="0" w:space="0" w:color="auto"/>
                      </w:divBdr>
                      <w:divsChild>
                        <w:div w:id="846989636">
                          <w:marLeft w:val="0"/>
                          <w:marRight w:val="0"/>
                          <w:marTop w:val="0"/>
                          <w:marBottom w:val="0"/>
                          <w:divBdr>
                            <w:top w:val="none" w:sz="0" w:space="0" w:color="auto"/>
                            <w:left w:val="none" w:sz="0" w:space="0" w:color="auto"/>
                            <w:bottom w:val="none" w:sz="0" w:space="0" w:color="auto"/>
                            <w:right w:val="none" w:sz="0" w:space="0" w:color="auto"/>
                          </w:divBdr>
                          <w:divsChild>
                            <w:div w:id="1179587243">
                              <w:marLeft w:val="0"/>
                              <w:marRight w:val="0"/>
                              <w:marTop w:val="0"/>
                              <w:marBottom w:val="0"/>
                              <w:divBdr>
                                <w:top w:val="none" w:sz="0" w:space="0" w:color="auto"/>
                                <w:left w:val="none" w:sz="0" w:space="0" w:color="auto"/>
                                <w:bottom w:val="none" w:sz="0" w:space="0" w:color="auto"/>
                                <w:right w:val="none" w:sz="0" w:space="0" w:color="auto"/>
                              </w:divBdr>
                              <w:divsChild>
                                <w:div w:id="1357075335">
                                  <w:marLeft w:val="0"/>
                                  <w:marRight w:val="0"/>
                                  <w:marTop w:val="0"/>
                                  <w:marBottom w:val="0"/>
                                  <w:divBdr>
                                    <w:top w:val="none" w:sz="0" w:space="0" w:color="auto"/>
                                    <w:left w:val="none" w:sz="0" w:space="0" w:color="auto"/>
                                    <w:bottom w:val="none" w:sz="0" w:space="0" w:color="auto"/>
                                    <w:right w:val="none" w:sz="0" w:space="0" w:color="auto"/>
                                  </w:divBdr>
                                  <w:divsChild>
                                    <w:div w:id="563638262">
                                      <w:marLeft w:val="0"/>
                                      <w:marRight w:val="0"/>
                                      <w:marTop w:val="0"/>
                                      <w:marBottom w:val="0"/>
                                      <w:divBdr>
                                        <w:top w:val="none" w:sz="0" w:space="0" w:color="auto"/>
                                        <w:left w:val="none" w:sz="0" w:space="0" w:color="auto"/>
                                        <w:bottom w:val="none" w:sz="0" w:space="0" w:color="auto"/>
                                        <w:right w:val="none" w:sz="0" w:space="0" w:color="auto"/>
                                      </w:divBdr>
                                      <w:divsChild>
                                        <w:div w:id="15766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7400">
                                  <w:marLeft w:val="0"/>
                                  <w:marRight w:val="0"/>
                                  <w:marTop w:val="0"/>
                                  <w:marBottom w:val="0"/>
                                  <w:divBdr>
                                    <w:top w:val="none" w:sz="0" w:space="0" w:color="auto"/>
                                    <w:left w:val="none" w:sz="0" w:space="0" w:color="auto"/>
                                    <w:bottom w:val="none" w:sz="0" w:space="0" w:color="auto"/>
                                    <w:right w:val="none" w:sz="0" w:space="0" w:color="auto"/>
                                  </w:divBdr>
                                  <w:divsChild>
                                    <w:div w:id="743838020">
                                      <w:marLeft w:val="0"/>
                                      <w:marRight w:val="0"/>
                                      <w:marTop w:val="0"/>
                                      <w:marBottom w:val="0"/>
                                      <w:divBdr>
                                        <w:top w:val="none" w:sz="0" w:space="0" w:color="auto"/>
                                        <w:left w:val="none" w:sz="0" w:space="0" w:color="auto"/>
                                        <w:bottom w:val="none" w:sz="0" w:space="0" w:color="auto"/>
                                        <w:right w:val="none" w:sz="0" w:space="0" w:color="auto"/>
                                      </w:divBdr>
                                      <w:divsChild>
                                        <w:div w:id="6701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481468">
      <w:bodyDiv w:val="1"/>
      <w:marLeft w:val="0"/>
      <w:marRight w:val="0"/>
      <w:marTop w:val="0"/>
      <w:marBottom w:val="0"/>
      <w:divBdr>
        <w:top w:val="none" w:sz="0" w:space="0" w:color="auto"/>
        <w:left w:val="none" w:sz="0" w:space="0" w:color="auto"/>
        <w:bottom w:val="none" w:sz="0" w:space="0" w:color="auto"/>
        <w:right w:val="none" w:sz="0" w:space="0" w:color="auto"/>
      </w:divBdr>
      <w:divsChild>
        <w:div w:id="345597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30/pj.2018.5.178" TargetMode="External"/><Relationship Id="rId18" Type="http://schemas.openxmlformats.org/officeDocument/2006/relationships/hyperlink" Target="https://doi.org/10.3390/biomedicines11112937" TargetMode="External"/><Relationship Id="rId26" Type="http://schemas.openxmlformats.org/officeDocument/2006/relationships/hyperlink" Target="http://www.er-journal.com/papers/NWOBODO1_June_2021_9_2_68-76.pdf" TargetMode="External"/><Relationship Id="rId39" Type="http://schemas.openxmlformats.org/officeDocument/2006/relationships/theme" Target="theme/theme1.xml"/><Relationship Id="rId21" Type="http://schemas.openxmlformats.org/officeDocument/2006/relationships/hyperlink" Target="https://doi.org/10.15406/jabb.2017.03.0006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55/2021/5582755" TargetMode="External"/><Relationship Id="rId17" Type="http://schemas.openxmlformats.org/officeDocument/2006/relationships/hyperlink" Target="https://doi.org/10.3389/fcimb.2021.720701" TargetMode="External"/><Relationship Id="rId25" Type="http://schemas.openxmlformats.org/officeDocument/2006/relationships/hyperlink" Target="https://doi.org/10.53811/ijtcmr.1407843"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155/2022/3837965" TargetMode="External"/><Relationship Id="rId20" Type="http://schemas.openxmlformats.org/officeDocument/2006/relationships/hyperlink" Target="https://doi.org/10.3390/antibiotics12010169" TargetMode="External"/><Relationship Id="rId29" Type="http://schemas.openxmlformats.org/officeDocument/2006/relationships/hyperlink" Target="https://www.fnasjournals.com/index.php/FNAS-JACSR/article/view/4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390/f1002012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tsjournal.com/archives/2021/vol9issue5/PartA/9-5-2-376.pdf" TargetMode="External"/><Relationship Id="rId23" Type="http://schemas.openxmlformats.org/officeDocument/2006/relationships/hyperlink" Target="https://www.researchgate.net/profile/Alessio-Mancini/publication/337870227_Differences_between_Community-_and_Hospital-acquired_urinary_tract_infections_in_a_tertiary_care_hospital/links/5e614757a6fdccac3cee8aa7/Differences-between-Community-and-Hospital-acquired-urinary-tract-infections-in-a-tertiary-care-hospital.pdf" TargetMode="External"/><Relationship Id="rId28" Type="http://schemas.openxmlformats.org/officeDocument/2006/relationships/hyperlink" Target="https://doi.org/10.1186/s41182-024-00587-3" TargetMode="External"/><Relationship Id="rId36"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doi.org/10.22192/ijcrcps.2018.05.11.002" TargetMode="Externa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93/jac/dkaa399" TargetMode="External"/><Relationship Id="rId22" Type="http://schemas.openxmlformats.org/officeDocument/2006/relationships/hyperlink" Target="https://dx.doi.org/10.4314/njb.v37i2.6" TargetMode="External"/><Relationship Id="rId27" Type="http://schemas.openxmlformats.org/officeDocument/2006/relationships/hyperlink" Target="https://www.academia.edu/download/67423717/D1104012228.pdf" TargetMode="External"/><Relationship Id="rId30" Type="http://schemas.openxmlformats.org/officeDocument/2006/relationships/hyperlink" Target="https://doi.org/10.2174/1874285801711010023"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A0AF2-6280-4BBA-829C-BC6F89C4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17</Pages>
  <Words>5630</Words>
  <Characters>32093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Orji Chioma M</dc:creator>
  <cp:keywords/>
  <dc:description/>
  <cp:lastModifiedBy>ثياقر راجن سنتنا ماري</cp:lastModifiedBy>
  <cp:revision>91</cp:revision>
  <cp:lastPrinted>2025-01-09T14:09:00Z</cp:lastPrinted>
  <dcterms:created xsi:type="dcterms:W3CDTF">2025-04-03T08:56:00Z</dcterms:created>
  <dcterms:modified xsi:type="dcterms:W3CDTF">2026-03-20T23:01:00Z</dcterms:modified>
</cp:coreProperties>
</file>