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511B6">
      <w:pPr>
        <w:pStyle w:val="19"/>
        <w:spacing w:after="0"/>
        <w:jc w:val="both"/>
        <w:rPr>
          <w:rFonts w:ascii="Arial" w:hAnsi="Arial" w:cs="Arial"/>
        </w:rPr>
      </w:pPr>
    </w:p>
    <w:p w14:paraId="4BA05B4D">
      <w:pPr>
        <w:pStyle w:val="20"/>
        <w:spacing w:line="240" w:lineRule="auto"/>
        <w:rPr>
          <w:rFonts w:ascii="Arial" w:hAnsi="Arial" w:cs="Arial"/>
          <w:bCs/>
          <w:iCs/>
          <w:kern w:val="28"/>
          <w:sz w:val="36"/>
        </w:rPr>
      </w:pPr>
      <w:commentRangeStart w:id="0"/>
      <w:r>
        <w:rPr>
          <w:rFonts w:ascii="Arial" w:hAnsi="Arial" w:cs="Arial"/>
          <w:bCs/>
          <w:iCs/>
          <w:kern w:val="28"/>
          <w:sz w:val="36"/>
        </w:rPr>
        <w:t>Review Article</w:t>
      </w:r>
      <w:commentRangeEnd w:id="0"/>
      <w:r>
        <w:commentReference w:id="0"/>
      </w:r>
    </w:p>
    <w:p w14:paraId="7C9FE5F0">
      <w:pPr>
        <w:pStyle w:val="20"/>
        <w:spacing w:line="240" w:lineRule="auto"/>
        <w:rPr>
          <w:rFonts w:ascii="Arial" w:hAnsi="Arial" w:cs="Arial"/>
          <w:sz w:val="36"/>
        </w:rPr>
      </w:pPr>
      <w:commentRangeStart w:id="1"/>
      <w:r>
        <w:rPr>
          <w:rFonts w:ascii="Arial" w:hAnsi="Arial" w:cs="Arial"/>
          <w:bCs/>
          <w:iCs/>
          <w:kern w:val="28"/>
          <w:sz w:val="36"/>
        </w:rPr>
        <w:t>Harnessing nanotechnology for cancer treatment and Cancer Vaccines and Beyond: The Transformative Role of Nanotechnology in Immunotherapy</w:t>
      </w:r>
      <w:commentRangeEnd w:id="1"/>
      <w:r>
        <w:commentReference w:id="1"/>
      </w:r>
    </w:p>
    <w:p w14:paraId="261B03DD">
      <w:pPr>
        <w:pStyle w:val="20"/>
        <w:spacing w:line="240" w:lineRule="auto"/>
        <w:rPr>
          <w:rFonts w:ascii="Arial" w:hAnsi="Arial" w:cs="Arial"/>
        </w:rPr>
      </w:pPr>
    </w:p>
    <w:p w14:paraId="757DDDBB">
      <w:pPr>
        <w:pStyle w:val="21"/>
        <w:spacing w:after="0" w:line="240" w:lineRule="auto"/>
        <w:jc w:val="both"/>
        <w:rPr>
          <w:rFonts w:ascii="Arial" w:hAnsi="Arial" w:cs="Arial"/>
        </w:rPr>
      </w:pPr>
    </w:p>
    <w:p w14:paraId="1E3C299B">
      <w:pPr>
        <w:pStyle w:val="21"/>
        <w:spacing w:after="0" w:line="240" w:lineRule="auto"/>
        <w:jc w:val="both"/>
        <w:rPr>
          <w:rFonts w:ascii="Arial" w:hAnsi="Arial" w:cs="Arial"/>
        </w:rPr>
      </w:pPr>
    </w:p>
    <w:p w14:paraId="1F628ADD">
      <w:pPr>
        <w:pStyle w:val="32"/>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2275F6FC">
      <w:pPr>
        <w:pStyle w:val="23"/>
        <w:spacing w:after="0"/>
        <w:jc w:val="both"/>
        <w:rPr>
          <w:rFonts w:ascii="Arial" w:hAnsi="Arial" w:cs="Arial"/>
        </w:rPr>
      </w:pPr>
      <w:commentRangeStart w:id="2"/>
      <w:r>
        <w:rPr>
          <w:rFonts w:ascii="Arial" w:hAnsi="Arial" w:cs="Arial"/>
        </w:rPr>
        <w:t>ABSTRACT</w:t>
      </w:r>
      <w:commentRangeEnd w:id="2"/>
      <w:r>
        <w:commentReference w:id="2"/>
      </w:r>
    </w:p>
    <w:p w14:paraId="2290EBF4">
      <w:pPr>
        <w:pStyle w:val="23"/>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B6BE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PrEx>
        <w:tc>
          <w:tcPr>
            <w:tcW w:w="9576" w:type="dxa"/>
            <w:shd w:val="clear" w:color="auto" w:fill="F2F2F2"/>
          </w:tcPr>
          <w:p w14:paraId="41A8FFD8">
            <w:pPr>
              <w:pStyle w:val="22"/>
              <w:spacing w:after="0"/>
              <w:rPr>
                <w:rFonts w:ascii="Arial" w:hAnsi="Arial" w:eastAsia="Calibri" w:cs="Arial"/>
                <w:szCs w:val="22"/>
              </w:rPr>
            </w:pPr>
            <w:r>
              <w:rPr>
                <w:rFonts w:ascii="Arial" w:hAnsi="Arial" w:eastAsia="Calibri" w:cs="Arial"/>
                <w:szCs w:val="22"/>
                <w:lang w:val="en-IN"/>
              </w:rPr>
              <w:t>Cancer remains one of the leading causes of global mortality, and conventional therapies such as chemotherapy, radiotherapy, and surgery often lack specificity, resulting in systemic toxicity and poor quality of life. Nanotechnology has emerged as a powerful tool to address these shortcomings by enabling targeted, efficient, and minimally toxic therapeutic strategies. Through nanoscale engineering, materials such as liposomes, dendrimers, metallic and polymeric nanoparticles have been developed for precise drug delivery, controlled release, and improved biodistribution of anticancer agents. Beyond drug transport, nanotechnology plays a pivotal role in enhancing cancer immunotherapy through nanovaccines, photothermal therapy, photodynamic therapy, and gene-based delivery systems. These platforms strengthen immune activation, promote tumor-specific cytotoxicity, and support personalized treatment approaches by incorporating patient-derived antigens and neoantigens. Additionally, nanoparticles facilitate theranostics integrating therapy and diagnostics to monitor real-time treatment response. Despite significant progress, the path to clinical application faces regulatory challenges due to the complexity and variability of nanoparticle systems. Addressing issues related to long-term safety, standardization, and cost is crucial for successful translation. Ultimately, nanotechnology represents a transformative paradigm in oncology, bridging molecular precision with immune modulation to create safer, more personalized, and more effective cancer therapies.</w:t>
            </w:r>
          </w:p>
        </w:tc>
      </w:tr>
    </w:tbl>
    <w:p w14:paraId="457B43D8">
      <w:pPr>
        <w:pStyle w:val="22"/>
        <w:spacing w:after="0"/>
        <w:rPr>
          <w:rFonts w:ascii="Arial" w:hAnsi="Arial" w:cs="Arial"/>
          <w:i/>
        </w:rPr>
      </w:pPr>
    </w:p>
    <w:p w14:paraId="3ABE8AC3">
      <w:pPr>
        <w:pStyle w:val="22"/>
        <w:spacing w:after="0"/>
        <w:rPr>
          <w:rFonts w:ascii="Arial" w:hAnsi="Arial" w:cs="Arial"/>
          <w:i/>
        </w:rPr>
      </w:pPr>
      <w:commentRangeStart w:id="3"/>
      <w:r>
        <w:rPr>
          <w:rFonts w:ascii="Arial" w:hAnsi="Arial" w:cs="Arial"/>
          <w:b/>
          <w:bCs/>
          <w:i/>
        </w:rPr>
        <w:t>Keywords:</w:t>
      </w:r>
      <w:r>
        <w:rPr>
          <w:rFonts w:ascii="Arial" w:hAnsi="Arial" w:cs="Arial"/>
          <w:i/>
        </w:rPr>
        <w:t xml:space="preserve"> Nanomedicine; Immunotherapy; Cancer Vaccines; Targeted Drug Delivery; Nanovaccines</w:t>
      </w:r>
    </w:p>
    <w:commentRangeEnd w:id="3"/>
    <w:p w14:paraId="27358B47">
      <w:pPr>
        <w:pStyle w:val="22"/>
        <w:spacing w:after="0"/>
        <w:rPr>
          <w:rFonts w:ascii="Arial" w:hAnsi="Arial" w:cs="Arial"/>
          <w:i/>
          <w:sz w:val="18"/>
        </w:rPr>
      </w:pPr>
      <w:r>
        <w:commentReference w:id="3"/>
      </w:r>
    </w:p>
    <w:p w14:paraId="4C2CE494">
      <w:pPr>
        <w:pStyle w:val="22"/>
        <w:spacing w:after="0"/>
        <w:rPr>
          <w:rFonts w:ascii="Arial" w:hAnsi="Arial" w:cs="Arial"/>
          <w:i/>
        </w:rPr>
      </w:pPr>
    </w:p>
    <w:p w14:paraId="7149EE09">
      <w:pPr>
        <w:pStyle w:val="23"/>
        <w:spacing w:after="0"/>
        <w:jc w:val="both"/>
        <w:rPr>
          <w:rFonts w:ascii="Arial" w:hAnsi="Arial" w:cs="Arial"/>
        </w:rPr>
      </w:pPr>
      <w:r>
        <w:rPr>
          <w:rFonts w:ascii="Arial" w:hAnsi="Arial" w:cs="Arial"/>
        </w:rPr>
        <w:t>1.</w:t>
      </w:r>
      <w:commentRangeStart w:id="4"/>
      <w:r>
        <w:rPr>
          <w:rFonts w:ascii="Arial" w:hAnsi="Arial" w:cs="Arial"/>
        </w:rPr>
        <w:t xml:space="preserve"> INTRODUCTION</w:t>
      </w:r>
      <w:commentRangeEnd w:id="4"/>
      <w:r>
        <w:commentReference w:id="4"/>
      </w:r>
    </w:p>
    <w:p w14:paraId="3C3DBB2B">
      <w:pPr>
        <w:pStyle w:val="23"/>
        <w:spacing w:after="0"/>
        <w:jc w:val="both"/>
        <w:rPr>
          <w:rFonts w:ascii="Arial" w:hAnsi="Arial" w:cs="Arial"/>
        </w:rPr>
      </w:pPr>
    </w:p>
    <w:p w14:paraId="78390802">
      <w:pPr>
        <w:pStyle w:val="22"/>
        <w:spacing w:after="0"/>
        <w:rPr>
          <w:rFonts w:ascii="Arial" w:hAnsi="Arial" w:cs="Arial"/>
          <w:lang w:val="en-IN"/>
        </w:rPr>
      </w:pPr>
      <w:r>
        <w:rPr>
          <w:rFonts w:ascii="Arial" w:hAnsi="Arial" w:cs="Arial"/>
          <w:lang w:val="en-IN"/>
        </w:rPr>
        <w:t>Cancer remains one of the primary causes of death worldwide, accounting for millions of fatalities each year. Conventional treatment strategies such as chemotherapy, radiation, and surgery are often nonspecific, damaging both malignant and healthy tissues and leading to severe adverse effects [1]. Chemotherapeutic drugs, in particular, cannot effectively distinguish between cancerous and normal cells, resulting in systemic toxicity, immune suppression, and diminished patient quality of life [2]. In addition, the emergence of drug resistance in tumors continues to hinder long-term treatment success, highlighting the need for more targeted and less toxic therapeutic strategies [3].Nanotechnology has emerged as a promising approach to address these limitations. Defined as the manipulation of materials at the nanoscale (1–100 nm), it offers innovative opportunities for improved cancer diagnosis, treatment, and monitoring [4]. By exploiting the unique physicochemical and biological properties of nanomaterials, researchers have developed advanced therapeutic and diagnostic systems with enhanced targeting ability, reduced toxicity, and improved treatment outcomes. This integration of nanotechnology into oncology, often referred to as nanomedicine, includes nanocarriers for drug delivery, nanoscale diagnostic platforms for early detection, and targeted therapeutic nanomaterials [5]. These nanocarriers can encapsulate diverse therapeutic agents such as chemotherapeutic drugs, genes, and proteins, enabling precise delivery to tumor sites while minimizing off-target effects. Furthermore, nanotechnology supports the concept of theranostics, where nanoparticles combine therapeutic and diagnostic functions, allowing real-time monitoring of treatment responses and facilitating more personalized cancer management [6].</w:t>
      </w:r>
    </w:p>
    <w:p w14:paraId="144EC6F1">
      <w:pPr>
        <w:pStyle w:val="22"/>
        <w:spacing w:after="0"/>
        <w:rPr>
          <w:rFonts w:ascii="Arial" w:hAnsi="Arial" w:cs="Arial"/>
          <w:lang w:val="en-IN"/>
        </w:rPr>
      </w:pPr>
    </w:p>
    <w:p w14:paraId="36444A2D">
      <w:pPr>
        <w:pStyle w:val="22"/>
        <w:spacing w:after="0"/>
        <w:rPr>
          <w:rFonts w:ascii="Arial" w:hAnsi="Arial" w:cs="Arial"/>
          <w:lang w:val="en-IN"/>
        </w:rPr>
      </w:pPr>
      <w:r>
        <w:rPr>
          <w:rFonts w:ascii="Arial" w:hAnsi="Arial" w:cs="Arial"/>
          <w:lang w:val="en-IN"/>
        </w:rPr>
        <w:t>Immunotherapy has shown markedly improved response rates compared with conventional approaches such as chemotherapy. Since their first approval in 2011, immune checkpoint blockade (ICB) therapies have reshaped cancer management, particularly for advanced melanoma. For instance, treatment with nivolumab has extended overall survival to nearly 34.8 months, compared with about 15.7 months observed with traditional therapies. The clinical adoption of ICB treatments has also increased by approximately 150%, highlighting their expanding role in managing diverse solid tumors [7]. Advances in cancer biology have been crucial in developing targeted therapies by clarifying how the immune system recognizes and eliminates malignant cells [8]. Nevertheless, tumors possess complex immune evasion strategies that enable survival, progression, and metastasis [9]. A central mechanism underlying immune escape is immunoediting, a dynamic interaction in which immune pressure eliminates highly immunogenic tumor cells while allowing less-detectable variants to proliferate [10]. This process contributes to tumor heterogeneity and the formation of an immune-resistant tumor microenvironment (TME). Many tumors, including melanoma, exploit immune checkpoints such as PD-L1 to suppress T-cell activity [11]. In cancers with high mutational burdens, such as non-small cell lung cancer, resistance to checkpoint inhibitors can also develop [12]. Additionally, tumors establish immunosuppressive TMEs by secreting cytokines like TGF-β and IL-10 and recruiting regulatory T-cells and myeloid-derived suppressor cells, thereby weakening tumor-infiltrating lymphocyte function [13–15]. Loss of tumor-specific antigens and reduced MHC expression further limit immune recognition, while checkpoint ligand expression promotes immune tolerance [16,17].</w:t>
      </w:r>
    </w:p>
    <w:p w14:paraId="35098D2B">
      <w:pPr>
        <w:pStyle w:val="22"/>
        <w:spacing w:after="0"/>
        <w:rPr>
          <w:rFonts w:ascii="Arial" w:hAnsi="Arial" w:cs="Arial"/>
          <w:lang w:val="en-IN"/>
        </w:rPr>
      </w:pPr>
    </w:p>
    <w:p w14:paraId="74DE82F3">
      <w:pPr>
        <w:pStyle w:val="22"/>
        <w:spacing w:after="0"/>
        <w:rPr>
          <w:rFonts w:ascii="Arial" w:hAnsi="Arial" w:cs="Arial"/>
          <w:lang w:val="en-IN"/>
        </w:rPr>
      </w:pPr>
      <w:r>
        <w:rPr>
          <w:rFonts w:ascii="Arial" w:hAnsi="Arial" w:cs="Arial"/>
          <w:lang w:val="en-IN"/>
        </w:rPr>
        <w:t>As understanding of immune–tumor interactions has grown, immunotherapy is now recognized as a major treatment modality. Strategies including checkpoint inhibitors, adoptive T-cell therapies, and cancer vaccines aim to restore immune activity against tumors [18,19]. Effective therapy depends on careful antigen selection, including tumor-specific antigens, tumor-associated antigens, and neoantigens derived from tumor mutations [20,21]. Personalized neoantigen-based vaccines can induce precise and durable immune responses, especially when combined with approaches that modulate the TME [22,23]. More recently, nanovaccines have emerged as a promising advancement, improving antigen stability, delivery, and immune activation. These nanoscale platforms enable targeted transport of antigens and adjuvants, enhance immune recognition, and support personalized treatment by incorporating patient-specific neoantigens [24–26].</w:t>
      </w:r>
    </w:p>
    <w:p w14:paraId="0A11560B">
      <w:pPr>
        <w:pStyle w:val="22"/>
        <w:spacing w:after="0"/>
        <w:rPr>
          <w:rFonts w:ascii="Arial" w:hAnsi="Arial" w:cs="Arial"/>
          <w:lang w:val="en-IN"/>
        </w:rPr>
      </w:pPr>
    </w:p>
    <w:p w14:paraId="70019EFA">
      <w:pPr>
        <w:pStyle w:val="22"/>
        <w:spacing w:after="0"/>
        <w:rPr>
          <w:rFonts w:ascii="Arial" w:hAnsi="Arial" w:cs="Arial"/>
          <w:lang w:val="en-IN"/>
        </w:rPr>
      </w:pPr>
    </w:p>
    <w:p w14:paraId="7EE9A1A5">
      <w:pPr>
        <w:pStyle w:val="22"/>
        <w:spacing w:after="0"/>
        <w:rPr>
          <w:rFonts w:ascii="Arial" w:hAnsi="Arial" w:cs="Arial"/>
          <w:lang w:val="en-IN"/>
        </w:rPr>
      </w:pPr>
    </w:p>
    <w:p w14:paraId="7F05A4EF">
      <w:pPr>
        <w:pStyle w:val="22"/>
        <w:spacing w:after="0"/>
        <w:rPr>
          <w:rFonts w:ascii="Arial" w:hAnsi="Arial" w:cs="Arial"/>
        </w:rPr>
      </w:pPr>
    </w:p>
    <w:p w14:paraId="268E9845">
      <w:pPr>
        <w:pStyle w:val="22"/>
        <w:numPr>
          <w:ilvl w:val="0"/>
          <w:numId w:val="2"/>
        </w:numPr>
        <w:rPr>
          <w:rFonts w:ascii="Arial" w:hAnsi="Arial" w:cs="Arial"/>
        </w:rPr>
      </w:pPr>
      <w:commentRangeStart w:id="5"/>
      <w:r>
        <w:rPr>
          <w:rFonts w:ascii="Arial" w:hAnsi="Arial" w:cs="Arial"/>
          <w:b/>
          <w:bCs/>
        </w:rPr>
        <w:t>Nanoparticles as drug carriers:</w:t>
      </w:r>
      <w:r>
        <w:rPr>
          <w:rFonts w:ascii="Arial" w:hAnsi="Arial" w:cs="Arial"/>
        </w:rPr>
        <w:t xml:space="preserve"> </w:t>
      </w:r>
      <w:commentRangeEnd w:id="5"/>
      <w:r>
        <w:commentReference w:id="5"/>
      </w:r>
    </w:p>
    <w:p w14:paraId="47744C35">
      <w:pPr>
        <w:pStyle w:val="22"/>
        <w:rPr>
          <w:rFonts w:ascii="Arial" w:hAnsi="Arial" w:cs="Arial"/>
        </w:rPr>
      </w:pPr>
      <w:r>
        <w:rPr>
          <w:rFonts w:ascii="Arial" w:hAnsi="Arial" w:cs="Arial"/>
        </w:rPr>
        <w:t>Nanoparticles (NPs) serve as one of the most promising tools in the realm of medication delivery, particularly for cancer treatment [27]. These nanoparticles, including liposomes, dendrimers, metallic nanoparticles (such as gold and silver nanoparticles), polymeric nanoparticles and others, offer unique capabilities that allow for the precise and targeted delivery of chemotherapeutic agents [28]. Primary strength of NPs as drug carriers lies in their ability to encapsulate drugs and transport them directly to tumor cells, ensuring a higher concentration of the therapeutic agents to the targeted site [29]. This maximizes the efficacy of the drug and significantly reduces the systemic toxicity that is commonly associated with conventional chemotherapy [30]. One of the key reasons why nanoparticles are so effective in targeting tumor cells is their ability to take advantage of the enhanced permeability and retention (EPR) effect. Due to abnormal angiogenesis induced by cancerous cells, abnormal vasculature enables accessible penetration even to large molecules and retention of those large molecules due to incomplete immune system constructed around them [31]. The ability to penetrate allows nanoparticles to naturally gather in the tumor microenvironment and its ability to retain within the tumor microenvironment due to poor lymphatic drainage in tumors leads to prolonged drug exposure at tumor site [32]. This passive targeting mechanism is particularly advantageous in solid tumors, where it is challenging to deliver sufficient drug doses when using traditional methods [33].</w:t>
      </w:r>
    </w:p>
    <w:p w14:paraId="19DEE0A4">
      <w:pPr>
        <w:pStyle w:val="22"/>
        <w:spacing w:after="0"/>
        <w:rPr>
          <w:rFonts w:ascii="Arial" w:hAnsi="Arial" w:cs="Arial"/>
        </w:rPr>
      </w:pPr>
      <w:r>
        <w:rPr>
          <w:rFonts w:ascii="Arial" w:hAnsi="Arial" w:cs="Arial"/>
        </w:rPr>
        <w:t>Liposomes, among the earliest form of nanoparticles utilized for drug delivery, are spherical vesicles made up of lipid bilayers capable of encapsulating both hydrophilic and hydrophobic drugs [34]. Due to its similar structures to that of human cell membrane and encapsulation, liposome poses great advantage in its size, biocompatibility, biodegradability, low toxicity and immunogenicity [35]. Clinical success of liposomal formulations such as Doxil®, a liposomal formulation of Doxorubicin, has shown the potential of NPs to improve the therapeutic index of chemotherapeutic agents especially in breast, Kaposi’s sarcoma and ovarian cancer [36]. Compared with free doxorubicin, liposomal formulations using polyethylene glycol-coated liposomes resulted in a decreased volume of distribution, an extended intravascular circulation half-life, and a slower plasma clearance rate [37]. This characteristic reduces the cardiotoxicity typically associated with free doxorubicin, hence allowing patients to receive effective cancer treatments with fewer side effects [38]. Doxil, being the first nanotechnology-based formulation approved by FDA in 1995 and one of the most mature form of nanotechnology-based drugs, is still utilized today to treat different cancers such as ovarian cancer, acute lymphoblastic leukemia, breast cancer, AIDS-related Kaposi’s sarcoma and acute myeloblastic leukemia [39]. The development of liposomal carriers for chemotherapeutics has laid the groundwork for the creation of more sophisticated nanocarriers capable of responding to specific environmental cues, such as temperature or pH, to release their drug cargo specifically at the tumor site [40]. Polymeric nanoparticles are another versatile category of drug carriers. These can be either be derived from the nature or made artificially [41]. As these polymeric nanoparticles are often made of biodegradable materials, polymeric nanoparticles pose great advantage in the field of nanomedicine [42]. Polymers of plant origin, for example is composed of polysaccharides of cellulose, starch, inulin and etc., soy proteins and polyesters from higher plants [43]. This also goes along with some synthetic polymeric nanoparticles like chitosan. Chitosan, a deacetylation form of chitin, currently function as one of the best drug carriers for cancer [44]. In its original form, while biocompatible, bioactive and biodegradable, due to its low solubility, utilization was limited. Chitosan can be rapidly uptaken across the cell membrane. This sustained release helps maintain an effective drug concentration within the tumor while minimizing peak drug levels that could cause systemic toxicity [45]. Polymeric nanoparticles can also be designed to transport multiple drugs or therapeutic agents, offering the potential for combination therapy in a single nanocarrier [46]. Dendrimers, another type of nanoparticle, are highly branched, tree-like structures that can be precisely controlled in terms of size and surface functionality [47]. Their unique architecture allows for high drug-loading capacity, and the presence of multiple functional groups on their surface that facilitate the attachment of targeting ligands or imaging agents [48]. In the field of oncology, dendrimers were modified to be used as a nucleic acid carrier [49]. Biocompatibility and specificity of nucleic acid therapy posed great advantage in cancer treatment. Hence, researchers thought of an innovative way to incorporate nucleic acid into certain cell [50]. However, due to its large molecular weight and its hydrophilic nature, it was difficult to let the nucleic acid to penetrate inside the cell membrane [51]. Conventional way of incorporating nucleic acid into certain cell was via viral and nonviral based vectors [52]. However, clinical applications were hindered due to worries in immunological and oncological adverse effects. Various development has been made and one of it was the utilization of PAMAM dendrimers for nucleic acid delivery in 1995 [53]. After its first put o</w:t>
      </w:r>
      <w:r>
        <w:rPr>
          <w:rFonts w:ascii="Arial" w:hAnsi="Arial" w:cs="Arial"/>
        </w:rPr>
        <w:t xml:space="preserve">ut, PAMAM dendrimers have been modified, being more compact and spherical. For example, fourth generation of PAMAM dendrimer was loaded with IFN-β to target malignant gliomas by modifying arginine [54]. Another example would be with the dendrimers being functionalized with folic acid, which targets the folate receptors overexpressed on certain cancer cells, thereby improving the precision of drug delivery [55]. Thus, dendrimers can be modified in such way to improve their biocompatibility and reduce its potential toxicity, making them an ideal candidate for delivering chemotherapeutic agents or gene therapies [56]. </w:t>
      </w:r>
      <w:commentRangeStart w:id="6"/>
      <w:r>
        <w:rPr>
          <w:rFonts w:ascii="Arial" w:hAnsi="Arial" w:cs="Arial"/>
        </w:rPr>
        <w:t xml:space="preserve">In addition to these widely studied NPs, metallic nanoparticles, including gold and silver nanoparticles, </w:t>
      </w:r>
      <w:commentRangeEnd w:id="6"/>
      <w:r>
        <w:commentReference w:id="6"/>
      </w:r>
      <w:r>
        <w:rPr>
          <w:rFonts w:ascii="Arial" w:hAnsi="Arial" w:cs="Arial"/>
        </w:rPr>
        <w:t>have also shown potential in cancer treatment [57]. Among various metallic nanoparticles, gold nanoparticles gained most interest due to their biocompatibility, stability and its high electron content, enabling them to have low chemical reactivity [58]. The optical properties and photothermal properties of gold can be modified with various ligands to target specific cancer cells, and when irradiated with near infrared light, generate heat, allowing them to destroy cancer cells while sparing surrounding healthy tissue [59]. Currently, gold nanorods (GDNDs), a type of capsule-like nanoparticle is one of the thriving nanoparticles recently [60]. This dual functionality enables gold nanoparticles to become a powerful tool in cancer therapy, offering both therapeutic and diagnostic (theranostic) capabilities [60]. Moreover, nanoparticles can be engineered to react to specific stimuli in the tumor microenvironment, such as changes in pH, temperature, or the presence of enzymes [61]. For example, pH-sensitive nanoparticles can discharge their drug payload in the acidic environment of the tumor, thereby enhancing drug release at the site of action while minimizing release in healthy tissues [62]. Similarly, enzyme-sensitive nanoparticles can release their contents in response to enzymes that are overexpressed in the tumor microenvironment, further increasing the specificity and effectiveness of the treatment [63].</w:t>
      </w:r>
    </w:p>
    <w:p w14:paraId="7F220BFB">
      <w:pPr>
        <w:pStyle w:val="22"/>
        <w:spacing w:after="0"/>
        <w:rPr>
          <w:rFonts w:ascii="Arial" w:hAnsi="Arial" w:cs="Arial"/>
        </w:rPr>
      </w:pPr>
    </w:p>
    <w:p w14:paraId="4179BC8E">
      <w:pPr>
        <w:pStyle w:val="22"/>
        <w:numPr>
          <w:ilvl w:val="0"/>
          <w:numId w:val="2"/>
        </w:numPr>
        <w:rPr>
          <w:rFonts w:ascii="Arial" w:hAnsi="Arial" w:cs="Arial"/>
          <w:b/>
          <w:bCs/>
        </w:rPr>
      </w:pPr>
      <w:r>
        <w:rPr>
          <w:rFonts w:ascii="Arial" w:hAnsi="Arial" w:cs="Arial"/>
          <w:b/>
          <w:bCs/>
        </w:rPr>
        <w:t xml:space="preserve">Targeted Delivery System: </w:t>
      </w:r>
    </w:p>
    <w:p w14:paraId="76436F38">
      <w:pPr>
        <w:pStyle w:val="22"/>
        <w:rPr>
          <w:rFonts w:ascii="Arial" w:hAnsi="Arial" w:cs="Arial"/>
        </w:rPr>
      </w:pPr>
      <w:r>
        <w:rPr>
          <w:rFonts w:ascii="Arial" w:hAnsi="Arial" w:cs="Arial"/>
        </w:rPr>
        <w:t xml:space="preserve">Targeted delivery systems represent a major advancement in nanotechnology-based cancer therapy, offering the potential for highly specific and effective treatment with minimized side effects [64]. Functionalization of NPs with ligands like peptides, antibodies, aptamers, or small molecules enables precise targeting of cancer cell surface receptors, which are often overexpressed or uniquely expressed in tumor cells compared to normal cells [64]. This selective targeting not only enhances the accumulation of therapeutic agents in cancer cells but also improves the overall efficacy of the treatment while reducing off-target toxicity to healthy issues [65]. A key benefit of targeted delivery systems is their capacity to exploit the molecular differences between cancer cells and normal cells. Many types of cancer cells overexpress specific receptors or proteins on their surface, which can be exploited as binding sites for ligand-functionalized nanoparticles [66]. For example, the HER2 receptor is overexpressed in certain types of breast cancer cells, and nanoparticles functionalized with anti-HER2 antibodies can specifically bind to these receptors, facilitating the direct delivery of chemotherapeutic agents to the cancer cells [67]. This method increases drug accumulation at the tumor site while reduces the exposure of non-cancerous cells to the cytotoxic effects of the treatment, thus minimizing side effects [68]. Another common target for ligand-functionalized nanoparticles is the folate receptor, which is overexpressed in various types of cancers, including ovarian, breast, and lung cancers [69]. Folate-conjugated nanoparticles can attach to the folate receptor with high affinity, allowing for selective uptake of the nanoparticles by cancer cells. Once inside the tumor cells, the nanoparticles can release their therapeutic payload, resulting in enhanced drug delivery and improved therapeutic outcomes [70]. This type of targeting is particularly advantageous because the folate receptor is either minimally expressed or absent in most normal tissues, further enhancing the specificity of the treatment [71]. Peptide-based ligands are also widely used for targeting nanoparticles to cancer cells [72]. While peptides are more vulnerable to degradation and lower affinity than the molecular antibodies, peptides exhibit great advantage which are its fast and deep penetration and its efficient internalization [73]. Hence peptides have been devised in the field of nanotechnology to guide nanoparticles in recognizing specific receptors or proteins on the surface of cancer cells [74]. Not only does it guide the nanoparticles, but due to their direct interactions of nanoparticles and peptides, nanoparticles are able to prevent degradation of peptides from proteases within cell [75]. For instance, RGD peptide, which recognizes integrins overexpressed on the surface of tumor endothelial cells, has been frequently used to functionalize nanoparticles for targeted delivery to tumors [76]. Hence, RGD peptide has been modified to be associated with nanoparticles [132]. The modified RGD peptide known as internalized RGD (iRGD), having been modified, not only was it able to bind to integrins but it was also able to increase tissue penetration [77]. This facilitated the penetration of the drugs into the tissue [78]. By attaching to vβ3 integrins on the endothelial cells involved in tumor cell angiogenesis, it was able to prevent the growth of new blood vessels [133]. This approach is especially useful for targeting the tumor vasculature, as integrins are crucial in the angiogenesis process, which enables tumors to form new blood vessels and support their growth [79]. By delivering therapeutic agents directly to the tumor vasculature, peptide-functionalized nanoparticles can inhibit angiogenesis and starve the tumor of its blood supply, effectively limiting its growth and metastasis. [80] </w:t>
      </w:r>
    </w:p>
    <w:p w14:paraId="3C2D6D6C">
      <w:pPr>
        <w:pStyle w:val="22"/>
        <w:spacing w:after="0"/>
        <w:rPr>
          <w:rFonts w:ascii="Arial" w:hAnsi="Arial" w:cs="Arial"/>
          <w:lang w:val="en-IN"/>
        </w:rPr>
      </w:pPr>
      <w:r>
        <w:rPr>
          <w:rFonts w:ascii="Arial" w:hAnsi="Arial" w:cs="Arial"/>
          <w:lang w:val="en-IN"/>
        </w:rPr>
        <w:t>Ligand-functionalized nanoparticles enhance selective targeting of cancer cells by enabling specific receptor binding, which improves cellular uptake and internalization [81]. After binding to receptors on the cancer cell surface, these nanoparticles are commonly internalized through receptor-mediated endocytosis, allowing the cell to engulf them within intracellular vesicles [82]. This mechanism ensures direct delivery of therapeutic agents into cancer cells, where they can effectively exert cytotoxic activity [83]. For instance, antibody-conjugated nanoparticles targeting transferrin receptors are taken up via clathrin-mediated endocytosis, enabling efficient intracellular delivery of chemotherapeutic drugs to tumor cells [84]. Targeted nanoparticle systems also help overcome major limitations of conventional chemotherapy, particularly drug resistance [85]. Many tumors develop resistance by overexpressing efflux transporters such as P-glycoprotein, which remove drugs from cancer cells before they produce therapeutic effects [134]. Ligand-functionalized nanoparticles can bypass these resistance pathways by binding specifically to tumor cell receptors and entering cells through endocytosis [86]. Once inside, the encapsulated drugs are released intracellularly, avoiding efflux pump action and increasing drug retention within cancer cells [135]. Furthermore, these nanoparticles can be designed to respond to unique features of the tumor microenvironment, including variations in pH, temperature, and enzyme activity [136]. Tumor tissues typically exhibit a more acidic environment than normal tissues due to elevated metabolic activity [137]. pH-responsive polymers are therefore widely employed in nanocarriers, remaining stable at physiological pH but undergoing structural changes such as swelling or degradation under acidic tumor or endosomal conditions [138]. This pH-triggered behavior promotes site-specific drug release, improves bioavailability, and reduces off-target toxicity. Polymers containing acid-sensitive bonds or protonatable functional groups further enhance release efficiency under acidic conditions [139]. In addition, enzyme-responsive nanoparticles can release therapeutic cargo in the presence of tumor-associated enzymes such as matrix metalloproteinases, which are highly expressed in tumors and contribute to invasion and metastasis [87].</w:t>
      </w:r>
    </w:p>
    <w:p w14:paraId="3DDAA8EC">
      <w:pPr>
        <w:pStyle w:val="22"/>
        <w:spacing w:after="0"/>
        <w:rPr>
          <w:rFonts w:ascii="Arial" w:hAnsi="Arial" w:cs="Arial"/>
        </w:rPr>
      </w:pPr>
    </w:p>
    <w:p w14:paraId="1D9C710B">
      <w:pPr>
        <w:pStyle w:val="22"/>
        <w:numPr>
          <w:ilvl w:val="0"/>
          <w:numId w:val="2"/>
        </w:numPr>
        <w:rPr>
          <w:rFonts w:ascii="Arial" w:hAnsi="Arial" w:cs="Arial"/>
          <w:b/>
          <w:bCs/>
        </w:rPr>
      </w:pPr>
      <w:r>
        <w:rPr>
          <w:rFonts w:ascii="Arial" w:hAnsi="Arial" w:cs="Arial"/>
          <w:b/>
          <w:bCs/>
        </w:rPr>
        <w:t xml:space="preserve">Nanotechnology-based therapeutic strategies: </w:t>
      </w:r>
    </w:p>
    <w:p w14:paraId="15A98199">
      <w:pPr>
        <w:pStyle w:val="22"/>
        <w:rPr>
          <w:rFonts w:ascii="Arial" w:hAnsi="Arial" w:cs="Arial"/>
        </w:rPr>
      </w:pPr>
      <w:r>
        <w:rPr>
          <w:rFonts w:ascii="Arial" w:hAnsi="Arial" w:cs="Arial"/>
        </w:rPr>
        <w:t xml:space="preserve">Nanotechnology has revolutionized cancer treatment by introducing innovative therapeutic approaches that are more precise, effective, and targeted [140]. These advanced methods reduce harm to healthy tissues while enhancing the treatment’s impact on tumor cells. Nanoparticles provide flexible platforms for various cancer therapies, including photothermal therapy, photodynamic therapy, gene therapy, immunotherapy, and radiotherapy enhancement [141]. Their distinct characteristics, such as large surface area, adjustable size, and the potential for functional modifications, make them excellent tools for addressing many of the limitations found in traditional cancer treatments [88]. </w:t>
      </w:r>
    </w:p>
    <w:p w14:paraId="22DD92D1">
      <w:pPr>
        <w:pStyle w:val="22"/>
        <w:rPr>
          <w:rFonts w:ascii="Arial" w:hAnsi="Arial" w:cs="Arial"/>
        </w:rPr>
      </w:pPr>
      <w:r>
        <w:rPr>
          <w:rFonts w:ascii="Arial" w:hAnsi="Arial" w:cs="Arial"/>
          <w:b/>
          <w:bCs/>
        </w:rPr>
        <w:t>3.1.</w:t>
      </w:r>
      <w:r>
        <w:rPr>
          <w:rFonts w:ascii="Arial" w:hAnsi="Arial" w:cs="Arial"/>
        </w:rPr>
        <w:t xml:space="preserve"> </w:t>
      </w:r>
      <w:commentRangeStart w:id="7"/>
      <w:r>
        <w:rPr>
          <w:rFonts w:ascii="Arial" w:hAnsi="Arial" w:cs="Arial"/>
          <w:b/>
          <w:bCs/>
        </w:rPr>
        <w:t xml:space="preserve"> Immunotherapy:</w:t>
      </w:r>
      <w:r>
        <w:rPr>
          <w:rFonts w:ascii="Arial" w:hAnsi="Arial" w:cs="Arial"/>
        </w:rPr>
        <w:t xml:space="preserve"> </w:t>
      </w:r>
      <w:commentRangeEnd w:id="7"/>
      <w:r>
        <w:commentReference w:id="7"/>
      </w:r>
    </w:p>
    <w:p w14:paraId="2956134D">
      <w:pPr>
        <w:pStyle w:val="22"/>
        <w:rPr>
          <w:rFonts w:ascii="Arial" w:hAnsi="Arial" w:cs="Arial"/>
        </w:rPr>
      </w:pPr>
      <w:r>
        <w:rPr>
          <w:rFonts w:ascii="Arial" w:hAnsi="Arial" w:cs="Arial"/>
        </w:rPr>
        <w:t xml:space="preserve">Cell-based vaccines are prepared with either whole cells (modified or not) or part of them. These vaccines contain tumor antigens, which can boost the immune response by facilitating the identification and attack of cancer cells [89]. The first vaccine based on tumor cells or tumor lysates was developed in 1980 [142]. Autologous tumor cells were used in this trial to treat colorectal cancer, and their results gave rise to greater interest from the scientific community in this type of therapy [143]. In 2010, a dendritic cell-based vaccine (Sipuleucel-T) was successfully used to treat prostate cancer, demonstrating the feasibility and wide application of cancer vaccines [144]. We can say, then, that these types of cell-based vaccines are divided into tumor cell vaccines and immune system cell vaccines [90]. Tumor cell vaccines use the patient’s tumor cells (autologous) or allogeneic cell lines that contain the antigens associated with tumors and, thus, the epitopes of CD4+ helper T-cells and CD8+ CTLs [145]. These irradiated tumor cells are administered together with an adjuvant and may be able to induce the production of specific T-cells against any antigen expressed by the tumor cell used. In some cases tumor cells are genetically modified to add functions such as cytokine production (IL-21 or IL-7) and granulocyte–macrophage colony-stimulating factor (GM-CSF) [146]. Vaccines based on cells of the immune system make use of the role that these cells have in enhancing the immune response to cancer [91]. This is the case with the use of dendritic cells (DCs), which are the main mediators of the presentation of antigens to the immune system [147]. These DCs are loaded with tumor antigens or lysates, and once activated, they are reintroduced to the patient to present these antigens to T lymphocytes, activating a specific immune response against the tumor [148]. Most DC-based vaccines are derived from monocytes, and good tolerance and efficacy results have been seen in monocyte vaccination studies. One of the emerging strategies in this field is the use of cancer stem cells (CSCs) [149]. They are a subpopulation of the cells present in tumors that have characteristics such as self-renewal and resistance to treatment, which contribute to the development of cancer recurrence and metastasis [92]. Dendritic cells are sensitized to CSCs or their lysates, which could allow targeted cytotoxicity (with the greater activation of T lymphocytes against these CSCs) and decreased tumor cell migration [150]. There are still no FDA-approved CSC-based vaccines, but multiple in vitro trials have demonstrated their ability to inhibit tumor growth and metastasis [93]. </w:t>
      </w:r>
    </w:p>
    <w:p w14:paraId="662F2D5D">
      <w:pPr>
        <w:pStyle w:val="22"/>
        <w:rPr>
          <w:rFonts w:ascii="Arial" w:hAnsi="Arial" w:cs="Arial"/>
        </w:rPr>
      </w:pPr>
      <w:r>
        <w:rPr>
          <w:rFonts w:ascii="Arial" w:hAnsi="Arial" w:cs="Arial"/>
        </w:rPr>
        <w:t>GVAX is a cancer vaccine based on tumor cells modified to secrete GM-CSF. It is administered once the tumor is irradiated to stop the uncontrolled proliferation of tumor cells. There are two modalities of the GVAX vaccine: one that uses the patient’s cells (autologous), and another that uses non-patient-specific cells (allogeneic). It has been seen in clinical trials that this vaccine has promising results in the treatment of lung carcinoma, with a relationship having been identified between GM-CSF secretion and a good prognosis of the disease. Efficacy has also been seen in phase II clinical trials for pancreatic cancer, in combination with radiotherapy. Sipuleucel-T is a type of vaccine based on autologous cells. It is made from a leukocyte fraction obtained from the patient’s peripheral blood, which is cultured with an antigen specific to prostate carcinoma, known as prostatic acid phosphatase (PAP), in the presence of GM-CSF. DCs, which constitute approximately 11.2% of the preparation, are the main active components and have the function of presenting the PAP antigen to activate and induce antigen-specific T-cells in the patient. Sipuleucel-T was the first therapeutic cancer vaccine, approved for clinical use in 2010 under the name Provenge. This vaccine has been shown to increase the average overall survival by 4 months in patients diagnosed with prostate cancer. Provenge is an example of a personalized vaccine, which has been created using mass spectrometry or other methods, such as exome sequencing. The objective of this type of vaccine is to identify the mutation and neoantigen characteristics of the patient’s tumors, and their great potential has been seen in clinical trials [94]. Finally, Canvaxin can overcome the hurdle of vaccines that use the patient’s cells, as it employs tumor cell lines. It has been studied in prostate, breast, and pancreatic cancers. While all three vaccines share the goal of enhancing the host’s immune response to tumor antigens, they differ in their design and application. GVAX and Canvaxin rely on whole tumor cells, with GVAX focusing on GM-CSF secretion, while Provenge is a more targeted approach, using DCs to present a specific tumor antigen. Provenge has achieved regulatory approval with modest survival benefits, while GVAX and Canvaxin have shown promise in early trials but face challenges in demonstrating consistent efficacy in larger studies. Personalized vaccines like Provenge face logistical and cost barriers, while GVAX and Canvaxin must overcome issues related to scalability, immunogenicity, and variability in patient responses [95].</w:t>
      </w:r>
    </w:p>
    <w:p w14:paraId="05D7D313">
      <w:pPr>
        <w:pStyle w:val="22"/>
        <w:rPr>
          <w:rFonts w:ascii="Arial" w:hAnsi="Arial" w:cs="Arial"/>
          <w:lang w:val="en-IN"/>
        </w:rPr>
      </w:pPr>
      <w:r>
        <w:rPr>
          <w:rFonts w:ascii="Arial" w:hAnsi="Arial" w:cs="Arial"/>
          <w:lang w:val="en-IN"/>
        </w:rPr>
        <w:t>Recent progress in tumor cell–based vaccine development has focused on improving their immunogenicity to achieve stronger therapeutic responses. Tumor cells often release soluble factors that suppress immune activity, limiting vaccine effectiveness. Strategies to enhance immune stimulation include using dead tumor cells instead of live ones, modifying tumor cells genetically, or combining vaccination with radiotherapy [96]. Oncolytic viruses such as adenoviruses, coxsackieviruses, and measles viruses are frequently employed to induce immunogenic cell death (ICD) in tumor cells. This process promotes the release of damage-associated molecular patterns (DAMPs) and pathogen-associated molecular patterns (PAMPs), which enhance immune cell recruitment to the tumor microenvironment and improve antigen presentation [97]. Enhanced cross-presentation of tumor-associated antigens by antigen-presenting cells through MHC-I pathways activates cytotoxic T lymphocytes and strengthens antitumor immunity. Other approaches to boost immunogenicity include the use of oxaliplatin, although adenoviruses have demonstrated greater ability to induce immunogenic cell death [98]. In neuroblastoma, nanoparticles that activate interferon genes have been shown to effectively trigger tumor cell apoptosis. Genetic modification of tumor cells to improve antigen presentation, including the incorporation of cytokines such as IL-21 and IL-7, has also produced promising immune responses [99]. The inclusion of adjuvants further enhances antigen presentation; for example, nanoparticles carrying CpG motifs can promote immune recognition of apoptotic tumor cells. Combination therapies, particularly whole-cell vaccines used with immune checkpoint inhibitors, have demonstrated improved efficacy [100]. Blocking PD-L1 enhances T-cell activation by preventing its interaction with PD-1, thereby promoting tumor cell destruction [101]. Additionally, combining radiotherapy with dendritic cell vaccines increases tumor-associated neutrophil activity and reactive oxygen species production, leading to greater tumor apoptosis and neoantigen release, which supports dendritic cell maturation and improved antigen recognition [102].</w:t>
      </w:r>
    </w:p>
    <w:p w14:paraId="5AF3A533">
      <w:pPr>
        <w:pStyle w:val="22"/>
        <w:rPr>
          <w:rFonts w:ascii="Arial" w:hAnsi="Arial" w:cs="Arial"/>
          <w:lang w:val="en-IN"/>
        </w:rPr>
      </w:pPr>
      <w:r>
        <w:rPr>
          <w:rFonts w:ascii="Arial" w:hAnsi="Arial" w:cs="Arial"/>
          <w:lang w:val="en-IN"/>
        </w:rPr>
        <w:t>Cancer vaccines used as monotherapy often show limited clinical effectiveness due to several biological challenges. A major barrier is the immunosuppressive tumor microenvironment, which is enriched with regulatory T-cells, tumor-associated macrophages, and inhibitory cytokines such as TGF-β and IL-10 that suppress vaccine-induced immune responses [103]. Effective antigen selection is also essential for activating CD8+ and CD4+ T-cells; however, many tumors lack highly immunogenic neoantigens, reducing vaccine efficiency in stimulating strong immune reactions. In advanced cancers, vaccine monotherapy frequently produces insufficient immune activation to completely eliminate tumor cells, resulting in weak or transient responses [104]. Enhancing dendritic cell (DC) migration to lymph nodes is a key strategy to improve vaccine efficacy, as lymph nodes provide an optimal environment for antigen presentation and T-cell activation. Upon detecting danger signals, DCs migrate to lymph nodes, mature, and efficiently initiate adaptive immune responses. DC maturation can also be promoted using FLT3 receptor ligands, which support DC differentiation, proliferation, and survival [105]. For example, CD103+ DCs migrate from tumors to lymph nodes following antigen recognition and play a crucial role in cross-presentation to CD8+ T-cells, a process dependent on the CCR7 chemokine receptor. Studies indicate that increasing CCR7 expression enhances DC migration and immune activation, whereas CCR7 deficiency reduces these responses [180]. Despite these advancements, tumors continuously evolve through mutations, angiogenesis, and immune-suppressive signaling to evade immune detection, which limits the overall benefits of vaccine-based therapies compared with other cancer treatments [106].</w:t>
      </w:r>
    </w:p>
    <w:p w14:paraId="3C1EA2F2">
      <w:pPr>
        <w:pStyle w:val="22"/>
        <w:rPr>
          <w:rFonts w:ascii="Arial" w:hAnsi="Arial" w:cs="Arial"/>
          <w:lang w:val="en-IN"/>
        </w:rPr>
      </w:pPr>
      <w:r>
        <w:rPr>
          <w:rFonts w:ascii="Arial" w:hAnsi="Arial" w:cs="Arial"/>
          <w:lang w:val="en-IN"/>
        </w:rPr>
        <w:t>Brain tumors, particularly malignant gliomas such as glioblastoma multiforme (GBM), remain a major challenge in cancer therapy. The effectiveness of immunotherapeutic vaccines against GBM is limited by several barriers, including the blood–brain barrier, which restricts immune cell access to brain tissue and reduces antitumor immune responses. Additional challenges include the limited availability of well-defined glioma-specific antigens and the presence of a highly immunosuppressive tumor microenvironment. However, since 2000, advances in understanding immune–central nervous system interactions and blood–brain barrier permeability have enabled the identification of glioma-specific antigens, supporting the development of targeted immunotherapeutic vaccines. Early vaccine strategies for GBM involved isolating CD14+ monocytes from peripheral blood and differentiating them into immature dendritic cells (DCs) using GM-CSF and IL-4. These DCs were then loaded with tumor antigens and matured with cytokines such as IL-6 and TNF-α to stimulate immune responses. Initial clinical applications demonstrated promising results; the first reported case in 2000 showed a survival extension of 21 months. Subsequent studies between 2001 and 2004 confirmed that peptide-loaded DC vaccines were safe and capable of activating antitumor immunity, increasing overall survival by an average of 2.5 years in some patients. More recently, the ICT-107 dendritic cell vaccine, targeting multiple glioblastoma-associated antigens, has highlighted the importance of antigen specificity in vaccine design [107]. Although a phase II clinical trial did not significantly improve median overall survival, progression-free survival improved, particularly among HLA-A2–positive patients, indicating enhanced immunological and clinical responses [108].</w:t>
      </w:r>
    </w:p>
    <w:p w14:paraId="20D511FA">
      <w:pPr>
        <w:pStyle w:val="22"/>
        <w:rPr>
          <w:rFonts w:ascii="Arial" w:hAnsi="Arial" w:cs="Arial"/>
        </w:rPr>
      </w:pPr>
    </w:p>
    <w:p w14:paraId="72264E40">
      <w:pPr>
        <w:pStyle w:val="22"/>
        <w:rPr>
          <w:rFonts w:ascii="Arial" w:hAnsi="Arial" w:cs="Arial"/>
        </w:rPr>
      </w:pPr>
    </w:p>
    <w:p w14:paraId="66972A9D">
      <w:pPr>
        <w:pStyle w:val="22"/>
        <w:rPr>
          <w:rFonts w:ascii="Arial" w:hAnsi="Arial" w:cs="Arial"/>
        </w:rPr>
      </w:pPr>
    </w:p>
    <w:p w14:paraId="291F727F">
      <w:pPr>
        <w:pStyle w:val="22"/>
        <w:rPr>
          <w:rFonts w:ascii="Arial" w:hAnsi="Arial" w:cs="Arial"/>
          <w:b/>
          <w:bCs/>
        </w:rPr>
      </w:pPr>
      <w:r>
        <w:rPr>
          <w:rFonts w:ascii="Arial" w:hAnsi="Arial" w:cs="Arial"/>
          <w:b/>
          <w:bCs/>
        </w:rPr>
        <w:t xml:space="preserve">3.2. Peptide and Protein Vaccines: </w:t>
      </w:r>
    </w:p>
    <w:p w14:paraId="1638F9D9">
      <w:pPr>
        <w:pStyle w:val="22"/>
        <w:rPr>
          <w:rFonts w:ascii="Arial" w:hAnsi="Arial" w:cs="Arial"/>
          <w:lang w:val="en-IN"/>
        </w:rPr>
      </w:pPr>
      <w:r>
        <w:rPr>
          <w:rFonts w:ascii="Arial" w:hAnsi="Arial" w:cs="Arial"/>
          <w:lang w:val="en-IN"/>
        </w:rPr>
        <w:t>Protein- and peptide-based cancer vaccines aim to stimulate immune responses against specific antigenic epitopes derived from tumor-associated proteins that are absent or minimally expressed in normal tissues. These synthetic antigens are processed by antigen-presenting cells and presented via MHC molecules, enabling T-cells to recognize and attack cancer cells. Numerous tumor-associated antigen (TAA) epitopes capable of binding to MHC have been identified, along with mutation-derived neoantigens that provide highly specific targets for immune activation [109]. Advances in computational tools have further improved neoantigen identification. Despite promising early clinical findings, many phase III trials have not achieved significant therapeutic success, with low tumor clearance rates due to immune escape mechanisms and the immunosuppressive tumor microenvironment [110]. The effectiveness of peptide vaccines depends on careful antigen selection, optimal peptide length, epitope diversity, and the ability to activate both CD4+ and CD8+ T-cells. Peptide vaccines are generally classified as long-chain or short-chain formulations [111]. Long peptides can be processed and presented through both MHC class I and II pathways, activating cytotoxic and helper T-cells and preventing immune tolerance through stronger costimulatory signaling [112]. In contrast, short peptides bind directly to MHC class I molecules and primarily stimulate CD8+ T-cells, but may induce immune tolerance if adequate costimulation is lacking [113]. Although peptide vaccines have been explored for various cancers, including the FDA-approved DSP-7888 for Wilms tumor and HPV-targeting vaccines such as Cervarix and Gardasil, overall therapeutic outcomes remain limited, emphasizing the need for improved design and optimization [114].</w:t>
      </w:r>
    </w:p>
    <w:p w14:paraId="3E6F59DB">
      <w:pPr>
        <w:pStyle w:val="22"/>
        <w:rPr>
          <w:rFonts w:ascii="Arial" w:hAnsi="Arial" w:cs="Arial"/>
        </w:rPr>
      </w:pPr>
      <w:r>
        <w:rPr>
          <w:rFonts w:ascii="Arial" w:hAnsi="Arial" w:cs="Arial"/>
        </w:rPr>
        <w:t>Currently, peptide-based vaccines are being evaluated in clinical trials for various types of cancer, including lung cancer, pancreatic cancer, and melanoma. Mittendorf et al. demonstrated in clinical studies that E75, a peptide derived from human epidermal growth factor receptor 2 (HER2), is safe and effective, advancing to phase III clinical trials. In addition, phase II research suggested that the combination of GP2 and GM-CSF could prevent relapses in breast cancer patients. This peptide vaccine was also found to show a particularly promising performance in patients with HER2-positive tumors who had been previously treated with trastuzumab, suggesting a synergistic approach to reduce the risk of recurrence in this specific subgroup of patients [115]. Survivin is a protein with anti-apoptotic functions that is widely expressed in various types of cancer. A vaccine developed with this antigen incorporated three short-chain peptides containing multiple epitopes: eight specific to CD4+ T-cells and six to CD8+ Tcells [183]. This design allowed for the simultaneous activation of both T-cell subtypes, promoting a robust immune response [116]. In preclinical studies, this vaccine was evaluated in murine models of colorectal cancer and B lymphoma. The results showed remarkable efficacy in inhibiting tumor growth, in addition to significantly extending the survival of treated mice, achieving an increase of up to 60 days in life expectancy. Mucin-1 (MUC-1) is a glycoprotein that has a nucleus formed by a sequence of 20 amino acids repeated in tandem, known as variable number tandem repeats (VNTRs). In the context of cancer, this protein exhibits aberrant glycosylation with a reduction in carbohydrate side chains. This structural change exposes more immunogenic epitopes of MUC-1, which activates both the antibody response and the CTL response [117]. In a clinical trial, the injection of a MUC-1-derived peptide containing five VNTR repeats was evaluated in nine breast cancer patients. The results showed that, in seven of them, there was a significant increase in the production of IgG and IgM immunoglobulins specific to the MUC-1 peptide. Finally, the Ras oncogene is part of one of the main cell signaling pathways, known as the Ras/MAPK pathway, which regulates processes such as cell proliferation, differentiation, and survival. Under normal conditions, Ras remains inactive in the cytoplasm of the cell. Its activation occurs when a ligand, such as a growth factor (e.g., EGF, epidermal growth factor), binds to its specific receptor on the surface of the cell, usually a receptor tyrosine kinase (RTK). However, in many cases of pancreatic and colorectal cancer, Ras exhibits constitutive activation due to mutations, which causes uncontrolled cell division and contributes to tumor growth. Several clinical trials have been conducted focused on immunizing against the Ras protein, using adjuvants and peptides of various lengths designed to bind to APCs. Although these studies failed to demonstrate significant clinical responses in terms of tumor shrinkage, they did show a positive correlation between immune cytokine activation and a modest increase in patient survival. [118]</w:t>
      </w:r>
    </w:p>
    <w:p w14:paraId="50D709B0">
      <w:pPr>
        <w:pStyle w:val="22"/>
        <w:rPr>
          <w:rFonts w:ascii="Arial" w:hAnsi="Arial" w:cs="Arial"/>
        </w:rPr>
      </w:pPr>
      <w:r>
        <w:rPr>
          <w:rFonts w:ascii="Arial" w:hAnsi="Arial" w:cs="Arial"/>
        </w:rPr>
        <w:t>To increase the efficacy of peptide-based vaccines, a strategic selection of the peptides used is critical. This can be achieved by using computational algorithms designed to analyze the interaction between peptides and MHC molecules. These algorithms leverage detailed information about the amino acid sequence and the three-dimensional structure of the peptides, allowing their binding affinity to MHC to be accurately predicted. In addition, whole-exome sequencing techniques offer a complementary approach by identifying tumor cell-specific neoantigens. These antigens, generated by unique somatic mutations of the tumor, are not present in normal tissues, which makes them ideal for designing highly immunogenic vaccines with a lower risk of inducing autoimmune responses. In this context, personalized vaccines targeting neoantigens have demonstrated significantly higher success rates. These vaccines are designed and synthesized based on the unique genetic and molecular characteristics of each patient’s tumors. The integration of the techniques with select neoantigens with a high affinity for MHC has made it possible to predict the efficacy of these vaccines more accurately, optimizing the antitumor immune response and improving therapeutic results. One of the main challenges of peptide vaccines is their limited ability to present antigens effectively. This problem can be addressed using TLR adjuvants or agonists, which enhance immune signaling and increase the effectiveness of the immune response. Adjuvants work by stimulating the immune system to enhance T-cell activation and antigen presentation, thereby optimizing the response against the vaccine antigen. Among the most used adjuvants are alum, monophosphorylated lipid A, polyinosinic-polycytidylic acid, CpG oligodeoxynucleotides, and the emulsifier Montanide ISA 51 [119]. In addition,</w:t>
      </w:r>
      <w:commentRangeStart w:id="8"/>
      <w:r>
        <w:rPr>
          <w:rFonts w:ascii="Arial" w:hAnsi="Arial" w:cs="Arial"/>
        </w:rPr>
        <w:t xml:space="preserve"> GM-CSF is also employed as an adjuvan</w:t>
      </w:r>
      <w:commentRangeEnd w:id="8"/>
      <w:r>
        <w:commentReference w:id="8"/>
      </w:r>
      <w:r>
        <w:rPr>
          <w:rFonts w:ascii="Arial" w:hAnsi="Arial" w:cs="Arial"/>
        </w:rPr>
        <w:t>t due to its ability to recruit and activate antigen presenting cells. Alum is present in many vaccines that are already authorized for therapeutic use by the FDA. Its main function is to enhance the immune response by facilitating the activation of APCs. On the other hand, monophosphorylated lipid A acts as a Toll 4 receptor (TLR4) agonist, promoting the activation of DCs and improving the stimulation of CTLs. Similarly, CpG oligodeoxynucleotides interact with TLR9, while polyinosinic–polycytidylic acid acts on TLR3. Both agonists stimulate DCs, increase antigen presentation, and amplify immune activation. Clinical studies have shown that the incorporation of these adjuvants into peptide-based vaccines significantly improves their efficacy [120]. Montanide ISA 51 works by enhancing both the immune response and the extended-release effect of vaccines. This adjuvant remains at the injection site for weeks or even months, ensuring the continued presence of the epitopes capable of activating T-cells. In this way, the immune response is optimized, which improves the effectiveness of vaccines. Several studies have shown that the combination of Montanide with the peptides of the oncoproteins E6 and E7 stimulates both CD4+ and CD8+ T lymphocytes, favoring a more robust and tumor-directed immune response. The last adjuvant to mention is GM-CSF. Its mechanism of action consists of attracting DCs to the skin, where the tumor epitopes are found. In addition, it has been observed that GM-CSF can contribute to antiangiogenesis, which limits the blood supply to tumors, preventing their growth. This adjuvant has been used in the final stages of clinical trials. As for the adverse effects associated with GM-CSF, the most common and serious detected has been a local reaction at the injection site. [121]</w:t>
      </w:r>
    </w:p>
    <w:p w14:paraId="74DA1A54">
      <w:pPr>
        <w:pStyle w:val="22"/>
        <w:rPr>
          <w:rFonts w:ascii="Arial" w:hAnsi="Arial" w:cs="Arial"/>
        </w:rPr>
      </w:pPr>
    </w:p>
    <w:p w14:paraId="649B8AB0">
      <w:pPr>
        <w:pStyle w:val="22"/>
        <w:rPr>
          <w:rFonts w:ascii="Arial" w:hAnsi="Arial" w:cs="Arial"/>
        </w:rPr>
      </w:pPr>
      <w:r>
        <w:rPr>
          <w:rFonts w:ascii="Arial" w:hAnsi="Arial" w:cs="Arial"/>
          <w:b/>
          <w:bCs/>
        </w:rPr>
        <w:t>3.3. Viral Vector-Based Vaccines:</w:t>
      </w:r>
      <w:r>
        <w:rPr>
          <w:rFonts w:ascii="Arial" w:hAnsi="Arial" w:cs="Arial"/>
        </w:rPr>
        <w:t xml:space="preserve"> </w:t>
      </w:r>
    </w:p>
    <w:p w14:paraId="3E247567">
      <w:pPr>
        <w:pStyle w:val="22"/>
        <w:rPr>
          <w:rFonts w:ascii="Arial" w:hAnsi="Arial" w:cs="Arial"/>
        </w:rPr>
      </w:pPr>
      <w:r>
        <w:rPr>
          <w:rFonts w:ascii="Arial" w:hAnsi="Arial" w:cs="Arial"/>
        </w:rPr>
        <w:t>In recent decades, viruses have aroused a growing interest in the field of cancer immunotherapy due to their ability to interact in a specific way with the immune system and the tumor microenvironment. Their ability to infect host cells, integrate into the genome, and replicate gives them unique properties. These characteristics allow viruses to act as vectors for gene transfer, as adjuvants that enhance the immune response, or even as oncolytic agents capable of destroying tumor cells directly. As has been mentioned, achieving robust cellular immunity is one of the key requirements for cancer vaccines to be effective. This can be achieved using viral vectors, which not only facilitate the efficient expression of specific antigens but also stimulate the immune system by boosting T-cell activity. Among the most commonly used vectors are adenovirus, poxvirus, and vaccinia virus. Adenoviruses have been utilized to deliver tumor antigens into muscle tissue, leveraging their capacity for efficient transfection to stimulate a robust immune response. Modified Vaccinia Ankara (MVA), a genetically engineered vaccinia virus, has shown promise in targeting renal cell carcinomas and epithelial tumors by addressing the overexpression of the MUC1 antigen. Furthermore, the therapeutic vaccine PROSTVAC, which employs two poxvirus vectors to express a prostate-specific antigen, has demonstrated notable efficacy when combined with immune checkpoint inhibitors. Clinical trials revealed that PROSTVAC extended overall survival by 8.5 months and reduced the mortality risk by 44%, highlighting its potential in advanced prostate cancer therapy. [122]</w:t>
      </w:r>
    </w:p>
    <w:p w14:paraId="17B8C6BD">
      <w:pPr>
        <w:pStyle w:val="22"/>
        <w:rPr>
          <w:rFonts w:ascii="Arial" w:hAnsi="Arial" w:cs="Arial"/>
        </w:rPr>
      </w:pPr>
      <w:r>
        <w:rPr>
          <w:rFonts w:ascii="Arial" w:hAnsi="Arial" w:cs="Arial"/>
        </w:rPr>
        <w:t>Heterologous prime-boost vaccination technology represents an innovative immunization strategy that outperforms traditional forms of vaccine administration. Unlike conventional methodologies, where the same vaccine with the same antigens is repeatedly used, this approach combines different types of vaccines administered in specific sequences. In a model of Mycobacterium bovis, heterologous prime-boost vaccination with the bacillus Calmette–Guérin vaccine and DNA encoding Hsp65, Hsp70, and Apa was shown to protect against bovine tuberculosis, regardless of the order of administration. However, in other models, the order proved to be crucial. In a study with a murine antigen of HSV-2 gD, starting with DNA (prime) was found to be essential, as reversing the sequence with a booster protein resulted in antibody levels comparable to a homologous protein–protein vaccination, but without improvements in helper T-cell activation. In the case of a hepatitis C antigen, a boost with adenoviral vectors after a prime with DNA generated the highest levels of Th1-type CD4+ T-cells, outperforming both the homologous approach and other combinations of DNA and viral vectors. A primate study conducted by the University of Washington compared the antibody response using vaccinia virus vectors and DNA as the “prime,” concluding that these combinations were superior to the repeated use of DNA or viral vector vaccines. This approach has also shown potential in cancer immunotherapy [123]. For example, vaccination with a prostate antigen 6-transmembrane epithelial (STEAP) combined with heterologous DNA and replicon particles similar to the Venezuelan equine encephalitis virus significantly improved the immune response, increasing the levels of IFN-γ, TNF-α, and IL-12, and delayed the tumor development in murine models. This type of vaccine allows administration through different routes, adapting to specific needs. Although most studies have used conventional routes, such as subcutaneous or intradermal, recent research has shown that intratumoral vaccination is safe and effective. An example is the rF-CEA-TRICOM vaccine, which was preclinically evaluated by intratumoral administration in carcinoembryonic antigen (CEA)-positive tumors. In these studies, this strategy was combined with an initial subcutaneous (prime) vaccination with rV-CEA-TRICOM, followed by a booster with rF-CEA-TRICOM. These trials have been the basis for moving towards a clinical trial in patients with prostate cancer, where this strategy has been shown to be both safe and feasible. [124]</w:t>
      </w:r>
    </w:p>
    <w:p w14:paraId="26ACFDBB">
      <w:pPr>
        <w:pStyle w:val="22"/>
        <w:rPr>
          <w:rFonts w:ascii="Arial" w:hAnsi="Arial" w:cs="Arial"/>
        </w:rPr>
      </w:pPr>
      <w:r>
        <w:rPr>
          <w:rFonts w:ascii="Arial" w:hAnsi="Arial" w:cs="Arial"/>
        </w:rPr>
        <w:t>MVA-based vaccines are being developed and evaluated for various applications in cancer immunotherapy, showing promising results in different indications. Clinical trials have shown that recombinant MVA, given alone or in combination with chemotherapy, induces a potent immune response. For example, the company Transgene is researching an MVA that expresses MUC-1 and IL-2 to treat lung and prostate cancers. In patients with advanced-stage lung cancer (stages III and IV), the combination of this vaccine with cisplatin or vinorelbine has shown high efficacy, achieving disease control in 71% of patients in a phase II clinical trial. It should be noted that most of these patients had stage IV cancer with tumors positive for MUC-1, a marker of poor prognosis. In addition, Transgene has developed another recombinant MVA for the treatment of cervical cancer, designed to express the E6 and E7 viral antigens of human papillomavirus type 16, along with IL-2. This approach seeks to generate a cellular response capable of eliminating both the damage caused by cancer and precancerous lesions. In three phase I studies, this vaccine has demonstrated an adequate safety profile, paving the way for more advanced research. On the other hand, Oxford Biomedica is developing the TroVax vaccine, an MVA that encodes the oncofetal antigen 5T4, present in most epithelial cancers, including colon, kidney, breast, and ovary. Initial studies have evidenced the stable control of the disease, along with consistent antibody and T-cell responses, supporting its clinical potential. TroVax has also been evaluated in combination with the FOLFOX chemotherapy regimen in a phase II clinical trial, in which all 23 patients in the study developed cellular and/or humoral responses against the 5T4 antigen. [125]</w:t>
      </w:r>
    </w:p>
    <w:p w14:paraId="558EA3D5">
      <w:pPr>
        <w:pStyle w:val="22"/>
        <w:rPr>
          <w:rFonts w:ascii="Arial" w:hAnsi="Arial" w:cs="Arial"/>
        </w:rPr>
      </w:pPr>
      <w:r>
        <w:rPr>
          <w:rFonts w:ascii="Arial" w:hAnsi="Arial" w:cs="Arial"/>
          <w:b/>
          <w:bCs/>
        </w:rPr>
        <w:t>3.4. Nucleic Acid Vaccines:</w:t>
      </w:r>
      <w:r>
        <w:rPr>
          <w:rFonts w:ascii="Arial" w:hAnsi="Arial" w:cs="Arial"/>
        </w:rPr>
        <w:t xml:space="preserve"> </w:t>
      </w:r>
    </w:p>
    <w:p w14:paraId="5C30055C">
      <w:pPr>
        <w:pStyle w:val="22"/>
        <w:rPr>
          <w:rFonts w:ascii="Arial" w:hAnsi="Arial" w:cs="Arial"/>
        </w:rPr>
      </w:pPr>
      <w:r>
        <w:rPr>
          <w:rFonts w:ascii="Arial" w:hAnsi="Arial" w:cs="Arial"/>
        </w:rPr>
        <w:t>Nucleic acid vaccines, encompassing DNA- and RNA-based platforms, represent a ground-breaking approach to cancer immunotherapy. By delivering genetic material into hosT-cells, these vaccines enable the production of TAAs, which activate the immune responses capable of targeting and destroying cancer cells. They are also quite stable, safe, and effective. DNA-based immunization began in the 1990s with the discovery of a plasmid DNA encoding the nucleoprotein of the influenza A virus. DNA vaccines need to reach the cytoplasm of APCs to access the nucleus and initiate transcription, a crucial step in the process. However, RNA vaccines do not integrate into the genome, which prevents carcinogenic effects. Additionally, RNA vaccines do not need to enter the nucleus, resulting in a very low likelihood of adverse effects. Their only disadvantage compared to DNA vaccines is that they degrade more easily, but their stability can be increased by using liposome formulations or stabilizing adjuvants. Their versatility allows for personalization and the tailoring of vaccines to individual tumor profiles [126]. Recent advancements in delivery systems, such as lipid nanoparticles and biodegradable polymers, have improved their efficacy and safety, paving the way for next-generation, patient-specific treatments. Both platforms hold promise but require advancements in delivery systems and safety optimization to fully realize their therapeutic potential. [127]</w:t>
      </w:r>
    </w:p>
    <w:p w14:paraId="426E7F57">
      <w:pPr>
        <w:pStyle w:val="22"/>
        <w:rPr>
          <w:rFonts w:ascii="Arial" w:hAnsi="Arial" w:cs="Arial"/>
          <w:lang w:val="en-IN"/>
        </w:rPr>
      </w:pPr>
      <w:r>
        <w:rPr>
          <w:rFonts w:ascii="Arial" w:hAnsi="Arial" w:cs="Arial"/>
        </w:rPr>
        <w:t xml:space="preserve">DNA vaccines have emerged as a promising approach in cancer immunotherapy due to their ability to induce strong immune responses by delivering genetic material that encodes tumor antigens. These vaccines can be plasmid-based or mRNA-based, with each offering distinct advantages. Plasmid DNA vaccines are advantageous because they are stable, easy to produce, and can be designed to encode specific antigens, allowing for targeted immune activation. They stimulate both cellular and humoral immunity, making them effective in inducing robust immune responses against cancer cells. Recent research has shown that the combination of DNA vaccines with adjuvants or the use of novel delivery systems, such as nanoparticles, can significantly enhance vaccine effectiveness by improving antigen presentation and boosting immune responses. Moreover, DNA vaccines targeting tumor-specific neoantigens are gaining traction, offering the potential for personalized cancer immunotherapy. </w:t>
      </w:r>
      <w:r>
        <w:rPr>
          <w:rFonts w:ascii="Arial" w:hAnsi="Arial" w:cs="Arial"/>
          <w:lang w:val="en-IN"/>
        </w:rPr>
        <w:t>DNA cancer vaccines can be customized according to an individual’s tumor profile, improving specificity and minimizing off-target effects. Efforts to enhance their therapeutic efficacy focus on improving antigen delivery, immune activation, and overcoming tumor-induced immunosuppression. One important method is the prime–boost strategy, in which an initial DNA vaccination is followed by viral or bacterial vector–based boosters encoding the same antigen. This approach enhances antigen-specific T-cell production and activates innate immune pathways through Toll-like receptor stimulation, showing promising outcomes in hepatocellular carcinoma and other clinical studies involving HER-2 and carcinoembryonic antigen–based vaccines. Combining DNA vaccines with immunomodulatory cytokines is another effective strategy. Plasmids encoding cytokines such as IL-2 and GM-CSF enhance dendritic cell maturation and T-cell activation while avoiding systemic toxicity. IL-2 supports T-cell proliferation and activation, whereas GM-CSF promotes antigen presentation through granulocyte and macrophage stimulation. Chimeric DNA vaccines that integrate xenogeneic and self-antigens also show potential by generating strong immune responses without inducing tolerance. Hybrid plasmids encoding both xenogeneic and autologous antigens, such as neu-HER2–targeting constructs for ErbB2-positive tumors, are being developed to further enhance specificity and immunogenicity. More recently, DNA nanovaccines have emerged as a promising advancement by integrating DNA vaccination with nanotechnology-based delivery systems. Encapsulation of tumor antigens within nanoparticles improves stability, targeted delivery, and immune cell activation while reducing adverse effects. Nanocarriers such as liposomes, dendrimers, and polymeric nanoparticles enhance tumor penetration and allow co-delivery of immune modulators or adjuvants, thereby strengthening immune recognition of cancer cells. These developments are advancing personalized cancer immunotherapy and addressing earlier limitations in DNA vaccine delivery and effectiveness [128].</w:t>
      </w:r>
    </w:p>
    <w:p w14:paraId="45D2A833">
      <w:pPr>
        <w:pStyle w:val="22"/>
        <w:numPr>
          <w:ilvl w:val="1"/>
          <w:numId w:val="2"/>
        </w:numPr>
        <w:rPr>
          <w:rFonts w:ascii="Arial" w:hAnsi="Arial" w:cs="Arial"/>
          <w:b/>
          <w:bCs/>
        </w:rPr>
      </w:pPr>
      <w:r>
        <w:rPr>
          <w:rFonts w:ascii="Arial" w:hAnsi="Arial" w:cs="Arial"/>
          <w:b/>
          <w:bCs/>
        </w:rPr>
        <w:t xml:space="preserve">Messenger RNA (mRNA) Vaccines: </w:t>
      </w:r>
    </w:p>
    <w:p w14:paraId="0522B0AD">
      <w:pPr>
        <w:pStyle w:val="22"/>
        <w:rPr>
          <w:rFonts w:ascii="Arial" w:hAnsi="Arial" w:cs="Arial"/>
          <w:lang w:val="en-IN"/>
        </w:rPr>
      </w:pPr>
      <w:r>
        <w:rPr>
          <w:rFonts w:ascii="Arial" w:hAnsi="Arial" w:cs="Arial"/>
          <w:lang w:val="en-IN"/>
        </w:rPr>
        <w:t>mRNA vaccines have emerged as a promising strategy in cancer immunotherapy due to their capacity to stimulate both humoral and cellular immune responses. These vaccines deliver synthetic mRNA encoding tumor-associated antigens, which are translated by host cells and presented through MHC molecules, leading to activation of CD8+ and CD4+ T-cells essential for antitumor immunity. A key advantage of mRNA vaccines is their rapid and cost-effective production, as they can be synthesized without cell-based systems and do not integrate into the host genome, reducing safety concerns. Personalized mRNA vaccines targeting tumor-specific neoantigens further enhance therapeutic specificity and efficacy, and they can be combined with other treatments such as immune checkpoint inhibitors to overcome resistance mechanisms. Improving mRNA vaccine performance requires optimized formulation and delivery. Structural modifications, including the addition of a 5′ cap and poly(A) tail, increase mRNA stability and translation efficiency. Delivery systems such as lipid nanoparticles (LNPs) protect mRNA from degradation, enhance cellular uptake, and promote cytoplasmic release for effective antigen expression. Although LNPs are widely used, concerns regarding inflammatory responses have encouraged exploration of alternative carriers, including polymeric micelles and hybrid biomimetic systems. These next-generation platforms improve stability, targeting, and immune activation while minimizing adverse effects. Functionalized nanoparticles and advanced delivery systems continue to enhance antigen presentation and T-cell responses, supporting the development of more effective and personalized mRNA-based cancer vaccines [129].</w:t>
      </w:r>
    </w:p>
    <w:p w14:paraId="780D6380">
      <w:pPr>
        <w:pStyle w:val="22"/>
        <w:rPr>
          <w:rFonts w:ascii="Arial" w:hAnsi="Arial" w:cs="Arial"/>
        </w:rPr>
      </w:pPr>
    </w:p>
    <w:p w14:paraId="4291BAD0">
      <w:pPr>
        <w:pStyle w:val="22"/>
        <w:rPr>
          <w:rFonts w:ascii="Arial" w:hAnsi="Arial" w:cs="Arial"/>
        </w:rPr>
      </w:pPr>
    </w:p>
    <w:p w14:paraId="34AF216F">
      <w:pPr>
        <w:pStyle w:val="22"/>
        <w:numPr>
          <w:ilvl w:val="0"/>
          <w:numId w:val="2"/>
        </w:numPr>
        <w:rPr>
          <w:rFonts w:ascii="Arial" w:hAnsi="Arial" w:cs="Arial"/>
          <w:b/>
          <w:bCs/>
        </w:rPr>
      </w:pPr>
      <w:r>
        <w:rPr>
          <w:rFonts w:ascii="Arial" w:hAnsi="Arial" w:cs="Arial"/>
          <w:b/>
          <w:bCs/>
        </w:rPr>
        <w:t>Photothermal therapy (PTT) and Photodynamic therapy (PDT)</w:t>
      </w:r>
    </w:p>
    <w:p w14:paraId="468B12A9">
      <w:pPr>
        <w:pStyle w:val="22"/>
        <w:rPr>
          <w:rFonts w:ascii="Arial" w:hAnsi="Arial" w:cs="Arial"/>
          <w:lang w:val="en-IN"/>
        </w:rPr>
      </w:pPr>
      <w:r>
        <w:rPr>
          <w:rFonts w:ascii="Arial" w:hAnsi="Arial" w:cs="Arial"/>
          <w:lang w:val="en-IN"/>
        </w:rPr>
        <w:t>Photothermal therapy (PTT) is an emerging cancer treatment that uses nanoparticles to convert light, particularly near-infrared (NIR) radiation, into heat to selectively destroy cancer cells while sparing healthy tissues. This targeted approach reduces the adverse effects commonly associated with conventional treatments such as chemotherapy and radiotherapy. Nanoparticles like gold nanoparticles and carbon nanotubes efficiently absorb NIR light and generate localized heat, which raises the tumor temperature to levels that induce cancer cell death through protein denaturation and membrane disruption. Gold nanoparticles are widely used due to their strong surface plasmon resonance and can be functionalized with antibodies or peptides to improve tumor targeting. Carbon nanotubes also demonstrate high photothermal efficiency and can simultaneously serve as drug carriers, enabling combined photothermal and chemotherapeutic treatment. PTT offers advantages such as minimal invasiveness, precise tumor targeting, and the ability to be repeated with limited side effects, making it particularly useful for tumors in sensitive regions. Photodynamic therapy (PDT) is another light-based treatment that employs photosensitizers activated by specific wavelengths to generate reactive oxygen species, leading to selective tumor destruction. Nanocarriers enhance PDT effectiveness by improving photosensitizer stability, solubility, and tumor targeting. Liposomal carriers protect hydrophobic photosensitizers and facilitate tumor accumulation through the enhanced permeability and retention effect. Polymeric nanoparticles, such as those made from PLGA, enable controlled drug release and improved circulation time, while also responding to tumor-specific conditions like pH and enzyme activity. Metal-based nanoparticles, including gold nanoparticles and quantum dots, further enhance PDT by improving light absorption and reactive oxygen species generation. These platforms also support theranostic applications, combining imaging and therapy for more precise and personalized cancer treatment.</w:t>
      </w:r>
    </w:p>
    <w:p w14:paraId="3DA26396">
      <w:pPr>
        <w:pStyle w:val="22"/>
        <w:rPr>
          <w:rFonts w:ascii="Arial" w:hAnsi="Arial" w:cs="Arial"/>
          <w:lang w:val="en-IN"/>
        </w:rPr>
      </w:pPr>
      <w:r>
        <w:rPr>
          <w:rFonts w:ascii="Arial" w:hAnsi="Arial" w:cs="Arial"/>
        </w:rPr>
        <w:t>Carbon-based nanomaterials, including (GO) and carbon nanotubes (CNTs), further extend the capabilities of PDT. Their high surface area allows for the conjugation of multiple photosensitizers or targeting ligands, enhancing tumor specificity [130]. Additionally, carbon nanotubes possess unique photothermal properties, enabling the combination of PDT and photothermal therapy (PTT) in a single treatment modality. This synergy can improve therapeutic outcomes, especially in hypoxic tumors where oxygen-dependent ROS generation might be limited. The integration of oxygen-carrying nanomaterials like perfluorocarbon nanoparticles into PDT systems addresses the challenge of hypoxia within the tumor microenvironment. These carriers deliver molecular oxygen directly to the tumor site, boosting ROS production and overcoming a key limitation of conventional PDT. Similarly, mesoporous silica nanoparticles (MSNs) are gaining attention for their ability to co-deliver photosensitizers and chemotherapeutic agents, enabling combination therapy that targets tumors through multiple mechanisms. More importantly, PTT and PDT, as local treatment methods, have attracted widespread attention in cancer immunotherapy in recent years. These two treatment methods damage tumor cells by generating thermal effects or reactive oxygen species (ROS), thereby inducing immunogenic cell death (ICD). ICD is a cell death mode that can activate the body’s immune response, mainly through the exposure of damage-associated molecular patterns (DAMPs), such as high-mobility group protein B1 (HMGB1), ATP, and gradually exposed carnicotinic acid, triggering the immune system to recognize and eliminate tumor cells. ICD induced by PTT and PDT can enhance the antigen presentation function of dendritic cells, thereby promoting the activation of T cells and tumor-specific immune responses. In addition, when PDT and PTT are combined with immunotherapies such as immune checkpoint inhibitors and tumor vaccines, they can produce synergistic effects and further improve the effect of tumor treatment. Therefore, the combination of PTT and PDT-induced ICD mechanisms has opened up a new direction for tumor immunotherapy. [131]</w:t>
      </w:r>
    </w:p>
    <w:p w14:paraId="19D3372E">
      <w:pPr>
        <w:pStyle w:val="22"/>
        <w:numPr>
          <w:ilvl w:val="0"/>
          <w:numId w:val="2"/>
        </w:numPr>
        <w:rPr>
          <w:rFonts w:ascii="Arial" w:hAnsi="Arial" w:cs="Arial"/>
        </w:rPr>
      </w:pPr>
      <w:r>
        <w:rPr>
          <w:rFonts w:ascii="Arial" w:hAnsi="Arial" w:cs="Arial"/>
          <w:b/>
          <w:bCs/>
        </w:rPr>
        <w:t>Regulatory Hurdles:</w:t>
      </w:r>
      <w:r>
        <w:rPr>
          <w:rFonts w:ascii="Arial" w:hAnsi="Arial" w:cs="Arial"/>
        </w:rPr>
        <w:t xml:space="preserve"> </w:t>
      </w:r>
    </w:p>
    <w:p w14:paraId="56F89057">
      <w:pPr>
        <w:pStyle w:val="22"/>
        <w:rPr>
          <w:rFonts w:ascii="Arial" w:hAnsi="Arial" w:cs="Arial"/>
        </w:rPr>
      </w:pPr>
      <w:r>
        <w:rPr>
          <w:rFonts w:ascii="Arial" w:hAnsi="Arial" w:cs="Arial"/>
        </w:rPr>
        <w:t xml:space="preserve">The regulatory approval process for nanomedicines presents its own set of challenges, primarily due to the complexity of nanoparticle systems. Unlike those well-characterized traditional small-molecule drugs, which have an exact mechanism of action, nanoparticles are multifaceted and can exhibit complex behaviors depending on their size, shape, surface charge, and composition. This complexity makes it difficult to establish standardized criteria for evaluating the safety, efficacy, and quality of nanomedicines, which complicates the regulatory approval process. Comprehensive data on pharmacokinetics, biodistribution and toxicity of new therapeutic agents are mandated by regulatory agencies such as the U.S. Food and Drug Administration (FDA) and the European Medicines Agency (EMA) before the medicines can be approved for clinical use. For nanoparticles, these evaluations are even more rigorous due to the potential for unpredictable interactions with biological systems. Additionally, the long-term safety of nanoparticles must be thoroughly assessed, particularly because many nanomaterials may persist in the body for extended periods. This necessitates long-term preclinical and clinical studies to assess the potential risks of chronic exposure to nanomaterials, which can delay the approval process and increase the cost of development. Another regulatory hurdle is the lack of standardized testing methods for nanomedicines. Current guidelines for evaluating drug safety and efficacy are often insufficient to account for the unique properties of nanoparticles. For instance, traditional assays for assessing drug release, toxicity, and pharmacokinetics may not be applicable to nanomedicines due to their complex behavior in biological environments. Consequently, the development of new testing protocols and guidelines specifically tailored to nanomedicines are required. This necessitates collaboration between regulatory agencies, researchers, and industry stakeholders to ensure that appropriate standards are established for the evaluation and approval of nanoparticle-based therapies. The cost and time associated with regulatory approval are also major barriers to the clinical translation of nanotechnology. Nanomedicine development often requires significant investment in research, testing, and manufacturing, which can be prohibitively expensive for many small biotech companies and research institutions. Furthermore, the long timelines required for regulatory approval, particularly for first-in-class nanomedicines, can postpone the introduction of new treatments to the market. These financial and temporal constraints can hinder the development and commercialization of innovative nanoparticle-based therapies, limiting their availability to patients in need. </w:t>
      </w:r>
    </w:p>
    <w:p w14:paraId="18C62F07">
      <w:pPr>
        <w:pStyle w:val="22"/>
        <w:rPr>
          <w:rFonts w:ascii="Arial" w:hAnsi="Arial" w:cs="Arial"/>
          <w:b/>
          <w:bCs/>
        </w:rPr>
      </w:pPr>
      <w:commentRangeStart w:id="9"/>
      <w:r>
        <w:rPr>
          <w:rFonts w:ascii="Arial" w:hAnsi="Arial" w:cs="Arial"/>
          <w:b/>
          <w:bCs/>
        </w:rPr>
        <w:t xml:space="preserve">Conclusion: </w:t>
      </w:r>
      <w:commentRangeEnd w:id="9"/>
      <w:r>
        <w:commentReference w:id="9"/>
      </w:r>
    </w:p>
    <w:p w14:paraId="4F2A64CB">
      <w:pPr>
        <w:pStyle w:val="22"/>
        <w:rPr>
          <w:rFonts w:ascii="Arial" w:hAnsi="Arial" w:cs="Arial"/>
        </w:rPr>
      </w:pPr>
      <w:r>
        <w:rPr>
          <w:rFonts w:ascii="Arial" w:hAnsi="Arial" w:cs="Arial"/>
        </w:rPr>
        <w:t>Nanotechnology has revolutionized cancer research by offering solutions that overcome many limitations of traditional therapies. Its ability to deliver drugs directly to tumor sites while minimizing systemic side effects marks a major advance toward safer, patient-specific treatment. Nanocarriers such as liposomes, dendrimers, and polymeric systems have significantly enhanced the pharmacokinetics and therapeutic efficacy of anticancer agents. Moreover, nanovaccines and nucleic acid-based platforms have broadened the horizons of immunotherapy, promoting robust and sustained immune responses against tumors. The incorporation of photothermal and photodynamic therapies further demonstrates nanotechnology’s versatility in integrating precision targeting with minimal invasiveness. However, translating these innovations from laboratory to clinic remains challenging due to regulatory uncertainties, high development costs, and the need for long-term safety data. Collaborative efforts between researchers, regulatory bodies, and industry are essential to establish standardized evaluation protocols and streamline approval pathways. As advances in nanoscience continue to intersect with immunology and personalized medicine, the future of cancer therapy lies in intelligent, multifunctional nanosystems capable of simultaneous diagnosis, targeted therapy, and immune modulation ushering in a new era of precision oncology.</w:t>
      </w:r>
    </w:p>
    <w:p w14:paraId="03A30092">
      <w:pPr>
        <w:pStyle w:val="22"/>
        <w:spacing w:after="0"/>
        <w:rPr>
          <w:rFonts w:ascii="Arial" w:hAnsi="Arial" w:cs="Arial"/>
        </w:rPr>
      </w:pPr>
    </w:p>
    <w:p w14:paraId="15140E31">
      <w:pPr>
        <w:pStyle w:val="29"/>
        <w:spacing w:after="0"/>
        <w:jc w:val="both"/>
        <w:rPr>
          <w:rFonts w:ascii="Arial" w:hAnsi="Arial" w:cs="Arial"/>
        </w:rPr>
      </w:pPr>
      <w:r>
        <w:rPr>
          <w:rFonts w:ascii="Arial" w:hAnsi="Arial" w:cs="Arial"/>
          <w:bCs/>
          <w:lang w:val="en-GB"/>
        </w:rPr>
        <w:t>DISCLAIMER</w:t>
      </w:r>
    </w:p>
    <w:p w14:paraId="6768B934">
      <w:pPr>
        <w:pStyle w:val="29"/>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w:t>
      </w:r>
    </w:p>
    <w:p w14:paraId="3795F767">
      <w:pPr>
        <w:pStyle w:val="29"/>
        <w:spacing w:after="0"/>
        <w:jc w:val="both"/>
        <w:rPr>
          <w:rFonts w:ascii="Arial" w:hAnsi="Arial" w:cs="Arial"/>
          <w:b w:val="0"/>
          <w:caps w:val="0"/>
          <w:sz w:val="20"/>
        </w:rPr>
      </w:pPr>
      <w:r>
        <w:rPr>
          <w:rFonts w:ascii="Arial" w:hAnsi="Arial" w:cs="Arial"/>
          <w:b w:val="0"/>
          <w:caps w:val="0"/>
          <w:sz w:val="20"/>
        </w:rPr>
        <w:t>financial interests OR personal relationships that could have appeared to influence the work</w:t>
      </w:r>
    </w:p>
    <w:p w14:paraId="69EAA027">
      <w:pPr>
        <w:pStyle w:val="29"/>
        <w:jc w:val="both"/>
        <w:rPr>
          <w:rFonts w:ascii="Arial" w:hAnsi="Arial" w:cs="Arial"/>
          <w:b w:val="0"/>
          <w:caps w:val="0"/>
          <w:sz w:val="20"/>
        </w:rPr>
      </w:pPr>
      <w:r>
        <w:rPr>
          <w:rFonts w:ascii="Arial" w:hAnsi="Arial" w:cs="Arial"/>
          <w:b w:val="0"/>
          <w:caps w:val="0"/>
          <w:sz w:val="20"/>
        </w:rPr>
        <w:t>reported in this paper.</w:t>
      </w:r>
    </w:p>
    <w:p w14:paraId="7A1C9711">
      <w:pPr>
        <w:pStyle w:val="29"/>
        <w:jc w:val="both"/>
        <w:rPr>
          <w:rFonts w:ascii="Arial" w:hAnsi="Arial" w:cs="Arial"/>
          <w:b w:val="0"/>
          <w:caps w:val="0"/>
          <w:sz w:val="20"/>
        </w:rPr>
      </w:pPr>
      <w:r>
        <w:rPr>
          <w:rFonts w:ascii="Arial" w:hAnsi="Arial" w:cs="Arial"/>
          <w:b w:val="0"/>
          <w:caps w:val="0"/>
          <w:sz w:val="20"/>
        </w:rPr>
        <w:t>Author(s) hereby declare that generative AI technologies such as Large Language Models have been used during the writing or editing of the manuscript. This explanation includes the name, version, model, and source of the generative AI technology, as well as the general nature of the input prompts provided.</w:t>
      </w:r>
    </w:p>
    <w:p w14:paraId="7252A215">
      <w:pPr>
        <w:pStyle w:val="29"/>
        <w:jc w:val="both"/>
        <w:rPr>
          <w:rFonts w:ascii="Arial" w:hAnsi="Arial" w:cs="Arial"/>
          <w:b w:val="0"/>
          <w:caps w:val="0"/>
          <w:sz w:val="20"/>
        </w:rPr>
      </w:pPr>
      <w:r>
        <w:rPr>
          <w:rFonts w:ascii="Arial" w:hAnsi="Arial" w:cs="Arial"/>
          <w:b w:val="0"/>
          <w:caps w:val="0"/>
          <w:sz w:val="20"/>
        </w:rPr>
        <w:t>Details of the AI usage are given below:</w:t>
      </w:r>
    </w:p>
    <w:p w14:paraId="70B74CF5">
      <w:pPr>
        <w:pStyle w:val="29"/>
        <w:numPr>
          <w:ilvl w:val="0"/>
          <w:numId w:val="3"/>
        </w:numPr>
        <w:jc w:val="both"/>
        <w:rPr>
          <w:rFonts w:ascii="Arial" w:hAnsi="Arial" w:cs="Arial"/>
          <w:b w:val="0"/>
          <w:caps w:val="0"/>
          <w:sz w:val="20"/>
        </w:rPr>
      </w:pPr>
      <w:r>
        <w:rPr>
          <w:rFonts w:ascii="Arial" w:hAnsi="Arial" w:cs="Arial"/>
          <w:b w:val="0"/>
          <w:caps w:val="0"/>
          <w:sz w:val="20"/>
        </w:rPr>
        <w:t>ChatGPT (GPT-5.1), developed by OpenAI and accessed through the official ChatGPT platform, was used exclusively for improving English language proficiency during manuscript preparation. The assistance included grammar correction, sentence restructuring, clarity enhancement, and refinement of academic tone. Typical prompts included requests such as: “Improve the English grammar and flow of this paragraph, “Rewrite this sentence in a more academic style,” and “Enhance clarity and coherence without changing the scientific meaning.”</w:t>
      </w:r>
    </w:p>
    <w:p w14:paraId="1A50FB26">
      <w:pPr>
        <w:pStyle w:val="29"/>
        <w:jc w:val="both"/>
        <w:rPr>
          <w:rFonts w:ascii="Arial" w:hAnsi="Arial" w:cs="Arial"/>
          <w:b w:val="0"/>
          <w:caps w:val="0"/>
          <w:sz w:val="20"/>
        </w:rPr>
      </w:pPr>
      <w:r>
        <w:rPr>
          <w:rFonts w:ascii="Arial" w:hAnsi="Arial" w:cs="Arial"/>
          <w:b w:val="0"/>
          <w:caps w:val="0"/>
          <w:sz w:val="20"/>
        </w:rPr>
        <w:t>No AI tools were used for data analysis, interpretation of results, creation of scientific content, or generating novel ideas. All scientific content, conclusions, and interpretations are solely the work of the authors.</w:t>
      </w:r>
    </w:p>
    <w:p w14:paraId="70FAE129">
      <w:pPr>
        <w:pStyle w:val="22"/>
        <w:rPr>
          <w:rFonts w:ascii="Arial" w:hAnsi="Arial" w:cs="Arial"/>
          <w:lang w:val="en-GB"/>
        </w:rPr>
      </w:pPr>
      <w:r>
        <w:rPr>
          <w:rFonts w:ascii="Arial" w:hAnsi="Arial" w:cs="Arial"/>
          <w:b/>
          <w:bCs/>
          <w:lang w:val="en-GB"/>
        </w:rPr>
        <w:t>COMPETING INTERESTS DISCLAIMER:</w:t>
      </w:r>
    </w:p>
    <w:p w14:paraId="639CE504">
      <w:pPr>
        <w:pStyle w:val="22"/>
        <w:rPr>
          <w:rFonts w:ascii="Arial" w:hAnsi="Arial" w:cs="Arial"/>
          <w:lang w:val="en-GB"/>
        </w:rPr>
      </w:pPr>
      <w:r>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6651F397">
      <w:pPr>
        <w:pStyle w:val="29"/>
        <w:jc w:val="both"/>
        <w:rPr>
          <w:rFonts w:ascii="Arial" w:hAnsi="Arial" w:cs="Arial"/>
          <w:b w:val="0"/>
          <w:caps w:val="0"/>
          <w:sz w:val="20"/>
        </w:rPr>
      </w:pPr>
    </w:p>
    <w:p w14:paraId="534F7ED8">
      <w:pPr>
        <w:pStyle w:val="29"/>
        <w:spacing w:after="0"/>
        <w:jc w:val="both"/>
        <w:rPr>
          <w:rFonts w:ascii="Arial" w:hAnsi="Arial" w:cs="Arial"/>
        </w:rPr>
      </w:pPr>
    </w:p>
    <w:p w14:paraId="2BC20D98">
      <w:pPr>
        <w:pStyle w:val="29"/>
        <w:spacing w:after="0"/>
        <w:jc w:val="both"/>
        <w:rPr>
          <w:rFonts w:ascii="Arial" w:hAnsi="Arial" w:cs="Arial"/>
        </w:rPr>
      </w:pPr>
      <w:commentRangeStart w:id="10"/>
      <w:r>
        <w:rPr>
          <w:rFonts w:ascii="Arial" w:hAnsi="Arial" w:cs="Arial"/>
        </w:rPr>
        <w:t>References</w:t>
      </w:r>
      <w:commentRangeEnd w:id="10"/>
      <w:r>
        <w:commentReference w:id="10"/>
      </w:r>
    </w:p>
    <w:p w14:paraId="4E9053FD">
      <w:pPr>
        <w:pStyle w:val="29"/>
        <w:spacing w:after="0"/>
        <w:jc w:val="both"/>
        <w:rPr>
          <w:rFonts w:ascii="Arial" w:hAnsi="Arial" w:cs="Arial"/>
        </w:rPr>
      </w:pPr>
    </w:p>
    <w:p w14:paraId="7176D830">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Melero I., Gaudernack G., Gerritsen W., Huber C., Parmiani G., Scholl S., Thatcher N., Wagstaff J., Zielinski C., Faulkner I., et al. Therapeutic vaccines for cancer: An overview of clinical trials. Nat. Rev. Clin. Oncol. 2014;11:509–524. </w:t>
      </w:r>
    </w:p>
    <w:p w14:paraId="7750933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Nelde A., Rammensee H.G., Walz J.S. The Peptide Vaccine of the Future. Mol. Cell Proteom. 2021;20:100022. </w:t>
      </w:r>
    </w:p>
    <w:p w14:paraId="692D50E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Hamley I.W. Peptides for Vaccine Development. ACS Appl. Bio Mater. 2022;5:905–944. </w:t>
      </w:r>
    </w:p>
    <w:p w14:paraId="0A86256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Kumai T., Lee S., Cho H.I., Sultan H., Kobayashi H., Harabuchi Y., Celis E. Optimization of Peptide Vaccines to Induce Robust Antitumor CD4 T-cell Responses. Cancer Immunol. Res. 2017;5:72–83. </w:t>
      </w:r>
    </w:p>
    <w:p w14:paraId="5755DF0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D., Liu L., Li X., Wang S., Wu G., Che X. Advancements and Challenges in Peptide-Based Cancer Vaccination: A Multidisciplinary Perspective. Vaccines. 2024;12:950. </w:t>
      </w:r>
    </w:p>
    <w:p w14:paraId="145AA827">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W., Tang H., Li L., Wang X., Yu Z., Li J. Peptide-based therapeutic cancer vaccine: Current trends in clinical application. Cell Prolif. 2021;54:e13025. </w:t>
      </w:r>
    </w:p>
    <w:p w14:paraId="74F19D0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Jou J., Harrington K.J., Zocca M.B., Ehrnrooth E., Cohen E.E.W. The Changing Landscape of Therapeutic Cancer Vaccines-Novel Platforms and Neoantigen Identification. Clin. Cancer Res. 2021;27:689–703. </w:t>
      </w:r>
    </w:p>
    <w:p w14:paraId="7421427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Phan T., Fan D., Melstrom L.G. Developing Vaccines in Pancreatic Adenocarcinoma: Trials and Tribulations. Curr. Oncol. 2024;31:4855–4884. </w:t>
      </w:r>
    </w:p>
    <w:p w14:paraId="3AFEFED5">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Zhang S., Huang C., Li Y., Li Z., Zhu Y., Yang L., Hu H., Sun Q., Liu M., Cao S. Anti-cancer immune effect of human colorectal cancer neoantigen peptide based on MHC class I molecular affinity screening. Front. Immunol. 2024;15:1473145. </w:t>
      </w:r>
    </w:p>
    <w:p w14:paraId="63830F1D">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Hampson I.N., Oliver A.W. Update on Effects of the Prophylactic HPV Vaccines on HPV Type Prevalence and Cervical Pathology. Viruses. 2024;16:1245. </w:t>
      </w:r>
    </w:p>
    <w:p w14:paraId="35E7AE4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Mbulawa Z.Z.A., Kondlo S., Toni S., Faye L.M., Businge C.B. Prevalence, Characteristics, and Distribution of Human Papillomavirus According to Age and HIV Status in Women of Eastern Cape Province, South Africa. Viruses. 2024;16:1751. </w:t>
      </w:r>
    </w:p>
    <w:p w14:paraId="1416362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Zahedipour F., Jamialahmadi K., Zamani P., Reza Jaafari M. Improving the efficacy of peptide vaccines in cancer immunotherapy. Int. Immunopharmacol. 2023;123:110721.</w:t>
      </w:r>
    </w:p>
    <w:p w14:paraId="33287E3D">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Wang X., Niu Y., Bian F. The progress of tumor vaccines clinical trials in non-small cell lung cancer. Clin. Transl. Oncol. 2024:1–13. </w:t>
      </w:r>
    </w:p>
    <w:p w14:paraId="337FBE9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Fu Q., Luo Y., Li J., Li H., Liu X., Chen Z., Ni G., Wang T. Caerin 1.1 and 1.9 peptides halt B16 melanoma metastatic tumours via expanding cDC1 and reprogramming tumour macrophages. J. Transl. Med. 2024;22:973. </w:t>
      </w:r>
    </w:p>
    <w:p w14:paraId="46C00EF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Mittendorf E.A., Clifton G.T., Holmes J.P., Schneble E., Van Echo D., Ponniah S., Peoples G.E. Final report of the phase I/II clinical trial of the E75 (nelipepimut-S) vaccine with booster inoculations to prevent disease recurrence in high-risk breast cancer patients. Ann. Oncol. 2014;25:1735–1742. </w:t>
      </w:r>
    </w:p>
    <w:p w14:paraId="510BA8BF">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Onodi F., Maherzi-Mechalikh C., Mougel A., Ben Hamouda N., Taboas C., Gueugnon F., Tran T., Nozach H., Marcon E., Gey A., et al. High Therapeutic Efficacy of a New Survivin LSP-Cancer Vaccine Containing CD4+ and CD8+ T-Cell Epitopes. Front. Oncol. 2018;8:517. </w:t>
      </w:r>
    </w:p>
    <w:p w14:paraId="47558100">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Stephens A.J., Burgess-Brown N.A., Jiang S. Beyond Just Peptide Antigens: The Complex World of Peptide-Based Cancer Vaccines. Front. Immunol. 2021;12:696791. </w:t>
      </w:r>
    </w:p>
    <w:p w14:paraId="3642C02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Stergiou N., Gaidzik N., Heimes A.S., Dietzen S., Besenius P., Jäkel J., Brenner W., Schmidt M., Kunz H., Schmitt E. Reduced Breast Tumor Growth after Immunization with a Tumor-Restricted MUC1 Glycopeptide Conjugated to Tetanus Toxoid. Cancer Immunol. Res. 2019;7:113–122. </w:t>
      </w:r>
    </w:p>
    <w:p w14:paraId="39D197BE">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Stergiou N., Glaffig M., Jonuleit H., Schmitt E., Kunz H. Immunization with a Synthetic Human MUC1 Glycopeptide Vaccine against Tumor-Associated MUC1 Breaks Tolerance in Human MUC1 Transgenic Mice. ChemMedChem. 2017;12:1424–1428. </w:t>
      </w:r>
    </w:p>
    <w:p w14:paraId="38B72120">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Naz R.K., Dabir P. Peptide vaccines against cancer, infectious diseases, and conception. Front. Biosci. 2007;12:1833–1844. </w:t>
      </w:r>
    </w:p>
    <w:p w14:paraId="647E9EF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Boumelha J., Molina-Arcas M., Downward J. Facts and Hopes on RAS Inhibitors and Cancer Immunotherapy. Clin. Cancer Res. 2023;29:5012–5020. </w:t>
      </w:r>
    </w:p>
    <w:p w14:paraId="68A466F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Mugarza E., van Maldegem F., Boumelha J., Moore C., Rana S., Llorian Sopena M., East P., Ambler R., Anastasiou P., Romero-Clavijo P., et al. Therapeutic KRAS(G12C) inhibition drives effective interferon-mediated antitumor immunity in immunogenic lung cancers. Sci. Adv. 2022;8:eabm8780. </w:t>
      </w:r>
    </w:p>
    <w:p w14:paraId="060F867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Molina-Arcas M., Downward J. Exploiting the therapeutic implications of KRAS inhibition on tumor immunity. Cancer Cell. 2024;42:338–357. </w:t>
      </w:r>
    </w:p>
    <w:p w14:paraId="1CA5A66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Sakamoto S., Noguchi M., Yamada A., Itoh K., Sasada T. Prospect and progress of personalized peptide vaccinations for advanced cancers. Expert. Opin. Biol. Ther. 2016;16:689–698. </w:t>
      </w:r>
    </w:p>
    <w:p w14:paraId="19ED488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Desrichard A., Snyder A., Chan T.A. Cancer Neoantigens and Applications for Immunotherapy. Clin. Cancer Res. 2016;22:807–812. </w:t>
      </w:r>
    </w:p>
    <w:p w14:paraId="3F03789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Z., Lv J., Dang Q., Liu L., Weng S., Wang L., Zhou Z., Kong Y., Li H., Han Y., et al. Engineering neoantigen vaccines to improve cancer personalized immunotherapy. Int. J. Biol. Sci. 2022;18:5607–5623. </w:t>
      </w:r>
    </w:p>
    <w:p w14:paraId="03354E9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Chen Z., Zhang S., Han N., Jiang J., Xu Y., Ma D., Lu L., Guo X., Qiu M., Huang Q., et al. A Neoantigen-Based Peptide Vaccine for Patients With Advanced Pancreatic Cancer Refractory to Standard Treatment. Front. Immunol. 2021;12:691605. </w:t>
      </w:r>
    </w:p>
    <w:p w14:paraId="2F157AC8">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Criscitiello C., Viale G., Curigliano G. Peptide vaccines in early breast cancer. Breast. 2019;44:128–134. </w:t>
      </w:r>
    </w:p>
    <w:p w14:paraId="661428C4">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Tu H.F., Wong M., Tseng S.H., Ingavat N., Olczak P., Notarte K.I., Hung C.F., Roden R.B.S. Virus-like particle vaccine displaying an external, membrane adjacent MUC16 epitope elicits ovarian cancer-reactive antibodies. J. Ovarian Res. 2024;17:19. </w:t>
      </w:r>
    </w:p>
    <w:p w14:paraId="2E6CDD7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Zhao J., Zhang L., Li P., Liu S., Yu S., Chen Z., Zhu M., Xie S., Ling D., Li F. An Immunomodulatory Zinc-Alum/Ovalbumin Nanovaccine Boosts Cancer Metalloimmunotherapy Through Erythrocyte-Assisted Cascade Immune Activation. Adv. Sci. 2024;11:e2307389. </w:t>
      </w:r>
    </w:p>
    <w:p w14:paraId="217803A8">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Phung I., Rodrigues K.A., Marina-Zárate E., Maiorino L., Pahar B., Lee W.H., Melo M., Kaur A., Allers C., Fahlberg M., et al. A combined adjuvant approach primes robust germinal center responses and humoral immunity in non-human primates. Nat. Commun. 2023;14:7107. </w:t>
      </w:r>
    </w:p>
    <w:p w14:paraId="1431021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Makino T., Miyata H., Yasuda T., Kitagawa Y., Muro K., Park J.H., Hikichi T., Hasegawa T., Igarashi K., Iguchi M., et al. A phase 3, randomized, double-blind, multicenter, placebo-controlled study of S-588410, a five-peptide cancer vaccine as an adjuvant therapy after curative resection in patients with esophageal squamous cell carcinoma. Esophagus. 2024;21:447–455. </w:t>
      </w:r>
    </w:p>
    <w:p w14:paraId="372955A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Melssen M.M., Fisher C.T., Slingluff C.L., Melief C.J.M. Peptide emulsions in incomplete Freund’s adjuvant create effective nurseries promoting egress of systemic CD4+ and CD8+ T cells for immunotherapy of cancer. J. Immunother. Cancer. 2022;10:e004709. </w:t>
      </w:r>
    </w:p>
    <w:p w14:paraId="47C82E87">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Roehnisch T., Martos-Contreras M.C., Manoochehri M., Nogueira M., Bremm F., Dörrie J., Christoph J., Kunz M., Schönharting W. Individualized neoantigen peptide immunization of a metastatic pancreatic cancer patient: A case report of combined tumor and liquid biopsy. Front. Immunol. 2024;15:1414737.</w:t>
      </w:r>
    </w:p>
    <w:p w14:paraId="65ADCDB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Gupta A., O’Cearbhaill R.E., Block M.S., Hamilton E., Konner J.A., Knutson K.L., Potts J., Garrett G., Kenney R.T., Wenham R.M. Vaccination with folate receptor-alpha peptides in patients with ovarian cancer following response to platinum-based therapy: A randomized, multicenter clinical trial. Gynecol. Oncol. 2024;189:90–97. </w:t>
      </w:r>
    </w:p>
    <w:p w14:paraId="57BA4CD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Liao J.-Y., Zhang S. Safety and Efficacy of Personalized Cancer Vaccines in Combination With Immune Checkpoint Inhibitors in Cancer Treatment. Front. Oncol. 2021;11:663264. </w:t>
      </w:r>
    </w:p>
    <w:p w14:paraId="21236A2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Soltani M., Savvateeva L.V., Ganjalikhani-Hakemi M., Zamyatnin A.A. Clinical Combinatorial Treatments Based on Cancer Vaccines: Combination with Checkpoint Inhibitors and Beyond. Curr. Drug Targets. 2022;23:1072–1084. </w:t>
      </w:r>
    </w:p>
    <w:p w14:paraId="66ACA9B8">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Tagliabue E., Campiglio M., Pupa S.M., Ménard S., Balsari A. Activity and resistance of trastuzumab according to different clinical settings. Cancer Treat. Rev. 2012;38:212–217. </w:t>
      </w:r>
    </w:p>
    <w:p w14:paraId="08F7D73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Gall V.A., Philips A.V., Qiao N., Clise-Dwyer K., Perakis A.A., Zhang M., Clifton G.T., Sukhumalchandra P., Ma Q., Reddy S.M., et al. Trastuzumab Increases HER2 Uptake and Cross-Presentation by Dendritic Cells. Cancer Res. 2017;77:5374–5383. </w:t>
      </w:r>
    </w:p>
    <w:p w14:paraId="2708AEAE">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Hickerson A., Clifton G.T., Hale D.F., Peace K.M., Holmes J.P., Vreeland T.J., Litton J.K., Murthy R.K., Lukas J.J., Mittendorf E.A., et al. Final analysis of nelipepimut-S plus GM-CSF with trastuzumab versus trastuzumab alone to prevent recurrences in high-risk, HER2 low-expressing breast cancer: A prospective, randomized, blinded, multicenter phase IIb trial. J. Clin. Oncol. 2019;37:1. </w:t>
      </w:r>
    </w:p>
    <w:p w14:paraId="1321FE30">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Huijts C.M., Santegoets S.J., van den Eertwegh A.J., Pijpers L.S., Haanen J.B., de Gruijl T.D., Verheul H.M., van der Vliet H.J. Phase I-II study of everolimus and low-dose oral cyclophosphamide in patients with metastatic renal cell cancer. BMC Cancer. 2011;11:505. </w:t>
      </w:r>
    </w:p>
    <w:p w14:paraId="1A213B07">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Scurr M., Pembroke T., Bloom A., Roberts D., Thomson A., Smart K., Bridgeman H., Adams R., Brewster A., Jones R., et al. Effect of Modified Vaccinia Ankara-5T4 and Low-Dose Cyclophosphamide on Antitumor Immunity in Metastatic Colorectal Cancer: A Randomized Clinical Trial. JAMA Oncol. 2017;3:e172579. </w:t>
      </w:r>
    </w:p>
    <w:p w14:paraId="07E228E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Shirahama T., Muroya D., Matsueda S., Yamada A., Shichijo S., Naito M., Yamashita T., Sakamoto S., Okuda K., Itoh K., et al. A randomized phase II trial of personalized peptide vaccine with low dose cyclophosphamide in biliary tract cancer. Cancer Sci. 2017;108:838–845. </w:t>
      </w:r>
    </w:p>
    <w:p w14:paraId="0A46EF1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Puigmal N., Ramos V., Artzi N., Borrós S. Poly(β-amino ester)s-Based Delivery Systems for Targeted Transdermal Vaccination. Pharmaceutics. 2023;15:1262. </w:t>
      </w:r>
    </w:p>
    <w:p w14:paraId="5E4F3DC4">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Qin F., Xia F., Chen H., Cui B., Feng Y., Zhang P., Chen J., Luo M. A Guide to Nucleic Acid Vaccines in the Prevention and Treatment of Infectious Diseases and Cancers: From Basic Principles to Current Applications. Front. Cell Dev. Biol. 2021;9:633776. </w:t>
      </w:r>
    </w:p>
    <w:p w14:paraId="21015E1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Jahanafrooz Z., Baradaran B., Mosafer J., Hashemzaei M., Rezaei T., Mokhtarzadeh A., Hamblin M.R. Comparison of DNA and mRNA vaccines against cancer. Drug Discov. Today. 2020;25:552–560.</w:t>
      </w:r>
    </w:p>
    <w:p w14:paraId="4C82B88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Lopes A., Vandermeulen G., Préat V. Cancer DNA vaccines: Current preclinical and clinical developments and future perspectives. J. Exp. Clin. Cancer Res. 2019;38:146. </w:t>
      </w:r>
    </w:p>
    <w:p w14:paraId="4DEDBA4E">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M.A. A Comparison of Plasmid DNA and mRNA as Vaccine Technologies. Vaccines. 2019;7:37. </w:t>
      </w:r>
    </w:p>
    <w:p w14:paraId="3411231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Ferraro B., Morrow M.P., Hutnick N.A., Shin T.H., Lucke C.E., Weiner D.B. Clinical applications of DNA vaccines: Current progress. Clin. Infect. Dis. 2011;53:296–302. </w:t>
      </w:r>
    </w:p>
    <w:p w14:paraId="107B3020">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Lu B., Lim J.M., Yu B., Song S., Neeli P., Sobhani N., K P., Bonam S.R., Kurapati R., Zheng J., et al. The next-generation DNA vaccine platforms and delivery systems: Advances, challenges and prospects. Front. Immunol. 2024;15:1332939. </w:t>
      </w:r>
    </w:p>
    <w:p w14:paraId="60F1F325">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Pandya A., Shah Y., Kothari N., Postwala H., Shah A., Parekh P., Chorawala M.R. The future of cancer immunotherapy: DNA vaccines leading the way. Med. Oncol. 2023;40:200. </w:t>
      </w:r>
    </w:p>
    <w:p w14:paraId="3D09C32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Tiptiri-Kourpeti A., Spyridopoulou K., Pappa A., Chlichlia K. DNA vaccines to attack cancer: Strategies for improving immunogenicity and efficacy. Pharmacol. Ther. 2016;165:32–49. </w:t>
      </w:r>
    </w:p>
    <w:p w14:paraId="3A8FD06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Dang Y., Guan J. Nanoparticle-based drug delivery systems for cancer therapy. Smart Mater. Med. 2020;1:10–19.</w:t>
      </w:r>
    </w:p>
    <w:p w14:paraId="3A3A220F">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Chen F., Shi Y., Zhang J., Liu Q. Nanoparticle-based Drug Delivery Systems for Targeted Epigenetics Cancer Therapy. Curr. Drug Targets. 2020;21:1084–1098. </w:t>
      </w:r>
    </w:p>
    <w:p w14:paraId="633966D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Xin Y., Yin M., Zhao L., Meng F., Luo L. Recent progress on nanoparticle-based drug delivery systems for cancer therapy. Cancer Biol. Med. 2017;14:228–241. Lorentzen C.L., Haanen J.B., Met Ö., Svane I.M. Clinical advances and ongoing trials on mRNA vaccines for cancer treatment. Lancet Oncol. 2022;23:e450–e458. </w:t>
      </w:r>
    </w:p>
    <w:p w14:paraId="2C2B850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Deng Z., Tian Y., Song J., An G., Yang P. mRNA Vaccines: The Dawn of a New Era of Cancer Immunotherapy. Front. Immunol. 2022;13:887125. </w:t>
      </w:r>
    </w:p>
    <w:p w14:paraId="1C9B0A2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Sayour E.J., Boczkowski D., Mitchell D.A., Nair S.K. Cancer mRNA vaccines: Clinical advances and future opportunities. Nat. Rev. Clin. Oncol. 2024;21:489–500. </w:t>
      </w:r>
    </w:p>
    <w:p w14:paraId="02E04A64">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Mei Y., Wang X. RNA modification in mRNA cancer vaccines. Clin. Exp. Med. 2023;23:1917–1931. </w:t>
      </w:r>
    </w:p>
    <w:p w14:paraId="71928CD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Chehelgerdi M., Chehelgerdi M. The use of RNA-based treatments in the field of cancer immunotherapy. Mol. Cancer. 2023;22:106. </w:t>
      </w:r>
    </w:p>
    <w:p w14:paraId="1E32A60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Omidi Y., Pourseif M.M., Ansari R.A., Barar J. Design and development of mRNA and self-amplifying mRNA vaccine nanoformulations. Nanomedicine. 2024;19:2699–2725. </w:t>
      </w:r>
    </w:p>
    <w:p w14:paraId="1818E7E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Zong Y., Lin Y., Wei T., Cheng Q. Lipid Nanoparticle (LNP) Enables mRNA Delivery for Cancer Therapy. Adv. Mater. 2023;35:e2303261. </w:t>
      </w:r>
    </w:p>
    <w:p w14:paraId="0E85AF6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Zhang H., Xia X. RNA cancer vaccines: Developing mRNA nanovaccine with self-adjuvant property for cancer immunotherapy. Hum. Vaccin. Immunother. 2021;17:2995–2998. </w:t>
      </w:r>
    </w:p>
    <w:p w14:paraId="39A719D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Zhou L., Yi W., Zhang Z., Shan X., Zhao Z., Sun X., Wang J., Wang H., Jiang H., Zheng M., et al. STING agonist-boosted mRNA immunization via intelligent design of nanovaccines for enhancing cancer immunotherapy. Natl. Sci. Rev. 2023;10:nwad214. </w:t>
      </w:r>
    </w:p>
    <w:p w14:paraId="5A977757">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Zhang X., Wang K., Zhao Z., Shan X., Wang Y., Feng Z., Li B., Luo C., Chen X., Sun J. Self-Adjuvanting Polyguanidine Nanovaccines for Cancer Immunotherapy. ACS Nano. 2024;18:7136–7147. </w:t>
      </w:r>
    </w:p>
    <w:p w14:paraId="7FCA38D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Vishweshwaraiah Y.L., Dokholyan N.V. mRNA vaccines for cancer immunotherapy. Front. Immunol. 2022;13:1029069. </w:t>
      </w:r>
    </w:p>
    <w:p w14:paraId="0BF29F9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Disis M.L.N., Guthrie K.A., Liu Y., Coveler A.L., Higgins D.M., Childs J.S., Dang Y., Salazar L.G. Safety and Outcomes of a Plasmid DNA Vaccine Encoding the ERBB2 Intracellular Domain in Patients With Advanced-Stage ERBB2-Positive Breast Cancer: A Phase 1 Nonrandomized Clinical Trial. JAMA Oncol. 2023;9:71–78. </w:t>
      </w:r>
    </w:p>
    <w:p w14:paraId="75E0380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Awad M.M., Govindan R., Balogh K.N., Spigel D.R., Garon E.B., Bushway M.E., Poran A., Sheen J.H., Kohler V., Esaulova E., et al. Personalized neoantigen vaccine NEO-PV-01 with chemotherapy and anti-PD-1 as first-line treatment for non-squamous non-small cell lung cancer. Cancer Cell. 2022;40:1010–1026.e1011. </w:t>
      </w:r>
    </w:p>
    <w:p w14:paraId="35D2EAF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Keskin D.B., Anandappa A.J., Sun J., Tirosh I., Mathewson N.D., Li S., Oliveira G., Giobbie-Hurder A., Felt K., Gjini E., et al. Neoantigen vaccine generates intratumoral T cell responses in phase Ib glioblastoma trial. Nature. 2019;565:234–239. </w:t>
      </w:r>
    </w:p>
    <w:p w14:paraId="778BFD95">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Pant S., Wainberg Z.A., Weekes C.D., Furqan M., Kasi P.M., Devoe C.E., Leal A.D., Chung V., Basturk O., VanWyk H., et al. Lymph-node-targeted, mKRAS-specific amphiphile vaccine in pancreatic and colorectal cancer: The phase 1 AMPLIFY-201 trial. Nat. Med. 2024;30:531–542. </w:t>
      </w:r>
    </w:p>
    <w:p w14:paraId="508C3BC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Rojas L.A., Sethna Z., Soares K.C., Olcese C., Pang N., Patterson E., Lihm J., Ceglia N., Guasp P., Chu A., et al. Personalized RNA neoantigen vaccines stimulate T cells in pancreatic cancer. Nature. 2023;618:144–150.</w:t>
      </w:r>
    </w:p>
    <w:p w14:paraId="2EDD5A6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Muth S.T., Saung M.T., Blair A.B., Henderson M.G., Thomas D.L., 2nd, Zheng L. CD137 agonist-based combination immunotherapy enhances activated, effector memory T cells and prolongs survival in pancreatic adenocarcinoma. Cancer Lett. 2021;499:99–108. </w:t>
      </w:r>
    </w:p>
    <w:p w14:paraId="7CE285A5">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Cafri G., Gartner J.J., Zaks T., Hopson K., Levin N., Paria B.C., Parkhurst M.R., Yossef R., Lowery F.J., Jafferji M.S., et al. mRNA vaccine-induced neoantigen-specific T cell immunity in patients with gastrointestinal cancer. J. Clin. Investig. 2020;130:5976–5988. </w:t>
      </w:r>
    </w:p>
    <w:p w14:paraId="192E15C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Sharma P., Hu-Lieskovan S., Wargo J.A., Ribas A. Primary, Adaptive, and Acquired Resistance to Cancer Immunotherapy. Cell. 2017;168:707–723. </w:t>
      </w:r>
    </w:p>
    <w:p w14:paraId="180689D4">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Postow M.A., Callahan M.K., Wolchok J.D. Immune Checkpoint Blockade in Cancer Therapy. J. Clin. Oncol. 2015;33:1974–1982. </w:t>
      </w:r>
    </w:p>
    <w:p w14:paraId="4DE23A45">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Emens L.A., Ascierto P.A., Darcy P.K., Demaria S., Eggermont A.M.M., Redmond W.L., Seliger B., Marincola F.M. Cancer immunotherapy: Opportunities and challenges in the rapidly evolving clinical landscape. Eur. J. Cancer. 2017;81:116–129. </w:t>
      </w:r>
    </w:p>
    <w:p w14:paraId="7AE2420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Fusciello M., Ylösmäki E., Cerullo V. Viral Nanoparticles: Cancer Vaccines and Immune Modulators. Adv. Exp. Med. Biol. 2021;1295:317–325. </w:t>
      </w:r>
    </w:p>
    <w:p w14:paraId="550B118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Fukuhara H., Ino Y., Todo T. Oncolytic virus therapy: A new era of cancer treatment at dawn. Cancer Sci. 2016;107:1373–1379. </w:t>
      </w:r>
    </w:p>
    <w:p w14:paraId="24AB667E">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Sasso E., D’Alise A.M., Zambrano N., Scarselli E., Folgori A., Nicosia A. New viral vectors for infectious diseases and cancer. Semin. Immunol. 2020;50:101430. </w:t>
      </w:r>
    </w:p>
    <w:p w14:paraId="5E87C770">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Wu Y.Y., Sun T.K., Chen M.S., Munir M., Liu H.J. Oncolytic viruses-modulated immunogenic cell death, apoptosis and autophagy linking to virotherapy and cancer immune response. Front. Cell Infect. Microbiol. 2023;13:1142172.</w:t>
      </w:r>
    </w:p>
    <w:p w14:paraId="19FB017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Mathlouthi S., Kuryk L., Prygiel M., Lupo M.G., Zasada A.A., Pesce C., Ferri N., Rinner B., Salmaso S., Garofalo M. Extracellular vesicles powered cancer immunotherapy: Targeted delivery of adenovirus-based cancer vaccine in humanized melanoma model. J. Control Release. 2024;376:777–793. </w:t>
      </w:r>
    </w:p>
    <w:p w14:paraId="4D73C350">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Cote G.M., Conley A.P., Attia S., Van Tine B.A., Seetharam M., Chen Y.L., Gafoor Z., Heery C., Pico-Navarro C., Adams T. A phase 2 study of a brachyury-targeting vaccine in combination with radiation therapy for the treatment of advanced chordoma. Cancer. 2024;130:3845–3854. </w:t>
      </w:r>
    </w:p>
    <w:p w14:paraId="6D18BDC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Cyrelle Ornella M.S., Kim J.J., Cho E., Cho M., Hwang T.H. Dose Considerations for Vaccinia Oncolytic Virus Based on Retrospective Reanalysis of Early and Late Clinical Trials. Vaccines. 2024;12:1010. </w:t>
      </w:r>
    </w:p>
    <w:p w14:paraId="6935AD2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Del Médico Zajac M.P., Molinari P., Gravisaco M.J., Maizon D.O., Morón G., Gherardi M.M., Calamante G. MVAΔ008 viral vector encoding the model protein OVA induces improved immune response against the heterologous antigen and equal levels of protection in a mice tumor model than the conventional MVA. Mol. Immunol. 2021;139:115–122. </w:t>
      </w:r>
    </w:p>
    <w:p w14:paraId="4B415337">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Larocca C., Schlom J. Viral vector-based therapeutic cancer vaccines. Cancer J. 2011;17:359–371. </w:t>
      </w:r>
    </w:p>
    <w:p w14:paraId="242243D7">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Lu S. Heterologous prime-boost vaccination. Curr. Opin. Immunol. 2009;21:346–351. </w:t>
      </w:r>
    </w:p>
    <w:p w14:paraId="5191674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Meseda C.A., Elkins K.L., Merchlinsky M.J., Weir J.P. Prime-boost immunization with DNA and modified vaccinia virus ankara vectors expressing herpes simplex virus-2 glycoprotein D elicits greater specific antibody and cytokine responses than DNA vaccine alone. J. Infect. Dis. 2002;186:1065–1073. </w:t>
      </w:r>
    </w:p>
    <w:p w14:paraId="5234A06E">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Park S.H., Yang S.H., Lee C.G., Youn J.W., Chang J., Sung Y.C. Efficient induction of T helper 1 CD4+ T-cell responses to hepatitis C virus core and E2 by a DNA prime-adenovirus boost. Vaccine. 2003;21:4555–4564. </w:t>
      </w:r>
    </w:p>
    <w:p w14:paraId="47FB834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Garcia-Hernandez M.D.L.L., Gray A., Hubby B., Kast W.M. In vivo Effects of Vaccination with Six-Transmembrane Epithelial Antigen of the Prostate: A Candidate Antigen for Treating Prostate Cancer. Cancer Res. 2007;67:1344–1351. </w:t>
      </w:r>
    </w:p>
    <w:p w14:paraId="16E873DE">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Kaufman H.L., Cohen S., Cheung K., Deraffele G., Mitcham J., Moroziewicz D., Schlom J., Hesdorffer C. Local Delivery of Vaccinia Virus Expressing Multiple Costimulatory Molecules for the Treatment of Established Tumors. Hum. Gene Ther. 2006;17:239–244. </w:t>
      </w:r>
    </w:p>
    <w:p w14:paraId="6EB1D82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Bezeljak U. Cancer gene therapy goes viral: Viral vector platforms come of age. Radiol. Oncol. 2022;56:1–13. </w:t>
      </w:r>
    </w:p>
    <w:p w14:paraId="37BE151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Capone S., Naddeo M., D’Alise A.M., Abbate A., Grazioli F., Del Gaudio A., Del Sorbo M., Esposito M.L., Ammendola V., Perretta G., et al. Fusion of HCV Nonstructural Antigen to MHC Class II–associated Invariant Chain Enhances T-cell Responses Induced by Vectored Vaccines in Nonhuman Primates. Mol. Ther. 2014;22:1039–1047. </w:t>
      </w:r>
    </w:p>
    <w:p w14:paraId="123C647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Bots S.T.F., Kemp V., Cramer S.J., van den Wollenberg D.J.M., Hornsveld M., Lamfers M.L.M., van der Pluijm G., Hoeben R.C. Nonhuman Primate Adenoviruses of the Human Adenovirus B Species Are Potent and Broadly Acting Oncolytic Vector Candidates. Hum. Gene Ther. 2022;33:275–289. </w:t>
      </w:r>
    </w:p>
    <w:p w14:paraId="31E79AF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Guo Z.S., Lu B., Guo Z., Giehl E., Feist M., Dai E., Liu W., Storkus W.J., He Y., Liu Z., et al. Vaccinia virus-mediated cancer immunotherapy: Cancer vaccines and oncolytics. J. Immunother. Cancer. 2019;7:6. </w:t>
      </w:r>
    </w:p>
    <w:p w14:paraId="1D30351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Zuo S., Wei M., He B., Chen A., Wang S., Kong L., Zhang Y., Meng G., Xu T., Wu J., et al. Enhanced antitumor efficacy of a novel oncolytic vaccinia virus encoding a fully monoclonal antibody against T-cell immunoglobulin and ITIM domain (TIGIT) EBioMedicine. 2021;64:103240. </w:t>
      </w:r>
    </w:p>
    <w:p w14:paraId="5D70B06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Yang X., Huang B., Deng L., Hu Z. Progress in gene therapy using oncolytic vaccinia virus as vectors. J. Cancer Res. Clin. Oncol. 2018;144:2433–2440. </w:t>
      </w:r>
    </w:p>
    <w:p w14:paraId="472B65F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Anderson R.J., Schneider J. Plasmid DNA and viral vector-based vaccines for the treatment of cancer. Vaccine. 2007;25((Suppl. S2)):B24–B34. </w:t>
      </w:r>
    </w:p>
    <w:p w14:paraId="66F35758">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Velu T., Ramlau R., Quoix E., Pawlicki M., Pless M., Lena H., Levy E., Krzakowski M., Limacher J.-M., Bizouarne N. A phase II study evaluating the clinical efficacy of TG4010 (MVA-MUC1-IL2) in association with chemotherapy in patients with non small cell lung cancer. J. Clin. Oncol. 2005;23:7132.</w:t>
      </w:r>
    </w:p>
    <w:p w14:paraId="206AC807">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Sellars M.C., Wu C.J., Fritsch E.F. Cancer vaccines: Building a bridge over troubled waters. Cell. 2022;185:2770–2788.</w:t>
      </w:r>
    </w:p>
    <w:p w14:paraId="3B886E17">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Garg P., Malhotra J., Kulkarni P., Horne D., Salgia R., Singhal S.S. Emerging Therapeutic Strategies to Overcome Drug Resistance in Cancer Cells. Cancers. 2024;16:2478.</w:t>
      </w:r>
    </w:p>
    <w:p w14:paraId="7BF42F0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Sun Q., Hong Z., Zhang C., Wang L., Han Z., Ma D. Immune checkpoint therapy for solid tumours: Clinical dilemmas and future trends. Signal Transduct. Target. Ther. 2023;8:320. </w:t>
      </w:r>
    </w:p>
    <w:p w14:paraId="61BC6AF1">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Yang L., Ning Q., Tang S.-S. Recent Advances and Next Breakthrough in Immunotherapy for Cancer Treatment. J. Immunol. Res. 2022;2022:8052212. </w:t>
      </w:r>
    </w:p>
    <w:p w14:paraId="145F8C4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Binnewies M., Roberts E.W., Kersten K., Chan V., Fearon D.F., Merad M., Coussens L.M., Gabrilovich D.I., Ostrand-Rosenberg S., Hedrick C.C., et al. Understanding the tumor immune microenvironment (TIME) for effective therapy. Nat. Med. 2018;24:541–550. </w:t>
      </w:r>
    </w:p>
    <w:p w14:paraId="3095226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Dunn G.P., Old L.J., Schreiber R.D. The immunobiology of cancer immunosurveillance and immunoediting. Immunity. 2004;21:137–148. </w:t>
      </w:r>
    </w:p>
    <w:p w14:paraId="6455ECD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Schreiber R.D., Old L.J., Smyth M.J. Cancer immunoediting: Integrating immunity’s roles in cancer suppression and promotion. Science. 2011;331:1565–1570. </w:t>
      </w:r>
    </w:p>
    <w:p w14:paraId="4F6BADA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Togashi Y., Shitara K., Nishikawa H. Regulatory T cells in cancer immunosuppression—Implications for anticancer therapy. Nat. Rev. Clin. Oncol. 2019;16:356–371. </w:t>
      </w:r>
    </w:p>
    <w:p w14:paraId="70F1A65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Sun C., Xu S. Advances in personalized neoantigen vaccines for cancer immunotherapy. Biosci. Trends. 2020;14:349–353. </w:t>
      </w:r>
    </w:p>
    <w:p w14:paraId="0186A30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Guo Z., Zhang R., Yang A.G., Zheng G. Diversity of immune checkpoints in cancer immunotherapy. Front. Immunol. 2023;14:1121285. </w:t>
      </w:r>
    </w:p>
    <w:p w14:paraId="25284A1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Zhao F., Shen D., Shang M., Yu H., Zuo X., Chen L., Huang Z., Li L., Wang L. Immunotherapy: A new target for cancer cure (Review) Oncol. Rep. 2023;49:100. </w:t>
      </w:r>
    </w:p>
    <w:p w14:paraId="15AEF6F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Blaya-Cánovas J.L., Griñán-Lisón C., Blancas I., Marchal J.A., Ramírez-Tortosa C., López-Tejada A., Benabdellah K., Cortijo-Gutiérrez M., Cano-Cortés M.V., Graván P., et al. Autologous patient-derived exhausted nano T-cells exploit tumor immune evasion to engage an effective cancer therapy. Mol. Cancer. 2024;23:83. </w:t>
      </w:r>
    </w:p>
    <w:p w14:paraId="744590A6">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Igarashi Y., Sasada T. Cancer Vaccines: Toward the Next Breakthrough in Cancer Immunotherapy. J. Immunol. Res. 2020;2020:5825401. </w:t>
      </w:r>
    </w:p>
    <w:p w14:paraId="2BCB1EDD">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Seclì L., Leoni G., Ruzza V., Siani L., Cotugno G., Scarselli E., D’Alise A.M. Personalized Cancer Vaccines Go Viral: Viral Vectors in the Era of Personalized Immunotherapy of Cancer. Int. J. Mol. Sci. 2023;24:16591. </w:t>
      </w:r>
    </w:p>
    <w:p w14:paraId="2A6BCB65">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Fan T., Zhang M., Yang J., Zhu Z., Cao W., Dong C. Therapeutic cancer vaccines: Advancements, challenges, and prospects. Signal Transduct. Target. Ther. 2023;8:450. </w:t>
      </w:r>
    </w:p>
    <w:p w14:paraId="0466A3A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Malacopol A.T., Holst P.J. Cancer Vaccines: Recent Insights and Future Directions. Int. J. Mol. Sci. 2024;25:11256. </w:t>
      </w:r>
    </w:p>
    <w:p w14:paraId="70A02B55">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Richard G., Ruggiero N., Steinberg G.D., Martin W.D., De Groot A.S. Neoadjuvant personalized cancer vaccines: The final frontier? Expert. Rev. Vaccines. 2024;23:205–212.</w:t>
      </w:r>
    </w:p>
    <w:p w14:paraId="4BAB3F88">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L., Kshirsagar P.G., Gautam S.K., Gulati M., Wafa E.I., Christiansen J.C., White B.M., Mallapragada S.K., Wannemuehler M.J., Kumar S., et al. Nanocarriers for pancreatic cancer imaging, treatments, and immunotherapies. Theranostics. 2022;12:1030–1060. </w:t>
      </w:r>
    </w:p>
    <w:p w14:paraId="03B134B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Nooraei S., Bahrulolum H., Hoseini Z.S., Katalani C., Hajizade A., Easton A.J., Ahmadian G. Virus-like particles: Preparation, immunogenicity and their roles as nanovaccines and drug nanocarriers. J. Nanobiotechnol. 2021;19:59. </w:t>
      </w:r>
    </w:p>
    <w:p w14:paraId="404081C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Fang X., Lan H., Jin K., Gong D., Qian J. Nanovaccines for Cancer Prevention and Immunotherapy: An Update Review. Cancers. 2022;14:3842. </w:t>
      </w:r>
    </w:p>
    <w:p w14:paraId="05BEE68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Mainini F., Eccles M.R. Lipid and Polymer-Based Nanoparticle siRNA Delivery Systems for Cancer Therapy. Molecules. 2020;25:2692. </w:t>
      </w:r>
    </w:p>
    <w:p w14:paraId="079F07A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Zhang Y., Jiang M., Du G., Zhong X., He C., Qin M., Hou Y., Liu R., Sun X. An antigen self-assembled and dendritic cell-targeted nanovaccine for enhanced immunity against cancer. Acta Pharm. Sin. B. 2023;13:3518–3534. </w:t>
      </w:r>
    </w:p>
    <w:p w14:paraId="7AF5BBD4">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Das A., Ali N. Nanovaccine: An emerging strategy. Expert. Rev. Vaccines. 2021;20:1273–1290. </w:t>
      </w:r>
    </w:p>
    <w:p w14:paraId="4033A14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Hou Y., Li Y., Zhang Y., Zhang J., Wu D. Current status and future directions of nanovaccine for cancer: A bibliometric analysis during 2004–2023. Front. Immunol. 2024;15:1423212. </w:t>
      </w:r>
    </w:p>
    <w:p w14:paraId="17BE5AE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Koyande N.P., Srivastava R., Padmakumar A., Rengan A.K. Advances in Nanotechnology for Cancer Immunoprevention and Immunotherapy: A Review. Vaccines. 2022;10:1727.</w:t>
      </w:r>
    </w:p>
    <w:p w14:paraId="7CB17E3E">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J., Fu M., Wang M., Wan D., Wei Y., Wei X. Cancer vaccines as promising immuno-therapeutics: Platforms and current progress. J. Hematol. Oncol. 2022;15:28. </w:t>
      </w:r>
    </w:p>
    <w:p w14:paraId="4045112D">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Hoover H.C., Jr., Surdyke M.G., Dangel R.B., Peters L.C., Hanna M.G., Jr. Prospectively randomized trial of adjuvant active-specific immunotherapy for human colorectal cancer. Cancer. 1985;55:1236–1243. </w:t>
      </w:r>
    </w:p>
    <w:p w14:paraId="34B0C08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Gardner T., Elzey B., Hahn N.M. Sipuleucel-T (Provenge) autologous vaccine approved for treatment of men with asymptomatic or minimally symptomatic castrate-resistant metastatic prostate cancer. Hum. Vaccines Immunother. 2012;8:534–539. </w:t>
      </w:r>
    </w:p>
    <w:p w14:paraId="7BD75C20">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Rai A., Deshpande S.G., Vaidya A., Shinde R.K. Advancements in Immunotherapy for Breast Cancer: Mechanisms, Efficacy, and Future Directions. Cureus. 2024;16:e68351. </w:t>
      </w:r>
    </w:p>
    <w:p w14:paraId="0FF62A58">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Ghemrawi R., Abuamer L., Kremesh S., Hussien G., Ahmed R., Mousa W., Khoder G., Khair M. Revolutionizing Cancer Treatment: Recent Advances in Immunotherapy. Biomedicines. 2024;12:2158. doi: 10.3390/biomedicines12092158. </w:t>
      </w:r>
    </w:p>
    <w:p w14:paraId="71C3290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Panuccio G., Correale P., d’Apolito M., Mutti L., Giannicola R., Pirtoli L., Giordano A., Labate D., Macheda S., Carabetta N., et al. Immuno-related cardio-vascular adverse events associated with immuno-oncological treatments: An under-estimated threat for cancer patients. Basic. Res. Cardiol. 2024;120:153–169. </w:t>
      </w:r>
    </w:p>
    <w:p w14:paraId="670A51E0">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Rüttinger D., Van Den Engel N.K., Winter H., Schlemmer M., Pohla H., Grützner S., Wagner B., Schendel D.J., Fox B.A., Jauch K.W., et al. Adjuvant therapeutic vaccination in patients with non-small cell lung cancer made lymphopenic and reconstituted with autologous PBMC: First clinical experience and evidence of an immune response. J. Transl. Med. 2007;5:43. </w:t>
      </w:r>
    </w:p>
    <w:p w14:paraId="11F3F849">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Wu H., Dong H., Ren S., Chen J., Zhang Y., Dai M., Wu Y., Zhang X. Exploration of novel clusters and prognostic value of immune-related signatures and identify HAMP as hub gene in colorectal cancer. Oncol. Lett. 2023;26:360. </w:t>
      </w:r>
    </w:p>
    <w:p w14:paraId="5788D04D">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Lichtenstern C.R., Ngu R.K., Shalapour S., Karin M. Immunotherapy, Inflammation and Colorectal Cancer. Cells. 2020;9:618. </w:t>
      </w:r>
    </w:p>
    <w:p w14:paraId="36ABF44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Morton D.L. Immune response to postsurgical adjuvant active immunotherapy with Canvaxin polyvalent cancer vaccine: Correlations with clinical course of patients with metastatic melanoma. Dev. Biol. 2004;116:209–217.</w:t>
      </w:r>
    </w:p>
    <w:p w14:paraId="7DC68374">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Tani K., Azuma M., Nakazaki Y., Oyaizu N., Hase H., Ohata J., Takahashi K., Oiwamonna M., Hanazawa K., Wakumoto Y., et al. Phase I Study of Autologous Tumor Vaccines Transduced with the GM-CSF Gene in Four Patients with Stage IV Renal Cell Cancer in Japan: Clinical and Immunological Findings. Mol. Ther. 2004;10:799–816. </w:t>
      </w:r>
    </w:p>
    <w:p w14:paraId="43AE0688">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Gu Y.-Z., Fan C.-W., Lu R., Shao B., Sang Y.-X., Huang Q.-R., Li X., Meng W.-T., Mo X.-M., Wei Y.-Q. Forced co-expression of IL-21 and IL-7 in whole-cell cancer vaccines promotes antitumor immunity. Sci. Rep. 2016;6:32351. </w:t>
      </w:r>
    </w:p>
    <w:p w14:paraId="063D5FF5">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Zhao Y., Wei K., Chi H., Xia Z., Li X. IL-7: A promising adjuvant ensuring effective T cell responses and memory in combination with cancer vaccines? Front. Immunol. 2022;13:1022808. </w:t>
      </w:r>
    </w:p>
    <w:p w14:paraId="7B96F797">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Jaffee E.M., Hruban R.H., Biedrzycki B., Laheru D., Schepers K., Sauter P.R., Goemann M., Coleman J., Grochow L., Donehower R.C., et al. Novel Allogeneic Granulocyte-Macrophage Colony-Stimulating Factor–Secreting Tumor Vaccine for Pancreatic Cancer: A Phase I Trial of Safety and Immune Activation. J. Clin. Oncol. 2001;19:145–156. </w:t>
      </w:r>
    </w:p>
    <w:p w14:paraId="69A567E5">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Hato L., Vizcay A., Eguren I., Pérez-Gracia J.L., Rodríguez J., Gállego Pérez-Larraya J., Sarobe P., Inogés S., Díaz De Cerio A.L., Santisteban M. Dendritic Cells in Cancer Immunology and Immunotherapy. Cancers. 2024;16:981. </w:t>
      </w:r>
    </w:p>
    <w:p w14:paraId="098FA8C4">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Sun C., Ma X., Zhou C., Zhang Z., Guo J. Irreversible Electroporation Combined With Dendritic Cell-based Vaccines for the Treatment of Osteosarcoma. Anticancer. Res. 2023;43:3389–3400. </w:t>
      </w:r>
    </w:p>
    <w:p w14:paraId="674A223F">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Vincent B.G., File D.M., McKinnon K.P., Moore D.T., Frelinger J.A., Collins E.J., Ibrahim J.G., Bixby L., Reisdorf S., Laurie S.J., et al. Efficacy of a Dual-Epitope Dendritic Cell Vaccine as Part of Combined Immunotherapy for HER2-Expressing Breast Tumors. J. Immunol. 2023;211:219–228. </w:t>
      </w:r>
    </w:p>
    <w:p w14:paraId="2210A9D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Yin T., Shi P., Gou S., Shen Q., Wang C. Dendritic Cells Loaded with Pancreatic Cancer Stem Cells (CSCs) Lysates Induce Antitumor Immune Killing Effect In Vitro. PLoS ONE. 2014;9:e114581. </w:t>
      </w:r>
    </w:p>
    <w:p w14:paraId="744FBC72">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Chen L., Rao W., Chen Y., Xie J. In vitro induction of anti-lung cancer immune response by the A549 lung cancer stem cell lysate-sensitized dendritic cell vaccine. Oncol. Lett. 2024;28:550. </w:t>
      </w:r>
    </w:p>
    <w:p w14:paraId="31FD557B">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Hu Y., Lu L., Xia Y., Chen X., Chang A.E., Hollingsworth R.E., Hurt E., Owen J., Moyer J.S., Prince M.E.P., et al. Therapeutic Efficacy of Cancer Stem Cell Vaccines in the Adjuvant Setting. Cancer Res. 2016;76:4661–4672. </w:t>
      </w:r>
    </w:p>
    <w:p w14:paraId="5EC51118">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Hashemi F., Razmi M., Tajik F., Zöller M., Dehghan Manshadi M., Mahdavinezhad F., Tiyuri A., Ghods R., Madjd Z. Efficacy of Whole Cancer Stem Cell-Based Vaccines: A Systematic Review of Preclinical and Clinical Studies. Stem Cells. 2023;41:207–232. </w:t>
      </w:r>
    </w:p>
    <w:p w14:paraId="492DB58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Baek B.-S., Park H., Choi J.-W., Lee E.-Y., Youn J.-I., Seong S.-Y. Dendritic cells pulsed with penetratin-OLFM4 inhibit the growth and metastasis of melanoma in mice. Biomed. Pharmacother. 2024;177:117083. </w:t>
      </w:r>
    </w:p>
    <w:p w14:paraId="79993CBA">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Alqarni A., Jasim S.A., Altalbawy F.M.A., Kaur H., Kaur I., Rodriguez-Benites C., Deorari M., Alwaily E.R., Al-Ani A.M., Redhee A.H. Challenges and opportunities for cancer stem cell-targeted immunotherapies include immune checkpoint inhibitor, cancer stem cell-dendritic cell vaccine, chimeric antigen receptor immune cells, and modified exosomes. J. Biochem. Mol. Toxicol. 2024;38:e23719. </w:t>
      </w:r>
    </w:p>
    <w:p w14:paraId="06BB991F">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Hill C.S., Parkinson R., Jaffee E.M., Sugar E., Zheng L., Onners B., Weiss M.J., Wolfgang C.L., Cameron J.L., Pawlik T.M., et al. Phase I Study of Adjuvant Allogeneic GM-CSF-Transduced Pancreatic Tumor Cell Vaccine, Low Dose Cyclophosphamide, and SBRT followed by FFX in High-Risk Resected Pancreatic Ductal Adenocarcinoma. Int. J. Radiat. Oncol. Biol. Phys. 2024 </w:t>
      </w:r>
    </w:p>
    <w:p w14:paraId="65EDDCF4">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Jacobsen E., Plant A., Redd R., Armand P., McDonough M., Ihuoma U., Fisher D.C., Lacasce A., Ritz J., Dranoff G., et al. A phase I trial of vaccination with lethally irradiated lymphoma cells admixed with granulocyte-macrophage colony-stimulating factor secreting K562 cells for the treatment of follicular lymphoma. Leuk. Lymphoma. 2024;65:1864–1874. </w:t>
      </w:r>
    </w:p>
    <w:p w14:paraId="71425A4C">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Nemunaitis J. GVAX (GMCSF gene modified tumor vaccine) in advanced stage non small cell lung cancer. J. Control. Release. 2003;91:225–231. </w:t>
      </w:r>
    </w:p>
    <w:p w14:paraId="198F17C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Nemunaitis J., Jahan T., Ross H., Sterman D., Richards D., Fox B., Jablons D., Aimi J., Lin A., Hege K. Phase 1/2 trial of autologous tumor mixed with an allogeneic GVAX® vaccine in advanced-stage non-small-cell lung cancer. Cancer Gene Ther. 2006;13:555–562. </w:t>
      </w:r>
    </w:p>
    <w:p w14:paraId="218F5AF3">
      <w:pPr>
        <w:pStyle w:val="64"/>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Lutz E., Yeo C.J., Lillemoe K.D., Biedrzycki B., Kobrin B., Herman J., Sugar E., Piantadosi S., Cameron J.L., Solt S., et al. A lethally irradiated allogeneic granulocyte-macrophage colony stimulating factor-secreting tumor vaccine for pancreatic adenocarcinoma. A Phase II trial of safety, efficacy, and immune activation. Ann. Surg. 2011;253:328–335. </w:t>
      </w:r>
    </w:p>
    <w:p w14:paraId="5AD2636A">
      <w:pPr>
        <w:pStyle w:val="41"/>
        <w:spacing w:after="0"/>
        <w:jc w:val="both"/>
        <w:rPr>
          <w:rFonts w:ascii="Arial" w:hAnsi="Arial" w:cs="Arial"/>
          <w:b w:val="0"/>
        </w:rPr>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pPr>
    </w:p>
    <w:p w14:paraId="543CCC86">
      <w:pPr>
        <w:pStyle w:val="41"/>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eviewer" w:date="2026-03-01T21:12:57Z" w:initials="R">
    <w:p w14:paraId="5700EC9A">
      <w:pPr>
        <w:rPr>
          <w:rFonts w:hint="default"/>
          <w:sz w:val="24"/>
          <w:szCs w:val="24"/>
        </w:rPr>
      </w:pPr>
      <w:r>
        <w:rPr>
          <w:rFonts w:hint="default"/>
          <w:sz w:val="24"/>
          <w:szCs w:val="24"/>
        </w:rPr>
        <w:t>A number of paragraphs are too long and they have lack of grammatical consistency. It is advisable to edit language carefully in order to enhance the legibility and flow.</w:t>
      </w:r>
    </w:p>
    <w:p w14:paraId="0521F5DD">
      <w:pPr>
        <w:rPr>
          <w:rFonts w:hint="default"/>
          <w:sz w:val="24"/>
          <w:szCs w:val="24"/>
        </w:rPr>
      </w:pPr>
    </w:p>
    <w:p w14:paraId="28080555">
      <w:pPr>
        <w:rPr>
          <w:rFonts w:hint="default"/>
          <w:sz w:val="24"/>
          <w:szCs w:val="24"/>
        </w:rPr>
      </w:pPr>
      <w:r>
        <w:rPr>
          <w:rFonts w:hint="default"/>
          <w:sz w:val="24"/>
          <w:szCs w:val="24"/>
        </w:rPr>
        <w:t>Diagrams or schematic figures of the overall interaction between nanocarriers and immune system would be preferred to be more clear and interesting to the reader.</w:t>
      </w:r>
    </w:p>
    <w:p w14:paraId="13AA5C5B">
      <w:pPr>
        <w:pStyle w:val="9"/>
      </w:pPr>
    </w:p>
  </w:comment>
  <w:comment w:id="1" w:author="Reviewer" w:date="2026-03-01T20:55:13Z" w:initials="R">
    <w:p w14:paraId="05BAE398">
      <w:pPr>
        <w:rPr>
          <w:rFonts w:hint="default"/>
          <w:sz w:val="24"/>
          <w:szCs w:val="24"/>
        </w:rPr>
      </w:pPr>
      <w:r>
        <w:rPr>
          <w:rFonts w:hint="default"/>
          <w:sz w:val="24"/>
          <w:szCs w:val="24"/>
        </w:rPr>
        <w:t>The title is too long and rather repetitive. It needs to be revised so as to be more concise, specific and scientific.</w:t>
      </w:r>
    </w:p>
    <w:p w14:paraId="4F76FD62">
      <w:pPr>
        <w:pStyle w:val="9"/>
      </w:pPr>
    </w:p>
  </w:comment>
  <w:comment w:id="2" w:author="Reviewer" w:date="2026-03-01T20:55:48Z" w:initials="R">
    <w:p w14:paraId="4E60F6C5">
      <w:pPr>
        <w:rPr>
          <w:rFonts w:hint="default"/>
          <w:sz w:val="24"/>
          <w:szCs w:val="24"/>
        </w:rPr>
      </w:pPr>
      <w:bookmarkStart w:id="0" w:name="_GoBack"/>
      <w:r>
        <w:rPr>
          <w:rFonts w:hint="default"/>
          <w:sz w:val="24"/>
          <w:szCs w:val="24"/>
        </w:rPr>
        <w:t>The abstract presents the general overview but is not very clinical in its perspective. It must include in brief, clinically approved nanomedicines</w:t>
      </w:r>
      <w:r>
        <w:rPr>
          <w:rFonts w:hint="default"/>
          <w:sz w:val="24"/>
          <w:szCs w:val="24"/>
          <w:lang w:val="en-US"/>
        </w:rPr>
        <w:t xml:space="preserve"> </w:t>
      </w:r>
      <w:r>
        <w:rPr>
          <w:rFonts w:hint="default"/>
          <w:sz w:val="24"/>
          <w:szCs w:val="24"/>
        </w:rPr>
        <w:t>to bring some translation relevance. Also, weaknesses and constraints are to be briefly recognized.</w:t>
      </w:r>
    </w:p>
    <w:p w14:paraId="2153AD20">
      <w:pPr>
        <w:pStyle w:val="9"/>
      </w:pPr>
    </w:p>
    <w:bookmarkEnd w:id="0"/>
  </w:comment>
  <w:comment w:id="3" w:author="Reviewer" w:date="2026-03-01T20:58:11Z" w:initials="R">
    <w:p w14:paraId="4A60FAFE">
      <w:pPr>
        <w:pStyle w:val="9"/>
        <w:rPr>
          <w:rFonts w:hint="default"/>
          <w:lang w:val="en-US"/>
        </w:rPr>
      </w:pPr>
      <w:r>
        <w:rPr>
          <w:rFonts w:hint="default"/>
          <w:lang w:val="en-US"/>
        </w:rPr>
        <w:t>The keywords must not be the same words as in the title; it must have other keywords which are related to make it easy to index and search it.</w:t>
      </w:r>
    </w:p>
    <w:p w14:paraId="6B8F473C">
      <w:pPr>
        <w:pStyle w:val="9"/>
      </w:pPr>
    </w:p>
  </w:comment>
  <w:comment w:id="4" w:author="Reviewer" w:date="2026-03-01T21:03:56Z" w:initials="R">
    <w:p w14:paraId="28A5572E">
      <w:pPr>
        <w:rPr>
          <w:rFonts w:hint="default"/>
          <w:sz w:val="24"/>
          <w:szCs w:val="24"/>
        </w:rPr>
      </w:pPr>
      <w:r>
        <w:rPr>
          <w:rFonts w:hint="default"/>
          <w:sz w:val="24"/>
          <w:szCs w:val="24"/>
        </w:rPr>
        <w:t>The introduction is a good introduction to the topic though it is rather descriptive. It also could use a better explanation of the knowledge gap as well as a clearer purpose statement of how this review is different than other previous publications.</w:t>
      </w:r>
    </w:p>
    <w:p w14:paraId="40E93B86">
      <w:pPr>
        <w:pStyle w:val="9"/>
      </w:pPr>
    </w:p>
  </w:comment>
  <w:comment w:id="5" w:author="Reviewer" w:date="2026-03-01T21:05:04Z" w:initials="R">
    <w:p w14:paraId="3D0EE25F">
      <w:pPr>
        <w:rPr>
          <w:rFonts w:hint="default"/>
          <w:sz w:val="24"/>
          <w:szCs w:val="24"/>
        </w:rPr>
      </w:pPr>
      <w:r>
        <w:rPr>
          <w:rFonts w:hint="default"/>
          <w:sz w:val="24"/>
          <w:szCs w:val="24"/>
          <w:lang w:val="en-US"/>
        </w:rPr>
        <w:t>Author</w:t>
      </w:r>
      <w:r>
        <w:rPr>
          <w:rFonts w:hint="default"/>
          <w:sz w:val="24"/>
          <w:szCs w:val="24"/>
        </w:rPr>
        <w:t xml:space="preserve"> gives too much emphasis to the improved permeability and retention (EPR) effect without adequately covering its variability and small predictability in human tumors. Its translational weaknesses need to be critically assessed.</w:t>
      </w:r>
    </w:p>
    <w:p w14:paraId="53F094D5">
      <w:pPr>
        <w:pStyle w:val="9"/>
      </w:pPr>
    </w:p>
  </w:comment>
  <w:comment w:id="6" w:author="Reviewer" w:date="2026-03-01T21:08:25Z" w:initials="R">
    <w:p w14:paraId="337E6CE1">
      <w:pPr>
        <w:pStyle w:val="9"/>
        <w:rPr>
          <w:rFonts w:hint="default" w:asciiTheme="minorAscii" w:hAnsiTheme="minorAscii"/>
        </w:rPr>
      </w:pPr>
      <w:r>
        <w:rPr>
          <w:rFonts w:hint="default" w:eastAsia="SimSun" w:cs="SimSun" w:asciiTheme="minorAscii" w:hAnsiTheme="minorAscii"/>
          <w:sz w:val="24"/>
          <w:szCs w:val="24"/>
        </w:rPr>
        <w:t>The toxicity and long-term biocompatibility of metallic and synthetic nanoparticles are not sufficiently discussed. Safety considerations and potential immunogenicity should be addressed more critically.</w:t>
      </w:r>
    </w:p>
  </w:comment>
  <w:comment w:id="7" w:author="Reviewer" w:date="2026-03-01T21:09:39Z" w:initials="R">
    <w:p w14:paraId="4DA9E33D">
      <w:r>
        <w:rPr>
          <w:rFonts w:hint="default"/>
          <w:sz w:val="24"/>
          <w:szCs w:val="24"/>
        </w:rPr>
        <w:t>Immunotherapy and vaccine sections are also detailed but are mostly story-based. There should be a clear differentiation of preclinical promise and clinical success by the authors and discussion on the failed or inconclusive Phase III trials should be made to offer a balance.</w:t>
      </w:r>
    </w:p>
  </w:comment>
  <w:comment w:id="8" w:author="Reviewer" w:date="2026-03-01T21:10:49Z" w:initials="R">
    <w:p w14:paraId="7607AC04">
      <w:pPr>
        <w:rPr>
          <w:rFonts w:hint="default"/>
          <w:sz w:val="24"/>
          <w:szCs w:val="24"/>
        </w:rPr>
      </w:pPr>
      <w:r>
        <w:rPr>
          <w:rFonts w:hint="default"/>
          <w:sz w:val="24"/>
          <w:szCs w:val="24"/>
        </w:rPr>
        <w:t>There are some repetitive explanations in some sections especially those touching on dendritic cell vaccines and GM-CSF. These points need to be summarized to enhance clarity and eliminate redundancy.</w:t>
      </w:r>
    </w:p>
    <w:p w14:paraId="2E047026">
      <w:pPr>
        <w:pStyle w:val="9"/>
      </w:pPr>
    </w:p>
  </w:comment>
  <w:comment w:id="9" w:author="Reviewer" w:date="2026-03-01T21:13:40Z" w:initials="R">
    <w:p w14:paraId="07B8ED89">
      <w:pPr>
        <w:rPr>
          <w:rFonts w:hint="default"/>
          <w:sz w:val="24"/>
          <w:szCs w:val="24"/>
        </w:rPr>
      </w:pPr>
      <w:r>
        <w:rPr>
          <w:rFonts w:hint="default"/>
          <w:sz w:val="24"/>
          <w:szCs w:val="24"/>
        </w:rPr>
        <w:t>The conclusion is rather overall and positive. It must better integrate the major findings, admit unresolved issues and offer plausible new directions.</w:t>
      </w:r>
    </w:p>
    <w:p w14:paraId="709B71CA">
      <w:pPr>
        <w:pStyle w:val="9"/>
      </w:pPr>
    </w:p>
  </w:comment>
  <w:comment w:id="10" w:author="Reviewer" w:date="2026-03-01T21:11:48Z" w:initials="R">
    <w:p w14:paraId="1FEBE772">
      <w:pPr>
        <w:rPr>
          <w:rFonts w:hint="default"/>
          <w:sz w:val="24"/>
          <w:szCs w:val="24"/>
        </w:rPr>
      </w:pPr>
      <w:r>
        <w:rPr>
          <w:rFonts w:hint="default"/>
          <w:sz w:val="24"/>
          <w:szCs w:val="24"/>
        </w:rPr>
        <w:t>The list of references needs to be revised to include recent literature (2022</w:t>
      </w:r>
      <w:r>
        <w:rPr>
          <w:rFonts w:hint="default"/>
          <w:sz w:val="24"/>
          <w:szCs w:val="24"/>
          <w:lang w:val="en-US"/>
        </w:rPr>
        <w:t>-</w:t>
      </w:r>
      <w:r>
        <w:rPr>
          <w:rFonts w:hint="default"/>
          <w:sz w:val="24"/>
          <w:szCs w:val="24"/>
        </w:rPr>
        <w:t>2025), especially about mRNA cancer vaccines, personalized neoantigen platforms, and phase trial studies.</w:t>
      </w:r>
    </w:p>
    <w:p w14:paraId="5787EA97">
      <w:pPr>
        <w:pStyle w:val="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AA5C5B" w15:done="0"/>
  <w15:commentEx w15:paraId="4F76FD62" w15:done="0"/>
  <w15:commentEx w15:paraId="2153AD20" w15:done="0"/>
  <w15:commentEx w15:paraId="6B8F473C" w15:done="0"/>
  <w15:commentEx w15:paraId="40E93B86" w15:done="0"/>
  <w15:commentEx w15:paraId="53F094D5" w15:done="0"/>
  <w15:commentEx w15:paraId="337E6CE1" w15:done="0"/>
  <w15:commentEx w15:paraId="4DA9E33D" w15:done="0"/>
  <w15:commentEx w15:paraId="2E047026" w15:done="0"/>
  <w15:commentEx w15:paraId="709B71CA" w15:done="0"/>
  <w15:commentEx w15:paraId="5787EA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Gautam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F34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A17E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99E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9E4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E09DB">
    <w:pPr>
      <w:pStyle w:val="13"/>
    </w:pPr>
    <w:r>
      <w:pict>
        <v:shape id="PowerPlusWaterMarkObject209159877"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C01E">
    <w:pPr>
      <w:pStyle w:val="13"/>
    </w:pPr>
    <w:r>
      <w:pict>
        <v:shape id="PowerPlusWaterMarkObject209159876"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F38C">
    <w:pPr>
      <w:ind w:left="2160"/>
      <w:jc w:val="center"/>
      <w:rPr>
        <w:rFonts w:ascii="Times New Roman" w:hAnsi="Times New Roman" w:eastAsia="Calibri"/>
        <w:i/>
        <w:sz w:val="18"/>
        <w:szCs w:val="22"/>
      </w:rPr>
    </w:pPr>
    <w:r>
      <w:pict>
        <v:shape id="PowerPlusWaterMarkObject209159875"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56151ED8">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034D2E46">
    <w:pPr>
      <w:jc w:val="center"/>
      <w:rPr>
        <w:rFonts w:ascii="Times New Roman" w:hAnsi="Times New Roman" w:eastAsia="Calibri"/>
        <w:i/>
        <w:sz w:val="18"/>
        <w:szCs w:val="22"/>
      </w:rPr>
    </w:pPr>
    <w:r>
      <w:rPr>
        <w:rFonts w:ascii="Times New Roman" w:hAnsi="Times New Roman" w:eastAsia="Calibri"/>
        <w:i/>
        <w:sz w:val="18"/>
        <w:szCs w:val="22"/>
      </w:rPr>
      <w:t>.</w:t>
    </w:r>
  </w:p>
  <w:p w14:paraId="42F4D2D3">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4548C69D">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13F85D57">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A218016">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A427">
    <w:pPr>
      <w:pStyle w:val="13"/>
    </w:pPr>
    <w:r>
      <w:pict>
        <v:shape id="PowerPlusWaterMarkObject209159880" o:spid="_x0000_s2054"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5FCD">
    <w:pPr>
      <w:pStyle w:val="13"/>
    </w:pPr>
    <w:r>
      <w:pict>
        <v:shape id="PowerPlusWaterMarkObject209159879" o:spid="_x0000_s2053"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39C9">
    <w:pPr>
      <w:pStyle w:val="13"/>
    </w:pPr>
    <w:r>
      <w:pict>
        <v:shape id="PowerPlusWaterMarkObject209159878" o:spid="_x0000_s2052"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D2786"/>
    <w:multiLevelType w:val="multilevel"/>
    <w:tmpl w:val="4CBD2786"/>
    <w:lvl w:ilvl="0" w:tentative="0">
      <w:start w:val="1"/>
      <w:numFmt w:val="decimal"/>
      <w:lvlText w:val="%1."/>
      <w:lvlJc w:val="left"/>
      <w:pPr>
        <w:ind w:left="360" w:hanging="360"/>
      </w:pPr>
      <w:rPr>
        <w:rFonts w:hint="default"/>
        <w:b/>
        <w:bCs/>
      </w:rPr>
    </w:lvl>
    <w:lvl w:ilvl="1" w:tentative="0">
      <w:start w:val="5"/>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
    <w:nsid w:val="54076192"/>
    <w:multiLevelType w:val="multilevel"/>
    <w:tmpl w:val="5407619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6A494060"/>
    <w:multiLevelType w:val="multilevel"/>
    <w:tmpl w:val="6A49406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1CFC"/>
    <w:rsid w:val="00030174"/>
    <w:rsid w:val="0004579C"/>
    <w:rsid w:val="000A11AC"/>
    <w:rsid w:val="000A47FA"/>
    <w:rsid w:val="000A5E72"/>
    <w:rsid w:val="000A65D3"/>
    <w:rsid w:val="000B1E33"/>
    <w:rsid w:val="000B50B7"/>
    <w:rsid w:val="000D689F"/>
    <w:rsid w:val="000E1D6B"/>
    <w:rsid w:val="000E7B7B"/>
    <w:rsid w:val="000E7D62"/>
    <w:rsid w:val="00103357"/>
    <w:rsid w:val="001137DF"/>
    <w:rsid w:val="00123C9F"/>
    <w:rsid w:val="00126190"/>
    <w:rsid w:val="00130F17"/>
    <w:rsid w:val="001320BF"/>
    <w:rsid w:val="00163BC4"/>
    <w:rsid w:val="00191062"/>
    <w:rsid w:val="00192B72"/>
    <w:rsid w:val="00195CE1"/>
    <w:rsid w:val="001A233A"/>
    <w:rsid w:val="001A29D8"/>
    <w:rsid w:val="001A5CAA"/>
    <w:rsid w:val="001B0427"/>
    <w:rsid w:val="001C76F8"/>
    <w:rsid w:val="001D3A51"/>
    <w:rsid w:val="001E10D2"/>
    <w:rsid w:val="001E25B4"/>
    <w:rsid w:val="001E44FE"/>
    <w:rsid w:val="001F4BD7"/>
    <w:rsid w:val="00200595"/>
    <w:rsid w:val="00203C6A"/>
    <w:rsid w:val="00204835"/>
    <w:rsid w:val="00225356"/>
    <w:rsid w:val="00231920"/>
    <w:rsid w:val="0023195C"/>
    <w:rsid w:val="0024282C"/>
    <w:rsid w:val="002460DC"/>
    <w:rsid w:val="00250985"/>
    <w:rsid w:val="002556F6"/>
    <w:rsid w:val="00283105"/>
    <w:rsid w:val="00284C4C"/>
    <w:rsid w:val="00287E68"/>
    <w:rsid w:val="00296529"/>
    <w:rsid w:val="002B27FB"/>
    <w:rsid w:val="002B685A"/>
    <w:rsid w:val="002C57D2"/>
    <w:rsid w:val="002D476E"/>
    <w:rsid w:val="002E0D56"/>
    <w:rsid w:val="00307DB3"/>
    <w:rsid w:val="00315186"/>
    <w:rsid w:val="003303A3"/>
    <w:rsid w:val="0033343E"/>
    <w:rsid w:val="003512C2"/>
    <w:rsid w:val="00371FB6"/>
    <w:rsid w:val="003763C1"/>
    <w:rsid w:val="00376BBE"/>
    <w:rsid w:val="0039224F"/>
    <w:rsid w:val="00393706"/>
    <w:rsid w:val="003A43A4"/>
    <w:rsid w:val="003A7E18"/>
    <w:rsid w:val="003C2A1B"/>
    <w:rsid w:val="003C4C86"/>
    <w:rsid w:val="003C6258"/>
    <w:rsid w:val="003E1730"/>
    <w:rsid w:val="003E2904"/>
    <w:rsid w:val="00401927"/>
    <w:rsid w:val="00402E02"/>
    <w:rsid w:val="0041027F"/>
    <w:rsid w:val="00412475"/>
    <w:rsid w:val="00423789"/>
    <w:rsid w:val="004245CA"/>
    <w:rsid w:val="00434604"/>
    <w:rsid w:val="00436078"/>
    <w:rsid w:val="00440F43"/>
    <w:rsid w:val="00441B6F"/>
    <w:rsid w:val="004434DD"/>
    <w:rsid w:val="00446221"/>
    <w:rsid w:val="00450E62"/>
    <w:rsid w:val="004539DB"/>
    <w:rsid w:val="00470BF9"/>
    <w:rsid w:val="00471A80"/>
    <w:rsid w:val="00476BAE"/>
    <w:rsid w:val="004D305E"/>
    <w:rsid w:val="004D4277"/>
    <w:rsid w:val="004E298C"/>
    <w:rsid w:val="004F28F1"/>
    <w:rsid w:val="00502516"/>
    <w:rsid w:val="00505F06"/>
    <w:rsid w:val="00506828"/>
    <w:rsid w:val="0053056E"/>
    <w:rsid w:val="00554FDA"/>
    <w:rsid w:val="005A47B6"/>
    <w:rsid w:val="005C784C"/>
    <w:rsid w:val="005D17F6"/>
    <w:rsid w:val="005E324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1D1"/>
    <w:rsid w:val="006F11EC"/>
    <w:rsid w:val="006F3A7D"/>
    <w:rsid w:val="006F3B08"/>
    <w:rsid w:val="0070082C"/>
    <w:rsid w:val="007065CE"/>
    <w:rsid w:val="007165D0"/>
    <w:rsid w:val="007233F9"/>
    <w:rsid w:val="007369E6"/>
    <w:rsid w:val="00746E59"/>
    <w:rsid w:val="00754C9A"/>
    <w:rsid w:val="0075599A"/>
    <w:rsid w:val="00761D52"/>
    <w:rsid w:val="0077749E"/>
    <w:rsid w:val="00783084"/>
    <w:rsid w:val="00790ADA"/>
    <w:rsid w:val="00794E0E"/>
    <w:rsid w:val="007D2288"/>
    <w:rsid w:val="007E088F"/>
    <w:rsid w:val="007F1E17"/>
    <w:rsid w:val="007F69C4"/>
    <w:rsid w:val="007F7B32"/>
    <w:rsid w:val="00804BC2"/>
    <w:rsid w:val="0081431A"/>
    <w:rsid w:val="0083216F"/>
    <w:rsid w:val="00860000"/>
    <w:rsid w:val="00863BD3"/>
    <w:rsid w:val="008641ED"/>
    <w:rsid w:val="00866D66"/>
    <w:rsid w:val="008671C6"/>
    <w:rsid w:val="00875803"/>
    <w:rsid w:val="00894B95"/>
    <w:rsid w:val="008B459E"/>
    <w:rsid w:val="008E13AE"/>
    <w:rsid w:val="008E1506"/>
    <w:rsid w:val="008E710C"/>
    <w:rsid w:val="008F69D6"/>
    <w:rsid w:val="00902823"/>
    <w:rsid w:val="00915CA6"/>
    <w:rsid w:val="00927834"/>
    <w:rsid w:val="009305F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0865"/>
    <w:rsid w:val="00A24E7E"/>
    <w:rsid w:val="00A258C3"/>
    <w:rsid w:val="00A347C0"/>
    <w:rsid w:val="00A51431"/>
    <w:rsid w:val="00A539AD"/>
    <w:rsid w:val="00A94063"/>
    <w:rsid w:val="00AA6219"/>
    <w:rsid w:val="00AA74E0"/>
    <w:rsid w:val="00AB51DA"/>
    <w:rsid w:val="00AB703F"/>
    <w:rsid w:val="00AC6BB8"/>
    <w:rsid w:val="00AD210B"/>
    <w:rsid w:val="00AE008F"/>
    <w:rsid w:val="00AF20C5"/>
    <w:rsid w:val="00B01FCD"/>
    <w:rsid w:val="00B1776C"/>
    <w:rsid w:val="00B52583"/>
    <w:rsid w:val="00B52896"/>
    <w:rsid w:val="00B92E1F"/>
    <w:rsid w:val="00B95236"/>
    <w:rsid w:val="00B96BD9"/>
    <w:rsid w:val="00BA1B01"/>
    <w:rsid w:val="00BA2641"/>
    <w:rsid w:val="00BA5C08"/>
    <w:rsid w:val="00BB37AA"/>
    <w:rsid w:val="00BC53A0"/>
    <w:rsid w:val="00BE62AD"/>
    <w:rsid w:val="00BE6403"/>
    <w:rsid w:val="00BF121F"/>
    <w:rsid w:val="00BF1F80"/>
    <w:rsid w:val="00C166EF"/>
    <w:rsid w:val="00C174BE"/>
    <w:rsid w:val="00C17EB0"/>
    <w:rsid w:val="00C27F5F"/>
    <w:rsid w:val="00C30A0F"/>
    <w:rsid w:val="00C37E61"/>
    <w:rsid w:val="00C5112D"/>
    <w:rsid w:val="00C70F1B"/>
    <w:rsid w:val="00C71A47"/>
    <w:rsid w:val="00C7464C"/>
    <w:rsid w:val="00C85588"/>
    <w:rsid w:val="00C86016"/>
    <w:rsid w:val="00CD6755"/>
    <w:rsid w:val="00CD6856"/>
    <w:rsid w:val="00CE0089"/>
    <w:rsid w:val="00CE793C"/>
    <w:rsid w:val="00CF193C"/>
    <w:rsid w:val="00CF4E59"/>
    <w:rsid w:val="00D173F1"/>
    <w:rsid w:val="00D362F5"/>
    <w:rsid w:val="00D41361"/>
    <w:rsid w:val="00D74CB0"/>
    <w:rsid w:val="00D8295D"/>
    <w:rsid w:val="00DC2A65"/>
    <w:rsid w:val="00DE15F0"/>
    <w:rsid w:val="00DE5663"/>
    <w:rsid w:val="00DE78AA"/>
    <w:rsid w:val="00DF3A76"/>
    <w:rsid w:val="00DF5949"/>
    <w:rsid w:val="00E053D0"/>
    <w:rsid w:val="00E15994"/>
    <w:rsid w:val="00E3114E"/>
    <w:rsid w:val="00E31A70"/>
    <w:rsid w:val="00E35B02"/>
    <w:rsid w:val="00E66496"/>
    <w:rsid w:val="00E66B35"/>
    <w:rsid w:val="00E66E10"/>
    <w:rsid w:val="00E71D01"/>
    <w:rsid w:val="00E769F6"/>
    <w:rsid w:val="00E82C27"/>
    <w:rsid w:val="00E8407C"/>
    <w:rsid w:val="00E84F3C"/>
    <w:rsid w:val="00E85534"/>
    <w:rsid w:val="00EA012C"/>
    <w:rsid w:val="00EC547B"/>
    <w:rsid w:val="00EC6A55"/>
    <w:rsid w:val="00ED0288"/>
    <w:rsid w:val="00EE52CB"/>
    <w:rsid w:val="00EF581D"/>
    <w:rsid w:val="00EF7FD8"/>
    <w:rsid w:val="00F06F59"/>
    <w:rsid w:val="00F17988"/>
    <w:rsid w:val="00F469F0"/>
    <w:rsid w:val="00F53273"/>
    <w:rsid w:val="00F543A4"/>
    <w:rsid w:val="00F608F1"/>
    <w:rsid w:val="00F755E4"/>
    <w:rsid w:val="00F77D02"/>
    <w:rsid w:val="00FA6380"/>
    <w:rsid w:val="00FB3A86"/>
    <w:rsid w:val="00FD36C8"/>
    <w:rsid w:val="027250AC"/>
    <w:rsid w:val="09035DAC"/>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1"/>
    <w:uiPriority w:val="0"/>
    <w:rPr>
      <w:rFonts w:ascii="Tahoma" w:hAnsi="Tahoma" w:cs="Tahoma"/>
      <w:sz w:val="16"/>
      <w:szCs w:val="16"/>
    </w:rPr>
  </w:style>
  <w:style w:type="paragraph" w:styleId="6">
    <w:name w:val="Body Text 2"/>
    <w:basedOn w:val="1"/>
    <w:link w:val="59"/>
    <w:uiPriority w:val="0"/>
    <w:pPr>
      <w:spacing w:after="120" w:line="480" w:lineRule="auto"/>
    </w:pPr>
  </w:style>
  <w:style w:type="paragraph" w:styleId="7">
    <w:name w:val="Body Text 3"/>
    <w:basedOn w:val="1"/>
    <w:link w:val="62"/>
    <w:uiPriority w:val="0"/>
    <w:pPr>
      <w:spacing w:after="120"/>
    </w:pPr>
    <w:rPr>
      <w:sz w:val="16"/>
      <w:szCs w:val="16"/>
    </w:rPr>
  </w:style>
  <w:style w:type="character" w:styleId="8">
    <w:name w:val="annotation reference"/>
    <w:basedOn w:val="3"/>
    <w:unhideWhenUsed/>
    <w:uiPriority w:val="99"/>
    <w:rPr>
      <w:sz w:val="16"/>
      <w:szCs w:val="16"/>
    </w:rPr>
  </w:style>
  <w:style w:type="paragraph" w:styleId="9">
    <w:name w:val="annotation text"/>
    <w:basedOn w:val="1"/>
    <w:link w:val="60"/>
    <w:unhideWhenUsed/>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uiPriority w:val="0"/>
    <w:rPr>
      <w:color w:val="800080"/>
      <w:u w:val="single"/>
    </w:rPr>
  </w:style>
  <w:style w:type="paragraph" w:styleId="12">
    <w:name w:val="footer"/>
    <w:basedOn w:val="1"/>
    <w:uiPriority w:val="0"/>
    <w:pPr>
      <w:tabs>
        <w:tab w:val="center" w:pos="4320"/>
        <w:tab w:val="right" w:pos="8640"/>
      </w:tabs>
    </w:pPr>
  </w:style>
  <w:style w:type="paragraph" w:styleId="13">
    <w:name w:val="header"/>
    <w:basedOn w:val="1"/>
    <w:uiPriority w:val="0"/>
    <w:pPr>
      <w:tabs>
        <w:tab w:val="center" w:pos="4320"/>
        <w:tab w:val="right" w:pos="8640"/>
      </w:tabs>
    </w:pPr>
  </w:style>
  <w:style w:type="character" w:styleId="14">
    <w:name w:val="Hyperlink"/>
    <w:basedOn w:val="3"/>
    <w:uiPriority w:val="0"/>
    <w:rPr>
      <w:color w:val="FF0080"/>
      <w:u w:val="single"/>
    </w:rPr>
  </w:style>
  <w:style w:type="character" w:styleId="15">
    <w:name w:val="line number"/>
    <w:basedOn w:val="3"/>
    <w:uiPriority w:val="0"/>
  </w:style>
  <w:style w:type="paragraph" w:styleId="16">
    <w:name w:val="Normal (Web)"/>
    <w:basedOn w:val="1"/>
    <w:semiHidden/>
    <w:unhideWhenUsed/>
    <w:uiPriority w:val="0"/>
    <w:rPr>
      <w:rFonts w:ascii="Times New Roman" w:hAnsi="Times New Roman"/>
      <w:sz w:val="24"/>
      <w:szCs w:val="24"/>
    </w:rPr>
  </w:style>
  <w:style w:type="paragraph" w:styleId="17">
    <w:name w:val="Signature"/>
    <w:basedOn w:val="1"/>
    <w:uiPriority w:val="0"/>
    <w:pPr>
      <w:ind w:left="4320"/>
    </w:pPr>
  </w:style>
  <w:style w:type="table" w:styleId="18">
    <w:name w:val="Table Grid"/>
    <w:basedOn w:val="4"/>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uiPriority w:val="0"/>
    <w:pPr>
      <w:spacing w:line="280" w:lineRule="exact"/>
      <w:jc w:val="right"/>
    </w:pPr>
    <w:rPr>
      <w:b/>
      <w:sz w:val="24"/>
    </w:rPr>
  </w:style>
  <w:style w:type="paragraph" w:customStyle="1" w:styleId="21">
    <w:name w:val="Affiliation"/>
    <w:basedOn w:val="1"/>
    <w:uiPriority w:val="0"/>
    <w:pPr>
      <w:spacing w:after="240" w:line="240" w:lineRule="exact"/>
      <w:jc w:val="right"/>
    </w:pPr>
  </w:style>
  <w:style w:type="paragraph" w:customStyle="1" w:styleId="22">
    <w:name w:val="Body"/>
    <w:basedOn w:val="1"/>
    <w:uiPriority w:val="0"/>
    <w:pPr>
      <w:spacing w:after="240"/>
      <w:jc w:val="both"/>
    </w:pPr>
  </w:style>
  <w:style w:type="paragraph" w:customStyle="1" w:styleId="23">
    <w:name w:val="Abst Head"/>
    <w:basedOn w:val="24"/>
    <w:uiPriority w:val="0"/>
    <w:rPr>
      <w:sz w:val="22"/>
    </w:rPr>
  </w:style>
  <w:style w:type="paragraph" w:customStyle="1" w:styleId="24">
    <w:name w:val="Main Head"/>
    <w:basedOn w:val="1"/>
    <w:uiPriority w:val="0"/>
    <w:pPr>
      <w:keepNext/>
      <w:spacing w:after="240"/>
    </w:pPr>
    <w:rPr>
      <w:b/>
      <w:caps/>
    </w:rPr>
  </w:style>
  <w:style w:type="paragraph" w:customStyle="1" w:styleId="25">
    <w:name w:val="Intro Head"/>
    <w:basedOn w:val="24"/>
    <w:uiPriority w:val="0"/>
    <w:rPr>
      <w:sz w:val="22"/>
    </w:rPr>
  </w:style>
  <w:style w:type="paragraph" w:customStyle="1" w:styleId="26">
    <w:name w:val="Paper Number"/>
    <w:basedOn w:val="1"/>
    <w:uiPriority w:val="0"/>
    <w:pPr>
      <w:spacing w:after="280" w:line="280" w:lineRule="exact"/>
      <w:jc w:val="right"/>
    </w:pPr>
    <w:rPr>
      <w:b/>
      <w:sz w:val="28"/>
    </w:rPr>
  </w:style>
  <w:style w:type="paragraph" w:customStyle="1" w:styleId="27">
    <w:name w:val="Conc Head"/>
    <w:basedOn w:val="24"/>
    <w:uiPriority w:val="0"/>
    <w:rPr>
      <w:sz w:val="22"/>
    </w:rPr>
  </w:style>
  <w:style w:type="paragraph" w:customStyle="1" w:styleId="28">
    <w:name w:val="Ackn Head"/>
    <w:basedOn w:val="24"/>
    <w:uiPriority w:val="0"/>
    <w:rPr>
      <w:sz w:val="22"/>
    </w:rPr>
  </w:style>
  <w:style w:type="paragraph" w:customStyle="1" w:styleId="29">
    <w:name w:val="Refer Head"/>
    <w:basedOn w:val="24"/>
    <w:uiPriority w:val="0"/>
    <w:rPr>
      <w:sz w:val="22"/>
    </w:rPr>
  </w:style>
  <w:style w:type="paragraph" w:customStyle="1" w:styleId="30">
    <w:name w:val="AddSrc Head"/>
    <w:basedOn w:val="24"/>
    <w:uiPriority w:val="0"/>
    <w:rPr>
      <w:sz w:val="22"/>
    </w:rPr>
  </w:style>
  <w:style w:type="paragraph" w:customStyle="1" w:styleId="31">
    <w:name w:val="DefAcrHead"/>
    <w:basedOn w:val="24"/>
    <w:uiPriority w:val="0"/>
    <w:rPr>
      <w:sz w:val="22"/>
    </w:rPr>
  </w:style>
  <w:style w:type="paragraph" w:customStyle="1" w:styleId="32">
    <w:name w:val="Copyright"/>
    <w:basedOn w:val="1"/>
    <w:uiPriority w:val="0"/>
    <w:pPr>
      <w:spacing w:after="960" w:line="200" w:lineRule="exact"/>
    </w:pPr>
    <w:rPr>
      <w:sz w:val="16"/>
    </w:rPr>
  </w:style>
  <w:style w:type="paragraph" w:customStyle="1" w:styleId="33">
    <w:name w:val="Reference"/>
    <w:basedOn w:val="22"/>
    <w:uiPriority w:val="0"/>
    <w:pPr>
      <w:numPr>
        <w:ilvl w:val="0"/>
        <w:numId w:val="1"/>
      </w:numPr>
      <w:spacing w:after="0" w:line="240" w:lineRule="exact"/>
    </w:pPr>
  </w:style>
  <w:style w:type="paragraph" w:customStyle="1" w:styleId="34">
    <w:name w:val="Head1"/>
    <w:basedOn w:val="24"/>
    <w:uiPriority w:val="0"/>
    <w:rPr>
      <w:sz w:val="22"/>
    </w:rPr>
  </w:style>
  <w:style w:type="paragraph" w:customStyle="1" w:styleId="35">
    <w:name w:val="Contact Head"/>
    <w:basedOn w:val="24"/>
    <w:uiPriority w:val="0"/>
    <w:rPr>
      <w:sz w:val="22"/>
    </w:rPr>
  </w:style>
  <w:style w:type="paragraph" w:customStyle="1" w:styleId="36">
    <w:name w:val="Head3"/>
    <w:basedOn w:val="37"/>
    <w:uiPriority w:val="0"/>
    <w:rPr>
      <w:caps w:val="0"/>
      <w:u w:val="single"/>
    </w:rPr>
  </w:style>
  <w:style w:type="paragraph" w:customStyle="1" w:styleId="37">
    <w:name w:val="Head2"/>
    <w:basedOn w:val="1"/>
    <w:next w:val="22"/>
    <w:uiPriority w:val="0"/>
    <w:pPr>
      <w:keepNext/>
      <w:spacing w:after="240"/>
    </w:pPr>
    <w:rPr>
      <w:caps/>
    </w:rPr>
  </w:style>
  <w:style w:type="paragraph" w:customStyle="1" w:styleId="38">
    <w:name w:val="Head4"/>
    <w:basedOn w:val="36"/>
    <w:uiPriority w:val="0"/>
    <w:rPr>
      <w:u w:val="none"/>
    </w:rPr>
  </w:style>
  <w:style w:type="paragraph" w:customStyle="1" w:styleId="39">
    <w:name w:val="Unord List"/>
    <w:basedOn w:val="22"/>
    <w:uiPriority w:val="0"/>
    <w:pPr>
      <w:spacing w:after="0"/>
      <w:ind w:left="360" w:hanging="360"/>
    </w:pPr>
  </w:style>
  <w:style w:type="paragraph" w:customStyle="1" w:styleId="40">
    <w:name w:val="Ord List"/>
    <w:basedOn w:val="39"/>
    <w:uiPriority w:val="0"/>
    <w:pPr>
      <w:jc w:val="left"/>
    </w:pPr>
  </w:style>
  <w:style w:type="paragraph" w:customStyle="1" w:styleId="41">
    <w:name w:val="Appendix"/>
    <w:basedOn w:val="24"/>
    <w:uiPriority w:val="0"/>
    <w:rPr>
      <w:sz w:val="22"/>
    </w:rPr>
  </w:style>
  <w:style w:type="paragraph" w:customStyle="1" w:styleId="42">
    <w:name w:val="Term"/>
    <w:basedOn w:val="22"/>
    <w:uiPriority w:val="0"/>
    <w:pPr>
      <w:spacing w:after="0"/>
    </w:pPr>
    <w:rPr>
      <w:b/>
    </w:rPr>
  </w:style>
  <w:style w:type="paragraph" w:customStyle="1" w:styleId="43">
    <w:name w:val="Definition"/>
    <w:basedOn w:val="22"/>
    <w:uiPriority w:val="0"/>
  </w:style>
  <w:style w:type="character" w:customStyle="1" w:styleId="44">
    <w:name w:val="Bold"/>
    <w:uiPriority w:val="0"/>
    <w:rPr>
      <w:b/>
    </w:rPr>
  </w:style>
  <w:style w:type="character" w:customStyle="1" w:styleId="45">
    <w:name w:val="Italic"/>
    <w:uiPriority w:val="0"/>
    <w:rPr>
      <w:i/>
    </w:rPr>
  </w:style>
  <w:style w:type="character" w:customStyle="1" w:styleId="46">
    <w:name w:val="Underline"/>
    <w:uiPriority w:val="0"/>
    <w:rPr>
      <w:u w:val="single"/>
    </w:rPr>
  </w:style>
  <w:style w:type="paragraph" w:customStyle="1" w:styleId="47">
    <w:name w:val="Equation"/>
    <w:basedOn w:val="22"/>
    <w:uiPriority w:val="0"/>
  </w:style>
  <w:style w:type="paragraph" w:customStyle="1" w:styleId="48">
    <w:name w:val="Figure"/>
    <w:basedOn w:val="32"/>
    <w:uiPriority w:val="0"/>
    <w:pPr>
      <w:spacing w:after="240"/>
    </w:pPr>
    <w:rPr>
      <w:sz w:val="20"/>
    </w:rPr>
  </w:style>
  <w:style w:type="paragraph" w:customStyle="1" w:styleId="49">
    <w:name w:val="Head 4"/>
    <w:basedOn w:val="36"/>
    <w:uiPriority w:val="0"/>
    <w:rPr>
      <w:u w:val="none"/>
    </w:rPr>
  </w:style>
  <w:style w:type="paragraph" w:customStyle="1" w:styleId="50">
    <w:name w:val="Paper"/>
    <w:basedOn w:val="1"/>
    <w:uiPriority w:val="0"/>
    <w:pPr>
      <w:spacing w:after="360" w:line="440" w:lineRule="exact"/>
      <w:jc w:val="right"/>
    </w:pPr>
    <w:rPr>
      <w:b/>
      <w:sz w:val="36"/>
    </w:rPr>
  </w:style>
  <w:style w:type="character" w:customStyle="1" w:styleId="51">
    <w:name w:val="Subscript"/>
    <w:uiPriority w:val="0"/>
    <w:rPr>
      <w:vertAlign w:val="subscript"/>
    </w:rPr>
  </w:style>
  <w:style w:type="character" w:customStyle="1" w:styleId="52">
    <w:name w:val="Superscript"/>
    <w:uiPriority w:val="0"/>
    <w:rPr>
      <w:vertAlign w:val="superscript"/>
    </w:rPr>
  </w:style>
  <w:style w:type="character" w:customStyle="1" w:styleId="53">
    <w:name w:val="Symbol"/>
    <w:uiPriority w:val="0"/>
    <w:rPr>
      <w:rFonts w:ascii="Symbol" w:hAnsi="Symbol"/>
    </w:rPr>
  </w:style>
  <w:style w:type="paragraph" w:customStyle="1" w:styleId="54">
    <w:name w:val="Symbol P"/>
    <w:basedOn w:val="22"/>
    <w:uiPriority w:val="0"/>
    <w:pPr>
      <w:tabs>
        <w:tab w:val="left" w:pos="720"/>
        <w:tab w:val="left" w:pos="3780"/>
      </w:tabs>
      <w:spacing w:after="0"/>
    </w:pPr>
    <w:rPr>
      <w:sz w:val="24"/>
    </w:rPr>
  </w:style>
  <w:style w:type="character" w:customStyle="1" w:styleId="55">
    <w:name w:val="BoldItal"/>
    <w:basedOn w:val="3"/>
    <w:uiPriority w:val="0"/>
    <w:rPr>
      <w:b/>
      <w:i/>
    </w:rPr>
  </w:style>
  <w:style w:type="character" w:customStyle="1" w:styleId="56">
    <w:name w:val="SubItal"/>
    <w:uiPriority w:val="0"/>
    <w:rPr>
      <w:i/>
      <w:vertAlign w:val="subscript"/>
    </w:rPr>
  </w:style>
  <w:style w:type="character" w:customStyle="1" w:styleId="57">
    <w:name w:val="SuperItal"/>
    <w:uiPriority w:val="0"/>
    <w:rPr>
      <w:i/>
      <w:vertAlign w:val="superscript"/>
    </w:rPr>
  </w:style>
  <w:style w:type="character" w:customStyle="1" w:styleId="58">
    <w:name w:val="SymItal"/>
    <w:uiPriority w:val="0"/>
    <w:rPr>
      <w:rFonts w:ascii="Symbol" w:hAnsi="Symbol"/>
      <w:i/>
    </w:rPr>
  </w:style>
  <w:style w:type="character" w:customStyle="1" w:styleId="59">
    <w:name w:val="Body Text 2 Char"/>
    <w:basedOn w:val="3"/>
    <w:link w:val="6"/>
    <w:uiPriority w:val="0"/>
    <w:rPr>
      <w:rFonts w:ascii="Helvetica" w:hAnsi="Helvetica"/>
    </w:rPr>
  </w:style>
  <w:style w:type="character" w:customStyle="1" w:styleId="60">
    <w:name w:val="Comment Text Char"/>
    <w:basedOn w:val="3"/>
    <w:link w:val="9"/>
    <w:uiPriority w:val="99"/>
    <w:rPr>
      <w:lang w:val="nb-NO" w:eastAsia="nb-NO"/>
    </w:rPr>
  </w:style>
  <w:style w:type="character" w:customStyle="1" w:styleId="61">
    <w:name w:val="Balloon Text Char"/>
    <w:basedOn w:val="3"/>
    <w:link w:val="5"/>
    <w:uiPriority w:val="0"/>
    <w:rPr>
      <w:rFonts w:ascii="Tahoma" w:hAnsi="Tahoma" w:cs="Tahoma"/>
      <w:sz w:val="16"/>
      <w:szCs w:val="16"/>
    </w:rPr>
  </w:style>
  <w:style w:type="character" w:customStyle="1" w:styleId="62">
    <w:name w:val="Body Text 3 Char"/>
    <w:basedOn w:val="3"/>
    <w:link w:val="7"/>
    <w:uiPriority w:val="0"/>
    <w:rPr>
      <w:rFonts w:ascii="Helvetica" w:hAnsi="Helvetica"/>
      <w:sz w:val="16"/>
      <w:szCs w:val="16"/>
    </w:rPr>
  </w:style>
  <w:style w:type="character" w:customStyle="1" w:styleId="63">
    <w:name w:val="Unresolved Mention"/>
    <w:basedOn w:val="3"/>
    <w:semiHidden/>
    <w:unhideWhenUsed/>
    <w:uiPriority w:val="99"/>
    <w:rPr>
      <w:color w:val="605E5C"/>
      <w:shd w:val="clear" w:color="auto" w:fill="E1DFDD"/>
    </w:rPr>
  </w:style>
  <w:style w:type="paragraph" w:styleId="64">
    <w:name w:val="List Paragraph"/>
    <w:basedOn w:val="1"/>
    <w:qFormat/>
    <w:uiPriority w:val="34"/>
    <w:pPr>
      <w:ind w:left="720"/>
      <w:contextualSpacing/>
    </w:pPr>
  </w:style>
  <w:style w:type="table" w:customStyle="1" w:styleId="65">
    <w:name w:val="Plain Table 2"/>
    <w:basedOn w:val="4"/>
    <w:uiPriority w:val="42"/>
    <w:rPr>
      <w:rFonts w:ascii="Calibri" w:hAnsi="Calibri"/>
      <w:lang w:val="tr-TR" w:eastAsia="tr-TR"/>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5FE34-E8F8-4278-8A63-B77A41F5A6C1}">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29</Pages>
  <Words>14220</Words>
  <Characters>81054</Characters>
  <Lines>675</Lines>
  <Paragraphs>190</Paragraphs>
  <TotalTime>0</TotalTime>
  <ScaleCrop>false</ScaleCrop>
  <LinksUpToDate>false</LinksUpToDate>
  <CharactersWithSpaces>95084</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Reviewer</cp:lastModifiedBy>
  <cp:lastPrinted>1999-07-06T11:00:00Z</cp:lastPrinted>
  <dcterms:modified xsi:type="dcterms:W3CDTF">2026-03-02T05:33:15Z</dcterms:modified>
  <dc:title>Paper Template</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9FBA6FB350B3499AB6E3EBF79E0FDF1C_13</vt:lpwstr>
  </property>
</Properties>
</file>