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6F228" w14:textId="53048CB9" w:rsidR="00430A32" w:rsidRDefault="00430A32" w:rsidP="009B1E4C">
      <w:pPr>
        <w:jc w:val="both"/>
        <w:rPr>
          <w:rFonts w:ascii="Times New Roman" w:hAnsi="Times New Roman" w:cs="Times New Roman"/>
          <w:b/>
          <w:sz w:val="24"/>
          <w:szCs w:val="24"/>
        </w:rPr>
      </w:pPr>
      <w:r w:rsidRPr="00E05271">
        <w:rPr>
          <w:rFonts w:ascii="Arial" w:hAnsi="Arial" w:cs="Arial"/>
        </w:rPr>
        <w:t>Original Research Article</w:t>
      </w:r>
    </w:p>
    <w:p w14:paraId="6FB4F27C" w14:textId="4D95EBE1" w:rsidR="00DF6FC5" w:rsidRPr="009B1E4C" w:rsidRDefault="00D86F7D" w:rsidP="009B1E4C">
      <w:pPr>
        <w:jc w:val="both"/>
        <w:rPr>
          <w:rFonts w:ascii="Times New Roman" w:hAnsi="Times New Roman" w:cs="Times New Roman"/>
          <w:b/>
          <w:sz w:val="24"/>
          <w:szCs w:val="24"/>
        </w:rPr>
      </w:pPr>
      <w:r w:rsidRPr="009B1E4C">
        <w:rPr>
          <w:rFonts w:ascii="Times New Roman" w:hAnsi="Times New Roman" w:cs="Times New Roman"/>
          <w:b/>
          <w:sz w:val="24"/>
          <w:szCs w:val="24"/>
        </w:rPr>
        <w:t>NUTRITIONAL CONTENTS AND MICROBIAL QUALITIES OF FRESH AND AWARAWA TOMATOES (</w:t>
      </w:r>
      <w:r w:rsidRPr="009B1E4C">
        <w:rPr>
          <w:rFonts w:ascii="Times New Roman" w:hAnsi="Times New Roman" w:cs="Times New Roman"/>
          <w:b/>
          <w:bCs/>
          <w:i/>
          <w:iCs/>
          <w:sz w:val="24"/>
          <w:szCs w:val="24"/>
        </w:rPr>
        <w:t>SOLANUM LYCOPERSIUM</w:t>
      </w:r>
      <w:r w:rsidRPr="009B1E4C">
        <w:rPr>
          <w:rFonts w:ascii="Times New Roman" w:hAnsi="Times New Roman" w:cs="Times New Roman"/>
          <w:b/>
          <w:sz w:val="24"/>
          <w:szCs w:val="24"/>
        </w:rPr>
        <w:t>) SUBJECTED TO BOILING AND FRYING METHODS</w:t>
      </w:r>
    </w:p>
    <w:p w14:paraId="379BD214" w14:textId="77777777" w:rsidR="00430A32" w:rsidRPr="00B23126" w:rsidRDefault="00430A32" w:rsidP="00E264C0">
      <w:pPr>
        <w:spacing w:after="0" w:line="240" w:lineRule="auto"/>
        <w:jc w:val="both"/>
        <w:rPr>
          <w:rFonts w:ascii="Times New Roman" w:hAnsi="Times New Roman" w:cs="Times New Roman"/>
          <w:sz w:val="24"/>
          <w:szCs w:val="24"/>
        </w:rPr>
      </w:pPr>
    </w:p>
    <w:p w14:paraId="354B4663" w14:textId="4007CB8D" w:rsidR="009334C9" w:rsidRPr="00B23126" w:rsidRDefault="009334C9" w:rsidP="006349F3">
      <w:pPr>
        <w:spacing w:after="0" w:line="240" w:lineRule="auto"/>
        <w:jc w:val="both"/>
        <w:rPr>
          <w:rFonts w:ascii="Times New Roman" w:hAnsi="Times New Roman" w:cs="Times New Roman"/>
          <w:sz w:val="24"/>
          <w:szCs w:val="24"/>
        </w:rPr>
      </w:pPr>
      <w:r w:rsidRPr="007F2CFA">
        <w:rPr>
          <w:rFonts w:ascii="Times New Roman" w:hAnsi="Times New Roman" w:cs="Times New Roman"/>
          <w:b/>
          <w:sz w:val="24"/>
          <w:szCs w:val="24"/>
        </w:rPr>
        <w:t>Abstract</w:t>
      </w:r>
    </w:p>
    <w:p w14:paraId="5361A2C0" w14:textId="5EDC6868"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Introduction</w:t>
      </w:r>
      <w:r w:rsidR="006349F3">
        <w:rPr>
          <w:rFonts w:ascii="Times New Roman" w:hAnsi="Times New Roman" w:cs="Times New Roman"/>
          <w:b/>
          <w:bCs/>
          <w:sz w:val="24"/>
          <w:szCs w:val="24"/>
        </w:rPr>
        <w:t xml:space="preserve">: </w:t>
      </w:r>
      <w:proofErr w:type="spellStart"/>
      <w:r w:rsidRPr="007F2CFA">
        <w:rPr>
          <w:rFonts w:ascii="Times New Roman" w:hAnsi="Times New Roman" w:cs="Times New Roman"/>
          <w:i/>
          <w:iCs/>
          <w:sz w:val="24"/>
          <w:szCs w:val="24"/>
        </w:rPr>
        <w:t>Solanum</w:t>
      </w:r>
      <w:proofErr w:type="spellEnd"/>
      <w:r w:rsidRPr="007F2CFA">
        <w:rPr>
          <w:rFonts w:ascii="Times New Roman" w:hAnsi="Times New Roman" w:cs="Times New Roman"/>
          <w:i/>
          <w:iCs/>
          <w:sz w:val="24"/>
          <w:szCs w:val="24"/>
        </w:rPr>
        <w:t xml:space="preserve"> </w:t>
      </w:r>
      <w:proofErr w:type="spellStart"/>
      <w:r w:rsidRPr="007F2CFA">
        <w:rPr>
          <w:rFonts w:ascii="Times New Roman" w:hAnsi="Times New Roman" w:cs="Times New Roman"/>
          <w:i/>
          <w:iCs/>
          <w:sz w:val="24"/>
          <w:szCs w:val="24"/>
        </w:rPr>
        <w:t>lycopersicum</w:t>
      </w:r>
      <w:proofErr w:type="spellEnd"/>
      <w:r w:rsidRPr="007F2CFA">
        <w:rPr>
          <w:rFonts w:ascii="Times New Roman" w:hAnsi="Times New Roman" w:cs="Times New Roman"/>
          <w:sz w:val="24"/>
          <w:szCs w:val="24"/>
        </w:rPr>
        <w:t xml:space="preserve"> (tomatoes) constitutes a major dietary component in Nigeria. In many southeastern communities, low-income consumers frequently purchase locally referred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tomatoes, which are nearing spoilage</w:t>
      </w:r>
      <w:r w:rsidR="00DB1DBB">
        <w:rPr>
          <w:rFonts w:ascii="Times New Roman" w:hAnsi="Times New Roman" w:cs="Times New Roman"/>
          <w:sz w:val="24"/>
          <w:szCs w:val="24"/>
        </w:rPr>
        <w:t xml:space="preserve"> </w:t>
      </w:r>
      <w:commentRangeStart w:id="0"/>
      <w:r w:rsidR="00DB1DBB" w:rsidRPr="00DB1DBB">
        <w:rPr>
          <w:rFonts w:ascii="Times New Roman" w:hAnsi="Times New Roman" w:cs="Times New Roman"/>
          <w:color w:val="FF0000"/>
          <w:sz w:val="24"/>
          <w:szCs w:val="24"/>
        </w:rPr>
        <w:t>(damaged, bruised or overripe)</w:t>
      </w:r>
      <w:commentRangeEnd w:id="0"/>
      <w:r w:rsidR="00DB1DBB">
        <w:rPr>
          <w:rStyle w:val="CommentReference"/>
        </w:rPr>
        <w:commentReference w:id="0"/>
      </w:r>
      <w:r w:rsidRPr="00DB1DBB">
        <w:rPr>
          <w:rFonts w:ascii="Times New Roman" w:hAnsi="Times New Roman" w:cs="Times New Roman"/>
          <w:color w:val="FF0000"/>
          <w:sz w:val="24"/>
          <w:szCs w:val="24"/>
        </w:rPr>
        <w:t xml:space="preserve"> </w:t>
      </w:r>
      <w:r w:rsidRPr="007F2CFA">
        <w:rPr>
          <w:rFonts w:ascii="Times New Roman" w:hAnsi="Times New Roman" w:cs="Times New Roman"/>
          <w:sz w:val="24"/>
          <w:szCs w:val="24"/>
        </w:rPr>
        <w:t xml:space="preserve">due to their lower cost. Processing methods such as boiling and frying may influence the nutritional quality and microbial safety of both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w:t>
      </w:r>
    </w:p>
    <w:p w14:paraId="13ED0733" w14:textId="6B594E7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Aim</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This study aimed to compare the effects of boiling and frying on the nutritional composition and microbial safety of 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sold in </w:t>
      </w:r>
      <w:proofErr w:type="spellStart"/>
      <w:r w:rsidRPr="007F2CFA">
        <w:rPr>
          <w:rFonts w:ascii="Times New Roman" w:hAnsi="Times New Roman" w:cs="Times New Roman"/>
          <w:sz w:val="24"/>
          <w:szCs w:val="24"/>
        </w:rPr>
        <w:t>Oko</w:t>
      </w:r>
      <w:proofErr w:type="spellEnd"/>
      <w:r w:rsidRPr="007F2CFA">
        <w:rPr>
          <w:rFonts w:ascii="Times New Roman" w:hAnsi="Times New Roman" w:cs="Times New Roman"/>
          <w:sz w:val="24"/>
          <w:szCs w:val="24"/>
        </w:rPr>
        <w:t>, Anambra State, Nigeria.</w:t>
      </w:r>
    </w:p>
    <w:p w14:paraId="5389E63D" w14:textId="42E5D294"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Methods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Fresh and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 samples were subjected to boiling and frying treatments. Proximate composition, vitamin content, and mineral profiles were determined using standard Association of Official Analytical Chemists (AOAC) procedures and spectrophotometric methods. Microbial quality was assessed using culture-based techniques to determine total aerobic plate count, yeast and mold count, and the presence of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and coliforms.</w:t>
      </w:r>
    </w:p>
    <w:p w14:paraId="39BFC069" w14:textId="536FD992" w:rsidR="007F2CFA" w:rsidRPr="007F2CFA"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Results</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Boiled fresh tomatoes (FTB) exhibited higher protein (19.54%), fiber (18.19%), and ash (21.10%) contents, while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(ATB) had higher moisture content (39.71%). Vitamins A and C were better retained in FTB. Frying increased lipid content and vitamin B3 levels, with fried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(ATF) showing higher lipid content (13.66%) but slightly lower vitamin B3 compared to fried fresh tomatoes (FTF). Mineral analysis revealed higher calcium, potassium, and sodium levels in FTB, whereas ATB contained higher magnesium and phosphorus. In fried samples, ATF showed elevated iron, zinc, and magnesium levels. Microbiologically, boiled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recorded higher total aerobic and yeast/mold counts, while fried samples exhibited the lowest microbial load, with no detectable </w:t>
      </w:r>
      <w:r w:rsidRPr="007F2CFA">
        <w:rPr>
          <w:rFonts w:ascii="Times New Roman" w:hAnsi="Times New Roman" w:cs="Times New Roman"/>
          <w:i/>
          <w:iCs/>
          <w:sz w:val="24"/>
          <w:szCs w:val="24"/>
        </w:rPr>
        <w:t>Staphylococcus aureus</w:t>
      </w:r>
      <w:r w:rsidRPr="007F2CFA">
        <w:rPr>
          <w:rFonts w:ascii="Times New Roman" w:hAnsi="Times New Roman" w:cs="Times New Roman"/>
          <w:sz w:val="24"/>
          <w:szCs w:val="24"/>
        </w:rPr>
        <w:t xml:space="preserve"> or coliforms.</w:t>
      </w:r>
    </w:p>
    <w:p w14:paraId="0D62BEED" w14:textId="7EEA6A09" w:rsidR="00D86F7D" w:rsidRPr="006349F3" w:rsidRDefault="007F2CFA" w:rsidP="006349F3">
      <w:pPr>
        <w:spacing w:after="0" w:line="240" w:lineRule="auto"/>
        <w:jc w:val="both"/>
        <w:rPr>
          <w:rFonts w:ascii="Times New Roman" w:hAnsi="Times New Roman" w:cs="Times New Roman"/>
          <w:b/>
          <w:bCs/>
          <w:sz w:val="24"/>
          <w:szCs w:val="24"/>
        </w:rPr>
      </w:pPr>
      <w:r w:rsidRPr="007F2CFA">
        <w:rPr>
          <w:rFonts w:ascii="Times New Roman" w:hAnsi="Times New Roman" w:cs="Times New Roman"/>
          <w:b/>
          <w:bCs/>
          <w:sz w:val="24"/>
          <w:szCs w:val="24"/>
        </w:rPr>
        <w:t>Conclusion</w:t>
      </w:r>
      <w:r w:rsidR="006349F3">
        <w:rPr>
          <w:rFonts w:ascii="Times New Roman" w:hAnsi="Times New Roman" w:cs="Times New Roman"/>
          <w:b/>
          <w:bCs/>
          <w:sz w:val="24"/>
          <w:szCs w:val="24"/>
        </w:rPr>
        <w:t xml:space="preserve">: </w:t>
      </w:r>
      <w:r w:rsidRPr="007F2CFA">
        <w:rPr>
          <w:rFonts w:ascii="Times New Roman" w:hAnsi="Times New Roman" w:cs="Times New Roman"/>
          <w:sz w:val="24"/>
          <w:szCs w:val="24"/>
        </w:rPr>
        <w:t xml:space="preserve">Boiling was more effective in preserving nutritional quality, particularly in fresh tomatoes, whereas frying provided superior microbial safety for both tomato types. Public health education is therefore recommended to encourage safe processing and utilization of </w:t>
      </w:r>
      <w:proofErr w:type="spellStart"/>
      <w:r w:rsidRPr="007F2CFA">
        <w:rPr>
          <w:rFonts w:ascii="Times New Roman" w:hAnsi="Times New Roman" w:cs="Times New Roman"/>
          <w:sz w:val="24"/>
          <w:szCs w:val="24"/>
        </w:rPr>
        <w:t>awarawa</w:t>
      </w:r>
      <w:proofErr w:type="spellEnd"/>
      <w:r w:rsidRPr="007F2CFA">
        <w:rPr>
          <w:rFonts w:ascii="Times New Roman" w:hAnsi="Times New Roman" w:cs="Times New Roman"/>
          <w:sz w:val="24"/>
          <w:szCs w:val="24"/>
        </w:rPr>
        <w:t xml:space="preserve"> tomatoes among low-income populations</w:t>
      </w:r>
      <w:r w:rsidR="009334C9" w:rsidRPr="00B23126">
        <w:rPr>
          <w:rFonts w:ascii="Times New Roman" w:hAnsi="Times New Roman" w:cs="Times New Roman"/>
          <w:sz w:val="24"/>
          <w:szCs w:val="24"/>
        </w:rPr>
        <w:t>.</w:t>
      </w:r>
    </w:p>
    <w:p w14:paraId="5380BBCB" w14:textId="430F779C" w:rsidR="006349F3" w:rsidRPr="00ED4D03" w:rsidRDefault="009334C9" w:rsidP="00ED4D03">
      <w:pPr>
        <w:spacing w:before="240" w:after="0" w:line="240" w:lineRule="auto"/>
        <w:jc w:val="both"/>
        <w:rPr>
          <w:rFonts w:ascii="Times New Roman" w:hAnsi="Times New Roman" w:cs="Times New Roman"/>
          <w:sz w:val="24"/>
          <w:szCs w:val="24"/>
        </w:rPr>
      </w:pPr>
      <w:r w:rsidRPr="006349F3">
        <w:rPr>
          <w:rFonts w:ascii="Times New Roman" w:hAnsi="Times New Roman" w:cs="Times New Roman"/>
          <w:b/>
          <w:sz w:val="24"/>
          <w:szCs w:val="24"/>
        </w:rPr>
        <w:t>Keywords:</w:t>
      </w:r>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boiling, frying, microbial safety, nutritional composition, </w:t>
      </w:r>
      <w:proofErr w:type="spellStart"/>
      <w:r w:rsidRPr="00B23126">
        <w:rPr>
          <w:rFonts w:ascii="Times New Roman" w:hAnsi="Times New Roman" w:cs="Times New Roman"/>
          <w:i/>
          <w:sz w:val="24"/>
          <w:szCs w:val="24"/>
        </w:rPr>
        <w:t>Solanum</w:t>
      </w:r>
      <w:proofErr w:type="spellEnd"/>
      <w:r w:rsidRPr="00B23126">
        <w:rPr>
          <w:rFonts w:ascii="Times New Roman" w:hAnsi="Times New Roman" w:cs="Times New Roman"/>
          <w:i/>
          <w:sz w:val="24"/>
          <w:szCs w:val="24"/>
        </w:rPr>
        <w:t xml:space="preserve">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spoilage.</w:t>
      </w:r>
    </w:p>
    <w:p w14:paraId="27E73385" w14:textId="7943E608" w:rsidR="00D86F7D" w:rsidRPr="00B23126" w:rsidRDefault="00E264C0" w:rsidP="006349F3">
      <w:pPr>
        <w:spacing w:before="240"/>
        <w:jc w:val="both"/>
        <w:rPr>
          <w:rFonts w:ascii="Times New Roman" w:hAnsi="Times New Roman" w:cs="Times New Roman"/>
          <w:sz w:val="24"/>
          <w:szCs w:val="24"/>
        </w:rPr>
      </w:pPr>
      <w:r>
        <w:rPr>
          <w:rFonts w:ascii="Times New Roman" w:hAnsi="Times New Roman" w:cs="Times New Roman"/>
          <w:b/>
          <w:sz w:val="24"/>
          <w:szCs w:val="24"/>
        </w:rPr>
        <w:t xml:space="preserve">1. </w:t>
      </w:r>
      <w:r w:rsidR="009334C9" w:rsidRPr="00B23126">
        <w:rPr>
          <w:rFonts w:ascii="Times New Roman" w:hAnsi="Times New Roman" w:cs="Times New Roman"/>
          <w:b/>
          <w:sz w:val="24"/>
          <w:szCs w:val="24"/>
        </w:rPr>
        <w:t>Introduction</w:t>
      </w:r>
      <w:r w:rsidR="009334C9" w:rsidRPr="00B23126">
        <w:rPr>
          <w:rFonts w:ascii="Times New Roman" w:hAnsi="Times New Roman" w:cs="Times New Roman"/>
          <w:sz w:val="24"/>
          <w:szCs w:val="24"/>
        </w:rPr>
        <w:t xml:space="preserve"> </w:t>
      </w:r>
    </w:p>
    <w:p w14:paraId="588E18D8" w14:textId="6027FE4F"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Nutrition is a fundamental aspect of human health and development, playing a crucial role in the sustenance and well-being of individuals across different societies. It involves the intake of food necessary for growth, energy, and the maintenance of bodily functions. In Nigeria, both rural and urban communities face significant challenges in accessing nutritious food due to economic instability and rising food costs. The common struggling individual in Nigeria's harsh economic climate seeks affordable and nutritious food options, making food security a pressing concern </w:t>
      </w:r>
      <w:r w:rsidRPr="00661F2F">
        <w:rPr>
          <w:rFonts w:ascii="Times New Roman" w:hAnsi="Times New Roman" w:cs="Times New Roman"/>
          <w:sz w:val="24"/>
          <w:szCs w:val="24"/>
        </w:rPr>
        <w:t>(FAO, 2021).</w:t>
      </w:r>
      <w:r w:rsidRPr="00B23126">
        <w:rPr>
          <w:rFonts w:ascii="Times New Roman" w:hAnsi="Times New Roman" w:cs="Times New Roman"/>
          <w:sz w:val="24"/>
          <w:szCs w:val="24"/>
        </w:rPr>
        <w:t xml:space="preserve"> This struggle for affordable nutrition leads to the importance of food processing as a means to enhance food accessibility and sustainability.</w:t>
      </w:r>
    </w:p>
    <w:p w14:paraId="5E5BF267" w14:textId="58C95056" w:rsidR="009334C9"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lastRenderedPageBreak/>
        <w:t xml:space="preserve">Food processing, particularly boiling and frying, is an essential aspect of food preparation in Nigerian households. Boiling is a simple and widely used method that involves cooking food in water at high temperatures, often preserving certain nutrients while reducing others, depending on the food matrix </w:t>
      </w:r>
      <w:r w:rsidRPr="00661F2F">
        <w:rPr>
          <w:rFonts w:ascii="Times New Roman" w:hAnsi="Times New Roman" w:cs="Times New Roman"/>
          <w:sz w:val="24"/>
          <w:szCs w:val="24"/>
        </w:rPr>
        <w:t>(</w:t>
      </w:r>
      <w:proofErr w:type="spellStart"/>
      <w:r w:rsidRPr="00661F2F">
        <w:rPr>
          <w:rFonts w:ascii="Times New Roman" w:hAnsi="Times New Roman" w:cs="Times New Roman"/>
          <w:sz w:val="24"/>
          <w:szCs w:val="24"/>
        </w:rPr>
        <w:t>Miglio</w:t>
      </w:r>
      <w:proofErr w:type="spellEnd"/>
      <w:r w:rsidRPr="00661F2F">
        <w:rPr>
          <w:rFonts w:ascii="Times New Roman" w:hAnsi="Times New Roman" w:cs="Times New Roman"/>
          <w:sz w:val="24"/>
          <w:szCs w:val="24"/>
        </w:rPr>
        <w:t xml:space="preserve"> </w:t>
      </w:r>
      <w:r w:rsidRPr="00661F2F">
        <w:rPr>
          <w:rFonts w:ascii="Times New Roman" w:hAnsi="Times New Roman" w:cs="Times New Roman"/>
          <w:i/>
          <w:sz w:val="24"/>
          <w:szCs w:val="24"/>
        </w:rPr>
        <w:t>et al</w:t>
      </w:r>
      <w:r w:rsidRPr="00661F2F">
        <w:rPr>
          <w:rFonts w:ascii="Times New Roman" w:hAnsi="Times New Roman" w:cs="Times New Roman"/>
          <w:sz w:val="24"/>
          <w:szCs w:val="24"/>
        </w:rPr>
        <w:t>., 2008)</w:t>
      </w:r>
      <w:r w:rsidRPr="00B23126">
        <w:rPr>
          <w:rFonts w:ascii="Times New Roman" w:hAnsi="Times New Roman" w:cs="Times New Roman"/>
          <w:sz w:val="24"/>
          <w:szCs w:val="24"/>
        </w:rPr>
        <w:t>. Frying, on the other hand, involves cooking food in oil at high temperatures, which can enhance flavor and texture but may lead to alterations in nutrient composition. The significance of food processing methods extends beyond preservation and extends to cultural preferences, convenience, and economic factors. Among the many foods that undergo processing, tomatoes (</w:t>
      </w:r>
      <w:proofErr w:type="spellStart"/>
      <w:r w:rsidRPr="00B23126">
        <w:rPr>
          <w:rFonts w:ascii="Times New Roman" w:hAnsi="Times New Roman" w:cs="Times New Roman"/>
          <w:i/>
          <w:sz w:val="24"/>
          <w:szCs w:val="24"/>
        </w:rPr>
        <w:t>Solanum</w:t>
      </w:r>
      <w:proofErr w:type="spellEnd"/>
      <w:r w:rsidRPr="00B23126">
        <w:rPr>
          <w:rFonts w:ascii="Times New Roman" w:hAnsi="Times New Roman" w:cs="Times New Roman"/>
          <w:i/>
          <w:sz w:val="24"/>
          <w:szCs w:val="24"/>
        </w:rPr>
        <w:t xml:space="preserve"> </w:t>
      </w:r>
      <w:proofErr w:type="spellStart"/>
      <w:r w:rsidRPr="00B23126">
        <w:rPr>
          <w:rFonts w:ascii="Times New Roman" w:hAnsi="Times New Roman" w:cs="Times New Roman"/>
          <w:i/>
          <w:sz w:val="24"/>
          <w:szCs w:val="24"/>
        </w:rPr>
        <w:t>lycopersicum</w:t>
      </w:r>
      <w:proofErr w:type="spellEnd"/>
      <w:r w:rsidRPr="00B23126">
        <w:rPr>
          <w:rFonts w:ascii="Times New Roman" w:hAnsi="Times New Roman" w:cs="Times New Roman"/>
          <w:sz w:val="24"/>
          <w:szCs w:val="24"/>
        </w:rPr>
        <w:t>) stand out due to their widespread consumption and importance in Nigerian cuisine.</w:t>
      </w:r>
    </w:p>
    <w:p w14:paraId="321322D7" w14:textId="151E7AD4" w:rsidR="009334C9" w:rsidRPr="00B23126" w:rsidRDefault="009334C9" w:rsidP="00B23126">
      <w:pPr>
        <w:jc w:val="both"/>
        <w:rPr>
          <w:rFonts w:ascii="Times New Roman" w:hAnsi="Times New Roman" w:cs="Times New Roman"/>
          <w:sz w:val="24"/>
          <w:szCs w:val="24"/>
        </w:rPr>
      </w:pPr>
      <w:proofErr w:type="spellStart"/>
      <w:r w:rsidRPr="00B23126">
        <w:rPr>
          <w:rFonts w:ascii="Times New Roman" w:hAnsi="Times New Roman" w:cs="Times New Roman"/>
          <w:i/>
          <w:iCs/>
          <w:sz w:val="24"/>
          <w:szCs w:val="24"/>
        </w:rPr>
        <w:t>Solanum</w:t>
      </w:r>
      <w:proofErr w:type="spellEnd"/>
      <w:r w:rsidRPr="00B23126">
        <w:rPr>
          <w:rFonts w:ascii="Times New Roman" w:hAnsi="Times New Roman" w:cs="Times New Roman"/>
          <w:i/>
          <w:iCs/>
          <w:sz w:val="24"/>
          <w:szCs w:val="24"/>
        </w:rPr>
        <w:t xml:space="preserve"> </w:t>
      </w:r>
      <w:proofErr w:type="spellStart"/>
      <w:r w:rsidRPr="00B23126">
        <w:rPr>
          <w:rFonts w:ascii="Times New Roman" w:hAnsi="Times New Roman" w:cs="Times New Roman"/>
          <w:i/>
          <w:iCs/>
          <w:sz w:val="24"/>
          <w:szCs w:val="24"/>
        </w:rPr>
        <w:t>lycopersicum</w:t>
      </w:r>
      <w:proofErr w:type="spellEnd"/>
      <w:r w:rsidRPr="00B23126">
        <w:rPr>
          <w:rFonts w:ascii="Times New Roman" w:hAnsi="Times New Roman" w:cs="Times New Roman"/>
          <w:i/>
          <w:iCs/>
          <w:sz w:val="24"/>
          <w:szCs w:val="24"/>
        </w:rPr>
        <w:t xml:space="preserve">, </w:t>
      </w:r>
      <w:r w:rsidRPr="00B23126">
        <w:rPr>
          <w:rFonts w:ascii="Times New Roman" w:hAnsi="Times New Roman" w:cs="Times New Roman"/>
          <w:iCs/>
          <w:sz w:val="24"/>
          <w:szCs w:val="24"/>
        </w:rPr>
        <w:t>commonly referred to as tomatoes, is a vital dietary component rich in vitamins, minerals, and bioactive compounds which exhibit strong antioxidant properties (</w:t>
      </w:r>
      <w:proofErr w:type="spellStart"/>
      <w:r w:rsidRPr="00661F2F">
        <w:rPr>
          <w:rFonts w:ascii="Times New Roman" w:hAnsi="Times New Roman" w:cs="Times New Roman"/>
          <w:iCs/>
          <w:sz w:val="24"/>
          <w:szCs w:val="24"/>
        </w:rPr>
        <w:t>Giovannucci</w:t>
      </w:r>
      <w:proofErr w:type="spellEnd"/>
      <w:r w:rsidRPr="00661F2F">
        <w:rPr>
          <w:rFonts w:ascii="Times New Roman" w:hAnsi="Times New Roman" w:cs="Times New Roman"/>
          <w:iCs/>
          <w:sz w:val="24"/>
          <w:szCs w:val="24"/>
        </w:rPr>
        <w:t xml:space="preserve"> </w:t>
      </w:r>
      <w:r w:rsidRPr="00661F2F">
        <w:rPr>
          <w:rFonts w:ascii="Times New Roman" w:hAnsi="Times New Roman" w:cs="Times New Roman"/>
          <w:i/>
          <w:iCs/>
          <w:sz w:val="24"/>
          <w:szCs w:val="24"/>
        </w:rPr>
        <w:t>et al</w:t>
      </w:r>
      <w:r w:rsidRPr="00661F2F">
        <w:rPr>
          <w:rFonts w:ascii="Times New Roman" w:hAnsi="Times New Roman" w:cs="Times New Roman"/>
          <w:iCs/>
          <w:sz w:val="24"/>
          <w:szCs w:val="24"/>
        </w:rPr>
        <w:t>., 2002).</w:t>
      </w:r>
      <w:r w:rsidRPr="00B23126">
        <w:rPr>
          <w:rFonts w:ascii="Times New Roman" w:hAnsi="Times New Roman" w:cs="Times New Roman"/>
          <w:iCs/>
          <w:sz w:val="24"/>
          <w:szCs w:val="24"/>
        </w:rPr>
        <w:t xml:space="preserve"> Tomatoes serve as a primary ingredient in various traditional dishes across Nigeria, with stew preparation being a major application. However, in Nigerian markets, consumers have the option to purchase either fresh tomatoes or a cheaper alternative known as </w:t>
      </w:r>
      <w:proofErr w:type="spellStart"/>
      <w:r w:rsidRPr="00B23126">
        <w:rPr>
          <w:rFonts w:ascii="Times New Roman" w:hAnsi="Times New Roman" w:cs="Times New Roman"/>
          <w:iCs/>
          <w:sz w:val="24"/>
          <w:szCs w:val="24"/>
        </w:rPr>
        <w:t>Awarawa</w:t>
      </w:r>
      <w:proofErr w:type="spellEnd"/>
      <w:r w:rsidRPr="00B23126">
        <w:rPr>
          <w:rFonts w:ascii="Times New Roman" w:hAnsi="Times New Roman" w:cs="Times New Roman"/>
          <w:iCs/>
          <w:sz w:val="24"/>
          <w:szCs w:val="24"/>
        </w:rPr>
        <w:t xml:space="preserve"> tomatoes.</w:t>
      </w:r>
      <w:r w:rsidR="00B23126" w:rsidRPr="00B23126">
        <w:rPr>
          <w:rFonts w:ascii="Times New Roman" w:hAnsi="Times New Roman" w:cs="Times New Roman"/>
          <w:iCs/>
          <w:sz w:val="24"/>
          <w:szCs w:val="24"/>
        </w:rPr>
        <w:t xml:space="preserv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are tomatoes that appear weak, slightly damaged, and less visually appealing, often on the verge of spoilage. Despite their compromised appearance, they retain their nutritional and sensory properties when processed immediately. The affordability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makes them a crucial food item for economically disadvantaged individuals, particularly in rural communities such as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in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North, Anambra State. In many Nigerian households, including those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these tomatoes are widely used due to their cost-effectiveness and availability.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a town situated in the northern part of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in Anambra South Senatorial Zone,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serve as an essential ingredient for many families. The town, known for its mixed rural and semi-urban population, is home to Federal Polytechnic,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which contributes to a high demand for affordable food items, particularly among students and low-income earners.</w:t>
      </w:r>
    </w:p>
    <w:p w14:paraId="36C65E50" w14:textId="7C28A1EF" w:rsidR="00D86F7D" w:rsidRPr="00B23126" w:rsidRDefault="009334C9" w:rsidP="00B23126">
      <w:pPr>
        <w:jc w:val="both"/>
        <w:rPr>
          <w:rFonts w:ascii="Times New Roman" w:hAnsi="Times New Roman" w:cs="Times New Roman"/>
          <w:sz w:val="24"/>
          <w:szCs w:val="24"/>
        </w:rPr>
      </w:pPr>
      <w:r w:rsidRPr="00B23126">
        <w:rPr>
          <w:rFonts w:ascii="Times New Roman" w:hAnsi="Times New Roman" w:cs="Times New Roman"/>
          <w:sz w:val="24"/>
          <w:szCs w:val="24"/>
        </w:rPr>
        <w:t>Given th</w:t>
      </w:r>
      <w:r w:rsidR="00B23126" w:rsidRPr="00B23126">
        <w:rPr>
          <w:rFonts w:ascii="Times New Roman" w:hAnsi="Times New Roman" w:cs="Times New Roman"/>
          <w:sz w:val="24"/>
          <w:szCs w:val="24"/>
        </w:rPr>
        <w:t xml:space="preserve">e importance of both fresh and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in Nigerian cuisine, it becomes crucial to investigate how different processing methods, such as boiling and frying, affect their nutritional composition. Additionally, considering the perishable nature of tomatoes, microbial contamination is a major </w:t>
      </w:r>
      <w:r w:rsidR="00B23126" w:rsidRPr="00B23126">
        <w:rPr>
          <w:rFonts w:ascii="Times New Roman" w:hAnsi="Times New Roman" w:cs="Times New Roman"/>
          <w:sz w:val="24"/>
          <w:szCs w:val="24"/>
        </w:rPr>
        <w:t xml:space="preserve">concern, particularly for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which are often exposed to spoilage conditions. Understanding these effects will provide insight into the best processing techniques for maximizing nutrient retention, ensuring food quality, and assessing microbial safety for the Nigerian populace.</w:t>
      </w:r>
      <w:r w:rsidR="00B23126" w:rsidRPr="00B23126">
        <w:rPr>
          <w:rFonts w:ascii="Times New Roman" w:hAnsi="Times New Roman" w:cs="Times New Roman"/>
          <w:sz w:val="24"/>
          <w:szCs w:val="24"/>
        </w:rPr>
        <w:t xml:space="preserve"> </w:t>
      </w:r>
      <w:r w:rsidRPr="00B23126">
        <w:rPr>
          <w:rFonts w:ascii="Times New Roman" w:hAnsi="Times New Roman" w:cs="Times New Roman"/>
          <w:sz w:val="24"/>
          <w:szCs w:val="24"/>
        </w:rPr>
        <w:t>Tomatoes serve as an important source of essential nutrients for many Nigerians, yet their quality and nutritional value can be significantly altere</w:t>
      </w:r>
      <w:r w:rsidR="00B23126" w:rsidRPr="00B23126">
        <w:rPr>
          <w:rFonts w:ascii="Times New Roman" w:hAnsi="Times New Roman" w:cs="Times New Roman"/>
          <w:sz w:val="24"/>
          <w:szCs w:val="24"/>
        </w:rPr>
        <w:t xml:space="preserve">d by processing methods. While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tomatoes are a cheaper alternative to fresh tomatoes, there is limited scientific data on how boiling and frying affect their nutritional profile. Moreover, the microbial safety of these tomatoes remains a concern due to their susceptibility to contamination. This study seeks to bridge this knowledge gap by analyzing the comparative effects of these processing methods on the proximate composition, mineral content, vitamin</w:t>
      </w:r>
      <w:r w:rsidR="00B23126" w:rsidRPr="00B23126">
        <w:rPr>
          <w:rFonts w:ascii="Times New Roman" w:hAnsi="Times New Roman" w:cs="Times New Roman"/>
          <w:sz w:val="24"/>
          <w:szCs w:val="24"/>
        </w:rPr>
        <w:t xml:space="preserve"> levels, and microbial load of </w:t>
      </w:r>
      <w:proofErr w:type="spellStart"/>
      <w:r w:rsidR="00B23126" w:rsidRPr="00B23126">
        <w:rPr>
          <w:rFonts w:ascii="Times New Roman" w:hAnsi="Times New Roman" w:cs="Times New Roman"/>
          <w:sz w:val="24"/>
          <w:szCs w:val="24"/>
        </w:rPr>
        <w:t>a</w:t>
      </w:r>
      <w:r w:rsidRPr="00B23126">
        <w:rPr>
          <w:rFonts w:ascii="Times New Roman" w:hAnsi="Times New Roman" w:cs="Times New Roman"/>
          <w:sz w:val="24"/>
          <w:szCs w:val="24"/>
        </w:rPr>
        <w:t>warawa</w:t>
      </w:r>
      <w:proofErr w:type="spellEnd"/>
      <w:r w:rsidRPr="00B23126">
        <w:rPr>
          <w:rFonts w:ascii="Times New Roman" w:hAnsi="Times New Roman" w:cs="Times New Roman"/>
          <w:sz w:val="24"/>
          <w:szCs w:val="24"/>
        </w:rPr>
        <w:t xml:space="preserve"> and fresh tomatoes commonly sold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markets.</w:t>
      </w:r>
    </w:p>
    <w:p w14:paraId="47AD1A40" w14:textId="3C6B0171" w:rsidR="00734B94" w:rsidRPr="009338CD" w:rsidRDefault="00E264C0" w:rsidP="00B2312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734B94" w:rsidRPr="009338CD">
        <w:rPr>
          <w:rFonts w:ascii="Times New Roman" w:eastAsia="Times New Roman" w:hAnsi="Times New Roman" w:cs="Times New Roman"/>
          <w:b/>
          <w:bCs/>
          <w:sz w:val="24"/>
          <w:szCs w:val="24"/>
        </w:rPr>
        <w:t>Materials and Methods</w:t>
      </w:r>
    </w:p>
    <w:p w14:paraId="56D4DD18" w14:textId="77777777" w:rsidR="00734B94" w:rsidRPr="00B23126" w:rsidRDefault="00734B94" w:rsidP="00B23126">
      <w:pPr>
        <w:jc w:val="both"/>
        <w:rPr>
          <w:rFonts w:ascii="Times New Roman" w:eastAsia="Times New Roman" w:hAnsi="Times New Roman" w:cs="Times New Roman"/>
          <w:bCs/>
          <w:sz w:val="24"/>
          <w:szCs w:val="24"/>
        </w:rPr>
      </w:pPr>
      <w:r w:rsidRPr="009338CD">
        <w:rPr>
          <w:rFonts w:ascii="Times New Roman" w:eastAsia="Times New Roman" w:hAnsi="Times New Roman" w:cs="Times New Roman"/>
          <w:b/>
          <w:bCs/>
          <w:sz w:val="24"/>
          <w:szCs w:val="24"/>
        </w:rPr>
        <w:t>Sample Collection and Preparation</w:t>
      </w:r>
    </w:p>
    <w:p w14:paraId="3F32C560" w14:textId="77777777" w:rsidR="00734B94" w:rsidRPr="00B23126" w:rsidRDefault="00734B94" w:rsidP="00B23126">
      <w:pPr>
        <w:jc w:val="both"/>
        <w:rPr>
          <w:rFonts w:ascii="Times New Roman" w:eastAsia="Times New Roman" w:hAnsi="Times New Roman" w:cs="Times New Roman"/>
          <w:sz w:val="24"/>
          <w:szCs w:val="24"/>
        </w:rPr>
      </w:pPr>
      <w:commentRangeStart w:id="1"/>
      <w:r w:rsidRPr="00B23126">
        <w:rPr>
          <w:rFonts w:ascii="Times New Roman" w:eastAsia="Times New Roman" w:hAnsi="Times New Roman" w:cs="Times New Roman"/>
          <w:sz w:val="24"/>
          <w:szCs w:val="24"/>
        </w:rPr>
        <w:t>Fresh and “</w:t>
      </w:r>
      <w:proofErr w:type="spellStart"/>
      <w:r w:rsidRPr="00B23126">
        <w:rPr>
          <w:rFonts w:ascii="Times New Roman" w:eastAsia="Times New Roman" w:hAnsi="Times New Roman" w:cs="Times New Roman"/>
          <w:sz w:val="24"/>
          <w:szCs w:val="24"/>
        </w:rPr>
        <w:t>Awarawa</w:t>
      </w:r>
      <w:proofErr w:type="spellEnd"/>
      <w:r w:rsidRPr="00B23126">
        <w:rPr>
          <w:rFonts w:ascii="Times New Roman" w:eastAsia="Times New Roman" w:hAnsi="Times New Roman" w:cs="Times New Roman"/>
          <w:sz w:val="24"/>
          <w:szCs w:val="24"/>
        </w:rPr>
        <w:t>” (</w:t>
      </w:r>
      <w:r w:rsidRPr="00B23126">
        <w:rPr>
          <w:rFonts w:ascii="Times New Roman" w:eastAsia="Times New Roman" w:hAnsi="Times New Roman" w:cs="Times New Roman"/>
          <w:i/>
          <w:iCs/>
          <w:sz w:val="24"/>
          <w:szCs w:val="24"/>
        </w:rPr>
        <w:t>partially spoiled</w:t>
      </w:r>
      <w:r w:rsidRPr="00B23126">
        <w:rPr>
          <w:rFonts w:ascii="Times New Roman" w:eastAsia="Times New Roman" w:hAnsi="Times New Roman" w:cs="Times New Roman"/>
          <w:sz w:val="24"/>
          <w:szCs w:val="24"/>
        </w:rPr>
        <w:t>) tomatoes (</w:t>
      </w:r>
      <w:proofErr w:type="spellStart"/>
      <w:r w:rsidRPr="00B23126">
        <w:rPr>
          <w:rFonts w:ascii="Times New Roman" w:eastAsia="Times New Roman" w:hAnsi="Times New Roman" w:cs="Times New Roman"/>
          <w:i/>
          <w:iCs/>
          <w:sz w:val="24"/>
          <w:szCs w:val="24"/>
        </w:rPr>
        <w:t>Solanum</w:t>
      </w:r>
      <w:proofErr w:type="spellEnd"/>
      <w:r w:rsidRPr="00B23126">
        <w:rPr>
          <w:rFonts w:ascii="Times New Roman" w:eastAsia="Times New Roman" w:hAnsi="Times New Roman" w:cs="Times New Roman"/>
          <w:i/>
          <w:iCs/>
          <w:sz w:val="24"/>
          <w:szCs w:val="24"/>
        </w:rPr>
        <w:t xml:space="preserve"> </w:t>
      </w:r>
      <w:proofErr w:type="spellStart"/>
      <w:r w:rsidRPr="00B23126">
        <w:rPr>
          <w:rFonts w:ascii="Times New Roman" w:eastAsia="Times New Roman" w:hAnsi="Times New Roman" w:cs="Times New Roman"/>
          <w:i/>
          <w:iCs/>
          <w:sz w:val="24"/>
          <w:szCs w:val="24"/>
        </w:rPr>
        <w:t>lycopersicum</w:t>
      </w:r>
      <w:proofErr w:type="spellEnd"/>
      <w:r w:rsidRPr="00B23126">
        <w:rPr>
          <w:rFonts w:ascii="Times New Roman" w:eastAsia="Times New Roman" w:hAnsi="Times New Roman" w:cs="Times New Roman"/>
          <w:sz w:val="24"/>
          <w:szCs w:val="24"/>
        </w:rPr>
        <w:t xml:space="preserve">) were purchased </w:t>
      </w:r>
      <w:commentRangeEnd w:id="1"/>
      <w:r w:rsidR="00BC1860">
        <w:rPr>
          <w:rStyle w:val="CommentReference"/>
        </w:rPr>
        <w:commentReference w:id="1"/>
      </w:r>
      <w:r w:rsidRPr="00B23126">
        <w:rPr>
          <w:rFonts w:ascii="Times New Roman" w:eastAsia="Times New Roman" w:hAnsi="Times New Roman" w:cs="Times New Roman"/>
          <w:sz w:val="24"/>
          <w:szCs w:val="24"/>
        </w:rPr>
        <w:t xml:space="preserve">from local markets in </w:t>
      </w:r>
      <w:proofErr w:type="spellStart"/>
      <w:r w:rsidRPr="00B23126">
        <w:rPr>
          <w:rFonts w:ascii="Times New Roman" w:eastAsia="Times New Roman" w:hAnsi="Times New Roman" w:cs="Times New Roman"/>
          <w:sz w:val="24"/>
          <w:szCs w:val="24"/>
        </w:rPr>
        <w:t>Oko</w:t>
      </w:r>
      <w:proofErr w:type="spellEnd"/>
      <w:r w:rsidRPr="00B23126">
        <w:rPr>
          <w:rFonts w:ascii="Times New Roman" w:eastAsia="Times New Roman" w:hAnsi="Times New Roman" w:cs="Times New Roman"/>
          <w:sz w:val="24"/>
          <w:szCs w:val="24"/>
        </w:rPr>
        <w:t xml:space="preserve">, </w:t>
      </w:r>
      <w:proofErr w:type="spellStart"/>
      <w:r w:rsidRPr="00B23126">
        <w:rPr>
          <w:rFonts w:ascii="Times New Roman" w:eastAsia="Times New Roman" w:hAnsi="Times New Roman" w:cs="Times New Roman"/>
          <w:sz w:val="24"/>
          <w:szCs w:val="24"/>
        </w:rPr>
        <w:t>Orumba</w:t>
      </w:r>
      <w:proofErr w:type="spellEnd"/>
      <w:r w:rsidRPr="00B23126">
        <w:rPr>
          <w:rFonts w:ascii="Times New Roman" w:eastAsia="Times New Roman" w:hAnsi="Times New Roman" w:cs="Times New Roman"/>
          <w:sz w:val="24"/>
          <w:szCs w:val="24"/>
        </w:rPr>
        <w:t xml:space="preserve"> North, Anambra State, Nigeria. Samples were placed in sterile containers, labeled, and transported to the laboratory. They were washed under running </w:t>
      </w:r>
      <w:r w:rsidRPr="00B23126">
        <w:rPr>
          <w:rFonts w:ascii="Times New Roman" w:eastAsia="Times New Roman" w:hAnsi="Times New Roman" w:cs="Times New Roman"/>
          <w:sz w:val="24"/>
          <w:szCs w:val="24"/>
        </w:rPr>
        <w:lastRenderedPageBreak/>
        <w:t>tap water, rinsed with distilled water, cut into pieces, and divided into two portions. One portion was boiled in clean water for 10–15 min, while the other was fried in vegetable oil under moderate heat until cooked. After cooling, samples were homogenized, oven-dried where necessary, milled to fine powder, and stored in airtight containers for analysis.</w:t>
      </w:r>
    </w:p>
    <w:p w14:paraId="19CABDAF" w14:textId="7BCF74BC"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Proximate Composition</w:t>
      </w:r>
    </w:p>
    <w:p w14:paraId="11DB92D5" w14:textId="4D5AE444"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Proximate parameters (moisture, ash, crude protein, lipid, fiber, and carbohydrate) were determined in duplicate following the standard procedures of </w:t>
      </w:r>
      <w:r w:rsidRPr="00661F2F">
        <w:rPr>
          <w:rFonts w:ascii="Times New Roman" w:eastAsia="Times New Roman" w:hAnsi="Times New Roman" w:cs="Times New Roman"/>
          <w:sz w:val="24"/>
          <w:szCs w:val="24"/>
        </w:rPr>
        <w:t>AOAC (201</w:t>
      </w:r>
      <w:r w:rsidR="00312A8C" w:rsidRPr="00661F2F">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Moisture and ash contents were obtained by oven-drying and muffle furnace incineration, respectively. Crude protein was analyzed using the </w:t>
      </w:r>
      <w:proofErr w:type="spellStart"/>
      <w:r w:rsidRPr="00B23126">
        <w:rPr>
          <w:rFonts w:ascii="Times New Roman" w:eastAsia="Times New Roman" w:hAnsi="Times New Roman" w:cs="Times New Roman"/>
          <w:sz w:val="24"/>
          <w:szCs w:val="24"/>
        </w:rPr>
        <w:t>Kjeldahl</w:t>
      </w:r>
      <w:proofErr w:type="spellEnd"/>
      <w:r w:rsidRPr="00B23126">
        <w:rPr>
          <w:rFonts w:ascii="Times New Roman" w:eastAsia="Times New Roman" w:hAnsi="Times New Roman" w:cs="Times New Roman"/>
          <w:sz w:val="24"/>
          <w:szCs w:val="24"/>
        </w:rPr>
        <w:t xml:space="preserve"> method (conversion factor = 6.25), lipid by Soxhlet extraction with </w:t>
      </w:r>
      <w:r w:rsidRPr="00B23126">
        <w:rPr>
          <w:rFonts w:ascii="Times New Roman" w:eastAsia="Times New Roman" w:hAnsi="Times New Roman" w:cs="Times New Roman"/>
          <w:i/>
          <w:iCs/>
          <w:sz w:val="24"/>
          <w:szCs w:val="24"/>
        </w:rPr>
        <w:t>n</w:t>
      </w:r>
      <w:r w:rsidRPr="00B23126">
        <w:rPr>
          <w:rFonts w:ascii="Times New Roman" w:eastAsia="Times New Roman" w:hAnsi="Times New Roman" w:cs="Times New Roman"/>
          <w:sz w:val="24"/>
          <w:szCs w:val="24"/>
        </w:rPr>
        <w:t>-hexane, and crude fiber by sequential acid–base digestion. Total carbohydrate was calculated by difference.</w:t>
      </w:r>
    </w:p>
    <w:p w14:paraId="2F9CA7F5"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Vitamin Analysis</w:t>
      </w:r>
    </w:p>
    <w:p w14:paraId="27E42CC9" w14:textId="7D8F63AE"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Vitamins A and E were extracted by alcoholic saponification, followed by petroleum ether extraction and spectrophotometric quantification at 520 nm. Water-soluble vitamins (B₁, B₂, B₃, B₇, B₉, and C) w</w:t>
      </w:r>
      <w:r w:rsidR="00B23126">
        <w:rPr>
          <w:rFonts w:ascii="Times New Roman" w:eastAsia="Times New Roman" w:hAnsi="Times New Roman" w:cs="Times New Roman"/>
          <w:sz w:val="24"/>
          <w:szCs w:val="24"/>
        </w:rPr>
        <w:t>ere extracted using 0.1 N HCl and</w:t>
      </w:r>
      <w:r w:rsidRPr="00B23126">
        <w:rPr>
          <w:rFonts w:ascii="Times New Roman" w:eastAsia="Times New Roman" w:hAnsi="Times New Roman" w:cs="Times New Roman"/>
          <w:sz w:val="24"/>
          <w:szCs w:val="24"/>
        </w:rPr>
        <w:t xml:space="preserve"> phosphate buffer</w:t>
      </w:r>
      <w:r w:rsidR="00B23126">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and quantified spectrophotometrically using </w:t>
      </w:r>
      <w:r w:rsidRPr="00661F2F">
        <w:rPr>
          <w:rFonts w:ascii="Times New Roman" w:eastAsia="Times New Roman" w:hAnsi="Times New Roman" w:cs="Times New Roman"/>
          <w:sz w:val="24"/>
          <w:szCs w:val="24"/>
        </w:rPr>
        <w:t>AOAC (201</w:t>
      </w:r>
      <w:r w:rsidR="00661F2F" w:rsidRPr="00661F2F">
        <w:rPr>
          <w:rFonts w:ascii="Times New Roman" w:eastAsia="Times New Roman" w:hAnsi="Times New Roman" w:cs="Times New Roman"/>
          <w:sz w:val="24"/>
          <w:szCs w:val="24"/>
        </w:rPr>
        <w:t>5</w:t>
      </w:r>
      <w:r w:rsidRPr="00661F2F">
        <w:rPr>
          <w:rFonts w:ascii="Times New Roman" w:eastAsia="Times New Roman" w:hAnsi="Times New Roman" w:cs="Times New Roman"/>
          <w:sz w:val="24"/>
          <w:szCs w:val="24"/>
        </w:rPr>
        <w:t>)</w:t>
      </w:r>
      <w:r w:rsidRPr="00B23126">
        <w:rPr>
          <w:rFonts w:ascii="Times New Roman" w:eastAsia="Times New Roman" w:hAnsi="Times New Roman" w:cs="Times New Roman"/>
          <w:sz w:val="24"/>
          <w:szCs w:val="24"/>
        </w:rPr>
        <w:t xml:space="preserve"> methods. Vitamin C was determined by titration with 2,6-dichlorophenolindophenol dye.</w:t>
      </w:r>
    </w:p>
    <w:p w14:paraId="7796D922"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Mineral Determination</w:t>
      </w:r>
    </w:p>
    <w:p w14:paraId="7114DD71" w14:textId="5866CBD9"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Two grams of each dried sample were digested with an acid mixture</w:t>
      </w:r>
      <w:r w:rsidR="00B23126">
        <w:rPr>
          <w:rFonts w:ascii="Times New Roman" w:eastAsia="Times New Roman" w:hAnsi="Times New Roman" w:cs="Times New Roman"/>
          <w:sz w:val="24"/>
          <w:szCs w:val="24"/>
        </w:rPr>
        <w:t xml:space="preserve"> (HNO₃:</w:t>
      </w:r>
      <w:proofErr w:type="spellStart"/>
      <w:r w:rsidR="00B23126">
        <w:rPr>
          <w:rFonts w:ascii="Times New Roman" w:eastAsia="Times New Roman" w:hAnsi="Times New Roman" w:cs="Times New Roman"/>
          <w:sz w:val="24"/>
          <w:szCs w:val="24"/>
        </w:rPr>
        <w:t>HClO</w:t>
      </w:r>
      <w:proofErr w:type="spellEnd"/>
      <w:r w:rsidR="00B23126">
        <w:rPr>
          <w:rFonts w:ascii="Times New Roman" w:eastAsia="Times New Roman" w:hAnsi="Times New Roman" w:cs="Times New Roman"/>
          <w:sz w:val="24"/>
          <w:szCs w:val="24"/>
        </w:rPr>
        <w:t>₄:H₂SO₄, 650:80:20 ml</w:t>
      </w:r>
      <w:r w:rsidRPr="00B23126">
        <w:rPr>
          <w:rFonts w:ascii="Times New Roman" w:eastAsia="Times New Roman" w:hAnsi="Times New Roman" w:cs="Times New Roman"/>
          <w:sz w:val="24"/>
          <w:szCs w:val="24"/>
        </w:rPr>
        <w:t xml:space="preserve">). Iron, zinc, calcium, magnesium, sodium, potassium, and phosphorus concentrations were quantified using an Agilent FS240AA Atomic Absorption Spectrophotometer (AAS) following </w:t>
      </w:r>
      <w:r w:rsidRPr="00A935B9">
        <w:rPr>
          <w:rFonts w:ascii="Times New Roman" w:eastAsia="Times New Roman" w:hAnsi="Times New Roman" w:cs="Times New Roman"/>
          <w:sz w:val="24"/>
          <w:szCs w:val="24"/>
        </w:rPr>
        <w:t>APHA (1995)</w:t>
      </w:r>
      <w:r w:rsidRPr="00B23126">
        <w:rPr>
          <w:rFonts w:ascii="Times New Roman" w:eastAsia="Times New Roman" w:hAnsi="Times New Roman" w:cs="Times New Roman"/>
          <w:sz w:val="24"/>
          <w:szCs w:val="24"/>
        </w:rPr>
        <w:t xml:space="preserve"> procedures. Calibration curves were prepared from certified standard solutions.</w:t>
      </w:r>
    </w:p>
    <w:p w14:paraId="48802E10"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Microbiological Analysis</w:t>
      </w:r>
    </w:p>
    <w:p w14:paraId="7873F8F2" w14:textId="4B1A815E" w:rsidR="00734B94"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Microbial quality was assessed using culture-based methods </w:t>
      </w:r>
      <w:r w:rsidRPr="00873A2D">
        <w:rPr>
          <w:rFonts w:ascii="Times New Roman" w:eastAsia="Times New Roman" w:hAnsi="Times New Roman" w:cs="Times New Roman"/>
          <w:sz w:val="24"/>
          <w:szCs w:val="24"/>
        </w:rPr>
        <w:t>(</w:t>
      </w:r>
      <w:proofErr w:type="spellStart"/>
      <w:r w:rsidRPr="00873A2D">
        <w:rPr>
          <w:rFonts w:ascii="Times New Roman" w:eastAsia="Times New Roman" w:hAnsi="Times New Roman" w:cs="Times New Roman"/>
          <w:sz w:val="24"/>
          <w:szCs w:val="24"/>
        </w:rPr>
        <w:t>Cheesbrough</w:t>
      </w:r>
      <w:proofErr w:type="spellEnd"/>
      <w:r w:rsidRPr="00873A2D">
        <w:rPr>
          <w:rFonts w:ascii="Times New Roman" w:eastAsia="Times New Roman" w:hAnsi="Times New Roman" w:cs="Times New Roman"/>
          <w:sz w:val="24"/>
          <w:szCs w:val="24"/>
        </w:rPr>
        <w:t xml:space="preserve">, 2000; </w:t>
      </w:r>
      <w:r w:rsidR="00AD2666" w:rsidRPr="00873A2D">
        <w:rPr>
          <w:rFonts w:ascii="Times New Roman" w:eastAsia="Times New Roman" w:hAnsi="Times New Roman" w:cs="Times New Roman"/>
          <w:sz w:val="24"/>
          <w:szCs w:val="24"/>
        </w:rPr>
        <w:t>Buchanan, &amp; Gibbons. 1974)</w:t>
      </w:r>
      <w:r w:rsidRPr="00B23126">
        <w:rPr>
          <w:rFonts w:ascii="Times New Roman" w:eastAsia="Times New Roman" w:hAnsi="Times New Roman" w:cs="Times New Roman"/>
          <w:sz w:val="24"/>
          <w:szCs w:val="24"/>
        </w:rPr>
        <w:t xml:space="preserve">. Ten grams of each sample were homogenized in sterile distilled water, serially diluted, and plated on selective media: Nutrient Agar (total viable count), </w:t>
      </w:r>
      <w:proofErr w:type="spellStart"/>
      <w:r w:rsidRPr="00B23126">
        <w:rPr>
          <w:rFonts w:ascii="Times New Roman" w:eastAsia="Times New Roman" w:hAnsi="Times New Roman" w:cs="Times New Roman"/>
          <w:sz w:val="24"/>
          <w:szCs w:val="24"/>
        </w:rPr>
        <w:t>Sabouraud</w:t>
      </w:r>
      <w:proofErr w:type="spellEnd"/>
      <w:r w:rsidRPr="00B23126">
        <w:rPr>
          <w:rFonts w:ascii="Times New Roman" w:eastAsia="Times New Roman" w:hAnsi="Times New Roman" w:cs="Times New Roman"/>
          <w:sz w:val="24"/>
          <w:szCs w:val="24"/>
        </w:rPr>
        <w:t xml:space="preserve"> Dextrose Agar (yeast/mold count), MacConkey Agar (coliforms), Eosin Methylene Blue Agar (</w:t>
      </w:r>
      <w:r w:rsidRPr="00B23126">
        <w:rPr>
          <w:rFonts w:ascii="Times New Roman" w:eastAsia="Times New Roman" w:hAnsi="Times New Roman" w:cs="Times New Roman"/>
          <w:i/>
          <w:iCs/>
          <w:sz w:val="24"/>
          <w:szCs w:val="24"/>
        </w:rPr>
        <w:t>E. coli</w:t>
      </w:r>
      <w:r w:rsidRPr="00B23126">
        <w:rPr>
          <w:rFonts w:ascii="Times New Roman" w:eastAsia="Times New Roman" w:hAnsi="Times New Roman" w:cs="Times New Roman"/>
          <w:sz w:val="24"/>
          <w:szCs w:val="24"/>
        </w:rPr>
        <w:t>), Salmonella–Shigella Agar (</w:t>
      </w:r>
      <w:r w:rsidRPr="00B23126">
        <w:rPr>
          <w:rFonts w:ascii="Times New Roman" w:eastAsia="Times New Roman" w:hAnsi="Times New Roman" w:cs="Times New Roman"/>
          <w:i/>
          <w:iCs/>
          <w:sz w:val="24"/>
          <w:szCs w:val="24"/>
        </w:rPr>
        <w:t>Salmonella</w:t>
      </w:r>
      <w:r w:rsidRPr="00B23126">
        <w:rPr>
          <w:rFonts w:ascii="Times New Roman" w:eastAsia="Times New Roman" w:hAnsi="Times New Roman" w:cs="Times New Roman"/>
          <w:sz w:val="24"/>
          <w:szCs w:val="24"/>
        </w:rPr>
        <w:t xml:space="preserve"> spp.), and Mannitol Salt Agar (</w:t>
      </w:r>
      <w:r w:rsidRPr="00B23126">
        <w:rPr>
          <w:rFonts w:ascii="Times New Roman" w:eastAsia="Times New Roman" w:hAnsi="Times New Roman" w:cs="Times New Roman"/>
          <w:i/>
          <w:iCs/>
          <w:sz w:val="24"/>
          <w:szCs w:val="24"/>
        </w:rPr>
        <w:t>Staphylococcus aureus</w:t>
      </w:r>
      <w:r w:rsidRPr="00B23126">
        <w:rPr>
          <w:rFonts w:ascii="Times New Roman" w:eastAsia="Times New Roman" w:hAnsi="Times New Roman" w:cs="Times New Roman"/>
          <w:sz w:val="24"/>
          <w:szCs w:val="24"/>
        </w:rPr>
        <w:t>). Plates were incubated at 25°C or 37°C as appropriate. Representative isolates were identified by Gram staining and biochemical tests including catalase, oxidase, coagulase, indole, citrate, and sugar fermentation assays.</w:t>
      </w:r>
    </w:p>
    <w:p w14:paraId="142253A7" w14:textId="77777777" w:rsidR="00734B94" w:rsidRPr="00B23126" w:rsidRDefault="00734B94" w:rsidP="00B23126">
      <w:pPr>
        <w:jc w:val="both"/>
        <w:rPr>
          <w:rFonts w:ascii="Times New Roman" w:eastAsia="Times New Roman" w:hAnsi="Times New Roman" w:cs="Times New Roman"/>
          <w:b/>
          <w:bCs/>
          <w:sz w:val="24"/>
          <w:szCs w:val="24"/>
        </w:rPr>
      </w:pPr>
      <w:r w:rsidRPr="00B23126">
        <w:rPr>
          <w:rFonts w:ascii="Times New Roman" w:eastAsia="Times New Roman" w:hAnsi="Times New Roman" w:cs="Times New Roman"/>
          <w:b/>
          <w:bCs/>
          <w:sz w:val="24"/>
          <w:szCs w:val="24"/>
        </w:rPr>
        <w:t>Statistical Analysis</w:t>
      </w:r>
    </w:p>
    <w:p w14:paraId="1BADAAFC" w14:textId="1BAE0C14" w:rsidR="009334C9" w:rsidRPr="00B23126" w:rsidRDefault="00734B94" w:rsidP="00B23126">
      <w:pPr>
        <w:jc w:val="both"/>
        <w:rPr>
          <w:rFonts w:ascii="Times New Roman" w:eastAsia="Times New Roman" w:hAnsi="Times New Roman" w:cs="Times New Roman"/>
          <w:sz w:val="24"/>
          <w:szCs w:val="24"/>
        </w:rPr>
      </w:pPr>
      <w:r w:rsidRPr="00B23126">
        <w:rPr>
          <w:rFonts w:ascii="Times New Roman" w:eastAsia="Times New Roman" w:hAnsi="Times New Roman" w:cs="Times New Roman"/>
          <w:sz w:val="24"/>
          <w:szCs w:val="24"/>
        </w:rPr>
        <w:t xml:space="preserve">All analyses were performed in duplicate, and results expressed as mean ± standard deviation. </w:t>
      </w:r>
    </w:p>
    <w:p w14:paraId="3E4C0E29" w14:textId="44580D24"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3. </w:t>
      </w:r>
      <w:r w:rsidR="00734B94" w:rsidRPr="006905C0">
        <w:rPr>
          <w:rFonts w:ascii="Times New Roman" w:hAnsi="Times New Roman" w:cs="Times New Roman"/>
          <w:b/>
          <w:sz w:val="24"/>
          <w:szCs w:val="24"/>
        </w:rPr>
        <w:t>Results</w:t>
      </w:r>
    </w:p>
    <w:p w14:paraId="28EA2468" w14:textId="77777777" w:rsidR="006905C0" w:rsidRPr="00670803" w:rsidRDefault="006905C0" w:rsidP="006905C0">
      <w:pPr>
        <w:jc w:val="both"/>
        <w:rPr>
          <w:rFonts w:ascii="Times New Roman" w:hAnsi="Times New Roman" w:cs="Times New Roman"/>
          <w:b/>
          <w:sz w:val="24"/>
          <w:szCs w:val="24"/>
        </w:rPr>
      </w:pPr>
      <w:commentRangeStart w:id="2"/>
      <w:r w:rsidRPr="00670803">
        <w:rPr>
          <w:rFonts w:ascii="Times New Roman" w:hAnsi="Times New Roman" w:cs="Times New Roman"/>
          <w:b/>
          <w:sz w:val="24"/>
          <w:szCs w:val="24"/>
        </w:rPr>
        <w:t>Proximate Composition</w:t>
      </w:r>
      <w:commentRangeEnd w:id="2"/>
      <w:r w:rsidR="00BC1860">
        <w:rPr>
          <w:rStyle w:val="CommentReference"/>
        </w:rPr>
        <w:commentReference w:id="2"/>
      </w:r>
    </w:p>
    <w:p w14:paraId="715B9ABC" w14:textId="51B59DA0" w:rsidR="00734B94" w:rsidRPr="00B23126"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proximate composition of the tomato samples varied with processing method (Table 1). Moisture content was highest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(39.71%) and lowest in fried fresh tomatoes (21.18%), indicating greater water retention during boiling. Protein content peaked </w:t>
      </w:r>
      <w:r w:rsidRPr="00592405">
        <w:rPr>
          <w:rFonts w:ascii="Times New Roman" w:hAnsi="Times New Roman" w:cs="Times New Roman"/>
          <w:sz w:val="24"/>
          <w:szCs w:val="24"/>
        </w:rPr>
        <w:lastRenderedPageBreak/>
        <w:t xml:space="preserve">in boiled fresh tomatoes (19.54%), while lipid levels were markedly higher in fried samples, particularly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(13.66%), due to oil absorption during frying. Fiber and ash contents were also relatively higher in boiled fresh tomatoes, reflecting enhanced dietary fiber and mineral availability. Carbohydrate content ranged from 12.16%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to 23.65% in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with fried samples generally exhibiting higher values than boiled ones, likely as a result of moisture loss and concentration during frying, whereas boiling may have reduced carbohydrate levels through leaching into cooking water.</w:t>
      </w:r>
    </w:p>
    <w:p w14:paraId="52A144C5"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1: P</w:t>
      </w:r>
      <w:r w:rsidR="00734B94" w:rsidRPr="00B23126">
        <w:rPr>
          <w:rFonts w:ascii="Times New Roman" w:hAnsi="Times New Roman" w:cs="Times New Roman"/>
          <w:sz w:val="24"/>
          <w:szCs w:val="24"/>
        </w:rPr>
        <w:t xml:space="preserve">roximate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2079"/>
        <w:gridCol w:w="2079"/>
        <w:gridCol w:w="2079"/>
        <w:gridCol w:w="1404"/>
      </w:tblGrid>
      <w:tr w:rsidR="00734B94" w:rsidRPr="00B23126" w14:paraId="7B982105" w14:textId="77777777" w:rsidTr="00D4295F">
        <w:trPr>
          <w:trHeight w:val="458"/>
        </w:trPr>
        <w:tc>
          <w:tcPr>
            <w:tcW w:w="2081" w:type="dxa"/>
            <w:tcBorders>
              <w:top w:val="single" w:sz="4" w:space="0" w:color="auto"/>
              <w:bottom w:val="single" w:sz="4" w:space="0" w:color="auto"/>
            </w:tcBorders>
          </w:tcPr>
          <w:p w14:paraId="1C2CB26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Parameters (%)</w:t>
            </w:r>
          </w:p>
        </w:tc>
        <w:tc>
          <w:tcPr>
            <w:tcW w:w="2081" w:type="dxa"/>
            <w:tcBorders>
              <w:top w:val="single" w:sz="4" w:space="0" w:color="auto"/>
              <w:bottom w:val="single" w:sz="4" w:space="0" w:color="auto"/>
            </w:tcBorders>
          </w:tcPr>
          <w:p w14:paraId="79C4FD8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2081" w:type="dxa"/>
            <w:tcBorders>
              <w:top w:val="single" w:sz="4" w:space="0" w:color="auto"/>
              <w:bottom w:val="single" w:sz="4" w:space="0" w:color="auto"/>
            </w:tcBorders>
          </w:tcPr>
          <w:p w14:paraId="153ECAE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2081" w:type="dxa"/>
            <w:tcBorders>
              <w:top w:val="single" w:sz="4" w:space="0" w:color="auto"/>
              <w:bottom w:val="single" w:sz="4" w:space="0" w:color="auto"/>
            </w:tcBorders>
          </w:tcPr>
          <w:p w14:paraId="24FBF0C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396" w:type="dxa"/>
            <w:tcBorders>
              <w:top w:val="single" w:sz="4" w:space="0" w:color="auto"/>
              <w:bottom w:val="single" w:sz="4" w:space="0" w:color="auto"/>
            </w:tcBorders>
          </w:tcPr>
          <w:p w14:paraId="705157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06158D2" w14:textId="77777777" w:rsidTr="00D4295F">
        <w:trPr>
          <w:trHeight w:val="350"/>
        </w:trPr>
        <w:tc>
          <w:tcPr>
            <w:tcW w:w="2081" w:type="dxa"/>
            <w:tcBorders>
              <w:top w:val="single" w:sz="4" w:space="0" w:color="auto"/>
            </w:tcBorders>
          </w:tcPr>
          <w:p w14:paraId="1637BF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Moisture</w:t>
            </w:r>
          </w:p>
        </w:tc>
        <w:tc>
          <w:tcPr>
            <w:tcW w:w="2081" w:type="dxa"/>
            <w:tcBorders>
              <w:top w:val="single" w:sz="4" w:space="0" w:color="auto"/>
            </w:tcBorders>
          </w:tcPr>
          <w:p w14:paraId="73BCF6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27.43 ± 0.42</w:t>
            </w:r>
          </w:p>
        </w:tc>
        <w:tc>
          <w:tcPr>
            <w:tcW w:w="2081" w:type="dxa"/>
            <w:tcBorders>
              <w:top w:val="single" w:sz="4" w:space="0" w:color="auto"/>
            </w:tcBorders>
          </w:tcPr>
          <w:p w14:paraId="333C96F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39.71 ± 0.03</w:t>
            </w:r>
          </w:p>
        </w:tc>
        <w:tc>
          <w:tcPr>
            <w:tcW w:w="2081" w:type="dxa"/>
            <w:tcBorders>
              <w:top w:val="single" w:sz="4" w:space="0" w:color="auto"/>
            </w:tcBorders>
          </w:tcPr>
          <w:p w14:paraId="3677E57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22.10 ± 0.05</w:t>
            </w:r>
          </w:p>
        </w:tc>
        <w:tc>
          <w:tcPr>
            <w:tcW w:w="1396" w:type="dxa"/>
            <w:tcBorders>
              <w:top w:val="single" w:sz="4" w:space="0" w:color="auto"/>
            </w:tcBorders>
          </w:tcPr>
          <w:p w14:paraId="30AB8D8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21.18 ± 0.02</w:t>
            </w:r>
          </w:p>
        </w:tc>
      </w:tr>
      <w:tr w:rsidR="00734B94" w:rsidRPr="00B23126" w14:paraId="48272A25" w14:textId="77777777" w:rsidTr="00D4295F">
        <w:trPr>
          <w:trHeight w:val="270"/>
        </w:trPr>
        <w:tc>
          <w:tcPr>
            <w:tcW w:w="2081" w:type="dxa"/>
          </w:tcPr>
          <w:p w14:paraId="719955E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Protein</w:t>
            </w:r>
          </w:p>
        </w:tc>
        <w:tc>
          <w:tcPr>
            <w:tcW w:w="2081" w:type="dxa"/>
          </w:tcPr>
          <w:p w14:paraId="2280F15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16.74 ± 0.16</w:t>
            </w:r>
          </w:p>
        </w:tc>
        <w:tc>
          <w:tcPr>
            <w:tcW w:w="2081" w:type="dxa"/>
          </w:tcPr>
          <w:p w14:paraId="47B80EB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18.74 ± 0.20</w:t>
            </w:r>
          </w:p>
        </w:tc>
        <w:tc>
          <w:tcPr>
            <w:tcW w:w="2081" w:type="dxa"/>
          </w:tcPr>
          <w:p w14:paraId="7B1885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19.54 ± 0.12</w:t>
            </w:r>
          </w:p>
        </w:tc>
        <w:tc>
          <w:tcPr>
            <w:tcW w:w="1396" w:type="dxa"/>
          </w:tcPr>
          <w:p w14:paraId="76D7997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14.97 ± 0.32</w:t>
            </w:r>
          </w:p>
        </w:tc>
      </w:tr>
      <w:tr w:rsidR="00734B94" w:rsidRPr="00B23126" w14:paraId="42ABDB78" w14:textId="77777777" w:rsidTr="00D4295F">
        <w:trPr>
          <w:trHeight w:val="162"/>
        </w:trPr>
        <w:tc>
          <w:tcPr>
            <w:tcW w:w="2081" w:type="dxa"/>
          </w:tcPr>
          <w:p w14:paraId="2188A50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Lipid</w:t>
            </w:r>
          </w:p>
        </w:tc>
        <w:tc>
          <w:tcPr>
            <w:tcW w:w="2081" w:type="dxa"/>
          </w:tcPr>
          <w:p w14:paraId="12300AB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13.66 ± 0.08</w:t>
            </w:r>
          </w:p>
        </w:tc>
        <w:tc>
          <w:tcPr>
            <w:tcW w:w="2081" w:type="dxa"/>
          </w:tcPr>
          <w:p w14:paraId="5817A3A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3.50 ± 0.14</w:t>
            </w:r>
          </w:p>
        </w:tc>
        <w:tc>
          <w:tcPr>
            <w:tcW w:w="2081" w:type="dxa"/>
          </w:tcPr>
          <w:p w14:paraId="1DEF59E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2.84 ± 0.11</w:t>
            </w:r>
          </w:p>
        </w:tc>
        <w:tc>
          <w:tcPr>
            <w:tcW w:w="1396" w:type="dxa"/>
          </w:tcPr>
          <w:p w14:paraId="02599B6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11.64 ± 0.04</w:t>
            </w:r>
          </w:p>
        </w:tc>
      </w:tr>
      <w:tr w:rsidR="00734B94" w:rsidRPr="00B23126" w14:paraId="032C1786" w14:textId="77777777" w:rsidTr="00D4295F">
        <w:trPr>
          <w:trHeight w:val="252"/>
        </w:trPr>
        <w:tc>
          <w:tcPr>
            <w:tcW w:w="2081" w:type="dxa"/>
          </w:tcPr>
          <w:p w14:paraId="560F59A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Fiber</w:t>
            </w:r>
          </w:p>
        </w:tc>
        <w:tc>
          <w:tcPr>
            <w:tcW w:w="2081" w:type="dxa"/>
          </w:tcPr>
          <w:p w14:paraId="25EEF1A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8.34 ± 0.28</w:t>
            </w:r>
          </w:p>
        </w:tc>
        <w:tc>
          <w:tcPr>
            <w:tcW w:w="2081" w:type="dxa"/>
          </w:tcPr>
          <w:p w14:paraId="5AB8431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11.47 ± 0.04</w:t>
            </w:r>
          </w:p>
        </w:tc>
        <w:tc>
          <w:tcPr>
            <w:tcW w:w="2081" w:type="dxa"/>
          </w:tcPr>
          <w:p w14:paraId="69F1C90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18.19 ± 0.08</w:t>
            </w:r>
          </w:p>
        </w:tc>
        <w:tc>
          <w:tcPr>
            <w:tcW w:w="1396" w:type="dxa"/>
          </w:tcPr>
          <w:p w14:paraId="7BB8FF6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12.22 ± 0.08</w:t>
            </w:r>
          </w:p>
        </w:tc>
      </w:tr>
      <w:tr w:rsidR="00734B94" w:rsidRPr="00B23126" w14:paraId="2FEC14C0" w14:textId="77777777" w:rsidTr="00D4295F">
        <w:trPr>
          <w:trHeight w:val="162"/>
        </w:trPr>
        <w:tc>
          <w:tcPr>
            <w:tcW w:w="2081" w:type="dxa"/>
          </w:tcPr>
          <w:p w14:paraId="4D8F2D3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Ash</w:t>
            </w:r>
          </w:p>
        </w:tc>
        <w:tc>
          <w:tcPr>
            <w:tcW w:w="2081" w:type="dxa"/>
          </w:tcPr>
          <w:p w14:paraId="08C5B5E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10.20 ± 0.07</w:t>
            </w:r>
          </w:p>
        </w:tc>
        <w:tc>
          <w:tcPr>
            <w:tcW w:w="2081" w:type="dxa"/>
          </w:tcPr>
          <w:p w14:paraId="23DF33A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14.43 ± 0.11</w:t>
            </w:r>
          </w:p>
        </w:tc>
        <w:tc>
          <w:tcPr>
            <w:tcW w:w="2081" w:type="dxa"/>
          </w:tcPr>
          <w:p w14:paraId="44CC9ED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21.10 ± 0.21</w:t>
            </w:r>
          </w:p>
        </w:tc>
        <w:tc>
          <w:tcPr>
            <w:tcW w:w="1396" w:type="dxa"/>
          </w:tcPr>
          <w:p w14:paraId="78F6D23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17.99 ± 0.14</w:t>
            </w:r>
          </w:p>
        </w:tc>
      </w:tr>
      <w:tr w:rsidR="00734B94" w:rsidRPr="00B23126" w14:paraId="17A15366" w14:textId="77777777" w:rsidTr="00D4295F">
        <w:trPr>
          <w:trHeight w:val="333"/>
        </w:trPr>
        <w:tc>
          <w:tcPr>
            <w:tcW w:w="2081" w:type="dxa"/>
          </w:tcPr>
          <w:p w14:paraId="0EE4D23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Carbohydrate</w:t>
            </w:r>
          </w:p>
        </w:tc>
        <w:tc>
          <w:tcPr>
            <w:tcW w:w="2081" w:type="dxa"/>
          </w:tcPr>
          <w:p w14:paraId="7B61078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23.65 ± 0.30</w:t>
            </w:r>
          </w:p>
        </w:tc>
        <w:tc>
          <w:tcPr>
            <w:tcW w:w="2081" w:type="dxa"/>
          </w:tcPr>
          <w:p w14:paraId="546AC2C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12.16 ± 0.22</w:t>
            </w:r>
          </w:p>
        </w:tc>
        <w:tc>
          <w:tcPr>
            <w:tcW w:w="2081" w:type="dxa"/>
          </w:tcPr>
          <w:p w14:paraId="1EBFF6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16.25 ± 0.11</w:t>
            </w:r>
          </w:p>
        </w:tc>
        <w:tc>
          <w:tcPr>
            <w:tcW w:w="1396" w:type="dxa"/>
          </w:tcPr>
          <w:p w14:paraId="4563903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22.02 ± 0.60</w:t>
            </w:r>
          </w:p>
        </w:tc>
      </w:tr>
    </w:tbl>
    <w:p w14:paraId="23091E5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Results are in duplicate determination ± standard deviation</w:t>
      </w:r>
    </w:p>
    <w:p w14:paraId="2DABF59D" w14:textId="0A625F4E" w:rsidR="00734B94" w:rsidRPr="00670803" w:rsidRDefault="00734B94" w:rsidP="00B23126">
      <w:pPr>
        <w:jc w:val="both"/>
        <w:rPr>
          <w:rFonts w:ascii="Times New Roman" w:hAnsi="Times New Roman" w:cs="Times New Roman"/>
          <w:b/>
          <w:sz w:val="24"/>
          <w:szCs w:val="24"/>
        </w:rPr>
      </w:pPr>
      <w:r w:rsidRPr="00670803">
        <w:rPr>
          <w:rFonts w:ascii="Times New Roman" w:hAnsi="Times New Roman" w:cs="Times New Roman"/>
          <w:b/>
          <w:sz w:val="24"/>
          <w:szCs w:val="24"/>
        </w:rPr>
        <w:t>Vitamin Composition</w:t>
      </w:r>
    </w:p>
    <w:p w14:paraId="7FBF79B4" w14:textId="24C8AFF7" w:rsidR="00592405"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vitamin composition of the tomato samples varied across processing methods (Table 2). Boiled fresh tomatoes (FTB) recorded the highest levels of vitamin A (0.58 mg/100 g), vitamin C (13.00 mg/100 g), and vitamin E (0.70 mg/100 g), indicating better retention of these vitamins during boiling of fresh tomatoes.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(ATF) showed comparatively high levels of vitamin B3 (0.80 mg/100 g), while the B-complex vitamins (B1, B2, B7, and B9) exhibited minimal variation across all samples. The fresh tomatoes, particularly when boiled, retained higher vitamin concentrations than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whereas frying tended to reduce heat-labile vitamins, especially vitamin C</w:t>
      </w:r>
      <w:r w:rsidR="00922D75">
        <w:rPr>
          <w:rFonts w:ascii="Times New Roman" w:hAnsi="Times New Roman" w:cs="Times New Roman"/>
          <w:sz w:val="24"/>
          <w:szCs w:val="24"/>
        </w:rPr>
        <w:t xml:space="preserve">. </w:t>
      </w:r>
    </w:p>
    <w:p w14:paraId="749B8D4F" w14:textId="379239C8"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2: The </w:t>
      </w:r>
      <w:r w:rsidR="00922D75">
        <w:rPr>
          <w:rFonts w:ascii="Times New Roman" w:hAnsi="Times New Roman" w:cs="Times New Roman"/>
          <w:sz w:val="24"/>
          <w:szCs w:val="24"/>
        </w:rPr>
        <w:t xml:space="preserve">Vitamin Composition of Boiled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(ATB), Fried </w:t>
      </w:r>
      <w:proofErr w:type="spellStart"/>
      <w:r w:rsidR="00922D75">
        <w:rPr>
          <w:rFonts w:ascii="Times New Roman" w:hAnsi="Times New Roman" w:cs="Times New Roman"/>
          <w:sz w:val="24"/>
          <w:szCs w:val="24"/>
        </w:rPr>
        <w:t>Awarawa</w:t>
      </w:r>
      <w:proofErr w:type="spellEnd"/>
      <w:r w:rsidR="00922D75">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sidR="00922D75">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93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1982"/>
        <w:gridCol w:w="1551"/>
        <w:gridCol w:w="1809"/>
        <w:gridCol w:w="1473"/>
      </w:tblGrid>
      <w:tr w:rsidR="00734B94" w:rsidRPr="00B23126" w14:paraId="01E3A0F0" w14:textId="77777777" w:rsidTr="0066357A">
        <w:trPr>
          <w:trHeight w:val="718"/>
        </w:trPr>
        <w:tc>
          <w:tcPr>
            <w:tcW w:w="2494" w:type="dxa"/>
            <w:tcBorders>
              <w:top w:val="single" w:sz="4" w:space="0" w:color="auto"/>
              <w:bottom w:val="single" w:sz="4" w:space="0" w:color="auto"/>
            </w:tcBorders>
            <w:vAlign w:val="center"/>
          </w:tcPr>
          <w:p w14:paraId="0E890005"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bCs/>
                <w:sz w:val="24"/>
                <w:szCs w:val="24"/>
              </w:rPr>
              <w:t>Parameters (</w:t>
            </w:r>
            <w:bookmarkStart w:id="3" w:name="_Hlk203139250"/>
            <w:r w:rsidRPr="00B23126">
              <w:rPr>
                <w:rFonts w:ascii="Times New Roman" w:eastAsia="Times New Roman" w:hAnsi="Times New Roman" w:cs="Times New Roman"/>
                <w:bCs/>
                <w:sz w:val="24"/>
                <w:szCs w:val="24"/>
              </w:rPr>
              <w:t>mg/100g</w:t>
            </w:r>
            <w:bookmarkEnd w:id="3"/>
            <w:r w:rsidRPr="00B23126">
              <w:rPr>
                <w:rFonts w:ascii="Times New Roman" w:eastAsia="Times New Roman" w:hAnsi="Times New Roman" w:cs="Times New Roman"/>
                <w:bCs/>
                <w:sz w:val="24"/>
                <w:szCs w:val="24"/>
              </w:rPr>
              <w:t>)</w:t>
            </w:r>
          </w:p>
        </w:tc>
        <w:tc>
          <w:tcPr>
            <w:tcW w:w="1982" w:type="dxa"/>
            <w:tcBorders>
              <w:top w:val="single" w:sz="4" w:space="0" w:color="auto"/>
              <w:bottom w:val="single" w:sz="4" w:space="0" w:color="auto"/>
            </w:tcBorders>
          </w:tcPr>
          <w:p w14:paraId="38D27E1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551" w:type="dxa"/>
            <w:tcBorders>
              <w:top w:val="single" w:sz="4" w:space="0" w:color="auto"/>
              <w:bottom w:val="single" w:sz="4" w:space="0" w:color="auto"/>
            </w:tcBorders>
          </w:tcPr>
          <w:p w14:paraId="7E3BC34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809" w:type="dxa"/>
            <w:tcBorders>
              <w:top w:val="single" w:sz="4" w:space="0" w:color="auto"/>
              <w:bottom w:val="single" w:sz="4" w:space="0" w:color="auto"/>
            </w:tcBorders>
          </w:tcPr>
          <w:p w14:paraId="55C0020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473" w:type="dxa"/>
            <w:tcBorders>
              <w:top w:val="single" w:sz="4" w:space="0" w:color="auto"/>
              <w:bottom w:val="single" w:sz="4" w:space="0" w:color="auto"/>
            </w:tcBorders>
          </w:tcPr>
          <w:p w14:paraId="421A315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C62B1A8" w14:textId="77777777" w:rsidTr="00D4295F">
        <w:trPr>
          <w:trHeight w:val="215"/>
        </w:trPr>
        <w:tc>
          <w:tcPr>
            <w:tcW w:w="2494" w:type="dxa"/>
            <w:tcBorders>
              <w:top w:val="single" w:sz="4" w:space="0" w:color="auto"/>
            </w:tcBorders>
          </w:tcPr>
          <w:p w14:paraId="14A1D1D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A</w:t>
            </w:r>
          </w:p>
        </w:tc>
        <w:tc>
          <w:tcPr>
            <w:tcW w:w="1982" w:type="dxa"/>
            <w:tcBorders>
              <w:top w:val="single" w:sz="4" w:space="0" w:color="auto"/>
            </w:tcBorders>
            <w:vAlign w:val="center"/>
          </w:tcPr>
          <w:p w14:paraId="1EFCA105"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0.50±0.01</w:t>
            </w:r>
          </w:p>
        </w:tc>
        <w:tc>
          <w:tcPr>
            <w:tcW w:w="1551" w:type="dxa"/>
            <w:tcBorders>
              <w:top w:val="single" w:sz="4" w:space="0" w:color="auto"/>
            </w:tcBorders>
          </w:tcPr>
          <w:p w14:paraId="5CB9FAD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0.56±0.005</w:t>
            </w:r>
          </w:p>
        </w:tc>
        <w:tc>
          <w:tcPr>
            <w:tcW w:w="1809" w:type="dxa"/>
            <w:tcBorders>
              <w:top w:val="single" w:sz="4" w:space="0" w:color="auto"/>
            </w:tcBorders>
          </w:tcPr>
          <w:p w14:paraId="65D98CA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0.58±0.005</w:t>
            </w:r>
          </w:p>
        </w:tc>
        <w:tc>
          <w:tcPr>
            <w:tcW w:w="1473" w:type="dxa"/>
            <w:tcBorders>
              <w:top w:val="single" w:sz="4" w:space="0" w:color="auto"/>
            </w:tcBorders>
          </w:tcPr>
          <w:p w14:paraId="65F6E95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0.45±0.01</w:t>
            </w:r>
          </w:p>
        </w:tc>
      </w:tr>
      <w:tr w:rsidR="00734B94" w:rsidRPr="00B23126" w14:paraId="76528144" w14:textId="77777777" w:rsidTr="00D4295F">
        <w:trPr>
          <w:trHeight w:val="198"/>
        </w:trPr>
        <w:tc>
          <w:tcPr>
            <w:tcW w:w="2494" w:type="dxa"/>
          </w:tcPr>
          <w:p w14:paraId="014647F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B1</w:t>
            </w:r>
          </w:p>
        </w:tc>
        <w:tc>
          <w:tcPr>
            <w:tcW w:w="1982" w:type="dxa"/>
            <w:vAlign w:val="center"/>
          </w:tcPr>
          <w:p w14:paraId="00435840"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0.05±0.005</w:t>
            </w:r>
          </w:p>
        </w:tc>
        <w:tc>
          <w:tcPr>
            <w:tcW w:w="1551" w:type="dxa"/>
          </w:tcPr>
          <w:p w14:paraId="329D455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0.03±0.00</w:t>
            </w:r>
          </w:p>
        </w:tc>
        <w:tc>
          <w:tcPr>
            <w:tcW w:w="1809" w:type="dxa"/>
          </w:tcPr>
          <w:p w14:paraId="567A523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0.05±0.00</w:t>
            </w:r>
          </w:p>
        </w:tc>
        <w:tc>
          <w:tcPr>
            <w:tcW w:w="1473" w:type="dxa"/>
          </w:tcPr>
          <w:p w14:paraId="2DB0E51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0.04±0.00</w:t>
            </w:r>
          </w:p>
        </w:tc>
      </w:tr>
      <w:tr w:rsidR="00734B94" w:rsidRPr="00B23126" w14:paraId="2775119F" w14:textId="77777777" w:rsidTr="00D4295F">
        <w:trPr>
          <w:trHeight w:val="180"/>
        </w:trPr>
        <w:tc>
          <w:tcPr>
            <w:tcW w:w="2494" w:type="dxa"/>
          </w:tcPr>
          <w:p w14:paraId="563617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B2</w:t>
            </w:r>
          </w:p>
        </w:tc>
        <w:tc>
          <w:tcPr>
            <w:tcW w:w="1982" w:type="dxa"/>
            <w:vAlign w:val="center"/>
          </w:tcPr>
          <w:p w14:paraId="74417DB2"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0.06±0.005</w:t>
            </w:r>
          </w:p>
        </w:tc>
        <w:tc>
          <w:tcPr>
            <w:tcW w:w="1551" w:type="dxa"/>
          </w:tcPr>
          <w:p w14:paraId="0F800D4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0.06±0.00</w:t>
            </w:r>
          </w:p>
        </w:tc>
        <w:tc>
          <w:tcPr>
            <w:tcW w:w="1809" w:type="dxa"/>
          </w:tcPr>
          <w:p w14:paraId="3E89263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0.07±0.00</w:t>
            </w:r>
          </w:p>
        </w:tc>
        <w:tc>
          <w:tcPr>
            <w:tcW w:w="1473" w:type="dxa"/>
          </w:tcPr>
          <w:p w14:paraId="2E8B0CC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0.06±0.00</w:t>
            </w:r>
          </w:p>
        </w:tc>
      </w:tr>
      <w:tr w:rsidR="00734B94" w:rsidRPr="00B23126" w14:paraId="527ECB55" w14:textId="77777777" w:rsidTr="00D4295F">
        <w:trPr>
          <w:trHeight w:val="153"/>
        </w:trPr>
        <w:tc>
          <w:tcPr>
            <w:tcW w:w="2494" w:type="dxa"/>
          </w:tcPr>
          <w:p w14:paraId="5131BB8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B3</w:t>
            </w:r>
          </w:p>
        </w:tc>
        <w:tc>
          <w:tcPr>
            <w:tcW w:w="1982" w:type="dxa"/>
            <w:vAlign w:val="center"/>
          </w:tcPr>
          <w:p w14:paraId="7BF32D49"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0.80±0.01</w:t>
            </w:r>
          </w:p>
        </w:tc>
        <w:tc>
          <w:tcPr>
            <w:tcW w:w="1551" w:type="dxa"/>
          </w:tcPr>
          <w:p w14:paraId="3B1D39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0.75±0.01</w:t>
            </w:r>
          </w:p>
        </w:tc>
        <w:tc>
          <w:tcPr>
            <w:tcW w:w="1809" w:type="dxa"/>
          </w:tcPr>
          <w:p w14:paraId="6B26CC9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0.85±0.01</w:t>
            </w:r>
          </w:p>
        </w:tc>
        <w:tc>
          <w:tcPr>
            <w:tcW w:w="1473" w:type="dxa"/>
          </w:tcPr>
          <w:p w14:paraId="4A845A0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0.82±0.01</w:t>
            </w:r>
          </w:p>
        </w:tc>
      </w:tr>
      <w:tr w:rsidR="00734B94" w:rsidRPr="00B23126" w14:paraId="4807F2FF" w14:textId="77777777" w:rsidTr="00D4295F">
        <w:trPr>
          <w:trHeight w:val="80"/>
        </w:trPr>
        <w:tc>
          <w:tcPr>
            <w:tcW w:w="2494" w:type="dxa"/>
          </w:tcPr>
          <w:p w14:paraId="654B615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B7</w:t>
            </w:r>
          </w:p>
        </w:tc>
        <w:tc>
          <w:tcPr>
            <w:tcW w:w="1982" w:type="dxa"/>
            <w:vAlign w:val="center"/>
          </w:tcPr>
          <w:p w14:paraId="17E1D179"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0.002±0.00005</w:t>
            </w:r>
          </w:p>
        </w:tc>
        <w:tc>
          <w:tcPr>
            <w:tcW w:w="1551" w:type="dxa"/>
          </w:tcPr>
          <w:p w14:paraId="4D2DCF6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0.002±0.00</w:t>
            </w:r>
          </w:p>
        </w:tc>
        <w:tc>
          <w:tcPr>
            <w:tcW w:w="1809" w:type="dxa"/>
          </w:tcPr>
          <w:p w14:paraId="717A379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0.002±0.00</w:t>
            </w:r>
          </w:p>
        </w:tc>
        <w:tc>
          <w:tcPr>
            <w:tcW w:w="1473" w:type="dxa"/>
          </w:tcPr>
          <w:p w14:paraId="78B4B8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0.0019±0.00</w:t>
            </w:r>
          </w:p>
        </w:tc>
      </w:tr>
      <w:tr w:rsidR="00734B94" w:rsidRPr="00B23126" w14:paraId="6EA47E7B" w14:textId="77777777" w:rsidTr="00D4295F">
        <w:trPr>
          <w:trHeight w:val="80"/>
        </w:trPr>
        <w:tc>
          <w:tcPr>
            <w:tcW w:w="2494" w:type="dxa"/>
          </w:tcPr>
          <w:p w14:paraId="7401FEF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B9</w:t>
            </w:r>
          </w:p>
        </w:tc>
        <w:tc>
          <w:tcPr>
            <w:tcW w:w="1982" w:type="dxa"/>
            <w:vAlign w:val="center"/>
          </w:tcPr>
          <w:p w14:paraId="0B9F643C"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0.02±0.0005</w:t>
            </w:r>
          </w:p>
        </w:tc>
        <w:tc>
          <w:tcPr>
            <w:tcW w:w="1551" w:type="dxa"/>
          </w:tcPr>
          <w:p w14:paraId="7CD51A4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0.02±0.00</w:t>
            </w:r>
          </w:p>
        </w:tc>
        <w:tc>
          <w:tcPr>
            <w:tcW w:w="1809" w:type="dxa"/>
          </w:tcPr>
          <w:p w14:paraId="165CFBE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0.023±0.00</w:t>
            </w:r>
          </w:p>
        </w:tc>
        <w:tc>
          <w:tcPr>
            <w:tcW w:w="1473" w:type="dxa"/>
          </w:tcPr>
          <w:p w14:paraId="0838306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0.02±0.00</w:t>
            </w:r>
          </w:p>
        </w:tc>
      </w:tr>
      <w:tr w:rsidR="00734B94" w:rsidRPr="00B23126" w14:paraId="36ED4E30" w14:textId="77777777" w:rsidTr="00D4295F">
        <w:trPr>
          <w:trHeight w:val="80"/>
        </w:trPr>
        <w:tc>
          <w:tcPr>
            <w:tcW w:w="2494" w:type="dxa"/>
          </w:tcPr>
          <w:p w14:paraId="379529F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C</w:t>
            </w:r>
          </w:p>
        </w:tc>
        <w:tc>
          <w:tcPr>
            <w:tcW w:w="1982" w:type="dxa"/>
            <w:vAlign w:val="center"/>
          </w:tcPr>
          <w:p w14:paraId="70770D17"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8.05±0.05</w:t>
            </w:r>
          </w:p>
        </w:tc>
        <w:tc>
          <w:tcPr>
            <w:tcW w:w="1551" w:type="dxa"/>
          </w:tcPr>
          <w:p w14:paraId="223E25F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9.50±0.10</w:t>
            </w:r>
          </w:p>
        </w:tc>
        <w:tc>
          <w:tcPr>
            <w:tcW w:w="1809" w:type="dxa"/>
          </w:tcPr>
          <w:p w14:paraId="4542485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13.00±0.20</w:t>
            </w:r>
          </w:p>
        </w:tc>
        <w:tc>
          <w:tcPr>
            <w:tcW w:w="1473" w:type="dxa"/>
          </w:tcPr>
          <w:p w14:paraId="1ADD4D5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11.00±0.20</w:t>
            </w:r>
          </w:p>
        </w:tc>
      </w:tr>
      <w:tr w:rsidR="00734B94" w:rsidRPr="00B23126" w14:paraId="0CE36DA1" w14:textId="77777777" w:rsidTr="00D4295F">
        <w:trPr>
          <w:trHeight w:val="153"/>
        </w:trPr>
        <w:tc>
          <w:tcPr>
            <w:tcW w:w="2494" w:type="dxa"/>
          </w:tcPr>
          <w:p w14:paraId="48DD4E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Vitamin E</w:t>
            </w:r>
          </w:p>
        </w:tc>
        <w:tc>
          <w:tcPr>
            <w:tcW w:w="1982" w:type="dxa"/>
            <w:vAlign w:val="center"/>
          </w:tcPr>
          <w:p w14:paraId="6D23B268" w14:textId="77777777" w:rsidR="00734B94" w:rsidRPr="00B23126" w:rsidRDefault="00734B94" w:rsidP="00B23126">
            <w:pPr>
              <w:jc w:val="both"/>
              <w:rPr>
                <w:rFonts w:ascii="Times New Roman" w:hAnsi="Times New Roman" w:cs="Times New Roman"/>
                <w:sz w:val="24"/>
                <w:szCs w:val="24"/>
              </w:rPr>
            </w:pPr>
            <w:r w:rsidRPr="00B23126">
              <w:rPr>
                <w:rFonts w:ascii="Times New Roman" w:eastAsia="Times New Roman" w:hAnsi="Times New Roman" w:cs="Times New Roman"/>
                <w:sz w:val="24"/>
                <w:szCs w:val="24"/>
              </w:rPr>
              <w:t>0.60±0.005</w:t>
            </w:r>
          </w:p>
        </w:tc>
        <w:tc>
          <w:tcPr>
            <w:tcW w:w="1551" w:type="dxa"/>
          </w:tcPr>
          <w:p w14:paraId="0D802D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0.55±0.01</w:t>
            </w:r>
          </w:p>
        </w:tc>
        <w:tc>
          <w:tcPr>
            <w:tcW w:w="1809" w:type="dxa"/>
          </w:tcPr>
          <w:p w14:paraId="0963380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0.70±0.01</w:t>
            </w:r>
          </w:p>
        </w:tc>
        <w:tc>
          <w:tcPr>
            <w:tcW w:w="1473" w:type="dxa"/>
          </w:tcPr>
          <w:p w14:paraId="3E6A3E4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0.65±0.01</w:t>
            </w:r>
          </w:p>
        </w:tc>
      </w:tr>
    </w:tbl>
    <w:p w14:paraId="0BF1727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Results are in duplicate determination ± standard deviation</w:t>
      </w:r>
    </w:p>
    <w:p w14:paraId="082D27A5" w14:textId="5D3F7DA6"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Mineral Composition</w:t>
      </w:r>
    </w:p>
    <w:p w14:paraId="42330EC8" w14:textId="78AADC30" w:rsidR="00922D75" w:rsidRDefault="00592405" w:rsidP="00922D75">
      <w:pPr>
        <w:jc w:val="both"/>
        <w:rPr>
          <w:rFonts w:ascii="Times New Roman" w:hAnsi="Times New Roman" w:cs="Times New Roman"/>
          <w:sz w:val="24"/>
          <w:szCs w:val="24"/>
        </w:rPr>
      </w:pPr>
      <w:r w:rsidRPr="00592405">
        <w:rPr>
          <w:rFonts w:ascii="Times New Roman" w:hAnsi="Times New Roman" w:cs="Times New Roman"/>
          <w:sz w:val="24"/>
          <w:szCs w:val="24"/>
        </w:rPr>
        <w:t>The mineral composition of the tomato samples varied with tomato type and processing method</w:t>
      </w:r>
      <w:r>
        <w:rPr>
          <w:rFonts w:ascii="Times New Roman" w:hAnsi="Times New Roman" w:cs="Times New Roman"/>
          <w:sz w:val="24"/>
          <w:szCs w:val="24"/>
        </w:rPr>
        <w:t xml:space="preserve"> (Table 3)</w:t>
      </w:r>
      <w:r w:rsidRPr="00592405">
        <w:rPr>
          <w:rFonts w:ascii="Times New Roman" w:hAnsi="Times New Roman" w:cs="Times New Roman"/>
          <w:sz w:val="24"/>
          <w:szCs w:val="24"/>
        </w:rPr>
        <w:t xml:space="preserve">. Boiled fresh tomatoes (FTB) recorded the highest levels of calcium (17.02 ppm), </w:t>
      </w:r>
      <w:r w:rsidRPr="00592405">
        <w:rPr>
          <w:rFonts w:ascii="Times New Roman" w:hAnsi="Times New Roman" w:cs="Times New Roman"/>
          <w:sz w:val="24"/>
          <w:szCs w:val="24"/>
        </w:rPr>
        <w:lastRenderedPageBreak/>
        <w:t xml:space="preserve">potassium (12.37 ppm), and sodium (14.01 ppm), indicating enhanced mineral availability following boiling of fresh tomatoes. Iron content was highest in fried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(1.03 ppm), while magnesium peaked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(11.05 ppm). Zinc and phosphorus showed relatively minor variations across the samples. The results suggest that both processing method and tomato type significantly influenced mineral retention, with boiling favoring the retention of major minerals in fresh tomatoes and frying associated with higher iron concentration in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w:t>
      </w:r>
      <w:r w:rsidR="00734B94" w:rsidRPr="00B23126">
        <w:rPr>
          <w:rFonts w:ascii="Times New Roman" w:hAnsi="Times New Roman" w:cs="Times New Roman"/>
          <w:sz w:val="24"/>
          <w:szCs w:val="24"/>
        </w:rPr>
        <w:t>.</w:t>
      </w:r>
    </w:p>
    <w:p w14:paraId="1EB64044" w14:textId="77777777" w:rsidR="00922D75" w:rsidRPr="00B23126" w:rsidRDefault="00922D75" w:rsidP="00922D75">
      <w:pPr>
        <w:jc w:val="both"/>
        <w:rPr>
          <w:rFonts w:ascii="Times New Roman" w:hAnsi="Times New Roman" w:cs="Times New Roman"/>
          <w:sz w:val="24"/>
          <w:szCs w:val="24"/>
        </w:rPr>
      </w:pPr>
      <w:r>
        <w:rPr>
          <w:rFonts w:ascii="Times New Roman" w:hAnsi="Times New Roman" w:cs="Times New Roman"/>
          <w:sz w:val="24"/>
          <w:szCs w:val="24"/>
        </w:rPr>
        <w:t>Table 3: M</w:t>
      </w:r>
      <w:r w:rsidR="00734B94" w:rsidRPr="00B23126">
        <w:rPr>
          <w:rFonts w:ascii="Times New Roman" w:hAnsi="Times New Roman" w:cs="Times New Roman"/>
          <w:sz w:val="24"/>
          <w:szCs w:val="24"/>
        </w:rPr>
        <w:t xml:space="preserve">ineral </w:t>
      </w:r>
      <w:r>
        <w:rPr>
          <w:rFonts w:ascii="Times New Roman" w:hAnsi="Times New Roman" w:cs="Times New Roman"/>
          <w:sz w:val="24"/>
          <w:szCs w:val="24"/>
        </w:rPr>
        <w:t xml:space="preserve">Composition of Boiled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(ATB), Fried </w:t>
      </w:r>
      <w:proofErr w:type="spellStart"/>
      <w:r>
        <w:rPr>
          <w:rFonts w:ascii="Times New Roman" w:hAnsi="Times New Roman" w:cs="Times New Roman"/>
          <w:sz w:val="24"/>
          <w:szCs w:val="24"/>
        </w:rPr>
        <w:t>Awarawa</w:t>
      </w:r>
      <w:proofErr w:type="spellEnd"/>
      <w:r>
        <w:rPr>
          <w:rFonts w:ascii="Times New Roman" w:hAnsi="Times New Roman" w:cs="Times New Roman"/>
          <w:sz w:val="24"/>
          <w:szCs w:val="24"/>
        </w:rPr>
        <w:t xml:space="preserve"> Tomatoes (ATF), B</w:t>
      </w:r>
      <w:r w:rsidRPr="00B23126">
        <w:rPr>
          <w:rFonts w:ascii="Times New Roman" w:hAnsi="Times New Roman" w:cs="Times New Roman"/>
          <w:sz w:val="24"/>
          <w:szCs w:val="24"/>
        </w:rPr>
        <w:t xml:space="preserve">oiled </w:t>
      </w:r>
      <w:r>
        <w:rPr>
          <w:rFonts w:ascii="Times New Roman" w:hAnsi="Times New Roman" w:cs="Times New Roman"/>
          <w:sz w:val="24"/>
          <w:szCs w:val="24"/>
        </w:rPr>
        <w:t>Fresh Tomatoes (FTB), and Fried Fresh T</w:t>
      </w:r>
      <w:r w:rsidRPr="00B23126">
        <w:rPr>
          <w:rFonts w:ascii="Times New Roman" w:hAnsi="Times New Roman" w:cs="Times New Roman"/>
          <w:sz w:val="24"/>
          <w:szCs w:val="24"/>
        </w:rPr>
        <w:t>omatoes (FTF).</w:t>
      </w:r>
    </w:p>
    <w:tbl>
      <w:tblPr>
        <w:tblStyle w:val="TableGrid"/>
        <w:tblW w:w="88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776"/>
        <w:gridCol w:w="1776"/>
        <w:gridCol w:w="1776"/>
        <w:gridCol w:w="1777"/>
      </w:tblGrid>
      <w:tr w:rsidR="00734B94" w:rsidRPr="00B23126" w14:paraId="29514398" w14:textId="77777777" w:rsidTr="0066357A">
        <w:trPr>
          <w:trHeight w:val="812"/>
        </w:trPr>
        <w:tc>
          <w:tcPr>
            <w:tcW w:w="1776" w:type="dxa"/>
            <w:tcBorders>
              <w:top w:val="single" w:sz="4" w:space="0" w:color="auto"/>
              <w:bottom w:val="single" w:sz="4" w:space="0" w:color="auto"/>
            </w:tcBorders>
          </w:tcPr>
          <w:p w14:paraId="7C3D7FF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Parameters (ppm)</w:t>
            </w:r>
          </w:p>
        </w:tc>
        <w:tc>
          <w:tcPr>
            <w:tcW w:w="1776" w:type="dxa"/>
            <w:tcBorders>
              <w:top w:val="single" w:sz="4" w:space="0" w:color="auto"/>
              <w:bottom w:val="single" w:sz="4" w:space="0" w:color="auto"/>
            </w:tcBorders>
          </w:tcPr>
          <w:p w14:paraId="5E63D2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776" w:type="dxa"/>
            <w:tcBorders>
              <w:top w:val="single" w:sz="4" w:space="0" w:color="auto"/>
              <w:bottom w:val="single" w:sz="4" w:space="0" w:color="auto"/>
            </w:tcBorders>
          </w:tcPr>
          <w:p w14:paraId="3692E85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776" w:type="dxa"/>
            <w:tcBorders>
              <w:top w:val="single" w:sz="4" w:space="0" w:color="auto"/>
              <w:bottom w:val="single" w:sz="4" w:space="0" w:color="auto"/>
            </w:tcBorders>
          </w:tcPr>
          <w:p w14:paraId="3CE8F4C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777" w:type="dxa"/>
            <w:tcBorders>
              <w:top w:val="single" w:sz="4" w:space="0" w:color="auto"/>
              <w:bottom w:val="single" w:sz="4" w:space="0" w:color="auto"/>
            </w:tcBorders>
          </w:tcPr>
          <w:p w14:paraId="50034A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r>
      <w:tr w:rsidR="00734B94" w:rsidRPr="00B23126" w14:paraId="406841E3" w14:textId="77777777" w:rsidTr="00D4295F">
        <w:trPr>
          <w:trHeight w:val="70"/>
        </w:trPr>
        <w:tc>
          <w:tcPr>
            <w:tcW w:w="1776" w:type="dxa"/>
            <w:tcBorders>
              <w:top w:val="single" w:sz="4" w:space="0" w:color="auto"/>
            </w:tcBorders>
          </w:tcPr>
          <w:p w14:paraId="2D9AF5A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Iron</w:t>
            </w:r>
          </w:p>
        </w:tc>
        <w:tc>
          <w:tcPr>
            <w:tcW w:w="1776" w:type="dxa"/>
            <w:tcBorders>
              <w:top w:val="single" w:sz="4" w:space="0" w:color="auto"/>
            </w:tcBorders>
          </w:tcPr>
          <w:p w14:paraId="2CCF2D4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1.0311</w:t>
            </w:r>
          </w:p>
        </w:tc>
        <w:tc>
          <w:tcPr>
            <w:tcW w:w="1776" w:type="dxa"/>
            <w:tcBorders>
              <w:top w:val="single" w:sz="4" w:space="0" w:color="auto"/>
            </w:tcBorders>
          </w:tcPr>
          <w:p w14:paraId="2308272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0.8005</w:t>
            </w:r>
          </w:p>
        </w:tc>
        <w:tc>
          <w:tcPr>
            <w:tcW w:w="1776" w:type="dxa"/>
            <w:tcBorders>
              <w:top w:val="single" w:sz="4" w:space="0" w:color="auto"/>
            </w:tcBorders>
          </w:tcPr>
          <w:p w14:paraId="0AD2C56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0.9779</w:t>
            </w:r>
          </w:p>
        </w:tc>
        <w:tc>
          <w:tcPr>
            <w:tcW w:w="1777" w:type="dxa"/>
            <w:tcBorders>
              <w:top w:val="single" w:sz="4" w:space="0" w:color="auto"/>
            </w:tcBorders>
          </w:tcPr>
          <w:p w14:paraId="52EBF02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0.8143</w:t>
            </w:r>
          </w:p>
        </w:tc>
      </w:tr>
      <w:tr w:rsidR="00734B94" w:rsidRPr="00B23126" w14:paraId="2ECB1A42" w14:textId="77777777" w:rsidTr="00D4295F">
        <w:trPr>
          <w:trHeight w:val="135"/>
        </w:trPr>
        <w:tc>
          <w:tcPr>
            <w:tcW w:w="1776" w:type="dxa"/>
          </w:tcPr>
          <w:p w14:paraId="7AB46CC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Zinc</w:t>
            </w:r>
          </w:p>
        </w:tc>
        <w:tc>
          <w:tcPr>
            <w:tcW w:w="1776" w:type="dxa"/>
          </w:tcPr>
          <w:p w14:paraId="76BD8A1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0.5984</w:t>
            </w:r>
          </w:p>
        </w:tc>
        <w:tc>
          <w:tcPr>
            <w:tcW w:w="1776" w:type="dxa"/>
          </w:tcPr>
          <w:p w14:paraId="6067B45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0.5075</w:t>
            </w:r>
          </w:p>
        </w:tc>
        <w:tc>
          <w:tcPr>
            <w:tcW w:w="1776" w:type="dxa"/>
          </w:tcPr>
          <w:p w14:paraId="057DCCD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0.3850</w:t>
            </w:r>
          </w:p>
        </w:tc>
        <w:tc>
          <w:tcPr>
            <w:tcW w:w="1777" w:type="dxa"/>
          </w:tcPr>
          <w:p w14:paraId="462905A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0.4769</w:t>
            </w:r>
          </w:p>
        </w:tc>
      </w:tr>
      <w:tr w:rsidR="00734B94" w:rsidRPr="00B23126" w14:paraId="61B355DF" w14:textId="77777777" w:rsidTr="00D4295F">
        <w:trPr>
          <w:trHeight w:val="135"/>
        </w:trPr>
        <w:tc>
          <w:tcPr>
            <w:tcW w:w="1776" w:type="dxa"/>
          </w:tcPr>
          <w:p w14:paraId="40BB25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Calcium</w:t>
            </w:r>
          </w:p>
        </w:tc>
        <w:tc>
          <w:tcPr>
            <w:tcW w:w="1776" w:type="dxa"/>
          </w:tcPr>
          <w:p w14:paraId="668B291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11.022</w:t>
            </w:r>
          </w:p>
        </w:tc>
        <w:tc>
          <w:tcPr>
            <w:tcW w:w="1776" w:type="dxa"/>
          </w:tcPr>
          <w:p w14:paraId="03B43E9C" w14:textId="77777777" w:rsidR="00734B94" w:rsidRPr="00B23126" w:rsidRDefault="00734B94" w:rsidP="00B23126">
            <w:pPr>
              <w:jc w:val="both"/>
              <w:rPr>
                <w:rFonts w:ascii="Times New Roman" w:hAnsi="Times New Roman" w:cs="Times New Roman"/>
                <w:sz w:val="24"/>
                <w:szCs w:val="24"/>
              </w:rPr>
            </w:pPr>
            <w:bookmarkStart w:id="4" w:name="_Hlk211530961"/>
            <w:r w:rsidRPr="00B23126">
              <w:rPr>
                <w:rFonts w:ascii="Times New Roman" w:hAnsi="Times New Roman" w:cs="Times New Roman"/>
                <w:sz w:val="24"/>
                <w:szCs w:val="24"/>
              </w:rPr>
              <w:t>15.016</w:t>
            </w:r>
            <w:bookmarkEnd w:id="4"/>
          </w:p>
        </w:tc>
        <w:tc>
          <w:tcPr>
            <w:tcW w:w="1776" w:type="dxa"/>
          </w:tcPr>
          <w:p w14:paraId="34D2A5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17.019</w:t>
            </w:r>
          </w:p>
        </w:tc>
        <w:tc>
          <w:tcPr>
            <w:tcW w:w="1777" w:type="dxa"/>
          </w:tcPr>
          <w:p w14:paraId="102B2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11.016</w:t>
            </w:r>
          </w:p>
        </w:tc>
      </w:tr>
      <w:tr w:rsidR="00734B94" w:rsidRPr="00B23126" w14:paraId="31A60331" w14:textId="77777777" w:rsidTr="00861B16">
        <w:trPr>
          <w:trHeight w:val="117"/>
        </w:trPr>
        <w:tc>
          <w:tcPr>
            <w:tcW w:w="1776" w:type="dxa"/>
          </w:tcPr>
          <w:p w14:paraId="37F22D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Magnesium</w:t>
            </w:r>
          </w:p>
        </w:tc>
        <w:tc>
          <w:tcPr>
            <w:tcW w:w="1776" w:type="dxa"/>
          </w:tcPr>
          <w:p w14:paraId="60CB008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9.065</w:t>
            </w:r>
          </w:p>
        </w:tc>
        <w:tc>
          <w:tcPr>
            <w:tcW w:w="1776" w:type="dxa"/>
          </w:tcPr>
          <w:p w14:paraId="66E0D1C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11.052</w:t>
            </w:r>
          </w:p>
        </w:tc>
        <w:tc>
          <w:tcPr>
            <w:tcW w:w="1776" w:type="dxa"/>
          </w:tcPr>
          <w:p w14:paraId="59DC8DB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7.043</w:t>
            </w:r>
          </w:p>
        </w:tc>
        <w:tc>
          <w:tcPr>
            <w:tcW w:w="1777" w:type="dxa"/>
          </w:tcPr>
          <w:p w14:paraId="7D3692A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9.035</w:t>
            </w:r>
          </w:p>
        </w:tc>
      </w:tr>
      <w:tr w:rsidR="00734B94" w:rsidRPr="00B23126" w14:paraId="3F0B9472" w14:textId="77777777" w:rsidTr="00861B16">
        <w:trPr>
          <w:trHeight w:val="207"/>
        </w:trPr>
        <w:tc>
          <w:tcPr>
            <w:tcW w:w="1776" w:type="dxa"/>
          </w:tcPr>
          <w:p w14:paraId="48D52A8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Sodium</w:t>
            </w:r>
          </w:p>
        </w:tc>
        <w:tc>
          <w:tcPr>
            <w:tcW w:w="1776" w:type="dxa"/>
          </w:tcPr>
          <w:p w14:paraId="34CD013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12.062</w:t>
            </w:r>
          </w:p>
        </w:tc>
        <w:tc>
          <w:tcPr>
            <w:tcW w:w="1776" w:type="dxa"/>
          </w:tcPr>
          <w:p w14:paraId="37B5619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13.012</w:t>
            </w:r>
          </w:p>
        </w:tc>
        <w:tc>
          <w:tcPr>
            <w:tcW w:w="1776" w:type="dxa"/>
          </w:tcPr>
          <w:p w14:paraId="446DD54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14.010</w:t>
            </w:r>
          </w:p>
        </w:tc>
        <w:tc>
          <w:tcPr>
            <w:tcW w:w="1777" w:type="dxa"/>
          </w:tcPr>
          <w:p w14:paraId="449C664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11.057</w:t>
            </w:r>
          </w:p>
        </w:tc>
      </w:tr>
      <w:tr w:rsidR="00734B94" w:rsidRPr="00B23126" w14:paraId="0C420D84" w14:textId="77777777" w:rsidTr="00861B16">
        <w:trPr>
          <w:trHeight w:val="207"/>
        </w:trPr>
        <w:tc>
          <w:tcPr>
            <w:tcW w:w="1776" w:type="dxa"/>
          </w:tcPr>
          <w:p w14:paraId="3A4AA22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Potassium</w:t>
            </w:r>
          </w:p>
        </w:tc>
        <w:tc>
          <w:tcPr>
            <w:tcW w:w="1776" w:type="dxa"/>
          </w:tcPr>
          <w:p w14:paraId="5C3C33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6.082</w:t>
            </w:r>
          </w:p>
        </w:tc>
        <w:tc>
          <w:tcPr>
            <w:tcW w:w="1776" w:type="dxa"/>
          </w:tcPr>
          <w:p w14:paraId="0C9AF8D7" w14:textId="77777777" w:rsidR="00734B94" w:rsidRPr="00B23126" w:rsidRDefault="00734B94" w:rsidP="00B23126">
            <w:pPr>
              <w:jc w:val="both"/>
              <w:rPr>
                <w:rFonts w:ascii="Times New Roman" w:hAnsi="Times New Roman" w:cs="Times New Roman"/>
                <w:sz w:val="24"/>
                <w:szCs w:val="24"/>
              </w:rPr>
            </w:pPr>
            <w:bookmarkStart w:id="5" w:name="_Hlk211530995"/>
            <w:r w:rsidRPr="00B23126">
              <w:rPr>
                <w:rFonts w:ascii="Times New Roman" w:hAnsi="Times New Roman" w:cs="Times New Roman"/>
                <w:sz w:val="24"/>
                <w:szCs w:val="24"/>
              </w:rPr>
              <w:t>9.079</w:t>
            </w:r>
            <w:bookmarkEnd w:id="5"/>
          </w:p>
        </w:tc>
        <w:tc>
          <w:tcPr>
            <w:tcW w:w="1776" w:type="dxa"/>
          </w:tcPr>
          <w:p w14:paraId="304915A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12.367</w:t>
            </w:r>
          </w:p>
        </w:tc>
        <w:tc>
          <w:tcPr>
            <w:tcW w:w="1777" w:type="dxa"/>
          </w:tcPr>
          <w:p w14:paraId="7ECFFD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7.676</w:t>
            </w:r>
          </w:p>
        </w:tc>
      </w:tr>
      <w:tr w:rsidR="00734B94" w:rsidRPr="00B23126" w14:paraId="31099839" w14:textId="77777777" w:rsidTr="00861B16">
        <w:trPr>
          <w:trHeight w:val="198"/>
        </w:trPr>
        <w:tc>
          <w:tcPr>
            <w:tcW w:w="1776" w:type="dxa"/>
          </w:tcPr>
          <w:p w14:paraId="5D0D368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Phosphorus</w:t>
            </w:r>
          </w:p>
        </w:tc>
        <w:tc>
          <w:tcPr>
            <w:tcW w:w="1776" w:type="dxa"/>
          </w:tcPr>
          <w:p w14:paraId="5EF1AE0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8.278</w:t>
            </w:r>
          </w:p>
        </w:tc>
        <w:tc>
          <w:tcPr>
            <w:tcW w:w="1776" w:type="dxa"/>
          </w:tcPr>
          <w:p w14:paraId="78AD82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9.167</w:t>
            </w:r>
          </w:p>
        </w:tc>
        <w:tc>
          <w:tcPr>
            <w:tcW w:w="1776" w:type="dxa"/>
          </w:tcPr>
          <w:p w14:paraId="3367F7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7.898</w:t>
            </w:r>
          </w:p>
        </w:tc>
        <w:tc>
          <w:tcPr>
            <w:tcW w:w="1777" w:type="dxa"/>
          </w:tcPr>
          <w:p w14:paraId="368BEC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7.998</w:t>
            </w:r>
          </w:p>
        </w:tc>
      </w:tr>
    </w:tbl>
    <w:p w14:paraId="58218B50" w14:textId="77777777" w:rsidR="00734B94" w:rsidRPr="00B23126" w:rsidRDefault="00734B94" w:rsidP="00B23126">
      <w:pPr>
        <w:jc w:val="both"/>
        <w:rPr>
          <w:rFonts w:ascii="Times New Roman" w:hAnsi="Times New Roman" w:cs="Times New Roman"/>
          <w:sz w:val="24"/>
          <w:szCs w:val="24"/>
        </w:rPr>
      </w:pPr>
    </w:p>
    <w:p w14:paraId="66674E43" w14:textId="30D7391E"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Microbiological Analysis</w:t>
      </w:r>
    </w:p>
    <w:p w14:paraId="24324678" w14:textId="79176184" w:rsidR="00734B94" w:rsidRPr="00B23126" w:rsidRDefault="00592405" w:rsidP="00B23126">
      <w:pPr>
        <w:jc w:val="both"/>
        <w:rPr>
          <w:rFonts w:ascii="Times New Roman" w:hAnsi="Times New Roman" w:cs="Times New Roman"/>
          <w:sz w:val="24"/>
          <w:szCs w:val="24"/>
        </w:rPr>
      </w:pPr>
      <w:r w:rsidRPr="00592405">
        <w:rPr>
          <w:rFonts w:ascii="Times New Roman" w:hAnsi="Times New Roman" w:cs="Times New Roman"/>
          <w:sz w:val="24"/>
          <w:szCs w:val="24"/>
        </w:rPr>
        <w:t xml:space="preserve">The microbial analysis of the tomato samples revealed variations in microbial load across processing methods (Table 4).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(ATB) recorded the highest total aerobic count (4.0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total yeast and mold count (1.0 × 10⁶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while fried fresh tomatoes (FTF) showed the lowest microbial counts. Coliforms, </w:t>
      </w:r>
      <w:proofErr w:type="spellStart"/>
      <w:r w:rsidRPr="00592405">
        <w:rPr>
          <w:rFonts w:ascii="Times New Roman" w:hAnsi="Times New Roman" w:cs="Times New Roman"/>
          <w:sz w:val="24"/>
          <w:szCs w:val="24"/>
        </w:rPr>
        <w:t>faecal</w:t>
      </w:r>
      <w:proofErr w:type="spellEnd"/>
      <w:r w:rsidRPr="00592405">
        <w:rPr>
          <w:rFonts w:ascii="Times New Roman" w:hAnsi="Times New Roman" w:cs="Times New Roman"/>
          <w:sz w:val="24"/>
          <w:szCs w:val="24"/>
        </w:rPr>
        <w:t xml:space="preserve"> coliforms, and Salmonella were absent in all samples, indicating acceptable hygienic quality. Staphylococcus species were detected only in boiled </w:t>
      </w:r>
      <w:proofErr w:type="spellStart"/>
      <w:r w:rsidRPr="00592405">
        <w:rPr>
          <w:rFonts w:ascii="Times New Roman" w:hAnsi="Times New Roman" w:cs="Times New Roman"/>
          <w:sz w:val="24"/>
          <w:szCs w:val="24"/>
        </w:rPr>
        <w:t>Awarawa</w:t>
      </w:r>
      <w:proofErr w:type="spellEnd"/>
      <w:r w:rsidRPr="00592405">
        <w:rPr>
          <w:rFonts w:ascii="Times New Roman" w:hAnsi="Times New Roman" w:cs="Times New Roman"/>
          <w:sz w:val="24"/>
          <w:szCs w:val="24"/>
        </w:rPr>
        <w:t xml:space="preserve"> tomatoes (8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 xml:space="preserve">/g) and boiled fresh tomatoes (6 × 10⁵ </w:t>
      </w:r>
      <w:proofErr w:type="spellStart"/>
      <w:r w:rsidRPr="00592405">
        <w:rPr>
          <w:rFonts w:ascii="Times New Roman" w:hAnsi="Times New Roman" w:cs="Times New Roman"/>
          <w:sz w:val="24"/>
          <w:szCs w:val="24"/>
        </w:rPr>
        <w:t>cfu</w:t>
      </w:r>
      <w:proofErr w:type="spellEnd"/>
      <w:r w:rsidRPr="00592405">
        <w:rPr>
          <w:rFonts w:ascii="Times New Roman" w:hAnsi="Times New Roman" w:cs="Times New Roman"/>
          <w:sz w:val="24"/>
          <w:szCs w:val="24"/>
        </w:rPr>
        <w:t>/g), suggesting possible post-processing contamination or survival of heat-tolerant organisms in boiled samples. Frying appeared more effective than boiling in reducing microbial load in the tomato samples.</w:t>
      </w:r>
    </w:p>
    <w:p w14:paraId="37C6332D" w14:textId="3AF4B3A6"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4: The results of the microbial analysis of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fried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(ATF), boiled fresh tomatoes (FTB), and fried fresh tomatoes (FTF).</w:t>
      </w:r>
    </w:p>
    <w:tbl>
      <w:tblPr>
        <w:tblStyle w:val="TableGrid"/>
        <w:tblW w:w="97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245"/>
        <w:gridCol w:w="1431"/>
        <w:gridCol w:w="1341"/>
        <w:gridCol w:w="1341"/>
        <w:gridCol w:w="1398"/>
        <w:gridCol w:w="1854"/>
      </w:tblGrid>
      <w:tr w:rsidR="00734B94" w:rsidRPr="00B23126" w14:paraId="7F14FA20" w14:textId="77777777" w:rsidTr="0066357A">
        <w:trPr>
          <w:trHeight w:val="818"/>
        </w:trPr>
        <w:tc>
          <w:tcPr>
            <w:tcW w:w="1137" w:type="dxa"/>
            <w:tcBorders>
              <w:top w:val="single" w:sz="4" w:space="0" w:color="auto"/>
              <w:bottom w:val="single" w:sz="4" w:space="0" w:color="auto"/>
            </w:tcBorders>
          </w:tcPr>
          <w:p w14:paraId="49A6070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Sample Code</w:t>
            </w:r>
          </w:p>
        </w:tc>
        <w:tc>
          <w:tcPr>
            <w:tcW w:w="1245" w:type="dxa"/>
            <w:tcBorders>
              <w:top w:val="single" w:sz="4" w:space="0" w:color="auto"/>
              <w:bottom w:val="single" w:sz="4" w:space="0" w:color="auto"/>
            </w:tcBorders>
          </w:tcPr>
          <w:p w14:paraId="0169AFC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w:t>
            </w:r>
          </w:p>
        </w:tc>
        <w:tc>
          <w:tcPr>
            <w:tcW w:w="1431" w:type="dxa"/>
            <w:tcBorders>
              <w:top w:val="single" w:sz="4" w:space="0" w:color="auto"/>
              <w:bottom w:val="single" w:sz="4" w:space="0" w:color="auto"/>
            </w:tcBorders>
          </w:tcPr>
          <w:p w14:paraId="4E8848C4" w14:textId="77777777" w:rsidR="00734B94" w:rsidRPr="00B23126" w:rsidRDefault="00734B94" w:rsidP="00B23126">
            <w:pPr>
              <w:jc w:val="both"/>
              <w:rPr>
                <w:rFonts w:ascii="Times New Roman" w:hAnsi="Times New Roman" w:cs="Times New Roman"/>
                <w:sz w:val="24"/>
                <w:szCs w:val="24"/>
              </w:rPr>
            </w:pPr>
            <w:bookmarkStart w:id="6" w:name="_Hlk202541809"/>
            <w:r w:rsidRPr="00B23126">
              <w:rPr>
                <w:rFonts w:ascii="Times New Roman" w:hAnsi="Times New Roman" w:cs="Times New Roman"/>
                <w:sz w:val="24"/>
                <w:szCs w:val="24"/>
              </w:rPr>
              <w:t>TYMC</w:t>
            </w:r>
            <w:bookmarkEnd w:id="6"/>
          </w:p>
        </w:tc>
        <w:tc>
          <w:tcPr>
            <w:tcW w:w="1341" w:type="dxa"/>
            <w:tcBorders>
              <w:top w:val="single" w:sz="4" w:space="0" w:color="auto"/>
              <w:bottom w:val="single" w:sz="4" w:space="0" w:color="auto"/>
            </w:tcBorders>
          </w:tcPr>
          <w:p w14:paraId="5D5C763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Coliform count   </w:t>
            </w:r>
          </w:p>
        </w:tc>
        <w:tc>
          <w:tcPr>
            <w:tcW w:w="1341" w:type="dxa"/>
            <w:tcBorders>
              <w:top w:val="single" w:sz="4" w:space="0" w:color="auto"/>
              <w:bottom w:val="single" w:sz="4" w:space="0" w:color="auto"/>
            </w:tcBorders>
          </w:tcPr>
          <w:p w14:paraId="3F313B88"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Feacal</w:t>
            </w:r>
            <w:proofErr w:type="spellEnd"/>
            <w:r w:rsidRPr="00B23126">
              <w:rPr>
                <w:rFonts w:ascii="Times New Roman" w:hAnsi="Times New Roman" w:cs="Times New Roman"/>
                <w:sz w:val="24"/>
                <w:szCs w:val="24"/>
              </w:rPr>
              <w:t xml:space="preserve"> Coliform</w:t>
            </w:r>
          </w:p>
        </w:tc>
        <w:tc>
          <w:tcPr>
            <w:tcW w:w="1398" w:type="dxa"/>
            <w:tcBorders>
              <w:top w:val="single" w:sz="4" w:space="0" w:color="auto"/>
              <w:bottom w:val="single" w:sz="4" w:space="0" w:color="auto"/>
            </w:tcBorders>
          </w:tcPr>
          <w:p w14:paraId="5EC5B8C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Salmonella</w:t>
            </w:r>
          </w:p>
        </w:tc>
        <w:tc>
          <w:tcPr>
            <w:tcW w:w="1854" w:type="dxa"/>
            <w:tcBorders>
              <w:top w:val="single" w:sz="4" w:space="0" w:color="auto"/>
              <w:bottom w:val="single" w:sz="4" w:space="0" w:color="auto"/>
            </w:tcBorders>
          </w:tcPr>
          <w:p w14:paraId="624EAB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Staphylococcus</w:t>
            </w:r>
          </w:p>
        </w:tc>
      </w:tr>
      <w:tr w:rsidR="00734B94" w:rsidRPr="00B23126" w14:paraId="25CADF2E" w14:textId="77777777" w:rsidTr="00861B16">
        <w:trPr>
          <w:trHeight w:val="323"/>
        </w:trPr>
        <w:tc>
          <w:tcPr>
            <w:tcW w:w="1137" w:type="dxa"/>
            <w:tcBorders>
              <w:top w:val="single" w:sz="4" w:space="0" w:color="auto"/>
            </w:tcBorders>
          </w:tcPr>
          <w:p w14:paraId="62CC8E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FTF</w:t>
            </w:r>
          </w:p>
        </w:tc>
        <w:tc>
          <w:tcPr>
            <w:tcW w:w="1245" w:type="dxa"/>
            <w:tcBorders>
              <w:top w:val="single" w:sz="4" w:space="0" w:color="auto"/>
            </w:tcBorders>
          </w:tcPr>
          <w:p w14:paraId="5C76DAD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3×10</w:t>
            </w:r>
            <w:r w:rsidRPr="00B23126">
              <w:rPr>
                <w:rFonts w:ascii="Times New Roman" w:hAnsi="Times New Roman" w:cs="Times New Roman"/>
                <w:sz w:val="24"/>
                <w:szCs w:val="24"/>
                <w:vertAlign w:val="superscript"/>
              </w:rPr>
              <w:t>5</w:t>
            </w:r>
          </w:p>
        </w:tc>
        <w:tc>
          <w:tcPr>
            <w:tcW w:w="1431" w:type="dxa"/>
            <w:tcBorders>
              <w:top w:val="single" w:sz="4" w:space="0" w:color="auto"/>
            </w:tcBorders>
          </w:tcPr>
          <w:p w14:paraId="56B748E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Borders>
              <w:top w:val="single" w:sz="4" w:space="0" w:color="auto"/>
            </w:tcBorders>
          </w:tcPr>
          <w:p w14:paraId="50754A2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Borders>
              <w:top w:val="single" w:sz="4" w:space="0" w:color="auto"/>
            </w:tcBorders>
          </w:tcPr>
          <w:p w14:paraId="3EAA411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Borders>
              <w:top w:val="single" w:sz="4" w:space="0" w:color="auto"/>
            </w:tcBorders>
          </w:tcPr>
          <w:p w14:paraId="248ED1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Borders>
              <w:top w:val="single" w:sz="4" w:space="0" w:color="auto"/>
            </w:tcBorders>
          </w:tcPr>
          <w:p w14:paraId="160A577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798D1E54" w14:textId="77777777" w:rsidTr="00861B16">
        <w:trPr>
          <w:trHeight w:val="180"/>
        </w:trPr>
        <w:tc>
          <w:tcPr>
            <w:tcW w:w="1137" w:type="dxa"/>
          </w:tcPr>
          <w:p w14:paraId="72E0A4D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245" w:type="dxa"/>
          </w:tcPr>
          <w:p w14:paraId="2F21216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2.3×10</w:t>
            </w:r>
            <w:r w:rsidRPr="00B23126">
              <w:rPr>
                <w:rFonts w:ascii="Times New Roman" w:hAnsi="Times New Roman" w:cs="Times New Roman"/>
                <w:sz w:val="24"/>
                <w:szCs w:val="24"/>
                <w:vertAlign w:val="superscript"/>
              </w:rPr>
              <w:t>6</w:t>
            </w:r>
          </w:p>
        </w:tc>
        <w:tc>
          <w:tcPr>
            <w:tcW w:w="1431" w:type="dxa"/>
          </w:tcPr>
          <w:p w14:paraId="250C31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4×10</w:t>
            </w:r>
            <w:r w:rsidRPr="00B23126">
              <w:rPr>
                <w:rFonts w:ascii="Times New Roman" w:hAnsi="Times New Roman" w:cs="Times New Roman"/>
                <w:sz w:val="24"/>
                <w:szCs w:val="24"/>
                <w:vertAlign w:val="superscript"/>
              </w:rPr>
              <w:t>5</w:t>
            </w:r>
          </w:p>
        </w:tc>
        <w:tc>
          <w:tcPr>
            <w:tcW w:w="1341" w:type="dxa"/>
          </w:tcPr>
          <w:p w14:paraId="5FD50D9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0B76416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52B6E79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4DDEDB3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6×10</w:t>
            </w:r>
            <w:r w:rsidRPr="00B23126">
              <w:rPr>
                <w:rFonts w:ascii="Times New Roman" w:hAnsi="Times New Roman" w:cs="Times New Roman"/>
                <w:sz w:val="24"/>
                <w:szCs w:val="24"/>
                <w:vertAlign w:val="superscript"/>
              </w:rPr>
              <w:t>5</w:t>
            </w:r>
          </w:p>
        </w:tc>
      </w:tr>
      <w:tr w:rsidR="00734B94" w:rsidRPr="00B23126" w14:paraId="42756E21" w14:textId="77777777" w:rsidTr="00861B16">
        <w:trPr>
          <w:trHeight w:val="225"/>
        </w:trPr>
        <w:tc>
          <w:tcPr>
            <w:tcW w:w="1137" w:type="dxa"/>
          </w:tcPr>
          <w:p w14:paraId="35D169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ATF</w:t>
            </w:r>
          </w:p>
        </w:tc>
        <w:tc>
          <w:tcPr>
            <w:tcW w:w="1245" w:type="dxa"/>
          </w:tcPr>
          <w:p w14:paraId="3DD0517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431" w:type="dxa"/>
          </w:tcPr>
          <w:p w14:paraId="7BD120F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20EB41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41" w:type="dxa"/>
          </w:tcPr>
          <w:p w14:paraId="7C3FC97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3620E05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854" w:type="dxa"/>
          </w:tcPr>
          <w:p w14:paraId="264BBBE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r>
      <w:tr w:rsidR="00734B94" w:rsidRPr="00B23126" w14:paraId="2AEC4FCD" w14:textId="77777777" w:rsidTr="0066357A">
        <w:trPr>
          <w:trHeight w:val="495"/>
        </w:trPr>
        <w:tc>
          <w:tcPr>
            <w:tcW w:w="1137" w:type="dxa"/>
          </w:tcPr>
          <w:p w14:paraId="2E0ECB9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245" w:type="dxa"/>
          </w:tcPr>
          <w:p w14:paraId="08A462E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4.0×10</w:t>
            </w:r>
            <w:r w:rsidRPr="00B23126">
              <w:rPr>
                <w:rFonts w:ascii="Times New Roman" w:hAnsi="Times New Roman" w:cs="Times New Roman"/>
                <w:sz w:val="24"/>
                <w:szCs w:val="24"/>
                <w:vertAlign w:val="superscript"/>
              </w:rPr>
              <w:t>6</w:t>
            </w:r>
          </w:p>
        </w:tc>
        <w:tc>
          <w:tcPr>
            <w:tcW w:w="1431" w:type="dxa"/>
          </w:tcPr>
          <w:p w14:paraId="2572061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1.0×10</w:t>
            </w:r>
            <w:r w:rsidRPr="00B23126">
              <w:rPr>
                <w:rFonts w:ascii="Times New Roman" w:hAnsi="Times New Roman" w:cs="Times New Roman"/>
                <w:sz w:val="24"/>
                <w:szCs w:val="24"/>
                <w:vertAlign w:val="superscript"/>
              </w:rPr>
              <w:t>6</w:t>
            </w:r>
          </w:p>
        </w:tc>
        <w:tc>
          <w:tcPr>
            <w:tcW w:w="1341" w:type="dxa"/>
          </w:tcPr>
          <w:p w14:paraId="22615F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341" w:type="dxa"/>
          </w:tcPr>
          <w:p w14:paraId="0C8A36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Nil</w:t>
            </w:r>
          </w:p>
        </w:tc>
        <w:tc>
          <w:tcPr>
            <w:tcW w:w="1398" w:type="dxa"/>
          </w:tcPr>
          <w:p w14:paraId="2D6310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Nil </w:t>
            </w:r>
          </w:p>
        </w:tc>
        <w:tc>
          <w:tcPr>
            <w:tcW w:w="1854" w:type="dxa"/>
          </w:tcPr>
          <w:p w14:paraId="4C6DCA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8×10</w:t>
            </w:r>
            <w:r w:rsidRPr="00B23126">
              <w:rPr>
                <w:rFonts w:ascii="Times New Roman" w:hAnsi="Times New Roman" w:cs="Times New Roman"/>
                <w:sz w:val="24"/>
                <w:szCs w:val="24"/>
                <w:vertAlign w:val="superscript"/>
              </w:rPr>
              <w:t>5</w:t>
            </w:r>
          </w:p>
        </w:tc>
      </w:tr>
    </w:tbl>
    <w:p w14:paraId="46BE3C7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23A6091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TAC = Total Aerobic Count</w:t>
      </w:r>
    </w:p>
    <w:p w14:paraId="19B5384F" w14:textId="06752662"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TYMC = Total Yeast and Mold Count</w:t>
      </w:r>
    </w:p>
    <w:p w14:paraId="7A2B29E6" w14:textId="77777777" w:rsidR="00D12E2E" w:rsidRDefault="00D12E2E" w:rsidP="00B23126">
      <w:pPr>
        <w:jc w:val="both"/>
        <w:rPr>
          <w:rFonts w:ascii="Times New Roman" w:hAnsi="Times New Roman" w:cs="Times New Roman"/>
          <w:b/>
          <w:sz w:val="24"/>
          <w:szCs w:val="24"/>
        </w:rPr>
      </w:pPr>
    </w:p>
    <w:p w14:paraId="583DDB5B" w14:textId="615E4FE0" w:rsidR="00734B94" w:rsidRPr="00922D75" w:rsidRDefault="00734B94" w:rsidP="00B23126">
      <w:pPr>
        <w:jc w:val="both"/>
        <w:rPr>
          <w:rFonts w:ascii="Times New Roman" w:hAnsi="Times New Roman" w:cs="Times New Roman"/>
          <w:b/>
          <w:sz w:val="24"/>
          <w:szCs w:val="24"/>
        </w:rPr>
      </w:pPr>
      <w:r w:rsidRPr="00922D75">
        <w:rPr>
          <w:rFonts w:ascii="Times New Roman" w:hAnsi="Times New Roman" w:cs="Times New Roman"/>
          <w:b/>
          <w:sz w:val="24"/>
          <w:szCs w:val="24"/>
        </w:rPr>
        <w:t>Biochemical Reaction of Isolate</w:t>
      </w:r>
    </w:p>
    <w:p w14:paraId="330C0B5E" w14:textId="42987327" w:rsidR="00922D75" w:rsidRPr="00B23126" w:rsidRDefault="00501FA6" w:rsidP="00B23126">
      <w:pPr>
        <w:jc w:val="both"/>
        <w:rPr>
          <w:rFonts w:ascii="Times New Roman" w:hAnsi="Times New Roman" w:cs="Times New Roman"/>
          <w:sz w:val="24"/>
          <w:szCs w:val="24"/>
        </w:rPr>
      </w:pPr>
      <w:r w:rsidRPr="00501FA6">
        <w:rPr>
          <w:rFonts w:ascii="Times New Roman" w:hAnsi="Times New Roman" w:cs="Times New Roman"/>
          <w:sz w:val="24"/>
          <w:szCs w:val="24"/>
        </w:rPr>
        <w:t xml:space="preserve">The biochemical characterization of bacterial isolates from boiled tomato samples revealed distinct organisms (Table 5). The isolate from boiled fresh tomatoes (FTB) was identified as Staphylococcus aureus, based on its Gram-positive cocci morphology, positive coagulase reaction, and ability to ferment glucose, lactose, and sucrose, despite being catalase-negative. In contrast, the isolate from boiled </w:t>
      </w:r>
      <w:proofErr w:type="spellStart"/>
      <w:r w:rsidRPr="00501FA6">
        <w:rPr>
          <w:rFonts w:ascii="Times New Roman" w:hAnsi="Times New Roman" w:cs="Times New Roman"/>
          <w:sz w:val="24"/>
          <w:szCs w:val="24"/>
        </w:rPr>
        <w:t>Awarawa</w:t>
      </w:r>
      <w:proofErr w:type="spellEnd"/>
      <w:r w:rsidRPr="00501FA6">
        <w:rPr>
          <w:rFonts w:ascii="Times New Roman" w:hAnsi="Times New Roman" w:cs="Times New Roman"/>
          <w:sz w:val="24"/>
          <w:szCs w:val="24"/>
        </w:rPr>
        <w:t xml:space="preserve"> tomatoes (ATB) was identified as Bacillus spp., characterized by Gram-positive rod morphology, positive catalase, citrate, and oxidase reactions, motility, and non-fermentative behavior for the tested sugars. These results indicate the presence of different bacterial species in the boiled tomato samples, reflecting variations in microbial contamination associated with tomato type and processing conditions</w:t>
      </w:r>
      <w:r w:rsidR="00734B94" w:rsidRPr="00B23126">
        <w:rPr>
          <w:rFonts w:ascii="Times New Roman" w:hAnsi="Times New Roman" w:cs="Times New Roman"/>
          <w:sz w:val="24"/>
          <w:szCs w:val="24"/>
        </w:rPr>
        <w:t>.</w:t>
      </w:r>
    </w:p>
    <w:p w14:paraId="3BF1B728" w14:textId="590F72C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Table 5: The results of the biochemical reaction of isolate from boiled fresh tomatoes (FTB) and boiled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(ATB) </w:t>
      </w:r>
    </w:p>
    <w:tbl>
      <w:tblPr>
        <w:tblStyle w:val="TableGrid"/>
        <w:tblW w:w="10386" w:type="dxa"/>
        <w:tblInd w:w="-270" w:type="dxa"/>
        <w:tblLayout w:type="fixed"/>
        <w:tblLook w:val="04A0" w:firstRow="1" w:lastRow="0" w:firstColumn="1" w:lastColumn="0" w:noHBand="0" w:noVBand="1"/>
      </w:tblPr>
      <w:tblGrid>
        <w:gridCol w:w="832"/>
        <w:gridCol w:w="1017"/>
        <w:gridCol w:w="740"/>
        <w:gridCol w:w="740"/>
        <w:gridCol w:w="740"/>
        <w:gridCol w:w="740"/>
        <w:gridCol w:w="740"/>
        <w:gridCol w:w="832"/>
        <w:gridCol w:w="740"/>
        <w:gridCol w:w="740"/>
        <w:gridCol w:w="740"/>
        <w:gridCol w:w="1785"/>
      </w:tblGrid>
      <w:tr w:rsidR="00734B94" w:rsidRPr="00B23126" w14:paraId="6D84A3E3" w14:textId="77777777" w:rsidTr="00861B16">
        <w:trPr>
          <w:trHeight w:val="377"/>
        </w:trPr>
        <w:tc>
          <w:tcPr>
            <w:tcW w:w="832" w:type="dxa"/>
            <w:tcBorders>
              <w:left w:val="nil"/>
              <w:right w:val="nil"/>
            </w:tcBorders>
          </w:tcPr>
          <w:p w14:paraId="430C4C07"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ISO</w:t>
            </w:r>
            <w:r w:rsidRPr="00B23126">
              <w:rPr>
                <w:rFonts w:ascii="Times New Roman" w:hAnsi="Times New Roman" w:cs="Times New Roman"/>
                <w:sz w:val="24"/>
                <w:szCs w:val="24"/>
              </w:rPr>
              <w:tab/>
            </w:r>
          </w:p>
        </w:tc>
        <w:tc>
          <w:tcPr>
            <w:tcW w:w="1017" w:type="dxa"/>
            <w:tcBorders>
              <w:left w:val="nil"/>
              <w:right w:val="nil"/>
            </w:tcBorders>
          </w:tcPr>
          <w:p w14:paraId="49CD81D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Gram</w:t>
            </w:r>
          </w:p>
        </w:tc>
        <w:tc>
          <w:tcPr>
            <w:tcW w:w="740" w:type="dxa"/>
            <w:tcBorders>
              <w:left w:val="nil"/>
              <w:right w:val="nil"/>
            </w:tcBorders>
          </w:tcPr>
          <w:p w14:paraId="6BFB9C2D"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Cat.</w:t>
            </w:r>
          </w:p>
        </w:tc>
        <w:tc>
          <w:tcPr>
            <w:tcW w:w="740" w:type="dxa"/>
            <w:tcBorders>
              <w:left w:val="nil"/>
              <w:right w:val="nil"/>
            </w:tcBorders>
          </w:tcPr>
          <w:p w14:paraId="2EA3609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Cit.</w:t>
            </w:r>
          </w:p>
        </w:tc>
        <w:tc>
          <w:tcPr>
            <w:tcW w:w="740" w:type="dxa"/>
            <w:tcBorders>
              <w:left w:val="nil"/>
              <w:right w:val="nil"/>
            </w:tcBorders>
          </w:tcPr>
          <w:p w14:paraId="4CBD263F"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Coa</w:t>
            </w:r>
            <w:proofErr w:type="spellEnd"/>
            <w:r w:rsidRPr="00B23126">
              <w:rPr>
                <w:rFonts w:ascii="Times New Roman" w:hAnsi="Times New Roman" w:cs="Times New Roman"/>
                <w:sz w:val="24"/>
                <w:szCs w:val="24"/>
              </w:rPr>
              <w:t>.</w:t>
            </w:r>
          </w:p>
        </w:tc>
        <w:tc>
          <w:tcPr>
            <w:tcW w:w="740" w:type="dxa"/>
            <w:tcBorders>
              <w:left w:val="nil"/>
              <w:right w:val="nil"/>
            </w:tcBorders>
          </w:tcPr>
          <w:p w14:paraId="0F710ADE"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Oxi</w:t>
            </w:r>
            <w:proofErr w:type="spellEnd"/>
          </w:p>
        </w:tc>
        <w:tc>
          <w:tcPr>
            <w:tcW w:w="740" w:type="dxa"/>
            <w:tcBorders>
              <w:left w:val="nil"/>
              <w:right w:val="nil"/>
            </w:tcBorders>
          </w:tcPr>
          <w:p w14:paraId="7EBAA12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Ind.</w:t>
            </w:r>
          </w:p>
        </w:tc>
        <w:tc>
          <w:tcPr>
            <w:tcW w:w="832" w:type="dxa"/>
            <w:tcBorders>
              <w:left w:val="nil"/>
              <w:right w:val="nil"/>
            </w:tcBorders>
          </w:tcPr>
          <w:p w14:paraId="58C5C32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Mot.</w:t>
            </w:r>
          </w:p>
        </w:tc>
        <w:tc>
          <w:tcPr>
            <w:tcW w:w="740" w:type="dxa"/>
            <w:tcBorders>
              <w:left w:val="nil"/>
              <w:right w:val="nil"/>
            </w:tcBorders>
          </w:tcPr>
          <w:p w14:paraId="35DC1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Glu.</w:t>
            </w:r>
          </w:p>
        </w:tc>
        <w:tc>
          <w:tcPr>
            <w:tcW w:w="740" w:type="dxa"/>
            <w:tcBorders>
              <w:left w:val="nil"/>
              <w:right w:val="nil"/>
            </w:tcBorders>
          </w:tcPr>
          <w:p w14:paraId="56A0B14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Lac</w:t>
            </w:r>
          </w:p>
        </w:tc>
        <w:tc>
          <w:tcPr>
            <w:tcW w:w="740" w:type="dxa"/>
            <w:tcBorders>
              <w:left w:val="nil"/>
              <w:right w:val="nil"/>
            </w:tcBorders>
          </w:tcPr>
          <w:p w14:paraId="6DBE1782" w14:textId="77777777" w:rsidR="00734B94" w:rsidRPr="00B23126" w:rsidRDefault="00734B94" w:rsidP="00B23126">
            <w:pPr>
              <w:jc w:val="both"/>
              <w:rPr>
                <w:rFonts w:ascii="Times New Roman" w:hAnsi="Times New Roman" w:cs="Times New Roman"/>
                <w:sz w:val="24"/>
                <w:szCs w:val="24"/>
              </w:rPr>
            </w:pPr>
            <w:proofErr w:type="spellStart"/>
            <w:r w:rsidRPr="00B23126">
              <w:rPr>
                <w:rFonts w:ascii="Times New Roman" w:hAnsi="Times New Roman" w:cs="Times New Roman"/>
                <w:sz w:val="24"/>
                <w:szCs w:val="24"/>
              </w:rPr>
              <w:t>Suc</w:t>
            </w:r>
            <w:proofErr w:type="spellEnd"/>
            <w:r w:rsidRPr="00B23126">
              <w:rPr>
                <w:rFonts w:ascii="Times New Roman" w:hAnsi="Times New Roman" w:cs="Times New Roman"/>
                <w:sz w:val="24"/>
                <w:szCs w:val="24"/>
              </w:rPr>
              <w:t>.</w:t>
            </w:r>
          </w:p>
        </w:tc>
        <w:tc>
          <w:tcPr>
            <w:tcW w:w="1785" w:type="dxa"/>
            <w:tcBorders>
              <w:left w:val="nil"/>
              <w:right w:val="nil"/>
            </w:tcBorders>
          </w:tcPr>
          <w:p w14:paraId="3098B5D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Probable org.</w:t>
            </w:r>
          </w:p>
        </w:tc>
      </w:tr>
      <w:tr w:rsidR="00734B94" w:rsidRPr="00B23126" w14:paraId="562521A0" w14:textId="77777777" w:rsidTr="00861B16">
        <w:trPr>
          <w:trHeight w:val="458"/>
        </w:trPr>
        <w:tc>
          <w:tcPr>
            <w:tcW w:w="832" w:type="dxa"/>
            <w:tcBorders>
              <w:top w:val="nil"/>
              <w:left w:val="nil"/>
              <w:bottom w:val="nil"/>
              <w:right w:val="nil"/>
            </w:tcBorders>
          </w:tcPr>
          <w:p w14:paraId="149030C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FTB</w:t>
            </w:r>
          </w:p>
        </w:tc>
        <w:tc>
          <w:tcPr>
            <w:tcW w:w="1017" w:type="dxa"/>
            <w:tcBorders>
              <w:top w:val="nil"/>
              <w:left w:val="nil"/>
              <w:bottom w:val="nil"/>
              <w:right w:val="nil"/>
            </w:tcBorders>
          </w:tcPr>
          <w:p w14:paraId="7AAD13B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Cocci+</w:t>
            </w:r>
            <w:r w:rsidRPr="00B23126">
              <w:rPr>
                <w:rFonts w:ascii="Times New Roman" w:hAnsi="Times New Roman" w:cs="Times New Roman"/>
                <w:sz w:val="24"/>
                <w:szCs w:val="24"/>
              </w:rPr>
              <w:tab/>
            </w:r>
          </w:p>
        </w:tc>
        <w:tc>
          <w:tcPr>
            <w:tcW w:w="740" w:type="dxa"/>
            <w:tcBorders>
              <w:top w:val="nil"/>
              <w:left w:val="nil"/>
              <w:bottom w:val="nil"/>
              <w:right w:val="nil"/>
            </w:tcBorders>
          </w:tcPr>
          <w:p w14:paraId="5CD96ABB"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BE0647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A7B35F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33D1636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nil"/>
              <w:right w:val="nil"/>
            </w:tcBorders>
          </w:tcPr>
          <w:p w14:paraId="02DF1BC5"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nil"/>
              <w:right w:val="nil"/>
            </w:tcBorders>
          </w:tcPr>
          <w:p w14:paraId="443914A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5CD949F1"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16F69126"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nil"/>
              <w:right w:val="nil"/>
            </w:tcBorders>
          </w:tcPr>
          <w:p w14:paraId="0C2B162E"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nil"/>
              <w:right w:val="nil"/>
            </w:tcBorders>
          </w:tcPr>
          <w:p w14:paraId="6BFE9F1A" w14:textId="77777777" w:rsidR="00734B94" w:rsidRPr="00B23126" w:rsidRDefault="00734B94" w:rsidP="00B23126">
            <w:pPr>
              <w:jc w:val="both"/>
              <w:rPr>
                <w:rFonts w:ascii="Times New Roman" w:hAnsi="Times New Roman" w:cs="Times New Roman"/>
                <w:i/>
                <w:sz w:val="24"/>
                <w:szCs w:val="24"/>
              </w:rPr>
            </w:pPr>
            <w:proofErr w:type="spellStart"/>
            <w:r w:rsidRPr="00B23126">
              <w:rPr>
                <w:rFonts w:ascii="Times New Roman" w:hAnsi="Times New Roman" w:cs="Times New Roman"/>
                <w:i/>
                <w:sz w:val="24"/>
                <w:szCs w:val="24"/>
              </w:rPr>
              <w:t>Staphyloccocus</w:t>
            </w:r>
            <w:proofErr w:type="spellEnd"/>
          </w:p>
          <w:p w14:paraId="222A91B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aureus</w:t>
            </w:r>
          </w:p>
        </w:tc>
      </w:tr>
      <w:tr w:rsidR="00734B94" w:rsidRPr="00B23126" w14:paraId="7B683A51" w14:textId="77777777" w:rsidTr="0066357A">
        <w:trPr>
          <w:trHeight w:val="549"/>
        </w:trPr>
        <w:tc>
          <w:tcPr>
            <w:tcW w:w="832" w:type="dxa"/>
            <w:tcBorders>
              <w:top w:val="nil"/>
              <w:left w:val="nil"/>
              <w:bottom w:val="single" w:sz="4" w:space="0" w:color="auto"/>
              <w:right w:val="nil"/>
            </w:tcBorders>
          </w:tcPr>
          <w:p w14:paraId="6987D289"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ATB</w:t>
            </w:r>
          </w:p>
        </w:tc>
        <w:tc>
          <w:tcPr>
            <w:tcW w:w="1017" w:type="dxa"/>
            <w:tcBorders>
              <w:top w:val="nil"/>
              <w:left w:val="nil"/>
              <w:bottom w:val="single" w:sz="4" w:space="0" w:color="auto"/>
              <w:right w:val="nil"/>
            </w:tcBorders>
          </w:tcPr>
          <w:p w14:paraId="1AA4C2B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Rod +</w:t>
            </w:r>
          </w:p>
        </w:tc>
        <w:tc>
          <w:tcPr>
            <w:tcW w:w="740" w:type="dxa"/>
            <w:tcBorders>
              <w:top w:val="nil"/>
              <w:left w:val="nil"/>
              <w:bottom w:val="single" w:sz="4" w:space="0" w:color="auto"/>
              <w:right w:val="nil"/>
            </w:tcBorders>
          </w:tcPr>
          <w:p w14:paraId="3DCDA983"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15ECDCAF"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3ADAF41A"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7CD34AB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  +</w:t>
            </w:r>
          </w:p>
        </w:tc>
        <w:tc>
          <w:tcPr>
            <w:tcW w:w="740" w:type="dxa"/>
            <w:tcBorders>
              <w:top w:val="nil"/>
              <w:left w:val="nil"/>
              <w:bottom w:val="single" w:sz="4" w:space="0" w:color="auto"/>
              <w:right w:val="nil"/>
            </w:tcBorders>
          </w:tcPr>
          <w:p w14:paraId="50E5E39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832" w:type="dxa"/>
            <w:tcBorders>
              <w:top w:val="nil"/>
              <w:left w:val="nil"/>
              <w:bottom w:val="single" w:sz="4" w:space="0" w:color="auto"/>
              <w:right w:val="nil"/>
            </w:tcBorders>
          </w:tcPr>
          <w:p w14:paraId="1E59BA34"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349314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59F39F0C"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740" w:type="dxa"/>
            <w:tcBorders>
              <w:top w:val="nil"/>
              <w:left w:val="nil"/>
              <w:bottom w:val="single" w:sz="4" w:space="0" w:color="auto"/>
              <w:right w:val="nil"/>
            </w:tcBorders>
          </w:tcPr>
          <w:p w14:paraId="722962C0"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w:t>
            </w:r>
          </w:p>
        </w:tc>
        <w:tc>
          <w:tcPr>
            <w:tcW w:w="1785" w:type="dxa"/>
            <w:tcBorders>
              <w:top w:val="nil"/>
              <w:left w:val="nil"/>
              <w:bottom w:val="single" w:sz="4" w:space="0" w:color="auto"/>
              <w:right w:val="nil"/>
            </w:tcBorders>
          </w:tcPr>
          <w:p w14:paraId="38BE6652"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i/>
                <w:sz w:val="24"/>
                <w:szCs w:val="24"/>
              </w:rPr>
              <w:t xml:space="preserve">Bacillus </w:t>
            </w:r>
            <w:proofErr w:type="spellStart"/>
            <w:r w:rsidRPr="00B23126">
              <w:rPr>
                <w:rFonts w:ascii="Times New Roman" w:hAnsi="Times New Roman" w:cs="Times New Roman"/>
                <w:i/>
                <w:sz w:val="24"/>
                <w:szCs w:val="24"/>
              </w:rPr>
              <w:t>Spp</w:t>
            </w:r>
            <w:proofErr w:type="spellEnd"/>
          </w:p>
        </w:tc>
      </w:tr>
    </w:tbl>
    <w:p w14:paraId="68923028" w14:textId="77777777"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Key Tags;</w:t>
      </w:r>
    </w:p>
    <w:p w14:paraId="3910C7BF" w14:textId="3011DB33" w:rsidR="00D86F7D" w:rsidRPr="00B23126" w:rsidRDefault="00922D75" w:rsidP="00B23126">
      <w:pPr>
        <w:jc w:val="both"/>
        <w:rPr>
          <w:rFonts w:ascii="Times New Roman" w:eastAsia="Calibri" w:hAnsi="Times New Roman" w:cs="Times New Roman"/>
          <w:sz w:val="24"/>
          <w:szCs w:val="24"/>
        </w:rPr>
      </w:pPr>
      <w:r>
        <w:rPr>
          <w:rFonts w:ascii="Times New Roman" w:eastAsia="Calibri" w:hAnsi="Times New Roman" w:cs="Times New Roman"/>
          <w:sz w:val="24"/>
          <w:szCs w:val="24"/>
        </w:rPr>
        <w:t>ISO</w:t>
      </w:r>
      <w:r w:rsidR="00734B94" w:rsidRPr="00B23126">
        <w:rPr>
          <w:rFonts w:ascii="Times New Roman" w:eastAsia="Calibri" w:hAnsi="Times New Roman" w:cs="Times New Roman"/>
          <w:sz w:val="24"/>
          <w:szCs w:val="24"/>
        </w:rPr>
        <w:t xml:space="preserve">: Isolate, GR: Gram Reactions, Cat:  Catalase, </w:t>
      </w:r>
      <w:proofErr w:type="spellStart"/>
      <w:r w:rsidR="00734B94" w:rsidRPr="00B23126">
        <w:rPr>
          <w:rFonts w:ascii="Times New Roman" w:eastAsia="Calibri" w:hAnsi="Times New Roman" w:cs="Times New Roman"/>
          <w:sz w:val="24"/>
          <w:szCs w:val="24"/>
        </w:rPr>
        <w:t>Cit</w:t>
      </w:r>
      <w:proofErr w:type="spellEnd"/>
      <w:r w:rsidR="00734B94" w:rsidRPr="00B23126">
        <w:rPr>
          <w:rFonts w:ascii="Times New Roman" w:eastAsia="Calibri" w:hAnsi="Times New Roman" w:cs="Times New Roman"/>
          <w:sz w:val="24"/>
          <w:szCs w:val="24"/>
        </w:rPr>
        <w:t xml:space="preserve">: Citrate, </w:t>
      </w:r>
      <w:proofErr w:type="spellStart"/>
      <w:r w:rsidR="00734B94" w:rsidRPr="00B23126">
        <w:rPr>
          <w:rFonts w:ascii="Times New Roman" w:eastAsia="Calibri" w:hAnsi="Times New Roman" w:cs="Times New Roman"/>
          <w:sz w:val="24"/>
          <w:szCs w:val="24"/>
        </w:rPr>
        <w:t>Coa</w:t>
      </w:r>
      <w:proofErr w:type="spellEnd"/>
      <w:r w:rsidR="00734B94" w:rsidRPr="00B23126">
        <w:rPr>
          <w:rFonts w:ascii="Times New Roman" w:eastAsia="Calibri" w:hAnsi="Times New Roman" w:cs="Times New Roman"/>
          <w:sz w:val="24"/>
          <w:szCs w:val="24"/>
        </w:rPr>
        <w:t xml:space="preserve">: Coagulase, </w:t>
      </w:r>
      <w:proofErr w:type="spellStart"/>
      <w:r w:rsidR="00734B94" w:rsidRPr="00B23126">
        <w:rPr>
          <w:rFonts w:ascii="Times New Roman" w:eastAsia="Calibri" w:hAnsi="Times New Roman" w:cs="Times New Roman"/>
          <w:sz w:val="24"/>
          <w:szCs w:val="24"/>
        </w:rPr>
        <w:t>Oxi</w:t>
      </w:r>
      <w:proofErr w:type="spellEnd"/>
      <w:r w:rsidR="00734B94" w:rsidRPr="00B23126">
        <w:rPr>
          <w:rFonts w:ascii="Times New Roman" w:eastAsia="Calibri" w:hAnsi="Times New Roman" w:cs="Times New Roman"/>
          <w:sz w:val="24"/>
          <w:szCs w:val="24"/>
        </w:rPr>
        <w:t xml:space="preserve">: Oxidase, </w:t>
      </w:r>
      <w:proofErr w:type="spellStart"/>
      <w:r w:rsidR="00734B94" w:rsidRPr="00B23126">
        <w:rPr>
          <w:rFonts w:ascii="Times New Roman" w:eastAsia="Calibri" w:hAnsi="Times New Roman" w:cs="Times New Roman"/>
          <w:sz w:val="24"/>
          <w:szCs w:val="24"/>
        </w:rPr>
        <w:t>Ind</w:t>
      </w:r>
      <w:proofErr w:type="spellEnd"/>
      <w:r w:rsidR="00734B94" w:rsidRPr="00B23126">
        <w:rPr>
          <w:rFonts w:ascii="Times New Roman" w:eastAsia="Calibri" w:hAnsi="Times New Roman" w:cs="Times New Roman"/>
          <w:sz w:val="24"/>
          <w:szCs w:val="24"/>
        </w:rPr>
        <w:t>: Indole, Mot: Motility, G: Glucose, L: Lactose, S: Sucrose, Probable Org.:</w:t>
      </w:r>
      <w:r w:rsidR="00734B94" w:rsidRPr="00B23126">
        <w:rPr>
          <w:rFonts w:ascii="Times New Roman" w:eastAsia="Calibri" w:hAnsi="Times New Roman" w:cs="Times New Roman"/>
          <w:i/>
          <w:sz w:val="24"/>
          <w:szCs w:val="24"/>
        </w:rPr>
        <w:t xml:space="preserve"> Staphylococcus aureus, and Bacillus</w:t>
      </w:r>
      <w:r w:rsidR="00734B94" w:rsidRPr="00B23126">
        <w:rPr>
          <w:rFonts w:ascii="Times New Roman" w:eastAsia="Calibri" w:hAnsi="Times New Roman" w:cs="Times New Roman"/>
          <w:sz w:val="24"/>
          <w:szCs w:val="24"/>
        </w:rPr>
        <w:t xml:space="preserve"> </w:t>
      </w:r>
      <w:proofErr w:type="spellStart"/>
      <w:r w:rsidR="00734B94" w:rsidRPr="00B23126">
        <w:rPr>
          <w:rFonts w:ascii="Times New Roman" w:eastAsia="Calibri" w:hAnsi="Times New Roman" w:cs="Times New Roman"/>
          <w:i/>
          <w:sz w:val="24"/>
          <w:szCs w:val="24"/>
        </w:rPr>
        <w:t>spp</w:t>
      </w:r>
      <w:proofErr w:type="spellEnd"/>
      <w:r w:rsidR="00734B94" w:rsidRPr="00B23126">
        <w:rPr>
          <w:rFonts w:ascii="Times New Roman" w:eastAsia="Calibri" w:hAnsi="Times New Roman" w:cs="Times New Roman"/>
          <w:sz w:val="24"/>
          <w:szCs w:val="24"/>
        </w:rPr>
        <w:t xml:space="preserve"> +: Positive, -: Negative.</w:t>
      </w:r>
    </w:p>
    <w:p w14:paraId="63C5091A" w14:textId="77777777" w:rsidR="00BA0B5A" w:rsidRDefault="00BA0B5A" w:rsidP="00B23126">
      <w:pPr>
        <w:jc w:val="both"/>
        <w:rPr>
          <w:rFonts w:ascii="Times New Roman" w:hAnsi="Times New Roman" w:cs="Times New Roman"/>
          <w:b/>
          <w:sz w:val="24"/>
          <w:szCs w:val="24"/>
        </w:rPr>
      </w:pPr>
    </w:p>
    <w:p w14:paraId="4EC9BEB1" w14:textId="18FB0C61" w:rsidR="00734B94" w:rsidRPr="00B23126" w:rsidRDefault="00E264C0" w:rsidP="00B23126">
      <w:pPr>
        <w:jc w:val="both"/>
        <w:rPr>
          <w:rFonts w:ascii="Times New Roman" w:hAnsi="Times New Roman" w:cs="Times New Roman"/>
          <w:sz w:val="24"/>
          <w:szCs w:val="24"/>
        </w:rPr>
      </w:pPr>
      <w:bookmarkStart w:id="7" w:name="_GoBack"/>
      <w:bookmarkEnd w:id="7"/>
      <w:r>
        <w:rPr>
          <w:rFonts w:ascii="Times New Roman" w:hAnsi="Times New Roman" w:cs="Times New Roman"/>
          <w:b/>
          <w:sz w:val="24"/>
          <w:szCs w:val="24"/>
        </w:rPr>
        <w:t xml:space="preserve">4. </w:t>
      </w:r>
      <w:r w:rsidR="00734B94" w:rsidRPr="00922D75">
        <w:rPr>
          <w:rFonts w:ascii="Times New Roman" w:hAnsi="Times New Roman" w:cs="Times New Roman"/>
          <w:b/>
          <w:sz w:val="24"/>
          <w:szCs w:val="24"/>
        </w:rPr>
        <w:t>Discussion</w:t>
      </w:r>
    </w:p>
    <w:p w14:paraId="2CA5605F" w14:textId="4D900559" w:rsidR="00734B94" w:rsidRPr="00B23126"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This study set out to comparatively analyze the effect of two common household processing methods; boili</w:t>
      </w:r>
      <w:r w:rsidR="00922D75">
        <w:rPr>
          <w:rFonts w:ascii="Times New Roman" w:hAnsi="Times New Roman" w:cs="Times New Roman"/>
          <w:sz w:val="24"/>
          <w:szCs w:val="24"/>
        </w:rPr>
        <w:t>ng and frying on the proximate</w:t>
      </w:r>
      <w:r w:rsidRPr="00B23126">
        <w:rPr>
          <w:rFonts w:ascii="Times New Roman" w:hAnsi="Times New Roman" w:cs="Times New Roman"/>
          <w:sz w:val="24"/>
          <w:szCs w:val="24"/>
        </w:rPr>
        <w:t xml:space="preserve">, vitamin, mineral, and microbiological profiles of two categories of tomatoes: fresh tomatoes and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 local term in southeastern Nigeria referring to tomatoes at the verge of spoilage, characterized by softness and visible signs of deterioration but still consumed, especially by low-income earners who are unable to afford fresher alternatives. The study sought to provide insights into how these processing methods impact the quality and safety of these tomatoes as sold and consumed in </w:t>
      </w:r>
      <w:r w:rsidR="00861B16" w:rsidRPr="00B23126">
        <w:rPr>
          <w:rFonts w:ascii="Times New Roman" w:hAnsi="Times New Roman" w:cs="Times New Roman"/>
          <w:sz w:val="24"/>
          <w:szCs w:val="24"/>
        </w:rPr>
        <w:t xml:space="preserve">some </w:t>
      </w:r>
      <w:r w:rsidRPr="00B23126">
        <w:rPr>
          <w:rFonts w:ascii="Times New Roman" w:hAnsi="Times New Roman" w:cs="Times New Roman"/>
          <w:sz w:val="24"/>
          <w:szCs w:val="24"/>
        </w:rPr>
        <w:t xml:space="preserve">markets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North, Anambra State.</w:t>
      </w:r>
    </w:p>
    <w:p w14:paraId="0ED2B129" w14:textId="791A610E"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The observed variation in nutrient retention between boiled and fried tomatoes reflects the complex interplay between heat treatment, food matrix structure, and nutrient stability. Heat processing alters cellular integrity, thereby affecting the bioavailability and degradation kinetics of macronutrients, vitamins, and minerals. Thermal treatments are known to soften plant cell walls, enhancing extractability of some components while causing degradation of heat-labile compounds (</w:t>
      </w:r>
      <w:proofErr w:type="spellStart"/>
      <w:r w:rsidR="00950000" w:rsidRPr="005E7EC4">
        <w:rPr>
          <w:rFonts w:ascii="Times New Roman" w:hAnsi="Times New Roman" w:cs="Times New Roman"/>
          <w:sz w:val="24"/>
          <w:szCs w:val="24"/>
        </w:rPr>
        <w:t>Balunkeswar</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2015). In this study, the relatively higher protein and fiber retention in boiled fresh tomatoes suggests that moderate moist heat promotes retention of structural macronutrients by limiting oxidative loss and thermal denaturation compared with high-temperature dry heat (Maillard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w:t>
      </w:r>
      <w:r w:rsidR="00ED4D03" w:rsidRPr="00ED4D03">
        <w:rPr>
          <w:rFonts w:ascii="Times New Roman" w:hAnsi="Times New Roman" w:cs="Times New Roman"/>
          <w:sz w:val="24"/>
          <w:szCs w:val="24"/>
        </w:rPr>
        <w:t>1996</w:t>
      </w:r>
      <w:r w:rsidRPr="006B0596">
        <w:rPr>
          <w:rFonts w:ascii="Times New Roman" w:hAnsi="Times New Roman" w:cs="Times New Roman"/>
          <w:sz w:val="24"/>
          <w:szCs w:val="24"/>
        </w:rPr>
        <w:t xml:space="preserve">). Conversely, moisture gain </w:t>
      </w:r>
      <w:r w:rsidRPr="006B0596">
        <w:rPr>
          <w:rFonts w:ascii="Times New Roman" w:hAnsi="Times New Roman" w:cs="Times New Roman"/>
          <w:sz w:val="24"/>
          <w:szCs w:val="24"/>
        </w:rPr>
        <w:lastRenderedPageBreak/>
        <w:t xml:space="preserve">during boiling, particularly in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reflects osmotic water influx into the softened matrix.</w:t>
      </w:r>
    </w:p>
    <w:p w14:paraId="43E31D6E" w14:textId="77F35B74"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Vitamins display differential sensitivity to processing conditions depending on their chemical stability. Water-soluble vitamins such as vitamin C are especially susceptible to leaching into cooking water and oxidative inactivation at elevated temperatures (Rickman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2007). The superior retention of vitamins A and C in boiled fresh samples underscores the protective effect of endogenous antioxidants and water buffering in mitigating vitamin degradation. However, the comparatively lower levels in processed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could be attributed to pre-existing oxidative deterioration arising from delayed harvest and post-harvest senescence (Kader, 2008).</w:t>
      </w:r>
    </w:p>
    <w:p w14:paraId="7AECE3E4" w14:textId="13E22DA1"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Lipid content elevation in fried samples is consistent with absorption of cooking oil during frying, a phenomenon widely documented in plant food processing studies (</w:t>
      </w:r>
      <w:proofErr w:type="spellStart"/>
      <w:r w:rsidRPr="006B0596">
        <w:rPr>
          <w:rFonts w:ascii="Times New Roman" w:hAnsi="Times New Roman" w:cs="Times New Roman"/>
          <w:sz w:val="24"/>
          <w:szCs w:val="24"/>
        </w:rPr>
        <w:t>Krokida</w:t>
      </w:r>
      <w:proofErr w:type="spellEnd"/>
      <w:r w:rsidRPr="006B0596">
        <w:rPr>
          <w:rFonts w:ascii="Times New Roman" w:hAnsi="Times New Roman" w:cs="Times New Roman"/>
          <w:sz w:val="24"/>
          <w:szCs w:val="24"/>
        </w:rPr>
        <w:t xml:space="preserve">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2001). The concomitant increase in vitamin B3 may be attributable to enhanced extractability from the disrupted cellular matrix and improved solubilization in the lipid phase, reflecting increased </w:t>
      </w:r>
      <w:proofErr w:type="spellStart"/>
      <w:r w:rsidRPr="006B0596">
        <w:rPr>
          <w:rFonts w:ascii="Times New Roman" w:hAnsi="Times New Roman" w:cs="Times New Roman"/>
          <w:sz w:val="24"/>
          <w:szCs w:val="24"/>
        </w:rPr>
        <w:t>bioaccessibility</w:t>
      </w:r>
      <w:proofErr w:type="spellEnd"/>
      <w:r w:rsidRPr="006B0596">
        <w:rPr>
          <w:rFonts w:ascii="Times New Roman" w:hAnsi="Times New Roman" w:cs="Times New Roman"/>
          <w:sz w:val="24"/>
          <w:szCs w:val="24"/>
        </w:rPr>
        <w:t xml:space="preserve"> rather than de novo synthesis.</w:t>
      </w:r>
    </w:p>
    <w:p w14:paraId="6CEFA759" w14:textId="3ABCFC9F"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Mineral retention patterns are influenced by both thermal processing and the physicochemical interactions of minerals with plant matrices. Minerals such as calcium and potassium are relatively heat stable but can diffuse into cooking media or binding sites (Ortiz </w:t>
      </w:r>
      <w:r w:rsidRPr="006B0596">
        <w:rPr>
          <w:rFonts w:ascii="Times New Roman" w:hAnsi="Times New Roman" w:cs="Times New Roman"/>
          <w:i/>
          <w:sz w:val="24"/>
          <w:szCs w:val="24"/>
        </w:rPr>
        <w:t>et al.,</w:t>
      </w:r>
      <w:r w:rsidRPr="006B0596">
        <w:rPr>
          <w:rFonts w:ascii="Times New Roman" w:hAnsi="Times New Roman" w:cs="Times New Roman"/>
          <w:sz w:val="24"/>
          <w:szCs w:val="24"/>
        </w:rPr>
        <w:t xml:space="preserve"> 2011). The differential mineral profiles between fresh and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 likely reflect both initial compositional differences due to maturity and soil uptake variability, as well as distinct partitioning during processing. For instance, frying appears to concentrate certain trace elements (e.g., iron, zinc, magnesium) possibly through moisture loss and enhanced matrix concentration effects</w:t>
      </w:r>
      <w:r w:rsidR="0065195F">
        <w:rPr>
          <w:rFonts w:ascii="Times New Roman" w:hAnsi="Times New Roman" w:cs="Times New Roman"/>
          <w:sz w:val="24"/>
          <w:szCs w:val="24"/>
        </w:rPr>
        <w:t>;</w:t>
      </w:r>
      <w:r w:rsidRPr="006B0596">
        <w:rPr>
          <w:rFonts w:ascii="Times New Roman" w:hAnsi="Times New Roman" w:cs="Times New Roman"/>
          <w:sz w:val="24"/>
          <w:szCs w:val="24"/>
        </w:rPr>
        <w:t xml:space="preserve"> a trend observed in processed vegetables subjected to high temperature–oil systems (</w:t>
      </w:r>
      <w:proofErr w:type="spellStart"/>
      <w:r w:rsidR="0065195F" w:rsidRPr="001B187A">
        <w:rPr>
          <w:rFonts w:ascii="Times New Roman" w:hAnsi="Times New Roman" w:cs="Times New Roman"/>
          <w:sz w:val="24"/>
          <w:szCs w:val="24"/>
        </w:rPr>
        <w:t>Mepba</w:t>
      </w:r>
      <w:proofErr w:type="spellEnd"/>
      <w:r w:rsidR="0065195F" w:rsidRPr="0065195F">
        <w:rPr>
          <w:rFonts w:ascii="Times New Roman" w:hAnsi="Times New Roman" w:cs="Times New Roman"/>
          <w:sz w:val="24"/>
          <w:szCs w:val="24"/>
        </w:rPr>
        <w:t xml:space="preserve"> </w:t>
      </w:r>
      <w:r w:rsidR="0065195F" w:rsidRPr="0065195F">
        <w:rPr>
          <w:rFonts w:ascii="Times New Roman" w:hAnsi="Times New Roman" w:cs="Times New Roman"/>
          <w:i/>
          <w:sz w:val="24"/>
          <w:szCs w:val="24"/>
        </w:rPr>
        <w:t>et al</w:t>
      </w:r>
      <w:r w:rsidR="0065195F" w:rsidRPr="0065195F">
        <w:rPr>
          <w:rFonts w:ascii="Times New Roman" w:hAnsi="Times New Roman" w:cs="Times New Roman"/>
          <w:sz w:val="24"/>
          <w:szCs w:val="24"/>
        </w:rPr>
        <w:t>., 2007</w:t>
      </w:r>
      <w:r w:rsidRPr="006B0596">
        <w:rPr>
          <w:rFonts w:ascii="Times New Roman" w:hAnsi="Times New Roman" w:cs="Times New Roman"/>
          <w:sz w:val="24"/>
          <w:szCs w:val="24"/>
        </w:rPr>
        <w:t>).</w:t>
      </w:r>
    </w:p>
    <w:p w14:paraId="40F3F58C" w14:textId="2F8137B0"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Microbial dynamics in heat-treated foods are a critical determinant of safety. The lower microbial loads in fried tomatoes align with established lethal effects of high temperatures (&gt;150 °C) on vegetative microbes, including coliforms and </w:t>
      </w:r>
      <w:r w:rsidRPr="006B0596">
        <w:rPr>
          <w:rFonts w:ascii="Times New Roman" w:hAnsi="Times New Roman" w:cs="Times New Roman"/>
          <w:i/>
          <w:iCs/>
          <w:sz w:val="24"/>
          <w:szCs w:val="24"/>
        </w:rPr>
        <w:t>Staphylococcus aureus</w:t>
      </w:r>
      <w:r w:rsidRPr="006B0596">
        <w:rPr>
          <w:rFonts w:ascii="Times New Roman" w:hAnsi="Times New Roman" w:cs="Times New Roman"/>
          <w:sz w:val="24"/>
          <w:szCs w:val="24"/>
        </w:rPr>
        <w:t xml:space="preserve"> (Jay </w:t>
      </w:r>
      <w:r w:rsidRPr="006B0596">
        <w:rPr>
          <w:rFonts w:ascii="Times New Roman" w:hAnsi="Times New Roman" w:cs="Times New Roman"/>
          <w:i/>
          <w:sz w:val="24"/>
          <w:szCs w:val="24"/>
        </w:rPr>
        <w:t>et al</w:t>
      </w:r>
      <w:r w:rsidRPr="006B0596">
        <w:rPr>
          <w:rFonts w:ascii="Times New Roman" w:hAnsi="Times New Roman" w:cs="Times New Roman"/>
          <w:sz w:val="24"/>
          <w:szCs w:val="24"/>
        </w:rPr>
        <w:t>., 2005). Frying offers both thermal inactivation and oil barrier effects that limit microbial re-contamination. In contrast, boiling, particularly of tomatoes nearing spoilage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may be less effective in achieving sterility due to sublethal heat exposure and possible recontamination post-cooking if handling practices are inadequate. Water used in boiling can also provide a medium for survival or recovery of heat-tolerant spores or yeasts if temperatures and durations are insufficient (</w:t>
      </w:r>
      <w:proofErr w:type="spellStart"/>
      <w:r w:rsidRPr="006B0596">
        <w:rPr>
          <w:rFonts w:ascii="Times New Roman" w:hAnsi="Times New Roman" w:cs="Times New Roman"/>
          <w:sz w:val="24"/>
          <w:szCs w:val="24"/>
        </w:rPr>
        <w:t>Beuchat</w:t>
      </w:r>
      <w:proofErr w:type="spellEnd"/>
      <w:r w:rsidRPr="006B0596">
        <w:rPr>
          <w:rFonts w:ascii="Times New Roman" w:hAnsi="Times New Roman" w:cs="Times New Roman"/>
          <w:sz w:val="24"/>
          <w:szCs w:val="24"/>
        </w:rPr>
        <w:t>, 2002).</w:t>
      </w:r>
    </w:p>
    <w:p w14:paraId="6A1FCB35" w14:textId="77777777" w:rsidR="006B0596" w:rsidRPr="006B0596" w:rsidRDefault="006B0596" w:rsidP="006B0596">
      <w:pPr>
        <w:jc w:val="both"/>
        <w:rPr>
          <w:rFonts w:ascii="Times New Roman" w:hAnsi="Times New Roman" w:cs="Times New Roman"/>
          <w:sz w:val="24"/>
          <w:szCs w:val="24"/>
        </w:rPr>
      </w:pPr>
      <w:r w:rsidRPr="006B0596">
        <w:rPr>
          <w:rFonts w:ascii="Times New Roman" w:hAnsi="Times New Roman" w:cs="Times New Roman"/>
          <w:sz w:val="24"/>
          <w:szCs w:val="24"/>
        </w:rPr>
        <w:t xml:space="preserve">The contrast between nutrient retention and microbial safety highlights an inherent trade-off in food processing: methods that preserve labile nutrients (e.g., boiling) may not achieve stringent microbial inactivation, whereas high-temperature treatments that ensure safety may compromise nutritional quality through oxidation or heat degradation. This underscores the importance of optimizing processing parameters and adopting good handling practices, especially for low-income consumers reliant on low-grade produce like </w:t>
      </w:r>
      <w:proofErr w:type="spellStart"/>
      <w:r w:rsidRPr="006B0596">
        <w:rPr>
          <w:rFonts w:ascii="Times New Roman" w:hAnsi="Times New Roman" w:cs="Times New Roman"/>
          <w:sz w:val="24"/>
          <w:szCs w:val="24"/>
        </w:rPr>
        <w:t>awarawa</w:t>
      </w:r>
      <w:proofErr w:type="spellEnd"/>
      <w:r w:rsidRPr="006B0596">
        <w:rPr>
          <w:rFonts w:ascii="Times New Roman" w:hAnsi="Times New Roman" w:cs="Times New Roman"/>
          <w:sz w:val="24"/>
          <w:szCs w:val="24"/>
        </w:rPr>
        <w:t xml:space="preserve"> tomatoes.</w:t>
      </w:r>
    </w:p>
    <w:p w14:paraId="435C9621" w14:textId="3E783C6A" w:rsidR="00734B94" w:rsidRPr="00B23126" w:rsidRDefault="006B0596" w:rsidP="00B23126">
      <w:pPr>
        <w:jc w:val="both"/>
        <w:rPr>
          <w:rFonts w:ascii="Times New Roman" w:hAnsi="Times New Roman" w:cs="Times New Roman"/>
          <w:sz w:val="24"/>
          <w:szCs w:val="24"/>
        </w:rPr>
      </w:pPr>
      <w:r w:rsidRPr="006B0596">
        <w:rPr>
          <w:rFonts w:ascii="Times New Roman" w:hAnsi="Times New Roman" w:cs="Times New Roman"/>
          <w:sz w:val="24"/>
          <w:szCs w:val="24"/>
        </w:rPr>
        <w:t xml:space="preserve">These findings carry public health relevance in regions where tomatoes are dietary staples. Enhancing consumer awareness of the differential impacts of common processing methods can help reduce nutrient loss while mitigating foodborne risks. Nutrition education interventions should emphasize combining processing techniques (e.g., brief steaming followed by </w:t>
      </w:r>
      <w:r w:rsidRPr="006B0596">
        <w:rPr>
          <w:rFonts w:ascii="Times New Roman" w:hAnsi="Times New Roman" w:cs="Times New Roman"/>
          <w:sz w:val="24"/>
          <w:szCs w:val="24"/>
        </w:rPr>
        <w:lastRenderedPageBreak/>
        <w:t xml:space="preserve">controlled frying) and hygienic practices to balance nutrient preservation with microbial safety (Murcia </w:t>
      </w:r>
      <w:r w:rsidRPr="006B0596">
        <w:rPr>
          <w:rFonts w:ascii="Times New Roman" w:hAnsi="Times New Roman" w:cs="Times New Roman"/>
          <w:i/>
          <w:sz w:val="24"/>
          <w:szCs w:val="24"/>
        </w:rPr>
        <w:t>et al</w:t>
      </w:r>
      <w:r w:rsidRPr="006B0596">
        <w:rPr>
          <w:rFonts w:ascii="Times New Roman" w:hAnsi="Times New Roman" w:cs="Times New Roman"/>
          <w:sz w:val="24"/>
          <w:szCs w:val="24"/>
        </w:rPr>
        <w:t>., 2</w:t>
      </w:r>
      <w:r w:rsidR="00CE4065">
        <w:rPr>
          <w:rFonts w:ascii="Times New Roman" w:hAnsi="Times New Roman" w:cs="Times New Roman"/>
          <w:sz w:val="24"/>
          <w:szCs w:val="24"/>
        </w:rPr>
        <w:t>009</w:t>
      </w:r>
      <w:r w:rsidRPr="006B0596">
        <w:rPr>
          <w:rFonts w:ascii="Times New Roman" w:hAnsi="Times New Roman" w:cs="Times New Roman"/>
          <w:sz w:val="24"/>
          <w:szCs w:val="24"/>
        </w:rPr>
        <w:t>).</w:t>
      </w:r>
    </w:p>
    <w:p w14:paraId="51F84D20" w14:textId="7AF207B8" w:rsidR="00734B94" w:rsidRPr="00B23126" w:rsidRDefault="00E264C0" w:rsidP="00B23126">
      <w:pPr>
        <w:jc w:val="both"/>
        <w:rPr>
          <w:rFonts w:ascii="Times New Roman" w:hAnsi="Times New Roman" w:cs="Times New Roman"/>
          <w:sz w:val="24"/>
          <w:szCs w:val="24"/>
        </w:rPr>
      </w:pPr>
      <w:r>
        <w:rPr>
          <w:rFonts w:ascii="Times New Roman" w:hAnsi="Times New Roman" w:cs="Times New Roman"/>
          <w:b/>
          <w:sz w:val="24"/>
          <w:szCs w:val="24"/>
        </w:rPr>
        <w:t xml:space="preserve">5. </w:t>
      </w:r>
      <w:r w:rsidR="00734B94" w:rsidRPr="00922D75">
        <w:rPr>
          <w:rFonts w:ascii="Times New Roman" w:hAnsi="Times New Roman" w:cs="Times New Roman"/>
          <w:b/>
          <w:sz w:val="24"/>
          <w:szCs w:val="24"/>
        </w:rPr>
        <w:t>Conclusion</w:t>
      </w:r>
    </w:p>
    <w:p w14:paraId="3DB395FF" w14:textId="62A338BA" w:rsidR="00734B94" w:rsidRDefault="00734B94" w:rsidP="00B23126">
      <w:pPr>
        <w:jc w:val="both"/>
        <w:rPr>
          <w:rFonts w:ascii="Times New Roman" w:hAnsi="Times New Roman" w:cs="Times New Roman"/>
          <w:sz w:val="24"/>
          <w:szCs w:val="24"/>
        </w:rPr>
      </w:pPr>
      <w:r w:rsidRPr="00B23126">
        <w:rPr>
          <w:rFonts w:ascii="Times New Roman" w:hAnsi="Times New Roman" w:cs="Times New Roman"/>
          <w:sz w:val="24"/>
          <w:szCs w:val="24"/>
        </w:rPr>
        <w:t xml:space="preserve">The study concludes that both the type of tomato (fresh vs.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and the processing method (boiling vs. frying) affect the nutritional quality, vitamin and mineral content, and microbial safety of tomatoes consumed in </w:t>
      </w:r>
      <w:proofErr w:type="spellStart"/>
      <w:r w:rsidRPr="00B23126">
        <w:rPr>
          <w:rFonts w:ascii="Times New Roman" w:hAnsi="Times New Roman" w:cs="Times New Roman"/>
          <w:sz w:val="24"/>
          <w:szCs w:val="24"/>
        </w:rPr>
        <w:t>Oko</w:t>
      </w:r>
      <w:proofErr w:type="spellEnd"/>
      <w:r w:rsidRPr="00B23126">
        <w:rPr>
          <w:rFonts w:ascii="Times New Roman" w:hAnsi="Times New Roman" w:cs="Times New Roman"/>
          <w:sz w:val="24"/>
          <w:szCs w:val="24"/>
        </w:rPr>
        <w:t xml:space="preserve">, </w:t>
      </w:r>
      <w:proofErr w:type="spellStart"/>
      <w:r w:rsidRPr="00B23126">
        <w:rPr>
          <w:rFonts w:ascii="Times New Roman" w:hAnsi="Times New Roman" w:cs="Times New Roman"/>
          <w:sz w:val="24"/>
          <w:szCs w:val="24"/>
        </w:rPr>
        <w:t>Orumba</w:t>
      </w:r>
      <w:proofErr w:type="spellEnd"/>
      <w:r w:rsidRPr="00B23126">
        <w:rPr>
          <w:rFonts w:ascii="Times New Roman" w:hAnsi="Times New Roman" w:cs="Times New Roman"/>
          <w:sz w:val="24"/>
          <w:szCs w:val="24"/>
        </w:rPr>
        <w:t xml:space="preserve"> North, Anambra State. </w:t>
      </w:r>
      <w:proofErr w:type="spellStart"/>
      <w:r w:rsidRPr="00B23126">
        <w:rPr>
          <w:rStyle w:val="Strong"/>
          <w:rFonts w:ascii="Times New Roman" w:eastAsiaTheme="majorEastAsia" w:hAnsi="Times New Roman" w:cs="Times New Roman"/>
          <w:b w:val="0"/>
          <w:sz w:val="24"/>
          <w:szCs w:val="24"/>
        </w:rPr>
        <w:t>Awarawa</w:t>
      </w:r>
      <w:proofErr w:type="spellEnd"/>
      <w:r w:rsidRPr="00B23126">
        <w:rPr>
          <w:rStyle w:val="Strong"/>
          <w:rFonts w:ascii="Times New Roman" w:eastAsiaTheme="majorEastAsia" w:hAnsi="Times New Roman" w:cs="Times New Roman"/>
          <w:b w:val="0"/>
          <w:sz w:val="24"/>
          <w:szCs w:val="24"/>
        </w:rPr>
        <w:t xml:space="preserve"> tomatoes</w:t>
      </w:r>
      <w:r w:rsidRPr="00B23126">
        <w:rPr>
          <w:rFonts w:ascii="Times New Roman" w:hAnsi="Times New Roman" w:cs="Times New Roman"/>
          <w:sz w:val="24"/>
          <w:szCs w:val="24"/>
        </w:rPr>
        <w:t xml:space="preserve">, already nutritionally compromised due to their semi-spoiled nature, suffer further losses through processing, especially frying. Boiling of fresh tomatoes proved most effective in preserving key nutrients such as protein, fiber, Vitamin A, and Vitamin C. However, frying offered better microbial safety, albeit at the cost of nutritional degradation and increased lipid content. The frequent consumption of </w:t>
      </w:r>
      <w:proofErr w:type="spellStart"/>
      <w:r w:rsidRPr="00B23126">
        <w:rPr>
          <w:rFonts w:ascii="Times New Roman" w:hAnsi="Times New Roman" w:cs="Times New Roman"/>
          <w:sz w:val="24"/>
          <w:szCs w:val="24"/>
        </w:rPr>
        <w:t>Awarawa</w:t>
      </w:r>
      <w:proofErr w:type="spellEnd"/>
      <w:r w:rsidRPr="00B23126">
        <w:rPr>
          <w:rFonts w:ascii="Times New Roman" w:hAnsi="Times New Roman" w:cs="Times New Roman"/>
          <w:sz w:val="24"/>
          <w:szCs w:val="24"/>
        </w:rPr>
        <w:t xml:space="preserve"> tomatoes by low-income groups highlights a public health challenge where economic factors force dietary compromises with potential health risks.</w:t>
      </w:r>
    </w:p>
    <w:p w14:paraId="5AE54BD8" w14:textId="77777777" w:rsidR="00C75ED5" w:rsidRDefault="00C75ED5" w:rsidP="00B23126">
      <w:pPr>
        <w:jc w:val="both"/>
        <w:rPr>
          <w:rFonts w:ascii="Times New Roman" w:hAnsi="Times New Roman" w:cs="Times New Roman"/>
          <w:b/>
          <w:sz w:val="24"/>
          <w:szCs w:val="24"/>
        </w:rPr>
      </w:pPr>
    </w:p>
    <w:p w14:paraId="4BB2310D" w14:textId="7FDCF664" w:rsidR="00D86F7D" w:rsidRPr="00B23126" w:rsidRDefault="00014207" w:rsidP="00B23126">
      <w:pPr>
        <w:jc w:val="both"/>
        <w:rPr>
          <w:rFonts w:ascii="Times New Roman" w:hAnsi="Times New Roman" w:cs="Times New Roman"/>
          <w:sz w:val="24"/>
          <w:szCs w:val="24"/>
        </w:rPr>
      </w:pPr>
      <w:r>
        <w:rPr>
          <w:rFonts w:ascii="Times New Roman" w:hAnsi="Times New Roman" w:cs="Times New Roman"/>
          <w:b/>
          <w:sz w:val="24"/>
          <w:szCs w:val="24"/>
        </w:rPr>
        <w:t>9</w:t>
      </w:r>
      <w:r w:rsidR="00C3456F">
        <w:rPr>
          <w:rFonts w:ascii="Times New Roman" w:hAnsi="Times New Roman" w:cs="Times New Roman"/>
          <w:b/>
          <w:sz w:val="24"/>
          <w:szCs w:val="24"/>
        </w:rPr>
        <w:t xml:space="preserve">. </w:t>
      </w:r>
      <w:r w:rsidR="007C6230" w:rsidRPr="00C522AB">
        <w:rPr>
          <w:rFonts w:ascii="Times New Roman" w:hAnsi="Times New Roman" w:cs="Times New Roman"/>
          <w:b/>
          <w:sz w:val="24"/>
          <w:szCs w:val="24"/>
        </w:rPr>
        <w:t>References</w:t>
      </w:r>
      <w:r w:rsidR="007C6230" w:rsidRPr="00B23126">
        <w:rPr>
          <w:rFonts w:ascii="Times New Roman" w:hAnsi="Times New Roman" w:cs="Times New Roman"/>
          <w:sz w:val="24"/>
          <w:szCs w:val="24"/>
        </w:rPr>
        <w:t xml:space="preserve"> </w:t>
      </w:r>
    </w:p>
    <w:p w14:paraId="655A2EB2" w14:textId="0925D683" w:rsidR="001A5194" w:rsidRDefault="001A5194" w:rsidP="00B23126">
      <w:pPr>
        <w:jc w:val="both"/>
        <w:rPr>
          <w:rFonts w:ascii="Times New Roman" w:hAnsi="Times New Roman" w:cs="Times New Roman"/>
          <w:sz w:val="24"/>
          <w:szCs w:val="24"/>
        </w:rPr>
      </w:pPr>
      <w:r>
        <w:rPr>
          <w:rFonts w:ascii="Times New Roman" w:hAnsi="Times New Roman" w:cs="Times New Roman"/>
          <w:sz w:val="24"/>
          <w:szCs w:val="24"/>
        </w:rPr>
        <w:t xml:space="preserve">1. </w:t>
      </w:r>
      <w:r w:rsidRPr="001A5194">
        <w:rPr>
          <w:rFonts w:ascii="Times New Roman" w:hAnsi="Times New Roman" w:cs="Times New Roman"/>
          <w:sz w:val="24"/>
          <w:szCs w:val="24"/>
        </w:rPr>
        <w:t xml:space="preserve">FAO. (2021). The State of Food Security and Nutrition in the World 2021: Transforming </w:t>
      </w:r>
      <w:r w:rsidR="00A82AC1" w:rsidRPr="001A5194">
        <w:rPr>
          <w:rFonts w:ascii="Times New Roman" w:hAnsi="Times New Roman" w:cs="Times New Roman"/>
          <w:sz w:val="24"/>
          <w:szCs w:val="24"/>
        </w:rPr>
        <w:t xml:space="preserve">Food Systems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 xml:space="preserve">Food Security, Improved Nutrition </w:t>
      </w:r>
      <w:r w:rsidRPr="001A5194">
        <w:rPr>
          <w:rFonts w:ascii="Times New Roman" w:hAnsi="Times New Roman" w:cs="Times New Roman"/>
          <w:sz w:val="24"/>
          <w:szCs w:val="24"/>
        </w:rPr>
        <w:t xml:space="preserve">and </w:t>
      </w:r>
      <w:r w:rsidR="00A82AC1" w:rsidRPr="001A5194">
        <w:rPr>
          <w:rFonts w:ascii="Times New Roman" w:hAnsi="Times New Roman" w:cs="Times New Roman"/>
          <w:sz w:val="24"/>
          <w:szCs w:val="24"/>
        </w:rPr>
        <w:t xml:space="preserve">Affordable Healthy Diets </w:t>
      </w:r>
      <w:r w:rsidRPr="001A5194">
        <w:rPr>
          <w:rFonts w:ascii="Times New Roman" w:hAnsi="Times New Roman" w:cs="Times New Roman"/>
          <w:sz w:val="24"/>
          <w:szCs w:val="24"/>
        </w:rPr>
        <w:t xml:space="preserve">for </w:t>
      </w:r>
      <w:r w:rsidR="00A82AC1" w:rsidRPr="001A5194">
        <w:rPr>
          <w:rFonts w:ascii="Times New Roman" w:hAnsi="Times New Roman" w:cs="Times New Roman"/>
          <w:sz w:val="24"/>
          <w:szCs w:val="24"/>
        </w:rPr>
        <w:t>All</w:t>
      </w:r>
      <w:r w:rsidRPr="001A5194">
        <w:rPr>
          <w:rFonts w:ascii="Times New Roman" w:hAnsi="Times New Roman" w:cs="Times New Roman"/>
          <w:sz w:val="24"/>
          <w:szCs w:val="24"/>
        </w:rPr>
        <w:t xml:space="preserve">. </w:t>
      </w:r>
      <w:r w:rsidRPr="001A5194">
        <w:rPr>
          <w:rFonts w:ascii="Times New Roman" w:hAnsi="Times New Roman" w:cs="Times New Roman"/>
          <w:i/>
          <w:sz w:val="24"/>
          <w:szCs w:val="24"/>
        </w:rPr>
        <w:t>Food and Agriculture Organization of the United Nations</w:t>
      </w:r>
      <w:r w:rsidRPr="001A5194">
        <w:rPr>
          <w:rFonts w:ascii="Times New Roman" w:hAnsi="Times New Roman" w:cs="Times New Roman"/>
          <w:sz w:val="24"/>
          <w:szCs w:val="24"/>
        </w:rPr>
        <w:t>.</w:t>
      </w:r>
    </w:p>
    <w:p w14:paraId="2EB9A7BA" w14:textId="6344E62E" w:rsidR="00661F2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B23126">
        <w:rPr>
          <w:rFonts w:ascii="Times New Roman" w:hAnsi="Times New Roman" w:cs="Times New Roman"/>
          <w:sz w:val="24"/>
          <w:szCs w:val="24"/>
        </w:rPr>
        <w:t>Miglio</w:t>
      </w:r>
      <w:proofErr w:type="spellEnd"/>
      <w:r w:rsidRPr="00B23126">
        <w:rPr>
          <w:rFonts w:ascii="Times New Roman" w:hAnsi="Times New Roman" w:cs="Times New Roman"/>
          <w:sz w:val="24"/>
          <w:szCs w:val="24"/>
        </w:rPr>
        <w:t xml:space="preserve">, C., </w:t>
      </w:r>
      <w:proofErr w:type="spellStart"/>
      <w:r w:rsidRPr="00B23126">
        <w:rPr>
          <w:rFonts w:ascii="Times New Roman" w:hAnsi="Times New Roman" w:cs="Times New Roman"/>
          <w:sz w:val="24"/>
          <w:szCs w:val="24"/>
        </w:rPr>
        <w:t>Chiavaro</w:t>
      </w:r>
      <w:proofErr w:type="spellEnd"/>
      <w:r w:rsidRPr="00B23126">
        <w:rPr>
          <w:rFonts w:ascii="Times New Roman" w:hAnsi="Times New Roman" w:cs="Times New Roman"/>
          <w:sz w:val="24"/>
          <w:szCs w:val="24"/>
        </w:rPr>
        <w:t xml:space="preserve">, E., Visconti, A., </w:t>
      </w:r>
      <w:proofErr w:type="spellStart"/>
      <w:r w:rsidRPr="00B23126">
        <w:rPr>
          <w:rFonts w:ascii="Times New Roman" w:hAnsi="Times New Roman" w:cs="Times New Roman"/>
          <w:sz w:val="24"/>
          <w:szCs w:val="24"/>
        </w:rPr>
        <w:t>Fogliano</w:t>
      </w:r>
      <w:proofErr w:type="spellEnd"/>
      <w:r w:rsidRPr="00B23126">
        <w:rPr>
          <w:rFonts w:ascii="Times New Roman" w:hAnsi="Times New Roman" w:cs="Times New Roman"/>
          <w:sz w:val="24"/>
          <w:szCs w:val="24"/>
        </w:rPr>
        <w:t xml:space="preserve">, V., &amp; Pellegrini, N. (2008). Effects of </w:t>
      </w:r>
      <w:r w:rsidR="00A82AC1" w:rsidRPr="00B23126">
        <w:rPr>
          <w:rFonts w:ascii="Times New Roman" w:hAnsi="Times New Roman" w:cs="Times New Roman"/>
          <w:sz w:val="24"/>
          <w:szCs w:val="24"/>
        </w:rPr>
        <w:t xml:space="preserve">Different Cooking Methods </w:t>
      </w:r>
      <w:r w:rsidRPr="00B23126">
        <w:rPr>
          <w:rFonts w:ascii="Times New Roman" w:hAnsi="Times New Roman" w:cs="Times New Roman"/>
          <w:sz w:val="24"/>
          <w:szCs w:val="24"/>
        </w:rPr>
        <w:t xml:space="preserve">on </w:t>
      </w:r>
      <w:r w:rsidR="00A82AC1" w:rsidRPr="00B23126">
        <w:rPr>
          <w:rFonts w:ascii="Times New Roman" w:hAnsi="Times New Roman" w:cs="Times New Roman"/>
          <w:sz w:val="24"/>
          <w:szCs w:val="24"/>
        </w:rPr>
        <w:t xml:space="preserve">Nutritional </w:t>
      </w:r>
      <w:r w:rsidRPr="00B23126">
        <w:rPr>
          <w:rFonts w:ascii="Times New Roman" w:hAnsi="Times New Roman" w:cs="Times New Roman"/>
          <w:sz w:val="24"/>
          <w:szCs w:val="24"/>
        </w:rPr>
        <w:t xml:space="preserve">and </w:t>
      </w:r>
      <w:r w:rsidR="00A82AC1" w:rsidRPr="00B23126">
        <w:rPr>
          <w:rFonts w:ascii="Times New Roman" w:hAnsi="Times New Roman" w:cs="Times New Roman"/>
          <w:sz w:val="24"/>
          <w:szCs w:val="24"/>
        </w:rPr>
        <w:t xml:space="preserve">Physicochemical Characteristics </w:t>
      </w:r>
      <w:r w:rsidRPr="00B23126">
        <w:rPr>
          <w:rFonts w:ascii="Times New Roman" w:hAnsi="Times New Roman" w:cs="Times New Roman"/>
          <w:sz w:val="24"/>
          <w:szCs w:val="24"/>
        </w:rPr>
        <w:t xml:space="preserve">of </w:t>
      </w:r>
      <w:r w:rsidR="00A82AC1" w:rsidRPr="00B23126">
        <w:rPr>
          <w:rFonts w:ascii="Times New Roman" w:hAnsi="Times New Roman" w:cs="Times New Roman"/>
          <w:sz w:val="24"/>
          <w:szCs w:val="24"/>
        </w:rPr>
        <w:t>Selected Vegetable</w:t>
      </w:r>
      <w:r w:rsidRPr="00B23126">
        <w:rPr>
          <w:rFonts w:ascii="Times New Roman" w:hAnsi="Times New Roman" w:cs="Times New Roman"/>
          <w:sz w:val="24"/>
          <w:szCs w:val="24"/>
        </w:rPr>
        <w:t xml:space="preserve">s. </w:t>
      </w:r>
      <w:r w:rsidRPr="00B23126">
        <w:rPr>
          <w:rFonts w:ascii="Times New Roman" w:hAnsi="Times New Roman" w:cs="Times New Roman"/>
          <w:i/>
          <w:sz w:val="24"/>
          <w:szCs w:val="24"/>
        </w:rPr>
        <w:t xml:space="preserve">Journal of </w:t>
      </w:r>
      <w:r w:rsidR="00A82AC1" w:rsidRPr="00B23126">
        <w:rPr>
          <w:rFonts w:ascii="Times New Roman" w:hAnsi="Times New Roman" w:cs="Times New Roman"/>
          <w:i/>
          <w:sz w:val="24"/>
          <w:szCs w:val="24"/>
        </w:rPr>
        <w:t xml:space="preserve">Agricultural </w:t>
      </w:r>
      <w:r w:rsidRPr="00B23126">
        <w:rPr>
          <w:rFonts w:ascii="Times New Roman" w:hAnsi="Times New Roman" w:cs="Times New Roman"/>
          <w:i/>
          <w:sz w:val="24"/>
          <w:szCs w:val="24"/>
        </w:rPr>
        <w:t xml:space="preserve">and </w:t>
      </w:r>
      <w:r w:rsidR="00A82AC1" w:rsidRPr="00B23126">
        <w:rPr>
          <w:rFonts w:ascii="Times New Roman" w:hAnsi="Times New Roman" w:cs="Times New Roman"/>
          <w:i/>
          <w:sz w:val="24"/>
          <w:szCs w:val="24"/>
        </w:rPr>
        <w:t>Food Che</w:t>
      </w:r>
      <w:r w:rsidRPr="00B23126">
        <w:rPr>
          <w:rFonts w:ascii="Times New Roman" w:hAnsi="Times New Roman" w:cs="Times New Roman"/>
          <w:i/>
          <w:sz w:val="24"/>
          <w:szCs w:val="24"/>
        </w:rPr>
        <w:t>mistry</w:t>
      </w:r>
      <w:r w:rsidRPr="00B23126">
        <w:rPr>
          <w:rFonts w:ascii="Times New Roman" w:hAnsi="Times New Roman" w:cs="Times New Roman"/>
          <w:sz w:val="24"/>
          <w:szCs w:val="24"/>
        </w:rPr>
        <w:t>, 56(1), 139–147.</w:t>
      </w:r>
    </w:p>
    <w:p w14:paraId="2EA9364A" w14:textId="0B284AE8" w:rsidR="00661F2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B23126">
        <w:rPr>
          <w:rFonts w:ascii="Times New Roman" w:hAnsi="Times New Roman" w:cs="Times New Roman"/>
          <w:sz w:val="24"/>
          <w:szCs w:val="24"/>
        </w:rPr>
        <w:t>Giovannucci</w:t>
      </w:r>
      <w:proofErr w:type="spellEnd"/>
      <w:r w:rsidRPr="00B23126">
        <w:rPr>
          <w:rFonts w:ascii="Times New Roman" w:hAnsi="Times New Roman" w:cs="Times New Roman"/>
          <w:sz w:val="24"/>
          <w:szCs w:val="24"/>
        </w:rPr>
        <w:t xml:space="preserve">, E., </w:t>
      </w:r>
      <w:proofErr w:type="spellStart"/>
      <w:r w:rsidRPr="00B23126">
        <w:rPr>
          <w:rFonts w:ascii="Times New Roman" w:hAnsi="Times New Roman" w:cs="Times New Roman"/>
          <w:sz w:val="24"/>
          <w:szCs w:val="24"/>
        </w:rPr>
        <w:t>Rimm</w:t>
      </w:r>
      <w:proofErr w:type="spellEnd"/>
      <w:r w:rsidRPr="00B23126">
        <w:rPr>
          <w:rFonts w:ascii="Times New Roman" w:hAnsi="Times New Roman" w:cs="Times New Roman"/>
          <w:sz w:val="24"/>
          <w:szCs w:val="24"/>
        </w:rPr>
        <w:t xml:space="preserve">, E. B., Liu, Y., </w:t>
      </w:r>
      <w:proofErr w:type="spellStart"/>
      <w:r w:rsidRPr="00B23126">
        <w:rPr>
          <w:rFonts w:ascii="Times New Roman" w:hAnsi="Times New Roman" w:cs="Times New Roman"/>
          <w:sz w:val="24"/>
          <w:szCs w:val="24"/>
        </w:rPr>
        <w:t>Stampfer</w:t>
      </w:r>
      <w:proofErr w:type="spellEnd"/>
      <w:r w:rsidRPr="00B23126">
        <w:rPr>
          <w:rFonts w:ascii="Times New Roman" w:hAnsi="Times New Roman" w:cs="Times New Roman"/>
          <w:sz w:val="24"/>
          <w:szCs w:val="24"/>
        </w:rPr>
        <w:t xml:space="preserve">, M. J., &amp; Willett, W. C. (2002). A </w:t>
      </w:r>
      <w:r w:rsidR="00A82AC1" w:rsidRPr="00B23126">
        <w:rPr>
          <w:rFonts w:ascii="Times New Roman" w:hAnsi="Times New Roman" w:cs="Times New Roman"/>
          <w:sz w:val="24"/>
          <w:szCs w:val="24"/>
        </w:rPr>
        <w:t xml:space="preserve">Prospective Study </w:t>
      </w:r>
      <w:r w:rsidRPr="00B23126">
        <w:rPr>
          <w:rFonts w:ascii="Times New Roman" w:hAnsi="Times New Roman" w:cs="Times New Roman"/>
          <w:sz w:val="24"/>
          <w:szCs w:val="24"/>
        </w:rPr>
        <w:t xml:space="preserve">of </w:t>
      </w:r>
      <w:r w:rsidR="00A82AC1" w:rsidRPr="00B23126">
        <w:rPr>
          <w:rFonts w:ascii="Times New Roman" w:hAnsi="Times New Roman" w:cs="Times New Roman"/>
          <w:sz w:val="24"/>
          <w:szCs w:val="24"/>
        </w:rPr>
        <w:t>Tomato Products, Lycopene</w:t>
      </w:r>
      <w:r w:rsidRPr="00B23126">
        <w:rPr>
          <w:rFonts w:ascii="Times New Roman" w:hAnsi="Times New Roman" w:cs="Times New Roman"/>
          <w:sz w:val="24"/>
          <w:szCs w:val="24"/>
        </w:rPr>
        <w:t xml:space="preserve">, and </w:t>
      </w:r>
      <w:r w:rsidR="00A82AC1" w:rsidRPr="00B23126">
        <w:rPr>
          <w:rFonts w:ascii="Times New Roman" w:hAnsi="Times New Roman" w:cs="Times New Roman"/>
          <w:sz w:val="24"/>
          <w:szCs w:val="24"/>
        </w:rPr>
        <w:t>Prostate Cancer Risk</w:t>
      </w:r>
      <w:r w:rsidRPr="00B23126">
        <w:rPr>
          <w:rFonts w:ascii="Times New Roman" w:hAnsi="Times New Roman" w:cs="Times New Roman"/>
          <w:sz w:val="24"/>
          <w:szCs w:val="24"/>
        </w:rPr>
        <w:t xml:space="preserve">. </w:t>
      </w:r>
      <w:r w:rsidRPr="00B23126">
        <w:rPr>
          <w:rFonts w:ascii="Times New Roman" w:hAnsi="Times New Roman" w:cs="Times New Roman"/>
          <w:i/>
          <w:sz w:val="24"/>
          <w:szCs w:val="24"/>
        </w:rPr>
        <w:t>Journal of the National Cancer Institute</w:t>
      </w:r>
      <w:r w:rsidRPr="00B23126">
        <w:rPr>
          <w:rFonts w:ascii="Times New Roman" w:hAnsi="Times New Roman" w:cs="Times New Roman"/>
          <w:sz w:val="24"/>
          <w:szCs w:val="24"/>
        </w:rPr>
        <w:t>, 94(5), 391–398.</w:t>
      </w:r>
    </w:p>
    <w:p w14:paraId="1E530457" w14:textId="3EE59821" w:rsidR="00D02CF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4. </w:t>
      </w:r>
      <w:r w:rsidR="00D02CFF" w:rsidRPr="00B23126">
        <w:rPr>
          <w:rFonts w:ascii="Times New Roman" w:hAnsi="Times New Roman" w:cs="Times New Roman"/>
          <w:sz w:val="24"/>
          <w:szCs w:val="24"/>
        </w:rPr>
        <w:t xml:space="preserve">Association of Official Analytical Chemists. (2015). </w:t>
      </w:r>
      <w:r w:rsidR="00D02CFF" w:rsidRPr="00B23126">
        <w:rPr>
          <w:rFonts w:ascii="Times New Roman" w:hAnsi="Times New Roman" w:cs="Times New Roman"/>
          <w:i/>
          <w:sz w:val="24"/>
          <w:szCs w:val="24"/>
        </w:rPr>
        <w:t>Official Method of Analysis</w:t>
      </w:r>
      <w:r w:rsidR="00D02CFF" w:rsidRPr="00B23126">
        <w:rPr>
          <w:rFonts w:ascii="Times New Roman" w:hAnsi="Times New Roman" w:cs="Times New Roman"/>
          <w:sz w:val="24"/>
          <w:szCs w:val="24"/>
        </w:rPr>
        <w:t xml:space="preserve"> (15th Edition). Washington DC: AOAC. Pp. 31-59</w:t>
      </w:r>
    </w:p>
    <w:p w14:paraId="090A12DB" w14:textId="02408E1D" w:rsidR="00661F2F" w:rsidRDefault="00661F2F" w:rsidP="00B23126">
      <w:pPr>
        <w:jc w:val="both"/>
        <w:rPr>
          <w:rFonts w:ascii="Times New Roman" w:hAnsi="Times New Roman" w:cs="Times New Roman"/>
          <w:sz w:val="24"/>
          <w:szCs w:val="24"/>
        </w:rPr>
      </w:pPr>
      <w:r>
        <w:rPr>
          <w:rFonts w:ascii="Times New Roman" w:hAnsi="Times New Roman" w:cs="Times New Roman"/>
          <w:sz w:val="24"/>
          <w:szCs w:val="24"/>
        </w:rPr>
        <w:t xml:space="preserve">5. </w:t>
      </w:r>
      <w:r w:rsidRPr="00661F2F">
        <w:rPr>
          <w:rFonts w:ascii="Times New Roman" w:hAnsi="Times New Roman" w:cs="Times New Roman"/>
          <w:sz w:val="24"/>
          <w:szCs w:val="24"/>
        </w:rPr>
        <w:t xml:space="preserve">American Public Health Association, American Water Works Association &amp; Water Environment Federation. (1995). </w:t>
      </w:r>
      <w:r w:rsidRPr="00661F2F">
        <w:rPr>
          <w:rFonts w:ascii="Times New Roman" w:hAnsi="Times New Roman" w:cs="Times New Roman"/>
          <w:i/>
          <w:sz w:val="24"/>
          <w:szCs w:val="24"/>
        </w:rPr>
        <w:t>Standard Methods for the Examination of Water and Wastewater</w:t>
      </w:r>
      <w:r w:rsidRPr="00661F2F">
        <w:rPr>
          <w:rFonts w:ascii="Times New Roman" w:hAnsi="Times New Roman" w:cs="Times New Roman"/>
          <w:sz w:val="24"/>
          <w:szCs w:val="24"/>
        </w:rPr>
        <w:t xml:space="preserve"> (19th ed.). Washington, DC: APHA.</w:t>
      </w:r>
    </w:p>
    <w:p w14:paraId="0198A610" w14:textId="7CC175D9" w:rsidR="00873A2D" w:rsidRPr="00B23126" w:rsidRDefault="00873A2D" w:rsidP="00B23126">
      <w:pPr>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B23126">
        <w:rPr>
          <w:rFonts w:ascii="Times New Roman" w:hAnsi="Times New Roman" w:cs="Times New Roman"/>
          <w:sz w:val="24"/>
          <w:szCs w:val="24"/>
        </w:rPr>
        <w:t>Cheesbrough</w:t>
      </w:r>
      <w:proofErr w:type="spellEnd"/>
      <w:r w:rsidRPr="00B23126">
        <w:rPr>
          <w:rFonts w:ascii="Times New Roman" w:hAnsi="Times New Roman" w:cs="Times New Roman"/>
          <w:sz w:val="24"/>
          <w:szCs w:val="24"/>
        </w:rPr>
        <w:t xml:space="preserve">, M. (2000). </w:t>
      </w:r>
      <w:r w:rsidRPr="00B23126">
        <w:rPr>
          <w:rFonts w:ascii="Times New Roman" w:hAnsi="Times New Roman" w:cs="Times New Roman"/>
          <w:i/>
          <w:sz w:val="24"/>
          <w:szCs w:val="24"/>
        </w:rPr>
        <w:t>District Laboratory Practice Manual in Tropical Countries Part 2</w:t>
      </w:r>
      <w:r w:rsidRPr="00B23126">
        <w:rPr>
          <w:rFonts w:ascii="Times New Roman" w:hAnsi="Times New Roman" w:cs="Times New Roman"/>
          <w:sz w:val="24"/>
          <w:szCs w:val="24"/>
        </w:rPr>
        <w:t>. Cambridge University Press, Cambridge, 178-179.</w:t>
      </w:r>
    </w:p>
    <w:p w14:paraId="0C0DD185" w14:textId="31E55658" w:rsidR="00DE0BC0" w:rsidRDefault="00873A2D" w:rsidP="00B23126">
      <w:pPr>
        <w:jc w:val="both"/>
        <w:rPr>
          <w:rFonts w:ascii="Times New Roman" w:hAnsi="Times New Roman" w:cs="Times New Roman"/>
          <w:sz w:val="24"/>
          <w:szCs w:val="24"/>
        </w:rPr>
      </w:pPr>
      <w:r>
        <w:rPr>
          <w:rFonts w:ascii="Times New Roman" w:hAnsi="Times New Roman" w:cs="Times New Roman"/>
          <w:sz w:val="24"/>
          <w:szCs w:val="24"/>
        </w:rPr>
        <w:t xml:space="preserve">7. </w:t>
      </w:r>
      <w:r w:rsidR="00D02CFF" w:rsidRPr="00B23126">
        <w:rPr>
          <w:rFonts w:ascii="Times New Roman" w:hAnsi="Times New Roman" w:cs="Times New Roman"/>
          <w:sz w:val="24"/>
          <w:szCs w:val="24"/>
        </w:rPr>
        <w:t xml:space="preserve">Buchanan, R. E., &amp; Gibbons, N. R. (Eds.). (1974). </w:t>
      </w:r>
      <w:proofErr w:type="spellStart"/>
      <w:r w:rsidR="00D02CFF" w:rsidRPr="00B23126">
        <w:rPr>
          <w:rFonts w:ascii="Times New Roman" w:hAnsi="Times New Roman" w:cs="Times New Roman"/>
          <w:i/>
          <w:sz w:val="24"/>
          <w:szCs w:val="24"/>
        </w:rPr>
        <w:t>Bergey’s</w:t>
      </w:r>
      <w:proofErr w:type="spellEnd"/>
      <w:r w:rsidR="00D02CFF" w:rsidRPr="00B23126">
        <w:rPr>
          <w:rFonts w:ascii="Times New Roman" w:hAnsi="Times New Roman" w:cs="Times New Roman"/>
          <w:i/>
          <w:sz w:val="24"/>
          <w:szCs w:val="24"/>
        </w:rPr>
        <w:t xml:space="preserve"> </w:t>
      </w:r>
      <w:r w:rsidR="00A82AC1" w:rsidRPr="00B23126">
        <w:rPr>
          <w:rFonts w:ascii="Times New Roman" w:hAnsi="Times New Roman" w:cs="Times New Roman"/>
          <w:i/>
          <w:sz w:val="24"/>
          <w:szCs w:val="24"/>
        </w:rPr>
        <w:t xml:space="preserve">Manual </w:t>
      </w:r>
      <w:r w:rsidR="00D02CFF" w:rsidRPr="00B23126">
        <w:rPr>
          <w:rFonts w:ascii="Times New Roman" w:hAnsi="Times New Roman" w:cs="Times New Roman"/>
          <w:i/>
          <w:sz w:val="24"/>
          <w:szCs w:val="24"/>
        </w:rPr>
        <w:t xml:space="preserve">of </w:t>
      </w:r>
      <w:r w:rsidR="00A82AC1" w:rsidRPr="00B23126">
        <w:rPr>
          <w:rFonts w:ascii="Times New Roman" w:hAnsi="Times New Roman" w:cs="Times New Roman"/>
          <w:i/>
          <w:sz w:val="24"/>
          <w:szCs w:val="24"/>
        </w:rPr>
        <w:t>Determinative Bacteriology</w:t>
      </w:r>
      <w:r w:rsidR="00A82AC1" w:rsidRPr="00B23126">
        <w:rPr>
          <w:rFonts w:ascii="Times New Roman" w:hAnsi="Times New Roman" w:cs="Times New Roman"/>
          <w:sz w:val="24"/>
          <w:szCs w:val="24"/>
        </w:rPr>
        <w:t xml:space="preserve"> </w:t>
      </w:r>
      <w:r w:rsidR="00D02CFF" w:rsidRPr="00B23126">
        <w:rPr>
          <w:rFonts w:ascii="Times New Roman" w:hAnsi="Times New Roman" w:cs="Times New Roman"/>
          <w:sz w:val="24"/>
          <w:szCs w:val="24"/>
        </w:rPr>
        <w:t>(8th ed.). Williams &amp; Wilkins.</w:t>
      </w:r>
    </w:p>
    <w:p w14:paraId="67394491" w14:textId="2D406FDA" w:rsidR="00956DD0" w:rsidRDefault="00956DD0" w:rsidP="00B23126">
      <w:pPr>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950000">
        <w:rPr>
          <w:rFonts w:ascii="Times New Roman" w:hAnsi="Times New Roman" w:cs="Times New Roman"/>
          <w:sz w:val="24"/>
          <w:szCs w:val="24"/>
        </w:rPr>
        <w:t>Balunkeswar</w:t>
      </w:r>
      <w:proofErr w:type="spellEnd"/>
      <w:r w:rsidRPr="00950000">
        <w:rPr>
          <w:rFonts w:ascii="Times New Roman" w:hAnsi="Times New Roman" w:cs="Times New Roman"/>
          <w:sz w:val="24"/>
          <w:szCs w:val="24"/>
        </w:rPr>
        <w:t xml:space="preserve"> </w:t>
      </w:r>
      <w:proofErr w:type="spellStart"/>
      <w:r w:rsidRPr="00950000">
        <w:rPr>
          <w:rFonts w:ascii="Times New Roman" w:hAnsi="Times New Roman" w:cs="Times New Roman"/>
          <w:sz w:val="24"/>
          <w:szCs w:val="24"/>
        </w:rPr>
        <w:t>Nayak</w:t>
      </w:r>
      <w:proofErr w:type="spellEnd"/>
      <w:r w:rsidRPr="00950000">
        <w:rPr>
          <w:rFonts w:ascii="Times New Roman" w:hAnsi="Times New Roman" w:cs="Times New Roman"/>
          <w:sz w:val="24"/>
          <w:szCs w:val="24"/>
        </w:rPr>
        <w:t xml:space="preserve">, </w:t>
      </w:r>
      <w:proofErr w:type="spellStart"/>
      <w:r w:rsidRPr="00950000">
        <w:rPr>
          <w:rFonts w:ascii="Times New Roman" w:hAnsi="Times New Roman" w:cs="Times New Roman"/>
          <w:sz w:val="24"/>
          <w:szCs w:val="24"/>
        </w:rPr>
        <w:t>Rui</w:t>
      </w:r>
      <w:proofErr w:type="spellEnd"/>
      <w:r w:rsidRPr="00950000">
        <w:rPr>
          <w:rFonts w:ascii="Times New Roman" w:hAnsi="Times New Roman" w:cs="Times New Roman"/>
          <w:sz w:val="24"/>
          <w:szCs w:val="24"/>
        </w:rPr>
        <w:t xml:space="preserve"> Hai Liu &amp; </w:t>
      </w:r>
      <w:proofErr w:type="spellStart"/>
      <w:r w:rsidRPr="00950000">
        <w:rPr>
          <w:rFonts w:ascii="Times New Roman" w:hAnsi="Times New Roman" w:cs="Times New Roman"/>
          <w:sz w:val="24"/>
          <w:szCs w:val="24"/>
        </w:rPr>
        <w:t>Juming</w:t>
      </w:r>
      <w:proofErr w:type="spellEnd"/>
      <w:r w:rsidRPr="00950000">
        <w:rPr>
          <w:rFonts w:ascii="Times New Roman" w:hAnsi="Times New Roman" w:cs="Times New Roman"/>
          <w:sz w:val="24"/>
          <w:szCs w:val="24"/>
        </w:rPr>
        <w:t xml:space="preserve"> Tang (2015) Effect of Processing on Phenolic Antioxidants of Fruits, Vegetables, and Grains</w:t>
      </w:r>
      <w:r>
        <w:rPr>
          <w:rFonts w:ascii="Times New Roman" w:hAnsi="Times New Roman" w:cs="Times New Roman"/>
          <w:sz w:val="24"/>
          <w:szCs w:val="24"/>
        </w:rPr>
        <w:t xml:space="preserve">: </w:t>
      </w:r>
      <w:r w:rsidRPr="00950000">
        <w:rPr>
          <w:rFonts w:ascii="Times New Roman" w:hAnsi="Times New Roman" w:cs="Times New Roman"/>
          <w:sz w:val="24"/>
          <w:szCs w:val="24"/>
        </w:rPr>
        <w:t>A Review</w:t>
      </w:r>
      <w:r>
        <w:rPr>
          <w:rFonts w:ascii="Times New Roman" w:hAnsi="Times New Roman" w:cs="Times New Roman"/>
          <w:sz w:val="24"/>
          <w:szCs w:val="24"/>
        </w:rPr>
        <w:t>.</w:t>
      </w:r>
      <w:r w:rsidRPr="00950000">
        <w:rPr>
          <w:rFonts w:ascii="Times New Roman" w:hAnsi="Times New Roman" w:cs="Times New Roman"/>
          <w:sz w:val="24"/>
          <w:szCs w:val="24"/>
        </w:rPr>
        <w:t xml:space="preserve"> </w:t>
      </w:r>
      <w:r w:rsidRPr="00950000">
        <w:rPr>
          <w:rFonts w:ascii="Times New Roman" w:hAnsi="Times New Roman" w:cs="Times New Roman"/>
          <w:i/>
          <w:sz w:val="24"/>
          <w:szCs w:val="24"/>
        </w:rPr>
        <w:t>Critical Reviews in Food Science and Nutrition</w:t>
      </w:r>
      <w:r w:rsidRPr="00950000">
        <w:rPr>
          <w:rFonts w:ascii="Times New Roman" w:hAnsi="Times New Roman" w:cs="Times New Roman"/>
          <w:sz w:val="24"/>
          <w:szCs w:val="24"/>
        </w:rPr>
        <w:t>, 55:7, 887-918</w:t>
      </w:r>
      <w:r>
        <w:rPr>
          <w:rFonts w:ascii="Times New Roman" w:hAnsi="Times New Roman" w:cs="Times New Roman"/>
          <w:sz w:val="24"/>
          <w:szCs w:val="24"/>
        </w:rPr>
        <w:t>.</w:t>
      </w:r>
      <w:r w:rsidRPr="00950000">
        <w:rPr>
          <w:rFonts w:ascii="Times New Roman" w:hAnsi="Times New Roman" w:cs="Times New Roman"/>
          <w:sz w:val="24"/>
          <w:szCs w:val="24"/>
        </w:rPr>
        <w:t xml:space="preserve"> </w:t>
      </w:r>
      <w:hyperlink r:id="rId9" w:history="1">
        <w:r w:rsidRPr="0016200D">
          <w:rPr>
            <w:rStyle w:val="Hyperlink"/>
            <w:rFonts w:ascii="Times New Roman" w:hAnsi="Times New Roman" w:cs="Times New Roman"/>
            <w:sz w:val="24"/>
            <w:szCs w:val="24"/>
          </w:rPr>
          <w:t>https://doi.org/10.1080/10408398.2011.654142</w:t>
        </w:r>
      </w:hyperlink>
    </w:p>
    <w:p w14:paraId="1C0FD7BD" w14:textId="5BA3772C" w:rsidR="000B0E0C" w:rsidRDefault="000B0E0C" w:rsidP="00B23126">
      <w:pPr>
        <w:jc w:val="both"/>
        <w:rPr>
          <w:rFonts w:ascii="Times New Roman" w:hAnsi="Times New Roman" w:cs="Times New Roman"/>
          <w:sz w:val="24"/>
          <w:szCs w:val="24"/>
        </w:rPr>
      </w:pPr>
      <w:r>
        <w:rPr>
          <w:rFonts w:ascii="Times New Roman" w:hAnsi="Times New Roman" w:cs="Times New Roman"/>
          <w:sz w:val="24"/>
          <w:szCs w:val="24"/>
        </w:rPr>
        <w:t xml:space="preserve">9. </w:t>
      </w:r>
      <w:r w:rsidRPr="006B0596">
        <w:rPr>
          <w:rFonts w:ascii="Times New Roman" w:hAnsi="Times New Roman" w:cs="Times New Roman"/>
          <w:sz w:val="24"/>
          <w:szCs w:val="24"/>
        </w:rPr>
        <w:t xml:space="preserve">Maillard, M. N., </w:t>
      </w:r>
      <w:proofErr w:type="spellStart"/>
      <w:r w:rsidRPr="006B0596">
        <w:rPr>
          <w:rFonts w:ascii="Times New Roman" w:hAnsi="Times New Roman" w:cs="Times New Roman"/>
          <w:sz w:val="24"/>
          <w:szCs w:val="24"/>
        </w:rPr>
        <w:t>Soum</w:t>
      </w:r>
      <w:proofErr w:type="spellEnd"/>
      <w:r w:rsidRPr="006B0596">
        <w:rPr>
          <w:rFonts w:ascii="Times New Roman" w:hAnsi="Times New Roman" w:cs="Times New Roman"/>
          <w:sz w:val="24"/>
          <w:szCs w:val="24"/>
        </w:rPr>
        <w:t xml:space="preserve">, M. H., Boivin, P., &amp; </w:t>
      </w:r>
      <w:proofErr w:type="spellStart"/>
      <w:r w:rsidRPr="006B0596">
        <w:rPr>
          <w:rFonts w:ascii="Times New Roman" w:hAnsi="Times New Roman" w:cs="Times New Roman"/>
          <w:sz w:val="24"/>
          <w:szCs w:val="24"/>
        </w:rPr>
        <w:t>Berset</w:t>
      </w:r>
      <w:proofErr w:type="spellEnd"/>
      <w:r w:rsidRPr="006B0596">
        <w:rPr>
          <w:rFonts w:ascii="Times New Roman" w:hAnsi="Times New Roman" w:cs="Times New Roman"/>
          <w:sz w:val="24"/>
          <w:szCs w:val="24"/>
        </w:rPr>
        <w:t>, C. (</w:t>
      </w:r>
      <w:r w:rsidRPr="008D0D93">
        <w:rPr>
          <w:rFonts w:ascii="Times New Roman" w:hAnsi="Times New Roman" w:cs="Times New Roman"/>
          <w:sz w:val="24"/>
          <w:szCs w:val="24"/>
        </w:rPr>
        <w:t>1996</w:t>
      </w:r>
      <w:r w:rsidRPr="006B0596">
        <w:rPr>
          <w:rFonts w:ascii="Times New Roman" w:hAnsi="Times New Roman" w:cs="Times New Roman"/>
          <w:sz w:val="24"/>
          <w:szCs w:val="24"/>
        </w:rPr>
        <w:t xml:space="preserve">). </w:t>
      </w:r>
      <w:r w:rsidRPr="00A1576A">
        <w:rPr>
          <w:rFonts w:ascii="Times New Roman" w:hAnsi="Times New Roman" w:cs="Times New Roman"/>
          <w:sz w:val="24"/>
          <w:szCs w:val="24"/>
        </w:rPr>
        <w:t xml:space="preserve">Antioxidant Activity of Barley and Malt: Relationship with Phenolic Content. </w:t>
      </w:r>
      <w:r w:rsidRPr="00A1576A">
        <w:rPr>
          <w:rFonts w:ascii="Times New Roman" w:hAnsi="Times New Roman" w:cs="Times New Roman"/>
          <w:i/>
          <w:sz w:val="24"/>
          <w:szCs w:val="24"/>
        </w:rPr>
        <w:t>Food Science and Technology</w:t>
      </w:r>
      <w:r w:rsidRPr="00A1576A">
        <w:rPr>
          <w:rFonts w:ascii="Times New Roman" w:hAnsi="Times New Roman" w:cs="Times New Roman"/>
          <w:sz w:val="24"/>
          <w:szCs w:val="24"/>
        </w:rPr>
        <w:t>, 29, 238-244.</w:t>
      </w:r>
      <w:r>
        <w:rPr>
          <w:rFonts w:ascii="Times New Roman" w:hAnsi="Times New Roman" w:cs="Times New Roman"/>
          <w:sz w:val="24"/>
          <w:szCs w:val="24"/>
        </w:rPr>
        <w:t xml:space="preserve"> </w:t>
      </w:r>
      <w:hyperlink r:id="rId10" w:history="1">
        <w:r w:rsidRPr="0016200D">
          <w:rPr>
            <w:rStyle w:val="Hyperlink"/>
            <w:rFonts w:ascii="Times New Roman" w:hAnsi="Times New Roman" w:cs="Times New Roman"/>
            <w:sz w:val="24"/>
            <w:szCs w:val="24"/>
          </w:rPr>
          <w:t>http://dx.doi.org/10.1006/fstl.1996.0035</w:t>
        </w:r>
      </w:hyperlink>
    </w:p>
    <w:p w14:paraId="291FB0DF" w14:textId="364D46A8" w:rsidR="001D37D8" w:rsidRDefault="001D37D8" w:rsidP="00B2312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DE0BC0">
        <w:rPr>
          <w:rFonts w:ascii="Times New Roman" w:hAnsi="Times New Roman" w:cs="Times New Roman"/>
          <w:sz w:val="24"/>
          <w:szCs w:val="24"/>
        </w:rPr>
        <w:t xml:space="preserve">Rickman, J. C., Barrett, D. M., &amp; Bruhn, C. M. (2007). Nutritional </w:t>
      </w:r>
      <w:r w:rsidR="00A82AC1" w:rsidRPr="00DE0BC0">
        <w:rPr>
          <w:rFonts w:ascii="Times New Roman" w:hAnsi="Times New Roman" w:cs="Times New Roman"/>
          <w:sz w:val="24"/>
          <w:szCs w:val="24"/>
        </w:rPr>
        <w:t xml:space="preserve">Comparison </w:t>
      </w:r>
      <w:r w:rsidRPr="00DE0BC0">
        <w:rPr>
          <w:rFonts w:ascii="Times New Roman" w:hAnsi="Times New Roman" w:cs="Times New Roman"/>
          <w:sz w:val="24"/>
          <w:szCs w:val="24"/>
        </w:rPr>
        <w:t xml:space="preserve">of </w:t>
      </w:r>
      <w:r w:rsidR="00A82AC1" w:rsidRPr="00DE0BC0">
        <w:rPr>
          <w:rFonts w:ascii="Times New Roman" w:hAnsi="Times New Roman" w:cs="Times New Roman"/>
          <w:sz w:val="24"/>
          <w:szCs w:val="24"/>
        </w:rPr>
        <w:t>Fresh, Frozen</w:t>
      </w:r>
      <w:r w:rsidRPr="00DE0BC0">
        <w:rPr>
          <w:rFonts w:ascii="Times New Roman" w:hAnsi="Times New Roman" w:cs="Times New Roman"/>
          <w:sz w:val="24"/>
          <w:szCs w:val="24"/>
        </w:rPr>
        <w:t xml:space="preserve">, and </w:t>
      </w:r>
      <w:r w:rsidR="00A82AC1" w:rsidRPr="00DE0BC0">
        <w:rPr>
          <w:rFonts w:ascii="Times New Roman" w:hAnsi="Times New Roman" w:cs="Times New Roman"/>
          <w:sz w:val="24"/>
          <w:szCs w:val="24"/>
        </w:rPr>
        <w:t xml:space="preserve">Canned Fruits </w:t>
      </w:r>
      <w:r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Vegetables</w:t>
      </w:r>
      <w:r w:rsidRPr="00DE0BC0">
        <w:rPr>
          <w:rFonts w:ascii="Times New Roman" w:hAnsi="Times New Roman" w:cs="Times New Roman"/>
          <w:sz w:val="24"/>
          <w:szCs w:val="24"/>
        </w:rPr>
        <w:t xml:space="preserve">. </w:t>
      </w:r>
      <w:r w:rsidRPr="00DE0BC0">
        <w:rPr>
          <w:rFonts w:ascii="Times New Roman" w:hAnsi="Times New Roman" w:cs="Times New Roman"/>
          <w:i/>
          <w:iCs/>
          <w:sz w:val="24"/>
          <w:szCs w:val="24"/>
        </w:rPr>
        <w:t>Journal of the Science of Food and Agriculture, 87</w:t>
      </w:r>
      <w:r w:rsidRPr="00DE0BC0">
        <w:rPr>
          <w:rFonts w:ascii="Times New Roman" w:hAnsi="Times New Roman" w:cs="Times New Roman"/>
          <w:sz w:val="24"/>
          <w:szCs w:val="24"/>
        </w:rPr>
        <w:t xml:space="preserve">(6), 930–944. </w:t>
      </w:r>
      <w:hyperlink r:id="rId11" w:tgtFrame="_new" w:history="1">
        <w:r w:rsidRPr="00DE0BC0">
          <w:rPr>
            <w:rStyle w:val="Hyperlink"/>
            <w:rFonts w:ascii="Times New Roman" w:hAnsi="Times New Roman" w:cs="Times New Roman"/>
            <w:sz w:val="24"/>
            <w:szCs w:val="24"/>
          </w:rPr>
          <w:t>https://doi.org/10.1002/jsfa.2825</w:t>
        </w:r>
      </w:hyperlink>
    </w:p>
    <w:p w14:paraId="1E244044" w14:textId="6C93DD27" w:rsidR="001D37D8" w:rsidRDefault="001D37D8" w:rsidP="00B23126">
      <w:pPr>
        <w:jc w:val="both"/>
        <w:rPr>
          <w:rFonts w:ascii="Times New Roman" w:hAnsi="Times New Roman" w:cs="Times New Roman"/>
          <w:sz w:val="24"/>
          <w:szCs w:val="24"/>
        </w:rPr>
      </w:pPr>
      <w:r>
        <w:rPr>
          <w:rFonts w:ascii="Times New Roman" w:hAnsi="Times New Roman" w:cs="Times New Roman"/>
          <w:sz w:val="24"/>
          <w:szCs w:val="24"/>
        </w:rPr>
        <w:t xml:space="preserve">11. </w:t>
      </w:r>
      <w:r w:rsidRPr="00DE0BC0">
        <w:rPr>
          <w:rFonts w:ascii="Times New Roman" w:hAnsi="Times New Roman" w:cs="Times New Roman"/>
          <w:sz w:val="24"/>
          <w:szCs w:val="24"/>
        </w:rPr>
        <w:t xml:space="preserve">Kader, A. A. (2008). </w:t>
      </w:r>
      <w:r w:rsidRPr="00DE0BC0">
        <w:rPr>
          <w:rFonts w:ascii="Times New Roman" w:hAnsi="Times New Roman" w:cs="Times New Roman"/>
          <w:i/>
          <w:iCs/>
          <w:sz w:val="24"/>
          <w:szCs w:val="24"/>
        </w:rPr>
        <w:t xml:space="preserve">Postharvest </w:t>
      </w:r>
      <w:r w:rsidR="00A82AC1" w:rsidRPr="00DE0BC0">
        <w:rPr>
          <w:rFonts w:ascii="Times New Roman" w:hAnsi="Times New Roman" w:cs="Times New Roman"/>
          <w:i/>
          <w:iCs/>
          <w:sz w:val="24"/>
          <w:szCs w:val="24"/>
        </w:rPr>
        <w:t xml:space="preserve">Technology </w:t>
      </w:r>
      <w:r w:rsidRPr="00DE0BC0">
        <w:rPr>
          <w:rFonts w:ascii="Times New Roman" w:hAnsi="Times New Roman" w:cs="Times New Roman"/>
          <w:i/>
          <w:iCs/>
          <w:sz w:val="24"/>
          <w:szCs w:val="24"/>
        </w:rPr>
        <w:t xml:space="preserve">of </w:t>
      </w:r>
      <w:r w:rsidR="00A82AC1" w:rsidRPr="00DE0BC0">
        <w:rPr>
          <w:rFonts w:ascii="Times New Roman" w:hAnsi="Times New Roman" w:cs="Times New Roman"/>
          <w:i/>
          <w:iCs/>
          <w:sz w:val="24"/>
          <w:szCs w:val="24"/>
        </w:rPr>
        <w:t>Horticultural C</w:t>
      </w:r>
      <w:r w:rsidRPr="00DE0BC0">
        <w:rPr>
          <w:rFonts w:ascii="Times New Roman" w:hAnsi="Times New Roman" w:cs="Times New Roman"/>
          <w:i/>
          <w:iCs/>
          <w:sz w:val="24"/>
          <w:szCs w:val="24"/>
        </w:rPr>
        <w:t>rops</w:t>
      </w:r>
      <w:r w:rsidRPr="00DE0BC0">
        <w:rPr>
          <w:rFonts w:ascii="Times New Roman" w:hAnsi="Times New Roman" w:cs="Times New Roman"/>
          <w:sz w:val="24"/>
          <w:szCs w:val="24"/>
        </w:rPr>
        <w:t xml:space="preserve"> (3rd ed.). </w:t>
      </w:r>
      <w:r w:rsidRPr="00CE4065">
        <w:rPr>
          <w:rFonts w:ascii="Times New Roman" w:hAnsi="Times New Roman" w:cs="Times New Roman"/>
          <w:sz w:val="24"/>
          <w:szCs w:val="24"/>
        </w:rPr>
        <w:t>Oakland</w:t>
      </w:r>
      <w:r>
        <w:rPr>
          <w:rFonts w:ascii="Times New Roman" w:hAnsi="Times New Roman" w:cs="Times New Roman"/>
          <w:sz w:val="24"/>
          <w:szCs w:val="24"/>
        </w:rPr>
        <w:t xml:space="preserve">: </w:t>
      </w:r>
      <w:r w:rsidRPr="00CE4065">
        <w:rPr>
          <w:rFonts w:ascii="Times New Roman" w:hAnsi="Times New Roman" w:cs="Times New Roman"/>
          <w:sz w:val="24"/>
          <w:szCs w:val="24"/>
        </w:rPr>
        <w:t xml:space="preserve"> </w:t>
      </w:r>
      <w:r w:rsidRPr="00DE0BC0">
        <w:rPr>
          <w:rFonts w:ascii="Times New Roman" w:hAnsi="Times New Roman" w:cs="Times New Roman"/>
          <w:sz w:val="24"/>
          <w:szCs w:val="24"/>
        </w:rPr>
        <w:t>University of California, Agriculture and Natural Resources.</w:t>
      </w:r>
    </w:p>
    <w:p w14:paraId="2E7E1277" w14:textId="29DDF1E5" w:rsidR="006729E3" w:rsidRDefault="006729E3" w:rsidP="00B23126">
      <w:pPr>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CE4065">
        <w:rPr>
          <w:rFonts w:ascii="Times New Roman" w:hAnsi="Times New Roman" w:cs="Times New Roman"/>
          <w:sz w:val="24"/>
          <w:szCs w:val="24"/>
        </w:rPr>
        <w:t>Krokida</w:t>
      </w:r>
      <w:proofErr w:type="spellEnd"/>
      <w:r w:rsidRPr="00CE4065">
        <w:rPr>
          <w:rFonts w:ascii="Times New Roman" w:hAnsi="Times New Roman" w:cs="Times New Roman"/>
          <w:sz w:val="24"/>
          <w:szCs w:val="24"/>
        </w:rPr>
        <w:t xml:space="preserve">, M.K., </w:t>
      </w:r>
      <w:proofErr w:type="spellStart"/>
      <w:r w:rsidRPr="00CE4065">
        <w:rPr>
          <w:rFonts w:ascii="Times New Roman" w:hAnsi="Times New Roman" w:cs="Times New Roman"/>
          <w:sz w:val="24"/>
          <w:szCs w:val="24"/>
        </w:rPr>
        <w:t>Oreopoulou</w:t>
      </w:r>
      <w:proofErr w:type="spellEnd"/>
      <w:r w:rsidRPr="00CE4065">
        <w:rPr>
          <w:rFonts w:ascii="Times New Roman" w:hAnsi="Times New Roman" w:cs="Times New Roman"/>
          <w:sz w:val="24"/>
          <w:szCs w:val="24"/>
        </w:rPr>
        <w:t xml:space="preserve">, V., </w:t>
      </w:r>
      <w:proofErr w:type="spellStart"/>
      <w:r w:rsidRPr="00CE4065">
        <w:rPr>
          <w:rFonts w:ascii="Times New Roman" w:hAnsi="Times New Roman" w:cs="Times New Roman"/>
          <w:sz w:val="24"/>
          <w:szCs w:val="24"/>
        </w:rPr>
        <w:t>Maroulis</w:t>
      </w:r>
      <w:proofErr w:type="spellEnd"/>
      <w:r w:rsidRPr="00CE4065">
        <w:rPr>
          <w:rFonts w:ascii="Times New Roman" w:hAnsi="Times New Roman" w:cs="Times New Roman"/>
          <w:sz w:val="24"/>
          <w:szCs w:val="24"/>
        </w:rPr>
        <w:t xml:space="preserve">, Z.B. and </w:t>
      </w:r>
      <w:proofErr w:type="spellStart"/>
      <w:r w:rsidRPr="00CE4065">
        <w:rPr>
          <w:rFonts w:ascii="Times New Roman" w:hAnsi="Times New Roman" w:cs="Times New Roman"/>
          <w:sz w:val="24"/>
          <w:szCs w:val="24"/>
        </w:rPr>
        <w:t>Kouris</w:t>
      </w:r>
      <w:proofErr w:type="spellEnd"/>
      <w:r w:rsidRPr="00CE4065">
        <w:rPr>
          <w:rFonts w:ascii="Times New Roman" w:hAnsi="Times New Roman" w:cs="Times New Roman"/>
          <w:sz w:val="24"/>
          <w:szCs w:val="24"/>
        </w:rPr>
        <w:t>, D.M. (2001)</w:t>
      </w:r>
      <w:r>
        <w:rPr>
          <w:rFonts w:ascii="Times New Roman" w:hAnsi="Times New Roman" w:cs="Times New Roman"/>
          <w:sz w:val="24"/>
          <w:szCs w:val="24"/>
        </w:rPr>
        <w:t>.</w:t>
      </w:r>
      <w:r w:rsidRPr="00CE4065">
        <w:rPr>
          <w:rFonts w:ascii="Times New Roman" w:hAnsi="Times New Roman" w:cs="Times New Roman"/>
          <w:sz w:val="24"/>
          <w:szCs w:val="24"/>
        </w:rPr>
        <w:t xml:space="preserve"> Effect of Pre-Drying on the Quality of French Fries. </w:t>
      </w:r>
      <w:r w:rsidRPr="00CE4065">
        <w:rPr>
          <w:rFonts w:ascii="Times New Roman" w:hAnsi="Times New Roman" w:cs="Times New Roman"/>
          <w:i/>
          <w:sz w:val="24"/>
          <w:szCs w:val="24"/>
        </w:rPr>
        <w:t>Journal of Food Engineering</w:t>
      </w:r>
      <w:r w:rsidRPr="00CE4065">
        <w:rPr>
          <w:rFonts w:ascii="Times New Roman" w:hAnsi="Times New Roman" w:cs="Times New Roman"/>
          <w:sz w:val="24"/>
          <w:szCs w:val="24"/>
        </w:rPr>
        <w:t>, 49, 347-354.</w:t>
      </w:r>
      <w:r w:rsidRPr="00CE4065">
        <w:rPr>
          <w:rFonts w:ascii="Times New Roman" w:hAnsi="Times New Roman" w:cs="Times New Roman"/>
          <w:sz w:val="24"/>
          <w:szCs w:val="24"/>
        </w:rPr>
        <w:br/>
      </w:r>
      <w:hyperlink r:id="rId12" w:history="1">
        <w:r w:rsidRPr="0016200D">
          <w:rPr>
            <w:rStyle w:val="Hyperlink"/>
            <w:rFonts w:ascii="Times New Roman" w:hAnsi="Times New Roman" w:cs="Times New Roman"/>
            <w:sz w:val="24"/>
            <w:szCs w:val="24"/>
          </w:rPr>
          <w:t>https://doi.org/10.1016/S0260-8774(00)00233-8</w:t>
        </w:r>
      </w:hyperlink>
    </w:p>
    <w:p w14:paraId="4295A992" w14:textId="1B6DF8F8" w:rsidR="00223515" w:rsidRDefault="00223515" w:rsidP="00B23126">
      <w:pPr>
        <w:jc w:val="both"/>
        <w:rPr>
          <w:rFonts w:ascii="Times New Roman" w:hAnsi="Times New Roman" w:cs="Times New Roman"/>
          <w:sz w:val="24"/>
          <w:szCs w:val="24"/>
        </w:rPr>
      </w:pPr>
      <w:r>
        <w:rPr>
          <w:rFonts w:ascii="Times New Roman" w:hAnsi="Times New Roman" w:cs="Times New Roman"/>
          <w:sz w:val="24"/>
          <w:szCs w:val="24"/>
        </w:rPr>
        <w:t xml:space="preserve">13. </w:t>
      </w:r>
      <w:r w:rsidRPr="00DE0BC0">
        <w:rPr>
          <w:rFonts w:ascii="Times New Roman" w:hAnsi="Times New Roman" w:cs="Times New Roman"/>
          <w:sz w:val="24"/>
          <w:szCs w:val="24"/>
        </w:rPr>
        <w:t xml:space="preserve">Ortiz, J., Romero, N., Robert, P., Araya, J., Lopez-Hernandez, J., </w:t>
      </w:r>
      <w:proofErr w:type="spellStart"/>
      <w:r w:rsidRPr="00DE0BC0">
        <w:rPr>
          <w:rFonts w:ascii="Times New Roman" w:hAnsi="Times New Roman" w:cs="Times New Roman"/>
          <w:sz w:val="24"/>
          <w:szCs w:val="24"/>
        </w:rPr>
        <w:t>Bozzo</w:t>
      </w:r>
      <w:proofErr w:type="spellEnd"/>
      <w:r w:rsidRPr="00DE0BC0">
        <w:rPr>
          <w:rFonts w:ascii="Times New Roman" w:hAnsi="Times New Roman" w:cs="Times New Roman"/>
          <w:sz w:val="24"/>
          <w:szCs w:val="24"/>
        </w:rPr>
        <w:t>, C., Navarrete, E., &amp; Osorio, A. (20</w:t>
      </w:r>
      <w:r>
        <w:rPr>
          <w:rFonts w:ascii="Times New Roman" w:hAnsi="Times New Roman" w:cs="Times New Roman"/>
          <w:sz w:val="24"/>
          <w:szCs w:val="24"/>
        </w:rPr>
        <w:t>06</w:t>
      </w:r>
      <w:r w:rsidRPr="00DE0BC0">
        <w:rPr>
          <w:rFonts w:ascii="Times New Roman" w:hAnsi="Times New Roman" w:cs="Times New Roman"/>
          <w:sz w:val="24"/>
          <w:szCs w:val="24"/>
        </w:rPr>
        <w:t xml:space="preserve">). Dietary </w:t>
      </w:r>
      <w:r w:rsidR="00A82AC1" w:rsidRPr="00DE0BC0">
        <w:rPr>
          <w:rFonts w:ascii="Times New Roman" w:hAnsi="Times New Roman" w:cs="Times New Roman"/>
          <w:sz w:val="24"/>
          <w:szCs w:val="24"/>
        </w:rPr>
        <w:t>Fiber, Amino Acid, Fatty Acid</w:t>
      </w:r>
      <w:r w:rsidRPr="00DE0BC0">
        <w:rPr>
          <w:rFonts w:ascii="Times New Roman" w:hAnsi="Times New Roman" w:cs="Times New Roman"/>
          <w:sz w:val="24"/>
          <w:szCs w:val="24"/>
        </w:rPr>
        <w:t xml:space="preserve">, and </w:t>
      </w:r>
      <w:r w:rsidRPr="00113E50">
        <w:rPr>
          <w:rFonts w:ascii="Times New Roman" w:hAnsi="Times New Roman" w:cs="Times New Roman"/>
          <w:sz w:val="24"/>
          <w:szCs w:val="24"/>
        </w:rPr>
        <w:t>Tocopherol Contents</w:t>
      </w:r>
      <w:r w:rsidRPr="00DE0BC0">
        <w:rPr>
          <w:rFonts w:ascii="Times New Roman" w:hAnsi="Times New Roman" w:cs="Times New Roman"/>
          <w:sz w:val="24"/>
          <w:szCs w:val="24"/>
        </w:rPr>
        <w:t xml:space="preserve"> of </w:t>
      </w:r>
      <w:r w:rsidR="00A82AC1" w:rsidRPr="00DE0BC0">
        <w:rPr>
          <w:rFonts w:ascii="Times New Roman" w:hAnsi="Times New Roman" w:cs="Times New Roman"/>
          <w:sz w:val="24"/>
          <w:szCs w:val="24"/>
        </w:rPr>
        <w:t>Edible Seaweeds</w:t>
      </w:r>
      <w:r w:rsidRPr="00DE0BC0">
        <w:rPr>
          <w:rFonts w:ascii="Times New Roman" w:hAnsi="Times New Roman" w:cs="Times New Roman"/>
          <w:sz w:val="24"/>
          <w:szCs w:val="24"/>
        </w:rPr>
        <w:t xml:space="preserve">. </w:t>
      </w:r>
      <w:r w:rsidRPr="00113E50">
        <w:rPr>
          <w:rFonts w:ascii="Times New Roman" w:hAnsi="Times New Roman" w:cs="Times New Roman"/>
          <w:i/>
          <w:iCs/>
          <w:sz w:val="24"/>
          <w:szCs w:val="24"/>
        </w:rPr>
        <w:t>Food Chemistry</w:t>
      </w:r>
      <w:r w:rsidRPr="00DE0BC0">
        <w:rPr>
          <w:rFonts w:ascii="Times New Roman" w:hAnsi="Times New Roman" w:cs="Times New Roman"/>
          <w:i/>
          <w:iCs/>
          <w:sz w:val="24"/>
          <w:szCs w:val="24"/>
        </w:rPr>
        <w:t xml:space="preserve">, </w:t>
      </w:r>
      <w:r>
        <w:rPr>
          <w:rFonts w:ascii="Times New Roman" w:hAnsi="Times New Roman" w:cs="Times New Roman"/>
          <w:i/>
          <w:iCs/>
          <w:sz w:val="24"/>
          <w:szCs w:val="24"/>
        </w:rPr>
        <w:t>99</w:t>
      </w:r>
      <w:r w:rsidRPr="00DE0BC0">
        <w:rPr>
          <w:rFonts w:ascii="Times New Roman" w:hAnsi="Times New Roman" w:cs="Times New Roman"/>
          <w:sz w:val="24"/>
          <w:szCs w:val="24"/>
        </w:rPr>
        <w:t>(</w:t>
      </w:r>
      <w:r>
        <w:rPr>
          <w:rFonts w:ascii="Times New Roman" w:hAnsi="Times New Roman" w:cs="Times New Roman"/>
          <w:sz w:val="24"/>
          <w:szCs w:val="24"/>
        </w:rPr>
        <w:t>1</w:t>
      </w:r>
      <w:r w:rsidRPr="00DE0BC0">
        <w:rPr>
          <w:rFonts w:ascii="Times New Roman" w:hAnsi="Times New Roman" w:cs="Times New Roman"/>
          <w:sz w:val="24"/>
          <w:szCs w:val="24"/>
        </w:rPr>
        <w:t xml:space="preserve">), </w:t>
      </w:r>
      <w:r>
        <w:rPr>
          <w:rFonts w:ascii="Times New Roman" w:hAnsi="Times New Roman" w:cs="Times New Roman"/>
          <w:sz w:val="24"/>
          <w:szCs w:val="24"/>
        </w:rPr>
        <w:t>98</w:t>
      </w:r>
      <w:r w:rsidRPr="00DE0BC0">
        <w:rPr>
          <w:rFonts w:ascii="Times New Roman" w:hAnsi="Times New Roman" w:cs="Times New Roman"/>
          <w:sz w:val="24"/>
          <w:szCs w:val="24"/>
        </w:rPr>
        <w:t>–</w:t>
      </w:r>
      <w:r>
        <w:rPr>
          <w:rFonts w:ascii="Times New Roman" w:hAnsi="Times New Roman" w:cs="Times New Roman"/>
          <w:sz w:val="24"/>
          <w:szCs w:val="24"/>
        </w:rPr>
        <w:t>104</w:t>
      </w:r>
      <w:r w:rsidRPr="00DE0BC0">
        <w:rPr>
          <w:rFonts w:ascii="Times New Roman" w:hAnsi="Times New Roman" w:cs="Times New Roman"/>
          <w:sz w:val="24"/>
          <w:szCs w:val="24"/>
        </w:rPr>
        <w:t>.</w:t>
      </w:r>
    </w:p>
    <w:p w14:paraId="3D043D98" w14:textId="7AE8BAAC" w:rsidR="00B33BF0" w:rsidRDefault="001B187A" w:rsidP="00DE0BC0">
      <w:pPr>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134793" w:rsidRPr="00134793">
        <w:rPr>
          <w:rFonts w:ascii="Times New Roman" w:hAnsi="Times New Roman" w:cs="Times New Roman"/>
          <w:sz w:val="24"/>
          <w:szCs w:val="24"/>
        </w:rPr>
        <w:t>Mepba</w:t>
      </w:r>
      <w:proofErr w:type="spellEnd"/>
      <w:r w:rsidR="00134793" w:rsidRPr="00134793">
        <w:rPr>
          <w:rFonts w:ascii="Times New Roman" w:hAnsi="Times New Roman" w:cs="Times New Roman"/>
          <w:sz w:val="24"/>
          <w:szCs w:val="24"/>
        </w:rPr>
        <w:t xml:space="preserve">, H. D., </w:t>
      </w:r>
      <w:proofErr w:type="spellStart"/>
      <w:r w:rsidR="00134793" w:rsidRPr="00134793">
        <w:rPr>
          <w:rFonts w:ascii="Times New Roman" w:hAnsi="Times New Roman" w:cs="Times New Roman"/>
          <w:sz w:val="24"/>
          <w:szCs w:val="24"/>
        </w:rPr>
        <w:t>Eboh</w:t>
      </w:r>
      <w:proofErr w:type="spellEnd"/>
      <w:r w:rsidR="00134793" w:rsidRPr="00134793">
        <w:rPr>
          <w:rFonts w:ascii="Times New Roman" w:hAnsi="Times New Roman" w:cs="Times New Roman"/>
          <w:sz w:val="24"/>
          <w:szCs w:val="24"/>
        </w:rPr>
        <w:t xml:space="preserve">, L., &amp; </w:t>
      </w:r>
      <w:proofErr w:type="spellStart"/>
      <w:r w:rsidR="00134793" w:rsidRPr="00134793">
        <w:rPr>
          <w:rFonts w:ascii="Times New Roman" w:hAnsi="Times New Roman" w:cs="Times New Roman"/>
          <w:sz w:val="24"/>
          <w:szCs w:val="24"/>
        </w:rPr>
        <w:t>Banigo</w:t>
      </w:r>
      <w:proofErr w:type="spellEnd"/>
      <w:r w:rsidR="00134793" w:rsidRPr="00134793">
        <w:rPr>
          <w:rFonts w:ascii="Times New Roman" w:hAnsi="Times New Roman" w:cs="Times New Roman"/>
          <w:sz w:val="24"/>
          <w:szCs w:val="24"/>
        </w:rPr>
        <w:t xml:space="preserve">, D. E. B. (2007). Effects of </w:t>
      </w:r>
      <w:r w:rsidR="00A82AC1" w:rsidRPr="00134793">
        <w:rPr>
          <w:rFonts w:ascii="Times New Roman" w:hAnsi="Times New Roman" w:cs="Times New Roman"/>
          <w:sz w:val="24"/>
          <w:szCs w:val="24"/>
        </w:rPr>
        <w:t xml:space="preserve">Processing Treatments </w:t>
      </w:r>
      <w:r w:rsidR="00134793" w:rsidRPr="00134793">
        <w:rPr>
          <w:rFonts w:ascii="Times New Roman" w:hAnsi="Times New Roman" w:cs="Times New Roman"/>
          <w:sz w:val="24"/>
          <w:szCs w:val="24"/>
        </w:rPr>
        <w:t xml:space="preserve">on the </w:t>
      </w:r>
      <w:r w:rsidR="00A82AC1" w:rsidRPr="00134793">
        <w:rPr>
          <w:rFonts w:ascii="Times New Roman" w:hAnsi="Times New Roman" w:cs="Times New Roman"/>
          <w:sz w:val="24"/>
          <w:szCs w:val="24"/>
        </w:rPr>
        <w:t xml:space="preserve">Nutritive Composition </w:t>
      </w:r>
      <w:r w:rsidR="00134793" w:rsidRPr="00134793">
        <w:rPr>
          <w:rFonts w:ascii="Times New Roman" w:hAnsi="Times New Roman" w:cs="Times New Roman"/>
          <w:sz w:val="24"/>
          <w:szCs w:val="24"/>
        </w:rPr>
        <w:t xml:space="preserve">and </w:t>
      </w:r>
      <w:r w:rsidR="00A82AC1" w:rsidRPr="00134793">
        <w:rPr>
          <w:rFonts w:ascii="Times New Roman" w:hAnsi="Times New Roman" w:cs="Times New Roman"/>
          <w:sz w:val="24"/>
          <w:szCs w:val="24"/>
        </w:rPr>
        <w:t xml:space="preserve">Consumer Acceptance </w:t>
      </w:r>
      <w:r w:rsidR="00134793" w:rsidRPr="00134793">
        <w:rPr>
          <w:rFonts w:ascii="Times New Roman" w:hAnsi="Times New Roman" w:cs="Times New Roman"/>
          <w:sz w:val="24"/>
          <w:szCs w:val="24"/>
        </w:rPr>
        <w:t xml:space="preserve">of some Nigerian </w:t>
      </w:r>
      <w:r w:rsidR="00A82AC1" w:rsidRPr="00134793">
        <w:rPr>
          <w:rFonts w:ascii="Times New Roman" w:hAnsi="Times New Roman" w:cs="Times New Roman"/>
          <w:sz w:val="24"/>
          <w:szCs w:val="24"/>
        </w:rPr>
        <w:t>Edible Leafy Vegetable</w:t>
      </w:r>
      <w:r w:rsidR="00134793" w:rsidRPr="00134793">
        <w:rPr>
          <w:rFonts w:ascii="Times New Roman" w:hAnsi="Times New Roman" w:cs="Times New Roman"/>
          <w:sz w:val="24"/>
          <w:szCs w:val="24"/>
        </w:rPr>
        <w:t xml:space="preserve">s. </w:t>
      </w:r>
      <w:r w:rsidR="00134793" w:rsidRPr="00134793">
        <w:rPr>
          <w:rFonts w:ascii="Times New Roman" w:hAnsi="Times New Roman" w:cs="Times New Roman"/>
          <w:i/>
          <w:sz w:val="24"/>
          <w:szCs w:val="24"/>
        </w:rPr>
        <w:t>African Journal of Food, Agriculture, Nutrition and Development</w:t>
      </w:r>
      <w:r w:rsidR="00134793" w:rsidRPr="00134793">
        <w:rPr>
          <w:rFonts w:ascii="Times New Roman" w:hAnsi="Times New Roman" w:cs="Times New Roman"/>
          <w:sz w:val="24"/>
          <w:szCs w:val="24"/>
        </w:rPr>
        <w:t xml:space="preserve">, 7(1), 1–18. </w:t>
      </w:r>
      <w:hyperlink r:id="rId13" w:history="1">
        <w:r w:rsidR="00134793" w:rsidRPr="0016200D">
          <w:rPr>
            <w:rStyle w:val="Hyperlink"/>
            <w:rFonts w:ascii="Times New Roman" w:hAnsi="Times New Roman" w:cs="Times New Roman"/>
            <w:sz w:val="24"/>
            <w:szCs w:val="24"/>
          </w:rPr>
          <w:t>https://www.ajfand.net/Volume7/No1/Mepba1855.pdf</w:t>
        </w:r>
      </w:hyperlink>
      <w:r w:rsidR="00134793">
        <w:rPr>
          <w:rFonts w:ascii="Times New Roman" w:hAnsi="Times New Roman" w:cs="Times New Roman"/>
          <w:sz w:val="24"/>
          <w:szCs w:val="24"/>
        </w:rPr>
        <w:t xml:space="preserve"> </w:t>
      </w:r>
    </w:p>
    <w:p w14:paraId="098D4999" w14:textId="52C3FD10"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 xml:space="preserve">15. </w:t>
      </w:r>
      <w:r w:rsidRPr="00DE0BC0">
        <w:rPr>
          <w:rFonts w:ascii="Times New Roman" w:hAnsi="Times New Roman" w:cs="Times New Roman"/>
          <w:sz w:val="24"/>
          <w:szCs w:val="24"/>
        </w:rPr>
        <w:t xml:space="preserve">Jay, J. M., </w:t>
      </w:r>
      <w:proofErr w:type="spellStart"/>
      <w:r w:rsidRPr="00DE0BC0">
        <w:rPr>
          <w:rFonts w:ascii="Times New Roman" w:hAnsi="Times New Roman" w:cs="Times New Roman"/>
          <w:sz w:val="24"/>
          <w:szCs w:val="24"/>
        </w:rPr>
        <w:t>Loessner</w:t>
      </w:r>
      <w:proofErr w:type="spellEnd"/>
      <w:r w:rsidRPr="00DE0BC0">
        <w:rPr>
          <w:rFonts w:ascii="Times New Roman" w:hAnsi="Times New Roman" w:cs="Times New Roman"/>
          <w:sz w:val="24"/>
          <w:szCs w:val="24"/>
        </w:rPr>
        <w:t xml:space="preserve">, M. J., &amp; Golden, D. A. (2005). </w:t>
      </w:r>
      <w:r w:rsidRPr="00DE0BC0">
        <w:rPr>
          <w:rFonts w:ascii="Times New Roman" w:hAnsi="Times New Roman" w:cs="Times New Roman"/>
          <w:i/>
          <w:iCs/>
          <w:sz w:val="24"/>
          <w:szCs w:val="24"/>
        </w:rPr>
        <w:t xml:space="preserve">Modern </w:t>
      </w:r>
      <w:r w:rsidR="00A82AC1" w:rsidRPr="00DE0BC0">
        <w:rPr>
          <w:rFonts w:ascii="Times New Roman" w:hAnsi="Times New Roman" w:cs="Times New Roman"/>
          <w:i/>
          <w:iCs/>
          <w:sz w:val="24"/>
          <w:szCs w:val="24"/>
        </w:rPr>
        <w:t>Food M</w:t>
      </w:r>
      <w:r w:rsidRPr="00DE0BC0">
        <w:rPr>
          <w:rFonts w:ascii="Times New Roman" w:hAnsi="Times New Roman" w:cs="Times New Roman"/>
          <w:i/>
          <w:iCs/>
          <w:sz w:val="24"/>
          <w:szCs w:val="24"/>
        </w:rPr>
        <w:t>icrobiology</w:t>
      </w:r>
      <w:r w:rsidRPr="00DE0BC0">
        <w:rPr>
          <w:rFonts w:ascii="Times New Roman" w:hAnsi="Times New Roman" w:cs="Times New Roman"/>
          <w:sz w:val="24"/>
          <w:szCs w:val="24"/>
        </w:rPr>
        <w:t xml:space="preserve"> (7th ed.). </w:t>
      </w:r>
      <w:r>
        <w:rPr>
          <w:rFonts w:ascii="Times New Roman" w:hAnsi="Times New Roman" w:cs="Times New Roman"/>
          <w:sz w:val="24"/>
          <w:szCs w:val="24"/>
        </w:rPr>
        <w:t xml:space="preserve">New York: </w:t>
      </w:r>
      <w:r w:rsidRPr="00DE0BC0">
        <w:rPr>
          <w:rFonts w:ascii="Times New Roman" w:hAnsi="Times New Roman" w:cs="Times New Roman"/>
          <w:sz w:val="24"/>
          <w:szCs w:val="24"/>
        </w:rPr>
        <w:t>Springer Science</w:t>
      </w:r>
      <w:r>
        <w:rPr>
          <w:rFonts w:ascii="Times New Roman" w:hAnsi="Times New Roman" w:cs="Times New Roman"/>
          <w:sz w:val="24"/>
          <w:szCs w:val="24"/>
        </w:rPr>
        <w:t xml:space="preserve"> and </w:t>
      </w:r>
      <w:r w:rsidRPr="00DE0BC0">
        <w:rPr>
          <w:rFonts w:ascii="Times New Roman" w:hAnsi="Times New Roman" w:cs="Times New Roman"/>
          <w:sz w:val="24"/>
          <w:szCs w:val="24"/>
        </w:rPr>
        <w:t>Business Media.</w:t>
      </w:r>
      <w:r w:rsidR="00DE0BC0">
        <w:rPr>
          <w:rFonts w:ascii="Times New Roman" w:hAnsi="Times New Roman" w:cs="Times New Roman"/>
          <w:sz w:val="24"/>
          <w:szCs w:val="24"/>
        </w:rPr>
        <w:t xml:space="preserve"> </w:t>
      </w:r>
    </w:p>
    <w:p w14:paraId="3481CF05" w14:textId="112BC491"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00DE0BC0" w:rsidRPr="00DE0BC0">
        <w:rPr>
          <w:rFonts w:ascii="Times New Roman" w:hAnsi="Times New Roman" w:cs="Times New Roman"/>
          <w:sz w:val="24"/>
          <w:szCs w:val="24"/>
        </w:rPr>
        <w:t>Beuchat</w:t>
      </w:r>
      <w:proofErr w:type="spellEnd"/>
      <w:r w:rsidR="00DE0BC0" w:rsidRPr="00DE0BC0">
        <w:rPr>
          <w:rFonts w:ascii="Times New Roman" w:hAnsi="Times New Roman" w:cs="Times New Roman"/>
          <w:sz w:val="24"/>
          <w:szCs w:val="24"/>
        </w:rPr>
        <w:t xml:space="preserve">, L. R. (2002). Ecological </w:t>
      </w:r>
      <w:r w:rsidR="00A82AC1" w:rsidRPr="00DE0BC0">
        <w:rPr>
          <w:rFonts w:ascii="Times New Roman" w:hAnsi="Times New Roman" w:cs="Times New Roman"/>
          <w:sz w:val="24"/>
          <w:szCs w:val="24"/>
        </w:rPr>
        <w:t xml:space="preserve">Factors Influencing Survival </w:t>
      </w:r>
      <w:r w:rsidR="00DE0BC0"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 xml:space="preserve">Growth </w:t>
      </w:r>
      <w:r w:rsidR="00DE0BC0" w:rsidRPr="00DE0BC0">
        <w:rPr>
          <w:rFonts w:ascii="Times New Roman" w:hAnsi="Times New Roman" w:cs="Times New Roman"/>
          <w:sz w:val="24"/>
          <w:szCs w:val="24"/>
        </w:rPr>
        <w:t xml:space="preserve">of </w:t>
      </w:r>
      <w:r w:rsidR="00A82AC1" w:rsidRPr="00DE0BC0">
        <w:rPr>
          <w:rFonts w:ascii="Times New Roman" w:hAnsi="Times New Roman" w:cs="Times New Roman"/>
          <w:sz w:val="24"/>
          <w:szCs w:val="24"/>
        </w:rPr>
        <w:t>Human Pathogen</w:t>
      </w:r>
      <w:r w:rsidR="00DE0BC0" w:rsidRPr="00DE0BC0">
        <w:rPr>
          <w:rFonts w:ascii="Times New Roman" w:hAnsi="Times New Roman" w:cs="Times New Roman"/>
          <w:sz w:val="24"/>
          <w:szCs w:val="24"/>
        </w:rPr>
        <w:t xml:space="preserve">s on </w:t>
      </w:r>
      <w:r w:rsidR="00A82AC1" w:rsidRPr="00DE0BC0">
        <w:rPr>
          <w:rFonts w:ascii="Times New Roman" w:hAnsi="Times New Roman" w:cs="Times New Roman"/>
          <w:sz w:val="24"/>
          <w:szCs w:val="24"/>
        </w:rPr>
        <w:t xml:space="preserve">Raw Fruits </w:t>
      </w:r>
      <w:r w:rsidR="00DE0BC0" w:rsidRPr="00DE0BC0">
        <w:rPr>
          <w:rFonts w:ascii="Times New Roman" w:hAnsi="Times New Roman" w:cs="Times New Roman"/>
          <w:sz w:val="24"/>
          <w:szCs w:val="24"/>
        </w:rPr>
        <w:t xml:space="preserve">and </w:t>
      </w:r>
      <w:r w:rsidR="00A82AC1" w:rsidRPr="00DE0BC0">
        <w:rPr>
          <w:rFonts w:ascii="Times New Roman" w:hAnsi="Times New Roman" w:cs="Times New Roman"/>
          <w:sz w:val="24"/>
          <w:szCs w:val="24"/>
        </w:rPr>
        <w:t>Vegetables</w:t>
      </w:r>
      <w:r w:rsidR="00DE0BC0" w:rsidRPr="00DE0BC0">
        <w:rPr>
          <w:rFonts w:ascii="Times New Roman" w:hAnsi="Times New Roman" w:cs="Times New Roman"/>
          <w:sz w:val="24"/>
          <w:szCs w:val="24"/>
        </w:rPr>
        <w:t xml:space="preserve">. </w:t>
      </w:r>
      <w:r w:rsidR="00DE0BC0" w:rsidRPr="00DE0BC0">
        <w:rPr>
          <w:rFonts w:ascii="Times New Roman" w:hAnsi="Times New Roman" w:cs="Times New Roman"/>
          <w:i/>
          <w:iCs/>
          <w:sz w:val="24"/>
          <w:szCs w:val="24"/>
        </w:rPr>
        <w:t>Microbes and Infection, 4</w:t>
      </w:r>
      <w:r w:rsidR="00DE0BC0" w:rsidRPr="00DE0BC0">
        <w:rPr>
          <w:rFonts w:ascii="Times New Roman" w:hAnsi="Times New Roman" w:cs="Times New Roman"/>
          <w:sz w:val="24"/>
          <w:szCs w:val="24"/>
        </w:rPr>
        <w:t xml:space="preserve">(4), 413–423. </w:t>
      </w:r>
      <w:hyperlink r:id="rId14" w:history="1">
        <w:r w:rsidR="00DE0BC0" w:rsidRPr="00DE0BC0">
          <w:rPr>
            <w:rStyle w:val="Hyperlink"/>
            <w:rFonts w:ascii="Times New Roman" w:hAnsi="Times New Roman" w:cs="Times New Roman"/>
            <w:sz w:val="24"/>
            <w:szCs w:val="24"/>
          </w:rPr>
          <w:t>https://doi.org/10.1016/S1286-4579(02)01555-1</w:t>
        </w:r>
      </w:hyperlink>
      <w:r w:rsidR="00DE0BC0">
        <w:rPr>
          <w:rFonts w:ascii="Times New Roman" w:hAnsi="Times New Roman" w:cs="Times New Roman"/>
          <w:sz w:val="24"/>
          <w:szCs w:val="24"/>
        </w:rPr>
        <w:t xml:space="preserve"> </w:t>
      </w:r>
      <w:r w:rsidR="00CE4065">
        <w:rPr>
          <w:rFonts w:ascii="Times New Roman" w:hAnsi="Times New Roman" w:cs="Times New Roman"/>
          <w:sz w:val="24"/>
          <w:szCs w:val="24"/>
        </w:rPr>
        <w:t xml:space="preserve"> </w:t>
      </w:r>
      <w:r w:rsidR="00DE0BC0">
        <w:rPr>
          <w:rFonts w:ascii="Times New Roman" w:hAnsi="Times New Roman" w:cs="Times New Roman"/>
          <w:sz w:val="24"/>
          <w:szCs w:val="24"/>
        </w:rPr>
        <w:t xml:space="preserve"> </w:t>
      </w:r>
    </w:p>
    <w:p w14:paraId="72EFB679" w14:textId="641AF1EE" w:rsidR="00DE0BC0" w:rsidRPr="00DE0BC0" w:rsidRDefault="00B33BF0" w:rsidP="00DE0BC0">
      <w:pPr>
        <w:jc w:val="both"/>
        <w:rPr>
          <w:rFonts w:ascii="Times New Roman" w:hAnsi="Times New Roman" w:cs="Times New Roman"/>
          <w:sz w:val="24"/>
          <w:szCs w:val="24"/>
        </w:rPr>
      </w:pPr>
      <w:r>
        <w:rPr>
          <w:rFonts w:ascii="Times New Roman" w:hAnsi="Times New Roman" w:cs="Times New Roman"/>
          <w:sz w:val="24"/>
          <w:szCs w:val="24"/>
        </w:rPr>
        <w:t xml:space="preserve">17. </w:t>
      </w:r>
      <w:r w:rsidR="00CE4065" w:rsidRPr="00CE4065">
        <w:rPr>
          <w:rFonts w:ascii="Times New Roman" w:hAnsi="Times New Roman" w:cs="Times New Roman"/>
          <w:sz w:val="24"/>
          <w:szCs w:val="24"/>
        </w:rPr>
        <w:t>Murcia, M. A., Jiménez-</w:t>
      </w:r>
      <w:proofErr w:type="spellStart"/>
      <w:r w:rsidR="00CE4065" w:rsidRPr="00CE4065">
        <w:rPr>
          <w:rFonts w:ascii="Times New Roman" w:hAnsi="Times New Roman" w:cs="Times New Roman"/>
          <w:sz w:val="24"/>
          <w:szCs w:val="24"/>
        </w:rPr>
        <w:t>Monreal</w:t>
      </w:r>
      <w:proofErr w:type="spellEnd"/>
      <w:r w:rsidR="00CE4065" w:rsidRPr="00CE4065">
        <w:rPr>
          <w:rFonts w:ascii="Times New Roman" w:hAnsi="Times New Roman" w:cs="Times New Roman"/>
          <w:sz w:val="24"/>
          <w:szCs w:val="24"/>
        </w:rPr>
        <w:t xml:space="preserve">, A. M., </w:t>
      </w:r>
      <w:proofErr w:type="spellStart"/>
      <w:r w:rsidR="00CE4065" w:rsidRPr="00CE4065">
        <w:rPr>
          <w:rFonts w:ascii="Times New Roman" w:hAnsi="Times New Roman" w:cs="Times New Roman"/>
          <w:sz w:val="24"/>
          <w:szCs w:val="24"/>
        </w:rPr>
        <w:t>García-Diz</w:t>
      </w:r>
      <w:proofErr w:type="spellEnd"/>
      <w:r w:rsidR="00CE4065" w:rsidRPr="00CE4065">
        <w:rPr>
          <w:rFonts w:ascii="Times New Roman" w:hAnsi="Times New Roman" w:cs="Times New Roman"/>
          <w:sz w:val="24"/>
          <w:szCs w:val="24"/>
        </w:rPr>
        <w:t xml:space="preserve">, L., Carmona, M., Maggi, L., &amp; Martínez-Tomé, M. (2009). Antioxidant </w:t>
      </w:r>
      <w:r w:rsidR="00A82AC1" w:rsidRPr="00CE4065">
        <w:rPr>
          <w:rFonts w:ascii="Times New Roman" w:hAnsi="Times New Roman" w:cs="Times New Roman"/>
          <w:sz w:val="24"/>
          <w:szCs w:val="24"/>
        </w:rPr>
        <w:t xml:space="preserve">Activity </w:t>
      </w:r>
      <w:r w:rsidR="00CE4065" w:rsidRPr="00CE4065">
        <w:rPr>
          <w:rFonts w:ascii="Times New Roman" w:hAnsi="Times New Roman" w:cs="Times New Roman"/>
          <w:sz w:val="24"/>
          <w:szCs w:val="24"/>
        </w:rPr>
        <w:t xml:space="preserve">of </w:t>
      </w:r>
      <w:r w:rsidR="00A82AC1" w:rsidRPr="00CE4065">
        <w:rPr>
          <w:rFonts w:ascii="Times New Roman" w:hAnsi="Times New Roman" w:cs="Times New Roman"/>
          <w:sz w:val="24"/>
          <w:szCs w:val="24"/>
        </w:rPr>
        <w:t xml:space="preserve">Minimally Processed </w:t>
      </w:r>
      <w:r w:rsidR="00CE4065" w:rsidRPr="00CE4065">
        <w:rPr>
          <w:rFonts w:ascii="Times New Roman" w:hAnsi="Times New Roman" w:cs="Times New Roman"/>
          <w:sz w:val="24"/>
          <w:szCs w:val="24"/>
        </w:rPr>
        <w:t xml:space="preserve">(in </w:t>
      </w:r>
      <w:r w:rsidR="00A82AC1" w:rsidRPr="00CE4065">
        <w:rPr>
          <w:rFonts w:ascii="Times New Roman" w:hAnsi="Times New Roman" w:cs="Times New Roman"/>
          <w:sz w:val="24"/>
          <w:szCs w:val="24"/>
        </w:rPr>
        <w:t>Modified Atmosphe</w:t>
      </w:r>
      <w:r w:rsidR="00CE4065" w:rsidRPr="00CE4065">
        <w:rPr>
          <w:rFonts w:ascii="Times New Roman" w:hAnsi="Times New Roman" w:cs="Times New Roman"/>
          <w:sz w:val="24"/>
          <w:szCs w:val="24"/>
        </w:rPr>
        <w:t xml:space="preserve">res), </w:t>
      </w:r>
      <w:r w:rsidR="00A82AC1" w:rsidRPr="00CE4065">
        <w:rPr>
          <w:rFonts w:ascii="Times New Roman" w:hAnsi="Times New Roman" w:cs="Times New Roman"/>
          <w:sz w:val="24"/>
          <w:szCs w:val="24"/>
        </w:rPr>
        <w:t xml:space="preserve">Dehydrated </w:t>
      </w:r>
      <w:r w:rsidR="00CE4065" w:rsidRPr="00CE4065">
        <w:rPr>
          <w:rFonts w:ascii="Times New Roman" w:hAnsi="Times New Roman" w:cs="Times New Roman"/>
          <w:sz w:val="24"/>
          <w:szCs w:val="24"/>
        </w:rPr>
        <w:t xml:space="preserve">and </w:t>
      </w:r>
      <w:r w:rsidR="00A82AC1" w:rsidRPr="00CE4065">
        <w:rPr>
          <w:rFonts w:ascii="Times New Roman" w:hAnsi="Times New Roman" w:cs="Times New Roman"/>
          <w:sz w:val="24"/>
          <w:szCs w:val="24"/>
        </w:rPr>
        <w:t>Ready-To-Eat Vegetables</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Food and Chemical Toxicology: An International Journal Published for the British Industrial Biological Research Association</w:t>
      </w:r>
      <w:r w:rsidR="00CE4065" w:rsidRPr="00CE4065">
        <w:rPr>
          <w:rFonts w:ascii="Times New Roman" w:hAnsi="Times New Roman" w:cs="Times New Roman"/>
          <w:sz w:val="24"/>
          <w:szCs w:val="24"/>
        </w:rPr>
        <w:t>, </w:t>
      </w:r>
      <w:r w:rsidR="00CE4065" w:rsidRPr="00CE4065">
        <w:rPr>
          <w:rFonts w:ascii="Times New Roman" w:hAnsi="Times New Roman" w:cs="Times New Roman"/>
          <w:i/>
          <w:iCs/>
          <w:sz w:val="24"/>
          <w:szCs w:val="24"/>
        </w:rPr>
        <w:t>47</w:t>
      </w:r>
      <w:r w:rsidR="00CE4065" w:rsidRPr="00CE4065">
        <w:rPr>
          <w:rFonts w:ascii="Times New Roman" w:hAnsi="Times New Roman" w:cs="Times New Roman"/>
          <w:sz w:val="24"/>
          <w:szCs w:val="24"/>
        </w:rPr>
        <w:t xml:space="preserve">(8), 2103–2110. </w:t>
      </w:r>
      <w:hyperlink r:id="rId15" w:history="1">
        <w:r w:rsidR="00CE4065" w:rsidRPr="0016200D">
          <w:rPr>
            <w:rStyle w:val="Hyperlink"/>
            <w:rFonts w:ascii="Times New Roman" w:hAnsi="Times New Roman" w:cs="Times New Roman"/>
            <w:sz w:val="24"/>
            <w:szCs w:val="24"/>
          </w:rPr>
          <w:t>https://doi.org/10.1016/j.fct.2009.05.039</w:t>
        </w:r>
      </w:hyperlink>
      <w:r w:rsidR="00CE4065">
        <w:rPr>
          <w:rFonts w:ascii="Times New Roman" w:hAnsi="Times New Roman" w:cs="Times New Roman"/>
          <w:sz w:val="24"/>
          <w:szCs w:val="24"/>
        </w:rPr>
        <w:t xml:space="preserve"> </w:t>
      </w:r>
    </w:p>
    <w:p w14:paraId="713840FB" w14:textId="546B0CFC" w:rsidR="00DE0BC0" w:rsidRPr="00DE0BC0" w:rsidRDefault="00DE0BC0" w:rsidP="00DE0BC0">
      <w:pPr>
        <w:jc w:val="both"/>
        <w:rPr>
          <w:rFonts w:ascii="Times New Roman" w:hAnsi="Times New Roman" w:cs="Times New Roman"/>
          <w:sz w:val="24"/>
          <w:szCs w:val="24"/>
        </w:rPr>
      </w:pPr>
    </w:p>
    <w:p w14:paraId="375405FD" w14:textId="6D366A93" w:rsidR="006B0596" w:rsidRPr="00B23126" w:rsidRDefault="00950000" w:rsidP="00A1576A">
      <w:pPr>
        <w:jc w:val="both"/>
        <w:rPr>
          <w:rFonts w:ascii="Times New Roman" w:hAnsi="Times New Roman" w:cs="Times New Roman"/>
          <w:sz w:val="24"/>
          <w:szCs w:val="24"/>
        </w:rPr>
      </w:pPr>
      <w:r>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r w:rsidR="006B0596">
        <w:rPr>
          <w:rFonts w:ascii="Times New Roman" w:hAnsi="Times New Roman" w:cs="Times New Roman"/>
          <w:sz w:val="24"/>
          <w:szCs w:val="24"/>
        </w:rPr>
        <w:t xml:space="preserve"> </w:t>
      </w:r>
      <w:r w:rsidR="00A1576A">
        <w:rPr>
          <w:rFonts w:ascii="Times New Roman" w:hAnsi="Times New Roman" w:cs="Times New Roman"/>
          <w:sz w:val="24"/>
          <w:szCs w:val="24"/>
        </w:rPr>
        <w:t xml:space="preserve"> </w:t>
      </w:r>
    </w:p>
    <w:sectPr w:rsidR="006B0596" w:rsidRPr="00B23126" w:rsidSect="00670803">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6-03-03T14:48:00Z" w:initials="A">
    <w:p w14:paraId="0BAA4DCB" w14:textId="171DFD60" w:rsidR="00DB1DBB" w:rsidRDefault="00DB1DBB">
      <w:pPr>
        <w:pStyle w:val="CommentText"/>
      </w:pPr>
      <w:r>
        <w:rPr>
          <w:rStyle w:val="CommentReference"/>
        </w:rPr>
        <w:annotationRef/>
      </w:r>
      <w:r>
        <w:t xml:space="preserve">May add this to have clear understanding of </w:t>
      </w:r>
      <w:proofErr w:type="spellStart"/>
      <w:r>
        <w:t>Awarawa</w:t>
      </w:r>
      <w:proofErr w:type="spellEnd"/>
    </w:p>
  </w:comment>
  <w:comment w:id="1" w:author="Acer" w:date="2026-03-03T15:05:00Z" w:initials="A">
    <w:p w14:paraId="3B2F379D" w14:textId="1CDACD89" w:rsidR="00BC1860" w:rsidRDefault="00BC1860">
      <w:pPr>
        <w:pStyle w:val="CommentText"/>
      </w:pPr>
      <w:r>
        <w:rPr>
          <w:rStyle w:val="CommentReference"/>
        </w:rPr>
        <w:annotationRef/>
      </w:r>
      <w:r>
        <w:t>What was the initial moisture contents of both?</w:t>
      </w:r>
    </w:p>
  </w:comment>
  <w:comment w:id="2" w:author="Acer" w:date="2026-03-03T15:07:00Z" w:initials="A">
    <w:p w14:paraId="5E482D23" w14:textId="6BAFEA7D" w:rsidR="00BC1860" w:rsidRDefault="00BC1860">
      <w:pPr>
        <w:pStyle w:val="CommentText"/>
      </w:pPr>
      <w:r>
        <w:rPr>
          <w:rStyle w:val="CommentReference"/>
        </w:rPr>
        <w:annotationRef/>
      </w:r>
      <w:r>
        <w:t xml:space="preserve">Proximate analysis of Fresh tomatoes and </w:t>
      </w:r>
      <w:proofErr w:type="spellStart"/>
      <w:r>
        <w:t>Awarawa</w:t>
      </w:r>
      <w:proofErr w:type="spellEnd"/>
      <w:r>
        <w:t xml:space="preserve"> was done or not?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A4DCB" w15:done="0"/>
  <w15:commentEx w15:paraId="3B2F379D" w15:done="0"/>
  <w15:commentEx w15:paraId="5E482D2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EBD77" w14:textId="77777777" w:rsidR="00FA4C91" w:rsidRDefault="00FA4C91" w:rsidP="00861B16">
      <w:pPr>
        <w:spacing w:after="0" w:line="240" w:lineRule="auto"/>
      </w:pPr>
      <w:r>
        <w:separator/>
      </w:r>
    </w:p>
  </w:endnote>
  <w:endnote w:type="continuationSeparator" w:id="0">
    <w:p w14:paraId="053F6CE2" w14:textId="77777777" w:rsidR="00FA4C91" w:rsidRDefault="00FA4C91" w:rsidP="0086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8429" w14:textId="77777777" w:rsidR="00C75ED5" w:rsidRDefault="00C75E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996958"/>
      <w:docPartObj>
        <w:docPartGallery w:val="Page Numbers (Bottom of Page)"/>
        <w:docPartUnique/>
      </w:docPartObj>
    </w:sdtPr>
    <w:sdtEndPr>
      <w:rPr>
        <w:noProof/>
      </w:rPr>
    </w:sdtEndPr>
    <w:sdtContent>
      <w:p w14:paraId="52E48F20" w14:textId="7A8C1107" w:rsidR="0066357A" w:rsidRDefault="0066357A">
        <w:pPr>
          <w:pStyle w:val="Footer"/>
          <w:jc w:val="center"/>
        </w:pPr>
        <w:r>
          <w:fldChar w:fldCharType="begin"/>
        </w:r>
        <w:r>
          <w:instrText xml:space="preserve"> PAGE   \* MERGEFORMAT </w:instrText>
        </w:r>
        <w:r>
          <w:fldChar w:fldCharType="separate"/>
        </w:r>
        <w:r w:rsidR="00DF2345">
          <w:rPr>
            <w:noProof/>
          </w:rPr>
          <w:t>9</w:t>
        </w:r>
        <w:r>
          <w:rPr>
            <w:noProof/>
          </w:rPr>
          <w:fldChar w:fldCharType="end"/>
        </w:r>
      </w:p>
    </w:sdtContent>
  </w:sdt>
  <w:p w14:paraId="362FB23D" w14:textId="77777777" w:rsidR="0066357A" w:rsidRDefault="006635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02BE3" w14:textId="77777777" w:rsidR="00C75ED5" w:rsidRDefault="00C75E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E4B9" w14:textId="77777777" w:rsidR="00FA4C91" w:rsidRDefault="00FA4C91" w:rsidP="00861B16">
      <w:pPr>
        <w:spacing w:after="0" w:line="240" w:lineRule="auto"/>
      </w:pPr>
      <w:r>
        <w:separator/>
      </w:r>
    </w:p>
  </w:footnote>
  <w:footnote w:type="continuationSeparator" w:id="0">
    <w:p w14:paraId="5BBE1B8A" w14:textId="77777777" w:rsidR="00FA4C91" w:rsidRDefault="00FA4C91" w:rsidP="0086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D6F5" w14:textId="215F1C47" w:rsidR="00C75ED5" w:rsidRDefault="00FA4C91">
    <w:pPr>
      <w:pStyle w:val="Header"/>
    </w:pPr>
    <w:r>
      <w:rPr>
        <w:noProof/>
      </w:rPr>
      <w:pict w14:anchorId="58391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5B9B" w14:textId="7D8DE005" w:rsidR="00C75ED5" w:rsidRDefault="00FA4C91">
    <w:pPr>
      <w:pStyle w:val="Header"/>
    </w:pPr>
    <w:r>
      <w:rPr>
        <w:noProof/>
      </w:rPr>
      <w:pict w14:anchorId="37D4E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3081" w14:textId="607905DD" w:rsidR="00C75ED5" w:rsidRDefault="00FA4C91">
    <w:pPr>
      <w:pStyle w:val="Header"/>
    </w:pPr>
    <w:r>
      <w:rPr>
        <w:noProof/>
      </w:rPr>
      <w:pict w14:anchorId="7F4A4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51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5B1F"/>
    <w:multiLevelType w:val="multilevel"/>
    <w:tmpl w:val="1780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7D"/>
    <w:rsid w:val="00014207"/>
    <w:rsid w:val="00017F8D"/>
    <w:rsid w:val="00056875"/>
    <w:rsid w:val="00074DC4"/>
    <w:rsid w:val="00080C17"/>
    <w:rsid w:val="000B0E0C"/>
    <w:rsid w:val="00113E50"/>
    <w:rsid w:val="0012332D"/>
    <w:rsid w:val="00134793"/>
    <w:rsid w:val="00137CA9"/>
    <w:rsid w:val="001641EF"/>
    <w:rsid w:val="00191204"/>
    <w:rsid w:val="001A5194"/>
    <w:rsid w:val="001B187A"/>
    <w:rsid w:val="001C086C"/>
    <w:rsid w:val="001D3448"/>
    <w:rsid w:val="001D37D8"/>
    <w:rsid w:val="00223515"/>
    <w:rsid w:val="00260E89"/>
    <w:rsid w:val="00261491"/>
    <w:rsid w:val="002842F8"/>
    <w:rsid w:val="00285352"/>
    <w:rsid w:val="002C0817"/>
    <w:rsid w:val="00312A8C"/>
    <w:rsid w:val="00356E2A"/>
    <w:rsid w:val="003B0726"/>
    <w:rsid w:val="003D1C59"/>
    <w:rsid w:val="003E7E9A"/>
    <w:rsid w:val="003F2A7F"/>
    <w:rsid w:val="0040799D"/>
    <w:rsid w:val="00430A32"/>
    <w:rsid w:val="00433A0B"/>
    <w:rsid w:val="004729E2"/>
    <w:rsid w:val="00476781"/>
    <w:rsid w:val="004A7FDF"/>
    <w:rsid w:val="004E2BEA"/>
    <w:rsid w:val="00501FA6"/>
    <w:rsid w:val="005118E0"/>
    <w:rsid w:val="00541420"/>
    <w:rsid w:val="00592405"/>
    <w:rsid w:val="00596AA7"/>
    <w:rsid w:val="005E7EC4"/>
    <w:rsid w:val="006349F3"/>
    <w:rsid w:val="0064134F"/>
    <w:rsid w:val="0065195F"/>
    <w:rsid w:val="00651D6B"/>
    <w:rsid w:val="00661F2F"/>
    <w:rsid w:val="0066357A"/>
    <w:rsid w:val="006668D2"/>
    <w:rsid w:val="00670803"/>
    <w:rsid w:val="006729E3"/>
    <w:rsid w:val="0068201A"/>
    <w:rsid w:val="006905C0"/>
    <w:rsid w:val="006B0596"/>
    <w:rsid w:val="00716C95"/>
    <w:rsid w:val="00734B94"/>
    <w:rsid w:val="007940EC"/>
    <w:rsid w:val="007A279F"/>
    <w:rsid w:val="007B658C"/>
    <w:rsid w:val="007C6230"/>
    <w:rsid w:val="007F2CFA"/>
    <w:rsid w:val="00816686"/>
    <w:rsid w:val="00855EBE"/>
    <w:rsid w:val="00861B16"/>
    <w:rsid w:val="00873A2D"/>
    <w:rsid w:val="00883953"/>
    <w:rsid w:val="008D0D93"/>
    <w:rsid w:val="00922D75"/>
    <w:rsid w:val="009334C9"/>
    <w:rsid w:val="009338CD"/>
    <w:rsid w:val="00950000"/>
    <w:rsid w:val="00956DD0"/>
    <w:rsid w:val="00967F0A"/>
    <w:rsid w:val="00977972"/>
    <w:rsid w:val="009B1E4C"/>
    <w:rsid w:val="009F5D04"/>
    <w:rsid w:val="00A1576A"/>
    <w:rsid w:val="00A312FD"/>
    <w:rsid w:val="00A51D8B"/>
    <w:rsid w:val="00A82AC1"/>
    <w:rsid w:val="00A935B9"/>
    <w:rsid w:val="00AD2666"/>
    <w:rsid w:val="00AE0A9F"/>
    <w:rsid w:val="00B10BDB"/>
    <w:rsid w:val="00B2050B"/>
    <w:rsid w:val="00B23126"/>
    <w:rsid w:val="00B33BF0"/>
    <w:rsid w:val="00BA0B5A"/>
    <w:rsid w:val="00BC1860"/>
    <w:rsid w:val="00C2370F"/>
    <w:rsid w:val="00C3456F"/>
    <w:rsid w:val="00C522AB"/>
    <w:rsid w:val="00C75ED5"/>
    <w:rsid w:val="00CB73A3"/>
    <w:rsid w:val="00CD2D13"/>
    <w:rsid w:val="00CE4065"/>
    <w:rsid w:val="00D02CFF"/>
    <w:rsid w:val="00D12E2E"/>
    <w:rsid w:val="00D4295F"/>
    <w:rsid w:val="00D86F7D"/>
    <w:rsid w:val="00D93635"/>
    <w:rsid w:val="00D936EF"/>
    <w:rsid w:val="00DB1DBB"/>
    <w:rsid w:val="00DE0BC0"/>
    <w:rsid w:val="00DF2345"/>
    <w:rsid w:val="00DF6FC5"/>
    <w:rsid w:val="00E264C0"/>
    <w:rsid w:val="00E8075C"/>
    <w:rsid w:val="00ED4D03"/>
    <w:rsid w:val="00F71C1F"/>
    <w:rsid w:val="00F868FE"/>
    <w:rsid w:val="00FA4C91"/>
    <w:rsid w:val="00FC6FD1"/>
    <w:rsid w:val="00FE1732"/>
    <w:rsid w:val="00FE6A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A085F"/>
  <w15:chartTrackingRefBased/>
  <w15:docId w15:val="{26454057-44AB-410D-BDD7-0B7B19BA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34B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4B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E9A"/>
    <w:rPr>
      <w:color w:val="0563C1" w:themeColor="hyperlink"/>
      <w:u w:val="single"/>
    </w:rPr>
  </w:style>
  <w:style w:type="character" w:customStyle="1" w:styleId="Heading3Char">
    <w:name w:val="Heading 3 Char"/>
    <w:basedOn w:val="DefaultParagraphFont"/>
    <w:link w:val="Heading3"/>
    <w:uiPriority w:val="9"/>
    <w:rsid w:val="00734B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4B94"/>
    <w:rPr>
      <w:rFonts w:ascii="Times New Roman" w:eastAsia="Times New Roman" w:hAnsi="Times New Roman" w:cs="Times New Roman"/>
      <w:b/>
      <w:bCs/>
      <w:sz w:val="24"/>
      <w:szCs w:val="24"/>
    </w:rPr>
  </w:style>
  <w:style w:type="character" w:styleId="Strong">
    <w:name w:val="Strong"/>
    <w:basedOn w:val="DefaultParagraphFont"/>
    <w:uiPriority w:val="22"/>
    <w:qFormat/>
    <w:rsid w:val="00734B94"/>
    <w:rPr>
      <w:b/>
      <w:bCs/>
    </w:rPr>
  </w:style>
  <w:style w:type="paragraph" w:styleId="NormalWeb">
    <w:name w:val="Normal (Web)"/>
    <w:basedOn w:val="Normal"/>
    <w:uiPriority w:val="99"/>
    <w:unhideWhenUsed/>
    <w:rsid w:val="00734B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B94"/>
    <w:rPr>
      <w:i/>
      <w:iCs/>
    </w:rPr>
  </w:style>
  <w:style w:type="table" w:styleId="TableGrid">
    <w:name w:val="Table Grid"/>
    <w:basedOn w:val="TableNormal"/>
    <w:uiPriority w:val="39"/>
    <w:rsid w:val="0073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B16"/>
  </w:style>
  <w:style w:type="paragraph" w:styleId="Footer">
    <w:name w:val="footer"/>
    <w:basedOn w:val="Normal"/>
    <w:link w:val="FooterChar"/>
    <w:uiPriority w:val="99"/>
    <w:unhideWhenUsed/>
    <w:rsid w:val="0086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B16"/>
  </w:style>
  <w:style w:type="character" w:customStyle="1" w:styleId="UnresolvedMention1">
    <w:name w:val="Unresolved Mention1"/>
    <w:basedOn w:val="DefaultParagraphFont"/>
    <w:uiPriority w:val="99"/>
    <w:semiHidden/>
    <w:unhideWhenUsed/>
    <w:rsid w:val="00F71C1F"/>
    <w:rPr>
      <w:color w:val="605E5C"/>
      <w:shd w:val="clear" w:color="auto" w:fill="E1DFDD"/>
    </w:rPr>
  </w:style>
  <w:style w:type="character" w:customStyle="1" w:styleId="UnresolvedMention">
    <w:name w:val="Unresolved Mention"/>
    <w:basedOn w:val="DefaultParagraphFont"/>
    <w:uiPriority w:val="99"/>
    <w:semiHidden/>
    <w:unhideWhenUsed/>
    <w:rsid w:val="00E264C0"/>
    <w:rPr>
      <w:color w:val="605E5C"/>
      <w:shd w:val="clear" w:color="auto" w:fill="E1DFDD"/>
    </w:rPr>
  </w:style>
  <w:style w:type="paragraph" w:styleId="ListParagraph">
    <w:name w:val="List Paragraph"/>
    <w:basedOn w:val="Normal"/>
    <w:uiPriority w:val="34"/>
    <w:qFormat/>
    <w:rsid w:val="00E264C0"/>
    <w:pPr>
      <w:ind w:left="720"/>
      <w:contextualSpacing/>
    </w:pPr>
  </w:style>
  <w:style w:type="character" w:styleId="CommentReference">
    <w:name w:val="annotation reference"/>
    <w:basedOn w:val="DefaultParagraphFont"/>
    <w:uiPriority w:val="99"/>
    <w:semiHidden/>
    <w:unhideWhenUsed/>
    <w:rsid w:val="00DB1DBB"/>
    <w:rPr>
      <w:sz w:val="16"/>
      <w:szCs w:val="16"/>
    </w:rPr>
  </w:style>
  <w:style w:type="paragraph" w:styleId="CommentText">
    <w:name w:val="annotation text"/>
    <w:basedOn w:val="Normal"/>
    <w:link w:val="CommentTextChar"/>
    <w:uiPriority w:val="99"/>
    <w:semiHidden/>
    <w:unhideWhenUsed/>
    <w:rsid w:val="00DB1DBB"/>
    <w:pPr>
      <w:spacing w:line="240" w:lineRule="auto"/>
    </w:pPr>
    <w:rPr>
      <w:sz w:val="20"/>
      <w:szCs w:val="20"/>
    </w:rPr>
  </w:style>
  <w:style w:type="character" w:customStyle="1" w:styleId="CommentTextChar">
    <w:name w:val="Comment Text Char"/>
    <w:basedOn w:val="DefaultParagraphFont"/>
    <w:link w:val="CommentText"/>
    <w:uiPriority w:val="99"/>
    <w:semiHidden/>
    <w:rsid w:val="00DB1DBB"/>
    <w:rPr>
      <w:sz w:val="20"/>
      <w:szCs w:val="20"/>
    </w:rPr>
  </w:style>
  <w:style w:type="paragraph" w:styleId="CommentSubject">
    <w:name w:val="annotation subject"/>
    <w:basedOn w:val="CommentText"/>
    <w:next w:val="CommentText"/>
    <w:link w:val="CommentSubjectChar"/>
    <w:uiPriority w:val="99"/>
    <w:semiHidden/>
    <w:unhideWhenUsed/>
    <w:rsid w:val="00DB1DBB"/>
    <w:rPr>
      <w:b/>
      <w:bCs/>
    </w:rPr>
  </w:style>
  <w:style w:type="character" w:customStyle="1" w:styleId="CommentSubjectChar">
    <w:name w:val="Comment Subject Char"/>
    <w:basedOn w:val="CommentTextChar"/>
    <w:link w:val="CommentSubject"/>
    <w:uiPriority w:val="99"/>
    <w:semiHidden/>
    <w:rsid w:val="00DB1DBB"/>
    <w:rPr>
      <w:b/>
      <w:bCs/>
      <w:sz w:val="20"/>
      <w:szCs w:val="20"/>
    </w:rPr>
  </w:style>
  <w:style w:type="paragraph" w:styleId="BalloonText">
    <w:name w:val="Balloon Text"/>
    <w:basedOn w:val="Normal"/>
    <w:link w:val="BalloonTextChar"/>
    <w:uiPriority w:val="99"/>
    <w:semiHidden/>
    <w:unhideWhenUsed/>
    <w:rsid w:val="00DB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47974">
      <w:bodyDiv w:val="1"/>
      <w:marLeft w:val="0"/>
      <w:marRight w:val="0"/>
      <w:marTop w:val="0"/>
      <w:marBottom w:val="0"/>
      <w:divBdr>
        <w:top w:val="none" w:sz="0" w:space="0" w:color="auto"/>
        <w:left w:val="none" w:sz="0" w:space="0" w:color="auto"/>
        <w:bottom w:val="none" w:sz="0" w:space="0" w:color="auto"/>
        <w:right w:val="none" w:sz="0" w:space="0" w:color="auto"/>
      </w:divBdr>
    </w:div>
    <w:div w:id="1010447223">
      <w:bodyDiv w:val="1"/>
      <w:marLeft w:val="0"/>
      <w:marRight w:val="0"/>
      <w:marTop w:val="0"/>
      <w:marBottom w:val="0"/>
      <w:divBdr>
        <w:top w:val="none" w:sz="0" w:space="0" w:color="auto"/>
        <w:left w:val="none" w:sz="0" w:space="0" w:color="auto"/>
        <w:bottom w:val="none" w:sz="0" w:space="0" w:color="auto"/>
        <w:right w:val="none" w:sz="0" w:space="0" w:color="auto"/>
      </w:divBdr>
    </w:div>
    <w:div w:id="1268389223">
      <w:bodyDiv w:val="1"/>
      <w:marLeft w:val="0"/>
      <w:marRight w:val="0"/>
      <w:marTop w:val="0"/>
      <w:marBottom w:val="0"/>
      <w:divBdr>
        <w:top w:val="none" w:sz="0" w:space="0" w:color="auto"/>
        <w:left w:val="none" w:sz="0" w:space="0" w:color="auto"/>
        <w:bottom w:val="none" w:sz="0" w:space="0" w:color="auto"/>
        <w:right w:val="none" w:sz="0" w:space="0" w:color="auto"/>
      </w:divBdr>
    </w:div>
    <w:div w:id="1741059791">
      <w:bodyDiv w:val="1"/>
      <w:marLeft w:val="0"/>
      <w:marRight w:val="0"/>
      <w:marTop w:val="0"/>
      <w:marBottom w:val="0"/>
      <w:divBdr>
        <w:top w:val="none" w:sz="0" w:space="0" w:color="auto"/>
        <w:left w:val="none" w:sz="0" w:space="0" w:color="auto"/>
        <w:bottom w:val="none" w:sz="0" w:space="0" w:color="auto"/>
        <w:right w:val="none" w:sz="0" w:space="0" w:color="auto"/>
      </w:divBdr>
    </w:div>
    <w:div w:id="18907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ajfand.net/Volume7/No1/Mepba1855.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16/S0260-8774(00)00233-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282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fct.2009.05.039" TargetMode="External"/><Relationship Id="rId23" Type="http://schemas.microsoft.com/office/2011/relationships/people" Target="people.xml"/><Relationship Id="rId10" Type="http://schemas.openxmlformats.org/officeDocument/2006/relationships/hyperlink" Target="http://dx.doi.org/10.1006/fstl.1996.003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80/10408398.2011.654142" TargetMode="External"/><Relationship Id="rId14" Type="http://schemas.openxmlformats.org/officeDocument/2006/relationships/hyperlink" Target="https://doi.org/10.1016/S1286-4579(02)01555-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Acer</cp:lastModifiedBy>
  <cp:revision>72</cp:revision>
  <dcterms:created xsi:type="dcterms:W3CDTF">2025-10-16T15:20:00Z</dcterms:created>
  <dcterms:modified xsi:type="dcterms:W3CDTF">2026-03-03T09:53:00Z</dcterms:modified>
</cp:coreProperties>
</file>