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264" w:rsidRPr="005C1EF3" w:rsidRDefault="00444264">
      <w:pPr>
        <w:spacing w:before="22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6630"/>
      </w:tblGrid>
      <w:tr w:rsidR="00444264" w:rsidRPr="005C1EF3">
        <w:trPr>
          <w:trHeight w:val="275"/>
        </w:trPr>
        <w:tc>
          <w:tcPr>
            <w:tcW w:w="2119" w:type="dxa"/>
            <w:tcBorders>
              <w:right w:val="single" w:sz="4" w:space="0" w:color="000000"/>
            </w:tcBorders>
          </w:tcPr>
          <w:p w:rsidR="00444264" w:rsidRPr="005C1EF3" w:rsidRDefault="00505D05">
            <w:pPr>
              <w:pStyle w:val="TableParagraph"/>
              <w:spacing w:before="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5C1EF3">
              <w:rPr>
                <w:rFonts w:ascii="Arial" w:hAnsi="Arial" w:cs="Arial"/>
                <w:sz w:val="20"/>
                <w:szCs w:val="20"/>
              </w:rPr>
              <w:t>Journal</w:t>
            </w:r>
            <w:r w:rsidRPr="005C1EF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6630" w:type="dxa"/>
            <w:tcBorders>
              <w:left w:val="single" w:sz="4" w:space="0" w:color="000000"/>
            </w:tcBorders>
          </w:tcPr>
          <w:p w:rsidR="00444264" w:rsidRPr="005C1EF3" w:rsidRDefault="0052068C">
            <w:pPr>
              <w:pStyle w:val="TableParagraph"/>
              <w:spacing w:before="26" w:line="229" w:lineRule="exac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="00505D05" w:rsidRPr="005C1EF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505D05" w:rsidRPr="005C1EF3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505D05" w:rsidRPr="005C1EF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05D05" w:rsidRPr="005C1EF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505D05" w:rsidRPr="005C1EF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05D05" w:rsidRPr="005C1EF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05D05" w:rsidRPr="005C1EF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Mathematics</w:t>
              </w:r>
              <w:r w:rsidR="00505D05" w:rsidRPr="005C1EF3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505D05" w:rsidRPr="005C1EF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505D05" w:rsidRPr="005C1EF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505D05" w:rsidRPr="005C1EF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Computer</w:t>
              </w:r>
              <w:r w:rsidR="00505D05" w:rsidRPr="005C1EF3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505D05" w:rsidRPr="005C1EF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444264" w:rsidRPr="005C1EF3">
        <w:trPr>
          <w:trHeight w:val="290"/>
        </w:trPr>
        <w:tc>
          <w:tcPr>
            <w:tcW w:w="2119" w:type="dxa"/>
            <w:tcBorders>
              <w:right w:val="single" w:sz="4" w:space="0" w:color="000000"/>
            </w:tcBorders>
          </w:tcPr>
          <w:p w:rsidR="00444264" w:rsidRPr="005C1EF3" w:rsidRDefault="00505D05">
            <w:pPr>
              <w:pStyle w:val="TableParagraph"/>
              <w:spacing w:before="1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5C1EF3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5C1EF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6630" w:type="dxa"/>
            <w:tcBorders>
              <w:left w:val="single" w:sz="4" w:space="0" w:color="000000"/>
            </w:tcBorders>
          </w:tcPr>
          <w:p w:rsidR="00444264" w:rsidRPr="005C1EF3" w:rsidRDefault="00505D05">
            <w:pPr>
              <w:pStyle w:val="TableParagraph"/>
              <w:spacing w:before="44" w:line="226" w:lineRule="exac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5C1EF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Ms_AJOMCOR_14535</w:t>
            </w:r>
          </w:p>
        </w:tc>
      </w:tr>
      <w:tr w:rsidR="00444264" w:rsidRPr="005C1EF3">
        <w:trPr>
          <w:trHeight w:val="235"/>
        </w:trPr>
        <w:tc>
          <w:tcPr>
            <w:tcW w:w="2119" w:type="dxa"/>
            <w:tcBorders>
              <w:right w:val="single" w:sz="4" w:space="0" w:color="000000"/>
            </w:tcBorders>
          </w:tcPr>
          <w:p w:rsidR="00444264" w:rsidRPr="005C1EF3" w:rsidRDefault="00505D05">
            <w:pPr>
              <w:pStyle w:val="TableParagraph"/>
              <w:spacing w:before="13" w:line="202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5C1EF3">
              <w:rPr>
                <w:rFonts w:ascii="Arial" w:hAnsi="Arial" w:cs="Arial"/>
                <w:sz w:val="20"/>
                <w:szCs w:val="20"/>
              </w:rPr>
              <w:t>Title</w:t>
            </w:r>
            <w:r w:rsidRPr="005C1E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of</w:t>
            </w:r>
            <w:r w:rsidRPr="005C1E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the</w:t>
            </w:r>
            <w:r w:rsidRPr="005C1E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6630" w:type="dxa"/>
            <w:tcBorders>
              <w:left w:val="single" w:sz="4" w:space="0" w:color="000000"/>
            </w:tcBorders>
          </w:tcPr>
          <w:p w:rsidR="00444264" w:rsidRPr="005C1EF3" w:rsidRDefault="004442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264" w:rsidRPr="005C1EF3">
        <w:trPr>
          <w:trHeight w:val="326"/>
        </w:trPr>
        <w:tc>
          <w:tcPr>
            <w:tcW w:w="2119" w:type="dxa"/>
            <w:tcBorders>
              <w:right w:val="single" w:sz="4" w:space="0" w:color="000000"/>
            </w:tcBorders>
          </w:tcPr>
          <w:p w:rsidR="00444264" w:rsidRPr="005C1EF3" w:rsidRDefault="004442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0" w:type="dxa"/>
            <w:tcBorders>
              <w:left w:val="single" w:sz="4" w:space="0" w:color="000000"/>
            </w:tcBorders>
          </w:tcPr>
          <w:p w:rsidR="00444264" w:rsidRPr="005C1EF3" w:rsidRDefault="00505D05">
            <w:pPr>
              <w:pStyle w:val="TableParagraph"/>
              <w:spacing w:line="223" w:lineRule="exac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5C1EF3">
              <w:rPr>
                <w:rFonts w:ascii="Arial" w:hAnsi="Arial" w:cs="Arial"/>
                <w:b/>
                <w:sz w:val="20"/>
                <w:szCs w:val="20"/>
              </w:rPr>
              <w:t>Mathematical</w:t>
            </w:r>
            <w:r w:rsidRPr="005C1E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Modeling</w:t>
            </w:r>
            <w:r w:rsidRPr="005C1E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C1E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HIV</w:t>
            </w:r>
            <w:r w:rsidRPr="005C1EF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5C1E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5C1E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Delayed</w:t>
            </w:r>
            <w:r w:rsidRPr="005C1E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Drug</w:t>
            </w:r>
            <w:r w:rsidRPr="005C1E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pacing w:val="-2"/>
                <w:sz w:val="20"/>
                <w:szCs w:val="20"/>
              </w:rPr>
              <w:t>Response</w:t>
            </w:r>
          </w:p>
        </w:tc>
      </w:tr>
      <w:tr w:rsidR="00444264" w:rsidRPr="005C1EF3">
        <w:trPr>
          <w:trHeight w:val="433"/>
        </w:trPr>
        <w:tc>
          <w:tcPr>
            <w:tcW w:w="2119" w:type="dxa"/>
            <w:tcBorders>
              <w:right w:val="single" w:sz="4" w:space="0" w:color="000000"/>
            </w:tcBorders>
          </w:tcPr>
          <w:p w:rsidR="00444264" w:rsidRPr="005C1EF3" w:rsidRDefault="00505D05">
            <w:pPr>
              <w:pStyle w:val="TableParagraph"/>
              <w:spacing w:before="10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5C1EF3">
              <w:rPr>
                <w:rFonts w:ascii="Arial" w:hAnsi="Arial" w:cs="Arial"/>
                <w:sz w:val="20"/>
                <w:szCs w:val="20"/>
              </w:rPr>
              <w:t>Type</w:t>
            </w:r>
            <w:r w:rsidRPr="005C1E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of</w:t>
            </w:r>
            <w:r w:rsidRPr="005C1E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the</w:t>
            </w:r>
            <w:r w:rsidRPr="005C1E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6630" w:type="dxa"/>
            <w:tcBorders>
              <w:left w:val="single" w:sz="4" w:space="0" w:color="000000"/>
            </w:tcBorders>
          </w:tcPr>
          <w:p w:rsidR="00444264" w:rsidRPr="005C1EF3" w:rsidRDefault="004442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4264" w:rsidRPr="005C1EF3" w:rsidRDefault="0044426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20"/>
      </w:tblGrid>
      <w:tr w:rsidR="00444264" w:rsidRPr="005C1EF3">
        <w:trPr>
          <w:trHeight w:val="453"/>
        </w:trPr>
        <w:tc>
          <w:tcPr>
            <w:tcW w:w="13186" w:type="dxa"/>
            <w:gridSpan w:val="3"/>
            <w:tcBorders>
              <w:top w:val="nil"/>
              <w:left w:val="nil"/>
              <w:right w:val="nil"/>
            </w:tcBorders>
          </w:tcPr>
          <w:p w:rsidR="00444264" w:rsidRPr="005C1EF3" w:rsidRDefault="00505D05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5C1E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C1EF3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5C1E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C1E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44264" w:rsidRPr="005C1EF3">
        <w:trPr>
          <w:trHeight w:val="691"/>
        </w:trPr>
        <w:tc>
          <w:tcPr>
            <w:tcW w:w="3337" w:type="dxa"/>
          </w:tcPr>
          <w:p w:rsidR="00444264" w:rsidRPr="005C1EF3" w:rsidRDefault="004442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444264" w:rsidRPr="005C1EF3" w:rsidRDefault="00505D0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C1EF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C1E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44264" w:rsidRPr="005C1EF3" w:rsidRDefault="00444264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0" w:type="dxa"/>
          </w:tcPr>
          <w:p w:rsidR="00444264" w:rsidRPr="005C1EF3" w:rsidRDefault="00505D05">
            <w:pPr>
              <w:pStyle w:val="TableParagraph"/>
              <w:ind w:left="109" w:right="440"/>
              <w:rPr>
                <w:rFonts w:ascii="Arial" w:hAnsi="Arial" w:cs="Arial"/>
                <w:sz w:val="20"/>
                <w:szCs w:val="20"/>
              </w:rPr>
            </w:pPr>
            <w:r w:rsidRPr="005C1EF3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5C1EF3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5C1EF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should</w:t>
            </w:r>
            <w:r w:rsidRPr="005C1E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write</w:t>
            </w:r>
            <w:r w:rsidRPr="005C1EF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his/her</w:t>
            </w:r>
            <w:r w:rsidRPr="005C1E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feedback</w:t>
            </w:r>
            <w:r w:rsidRPr="005C1E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444264" w:rsidRPr="005C1EF3">
        <w:trPr>
          <w:trHeight w:val="3682"/>
        </w:trPr>
        <w:tc>
          <w:tcPr>
            <w:tcW w:w="3337" w:type="dxa"/>
          </w:tcPr>
          <w:p w:rsidR="00444264" w:rsidRPr="005C1EF3" w:rsidRDefault="00505D05">
            <w:pPr>
              <w:pStyle w:val="TableParagraph"/>
              <w:ind w:left="470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5C1EF3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5C1EF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C1E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5C1E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C1E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29" w:type="dxa"/>
          </w:tcPr>
          <w:p w:rsidR="00444264" w:rsidRPr="005C1EF3" w:rsidRDefault="00505D05">
            <w:pPr>
              <w:pStyle w:val="TableParagraph"/>
              <w:ind w:right="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EF3">
              <w:rPr>
                <w:rFonts w:ascii="Arial" w:hAnsi="Arial" w:cs="Arial"/>
                <w:sz w:val="20"/>
                <w:szCs w:val="20"/>
              </w:rPr>
              <w:t>This manuscript makes a significant contribution to the scientific community by advancing the mathematical understanding of within- host HIV treatment dynamics through the incorporation of biologically realistic delay mechanisms. The current study clearly includes delayed drug-response effects using a delay differential equation framework, improving the realism and prediction reliability of HIV therapy models, even if it may presume immediate drug action. The work offers rigorous theoretical insight into how</w:t>
            </w:r>
            <w:r w:rsidRPr="005C1EF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treatment scheduling affects viral suppression and immunological recovery</w:t>
            </w:r>
            <w:r w:rsidRPr="005C1EF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by</w:t>
            </w:r>
            <w:r w:rsidRPr="005C1E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determining</w:t>
            </w:r>
            <w:r w:rsidRPr="005C1E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and evaluating</w:t>
            </w:r>
            <w:r w:rsidRPr="005C1E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the</w:t>
            </w:r>
            <w:r w:rsidRPr="005C1EF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fundamental</w:t>
            </w:r>
            <w:r w:rsidRPr="005C1E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 xml:space="preserve">reproduction number and stability </w:t>
            </w:r>
            <w:proofErr w:type="spellStart"/>
            <w:proofErr w:type="gramStart"/>
            <w:r w:rsidRPr="005C1EF3">
              <w:rPr>
                <w:rFonts w:ascii="Arial" w:hAnsi="Arial" w:cs="Arial"/>
                <w:sz w:val="20"/>
                <w:szCs w:val="20"/>
              </w:rPr>
              <w:t>parameters.Overall</w:t>
            </w:r>
            <w:proofErr w:type="spellEnd"/>
            <w:proofErr w:type="gramEnd"/>
            <w:r w:rsidRPr="005C1EF3">
              <w:rPr>
                <w:rFonts w:ascii="Arial" w:hAnsi="Arial" w:cs="Arial"/>
                <w:sz w:val="20"/>
                <w:szCs w:val="20"/>
              </w:rPr>
              <w:t>, the paper provides an improved modeling</w:t>
            </w:r>
            <w:r w:rsidRPr="005C1E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approach that can</w:t>
            </w:r>
            <w:r w:rsidRPr="005C1E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allow</w:t>
            </w:r>
            <w:r w:rsidRPr="005C1E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more</w:t>
            </w:r>
            <w:r w:rsidRPr="005C1E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accurate</w:t>
            </w:r>
            <w:r w:rsidRPr="005C1EF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 xml:space="preserve">evaluation of HIV treatment regimens and guide future research in infectious disease modeling by bridging mathematical theory and clinical </w:t>
            </w:r>
            <w:r w:rsidRPr="005C1EF3">
              <w:rPr>
                <w:rFonts w:ascii="Arial" w:hAnsi="Arial" w:cs="Arial"/>
                <w:spacing w:val="-2"/>
                <w:sz w:val="20"/>
                <w:szCs w:val="20"/>
              </w:rPr>
              <w:t>relevance.</w:t>
            </w:r>
          </w:p>
        </w:tc>
        <w:tc>
          <w:tcPr>
            <w:tcW w:w="4020" w:type="dxa"/>
          </w:tcPr>
          <w:p w:rsidR="00444264" w:rsidRPr="005C1EF3" w:rsidRDefault="004442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264" w:rsidRPr="005C1EF3">
        <w:trPr>
          <w:trHeight w:val="1262"/>
        </w:trPr>
        <w:tc>
          <w:tcPr>
            <w:tcW w:w="3337" w:type="dxa"/>
          </w:tcPr>
          <w:p w:rsidR="00444264" w:rsidRPr="005C1EF3" w:rsidRDefault="00505D05">
            <w:pPr>
              <w:pStyle w:val="TableParagraph"/>
              <w:ind w:left="470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5C1E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1E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1E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C1E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C1E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1EF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5C1EF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44264" w:rsidRPr="005C1EF3" w:rsidRDefault="00505D05">
            <w:pPr>
              <w:pStyle w:val="TableParagraph"/>
              <w:spacing w:before="1"/>
              <w:ind w:left="470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5C1EF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C1E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C1E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C1E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C1E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29" w:type="dxa"/>
          </w:tcPr>
          <w:p w:rsidR="00444264" w:rsidRPr="005C1EF3" w:rsidRDefault="00505D0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C1EF3">
              <w:rPr>
                <w:rFonts w:ascii="Arial" w:hAnsi="Arial" w:cs="Arial"/>
                <w:sz w:val="20"/>
                <w:szCs w:val="20"/>
              </w:rPr>
              <w:t>The</w:t>
            </w:r>
            <w:r w:rsidRPr="005C1EF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current</w:t>
            </w:r>
            <w:r w:rsidRPr="005C1EF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title,</w:t>
            </w:r>
            <w:r w:rsidRPr="005C1EF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“Mathematical</w:t>
            </w:r>
            <w:r w:rsidRPr="005C1EF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Modeling</w:t>
            </w:r>
            <w:r w:rsidRPr="005C1EF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of</w:t>
            </w:r>
            <w:r w:rsidRPr="005C1EF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HIV</w:t>
            </w:r>
            <w:r w:rsidRPr="005C1EF3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Treatment</w:t>
            </w:r>
            <w:r w:rsidRPr="005C1EF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with Delayed Drug Response”, is clear and scientifically appropriate.</w:t>
            </w:r>
          </w:p>
        </w:tc>
        <w:tc>
          <w:tcPr>
            <w:tcW w:w="4020" w:type="dxa"/>
          </w:tcPr>
          <w:p w:rsidR="00444264" w:rsidRPr="005C1EF3" w:rsidRDefault="004442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4264" w:rsidRPr="005C1EF3" w:rsidRDefault="00444264">
      <w:pPr>
        <w:pStyle w:val="TableParagraph"/>
        <w:rPr>
          <w:rFonts w:ascii="Arial" w:hAnsi="Arial" w:cs="Arial"/>
          <w:sz w:val="20"/>
          <w:szCs w:val="20"/>
        </w:rPr>
        <w:sectPr w:rsidR="00444264" w:rsidRPr="005C1EF3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444264" w:rsidRPr="005C1EF3" w:rsidRDefault="00444264">
      <w:pPr>
        <w:spacing w:before="22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20"/>
      </w:tblGrid>
      <w:tr w:rsidR="00444264" w:rsidRPr="005C1EF3">
        <w:trPr>
          <w:trHeight w:val="1608"/>
        </w:trPr>
        <w:tc>
          <w:tcPr>
            <w:tcW w:w="3337" w:type="dxa"/>
          </w:tcPr>
          <w:p w:rsidR="00444264" w:rsidRPr="005C1EF3" w:rsidRDefault="00505D05">
            <w:pPr>
              <w:pStyle w:val="TableParagraph"/>
              <w:spacing w:before="2" w:line="237" w:lineRule="auto"/>
              <w:ind w:left="470"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5C1EF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5C1EF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5C1EF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C1EF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444264" w:rsidRPr="005C1EF3" w:rsidRDefault="00505D05">
            <w:pPr>
              <w:pStyle w:val="TableParagraph"/>
              <w:spacing w:before="5"/>
              <w:ind w:left="470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5C1EF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C1EF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C1EF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5C1EF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5C1EF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29" w:type="dxa"/>
          </w:tcPr>
          <w:p w:rsidR="00444264" w:rsidRPr="005C1EF3" w:rsidRDefault="00505D05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5C1EF3">
              <w:rPr>
                <w:rFonts w:ascii="Arial" w:hAnsi="Arial" w:cs="Arial"/>
                <w:sz w:val="20"/>
                <w:szCs w:val="20"/>
              </w:rPr>
              <w:t>Your</w:t>
            </w:r>
            <w:r w:rsidRPr="005C1E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abstract</w:t>
            </w:r>
            <w:r w:rsidRPr="005C1EF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is</w:t>
            </w:r>
            <w:r w:rsidRPr="005C1EF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clear,</w:t>
            </w:r>
            <w:r w:rsidRPr="005C1EF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logically</w:t>
            </w:r>
            <w:r w:rsidRPr="005C1EF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structured,</w:t>
            </w:r>
            <w:r w:rsidRPr="005C1EF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and</w:t>
            </w:r>
            <w:r w:rsidRPr="005C1EF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5C1EF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pacing w:val="-2"/>
                <w:sz w:val="20"/>
                <w:szCs w:val="20"/>
              </w:rPr>
              <w:t>sound.</w:t>
            </w:r>
          </w:p>
        </w:tc>
        <w:tc>
          <w:tcPr>
            <w:tcW w:w="4020" w:type="dxa"/>
          </w:tcPr>
          <w:p w:rsidR="00444264" w:rsidRPr="005C1EF3" w:rsidRDefault="004442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264" w:rsidRPr="005C1EF3">
        <w:trPr>
          <w:trHeight w:val="705"/>
        </w:trPr>
        <w:tc>
          <w:tcPr>
            <w:tcW w:w="3337" w:type="dxa"/>
          </w:tcPr>
          <w:p w:rsidR="00444264" w:rsidRPr="005C1EF3" w:rsidRDefault="00505D05">
            <w:pPr>
              <w:pStyle w:val="TableParagraph"/>
              <w:ind w:left="470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5C1E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1EF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1EF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C1EF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29" w:type="dxa"/>
          </w:tcPr>
          <w:p w:rsidR="00444264" w:rsidRPr="005C1EF3" w:rsidRDefault="00505D0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C1EF3">
              <w:rPr>
                <w:rFonts w:ascii="Arial" w:hAnsi="Arial" w:cs="Arial"/>
                <w:sz w:val="20"/>
                <w:szCs w:val="20"/>
              </w:rPr>
              <w:t>Based on the material provided, the manuscript appears to be scientifically</w:t>
            </w:r>
            <w:r w:rsidRPr="005C1EF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sound</w:t>
            </w:r>
            <w:r w:rsidRPr="005C1E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and</w:t>
            </w:r>
            <w:r w:rsidRPr="005C1EF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mathematically</w:t>
            </w:r>
            <w:r w:rsidRPr="005C1EF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consistent, provided</w:t>
            </w:r>
            <w:r w:rsidRPr="005C1E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that</w:t>
            </w:r>
            <w:r w:rsidRPr="005C1E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all</w:t>
            </w:r>
          </w:p>
          <w:p w:rsidR="00444264" w:rsidRPr="005C1EF3" w:rsidRDefault="00505D05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5C1EF3">
              <w:rPr>
                <w:rFonts w:ascii="Arial" w:hAnsi="Arial" w:cs="Arial"/>
                <w:sz w:val="20"/>
                <w:szCs w:val="20"/>
              </w:rPr>
              <w:t>derivations</w:t>
            </w:r>
            <w:r w:rsidRPr="005C1EF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and</w:t>
            </w:r>
            <w:r w:rsidRPr="005C1E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proofs</w:t>
            </w:r>
            <w:r w:rsidRPr="005C1E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are</w:t>
            </w:r>
            <w:r w:rsidRPr="005C1E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correctly</w:t>
            </w:r>
            <w:r w:rsidRPr="005C1EF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carried</w:t>
            </w:r>
            <w:r w:rsidRPr="005C1E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out</w:t>
            </w:r>
            <w:r w:rsidRPr="005C1E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in</w:t>
            </w:r>
            <w:r w:rsidRPr="005C1E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the</w:t>
            </w:r>
            <w:r w:rsidRPr="005C1EF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Pr="005C1EF3">
              <w:rPr>
                <w:rFonts w:ascii="Arial" w:hAnsi="Arial" w:cs="Arial"/>
                <w:spacing w:val="-2"/>
                <w:sz w:val="20"/>
                <w:szCs w:val="20"/>
              </w:rPr>
              <w:t>paper</w:t>
            </w:r>
          </w:p>
        </w:tc>
        <w:tc>
          <w:tcPr>
            <w:tcW w:w="4020" w:type="dxa"/>
          </w:tcPr>
          <w:p w:rsidR="00444264" w:rsidRPr="005C1EF3" w:rsidRDefault="004442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264" w:rsidRPr="005C1EF3">
        <w:trPr>
          <w:trHeight w:val="1152"/>
        </w:trPr>
        <w:tc>
          <w:tcPr>
            <w:tcW w:w="3337" w:type="dxa"/>
          </w:tcPr>
          <w:p w:rsidR="00444264" w:rsidRPr="005C1EF3" w:rsidRDefault="00505D05">
            <w:pPr>
              <w:pStyle w:val="TableParagraph"/>
              <w:ind w:left="470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5C1EF3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</w:t>
            </w:r>
          </w:p>
          <w:p w:rsidR="00444264" w:rsidRPr="005C1EF3" w:rsidRDefault="00505D05">
            <w:pPr>
              <w:pStyle w:val="TableParagraph"/>
              <w:spacing w:line="230" w:lineRule="atLeast"/>
              <w:ind w:left="470"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5C1EF3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5C1EF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C1EF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5C1EF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29" w:type="dxa"/>
          </w:tcPr>
          <w:p w:rsidR="00444264" w:rsidRPr="005C1EF3" w:rsidRDefault="00505D05">
            <w:pPr>
              <w:pStyle w:val="TableParagraph"/>
              <w:ind w:right="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EF3">
              <w:rPr>
                <w:rFonts w:ascii="Arial" w:hAnsi="Arial" w:cs="Arial"/>
                <w:sz w:val="20"/>
                <w:szCs w:val="20"/>
              </w:rPr>
              <w:t>Overall, the references are scientifically appropriate, foundational,</w:t>
            </w:r>
            <w:r w:rsidRPr="005C1EF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and largely sufficient for a mathematical modeling paper on within- host HIV dynamics with delay.</w:t>
            </w:r>
          </w:p>
        </w:tc>
        <w:tc>
          <w:tcPr>
            <w:tcW w:w="4020" w:type="dxa"/>
          </w:tcPr>
          <w:p w:rsidR="00444264" w:rsidRPr="005C1EF3" w:rsidRDefault="004442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264" w:rsidRPr="005C1EF3">
        <w:trPr>
          <w:trHeight w:val="1607"/>
        </w:trPr>
        <w:tc>
          <w:tcPr>
            <w:tcW w:w="3337" w:type="dxa"/>
          </w:tcPr>
          <w:p w:rsidR="00444264" w:rsidRPr="005C1EF3" w:rsidRDefault="00505D05">
            <w:pPr>
              <w:pStyle w:val="TableParagraph"/>
              <w:spacing w:before="2" w:line="237" w:lineRule="auto"/>
              <w:ind w:left="470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5C1E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1EF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1EF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C1EF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29" w:type="dxa"/>
          </w:tcPr>
          <w:p w:rsidR="00444264" w:rsidRPr="005C1EF3" w:rsidRDefault="00505D05">
            <w:pPr>
              <w:pStyle w:val="TableParagraph"/>
              <w:ind w:right="81"/>
              <w:rPr>
                <w:rFonts w:ascii="Arial" w:hAnsi="Arial" w:cs="Arial"/>
                <w:sz w:val="20"/>
                <w:szCs w:val="20"/>
              </w:rPr>
            </w:pPr>
            <w:r w:rsidRPr="005C1EF3">
              <w:rPr>
                <w:rFonts w:ascii="Arial" w:hAnsi="Arial" w:cs="Arial"/>
                <w:sz w:val="20"/>
                <w:szCs w:val="20"/>
              </w:rPr>
              <w:t>The manuscript's writing is clear, formal, and technically acceptable for a mathematical biology publication, and its language quality is typically appropriate for academic communication. The scientific ideas</w:t>
            </w:r>
            <w:r w:rsidRPr="005C1E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are</w:t>
            </w:r>
            <w:r w:rsidRPr="005C1EF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presented</w:t>
            </w:r>
            <w:r w:rsidRPr="005C1EF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logically,</w:t>
            </w:r>
            <w:r w:rsidRPr="005C1E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the</w:t>
            </w:r>
            <w:r w:rsidRPr="005C1E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language</w:t>
            </w:r>
            <w:r w:rsidRPr="005C1E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is</w:t>
            </w:r>
            <w:r w:rsidRPr="005C1EF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employed</w:t>
            </w:r>
            <w:r w:rsidRPr="005C1E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appropriately, and the structure makes sense. The text shows a solid mastery of academic English overall.</w:t>
            </w:r>
          </w:p>
        </w:tc>
        <w:tc>
          <w:tcPr>
            <w:tcW w:w="4020" w:type="dxa"/>
          </w:tcPr>
          <w:p w:rsidR="00444264" w:rsidRPr="005C1EF3" w:rsidRDefault="004442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264" w:rsidRPr="005C1EF3">
        <w:trPr>
          <w:trHeight w:val="2069"/>
        </w:trPr>
        <w:tc>
          <w:tcPr>
            <w:tcW w:w="3337" w:type="dxa"/>
          </w:tcPr>
          <w:p w:rsidR="00444264" w:rsidRPr="005C1EF3" w:rsidRDefault="00505D05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5C1EF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C1EF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29" w:type="dxa"/>
          </w:tcPr>
          <w:p w:rsidR="00444264" w:rsidRPr="005C1EF3" w:rsidRDefault="00505D05">
            <w:pPr>
              <w:pStyle w:val="TableParagraph"/>
              <w:ind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EF3">
              <w:rPr>
                <w:rFonts w:ascii="Arial" w:hAnsi="Arial" w:cs="Arial"/>
                <w:sz w:val="20"/>
                <w:szCs w:val="20"/>
              </w:rPr>
              <w:t>The</w:t>
            </w:r>
            <w:r w:rsidRPr="005C1E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manuscript</w:t>
            </w:r>
            <w:r w:rsidRPr="005C1E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presents</w:t>
            </w:r>
            <w:r w:rsidRPr="005C1E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</w:t>
            </w:r>
            <w:r w:rsidRPr="005C1E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clear and</w:t>
            </w:r>
            <w:r w:rsidRPr="005C1EF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mathematically</w:t>
            </w:r>
            <w:r w:rsidRPr="005C1EF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sound analysis</w:t>
            </w:r>
            <w:r w:rsidRPr="005C1E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of within-host HIV dynamics incorporating delayed drug-response effects. The modeling framework is</w:t>
            </w:r>
            <w:r w:rsidRPr="005C1E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appropriate, and the stability</w:t>
            </w:r>
            <w:r w:rsidRPr="005C1EF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and reproduction number analysis are well developed. The results are theoretically consistent and biologically relevant. Minor improvements in language clarity and inclusion of a few recent references would further strengthen the paper. Overall, the study makes</w:t>
            </w:r>
            <w:r w:rsidRPr="005C1EF3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</w:t>
            </w:r>
            <w:r w:rsidRPr="005C1EF3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valuable</w:t>
            </w:r>
            <w:r w:rsidRPr="005C1EF3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5C1EF3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to</w:t>
            </w:r>
            <w:r w:rsidRPr="005C1EF3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HIV</w:t>
            </w:r>
            <w:r w:rsidRPr="005C1EF3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treatment</w:t>
            </w:r>
            <w:r w:rsidRPr="005C1EF3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modeling</w:t>
            </w:r>
            <w:r w:rsidRPr="005C1EF3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and</w:t>
            </w:r>
            <w:r w:rsidRPr="005C1EF3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pacing w:val="-5"/>
                <w:sz w:val="20"/>
                <w:szCs w:val="20"/>
              </w:rPr>
              <w:t>is</w:t>
            </w:r>
          </w:p>
          <w:p w:rsidR="00444264" w:rsidRPr="005C1EF3" w:rsidRDefault="00505D05">
            <w:pPr>
              <w:pStyle w:val="TableParagraph"/>
              <w:spacing w:line="21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EF3">
              <w:rPr>
                <w:rFonts w:ascii="Arial" w:hAnsi="Arial" w:cs="Arial"/>
                <w:sz w:val="20"/>
                <w:szCs w:val="20"/>
              </w:rPr>
              <w:t>suitable</w:t>
            </w:r>
            <w:r w:rsidRPr="005C1EF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for</w:t>
            </w:r>
            <w:r w:rsidRPr="005C1E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publication</w:t>
            </w:r>
            <w:r w:rsidRPr="005C1EF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after</w:t>
            </w:r>
            <w:r w:rsidRPr="005C1EF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z w:val="20"/>
                <w:szCs w:val="20"/>
              </w:rPr>
              <w:t>minor</w:t>
            </w:r>
            <w:r w:rsidRPr="005C1EF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C1EF3">
              <w:rPr>
                <w:rFonts w:ascii="Arial" w:hAnsi="Arial" w:cs="Arial"/>
                <w:spacing w:val="-2"/>
                <w:sz w:val="20"/>
                <w:szCs w:val="20"/>
              </w:rPr>
              <w:t>revision.</w:t>
            </w:r>
          </w:p>
        </w:tc>
        <w:tc>
          <w:tcPr>
            <w:tcW w:w="4020" w:type="dxa"/>
          </w:tcPr>
          <w:p w:rsidR="00444264" w:rsidRPr="005C1EF3" w:rsidRDefault="004442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4264" w:rsidRPr="005C1EF3" w:rsidRDefault="00444264">
      <w:pPr>
        <w:pStyle w:val="TableParagraph"/>
        <w:rPr>
          <w:rFonts w:ascii="Arial" w:hAnsi="Arial" w:cs="Arial"/>
          <w:sz w:val="20"/>
          <w:szCs w:val="20"/>
        </w:rPr>
        <w:sectPr w:rsidR="00444264" w:rsidRPr="005C1EF3">
          <w:pgSz w:w="15840" w:h="12240" w:orient="landscape"/>
          <w:pgMar w:top="1380" w:right="1080" w:bottom="280" w:left="1080" w:header="720" w:footer="720" w:gutter="0"/>
          <w:cols w:space="720"/>
        </w:sectPr>
      </w:pPr>
    </w:p>
    <w:tbl>
      <w:tblPr>
        <w:tblW w:w="4864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580"/>
        <w:gridCol w:w="4576"/>
      </w:tblGrid>
      <w:tr w:rsidR="004917BC" w:rsidRPr="005C1EF3" w:rsidTr="0052068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7BC" w:rsidRPr="005C1EF3" w:rsidRDefault="004917BC" w:rsidP="004917B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5C1EF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C1EF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917BC" w:rsidRPr="005C1EF3" w:rsidRDefault="004917BC" w:rsidP="004917B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917BC" w:rsidRPr="005C1EF3" w:rsidTr="0052068C"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7BC" w:rsidRPr="005C1EF3" w:rsidRDefault="004917BC" w:rsidP="004917B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BC" w:rsidRPr="005C1EF3" w:rsidRDefault="004917BC" w:rsidP="004917BC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C1E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7BC" w:rsidRPr="005C1EF3" w:rsidRDefault="004917BC" w:rsidP="004917BC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1E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1EF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917BC" w:rsidRPr="005C1EF3" w:rsidRDefault="004917BC" w:rsidP="004917BC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17BC" w:rsidRPr="005C1EF3" w:rsidTr="0052068C">
        <w:trPr>
          <w:trHeight w:val="890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7BC" w:rsidRPr="005C1EF3" w:rsidRDefault="004917BC" w:rsidP="004917B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C1EF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917BC" w:rsidRPr="005C1EF3" w:rsidRDefault="004917BC" w:rsidP="004917B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7BC" w:rsidRPr="005C1EF3" w:rsidRDefault="004917BC" w:rsidP="004917B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C1E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C1E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C1E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917BC" w:rsidRPr="005C1EF3" w:rsidRDefault="004917BC" w:rsidP="004917B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BC" w:rsidRPr="005C1EF3" w:rsidRDefault="004917BC" w:rsidP="004917B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917BC" w:rsidRPr="005C1EF3" w:rsidRDefault="004917BC" w:rsidP="004917B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917BC" w:rsidRPr="005C1EF3" w:rsidRDefault="004917BC" w:rsidP="004917B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5C1EF3" w:rsidRPr="005C1EF3" w:rsidRDefault="005C1EF3" w:rsidP="005C1EF3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</w:p>
    <w:p w:rsidR="005C1EF3" w:rsidRPr="005C1EF3" w:rsidRDefault="005C1EF3" w:rsidP="005C1EF3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5C1EF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C1EF3" w:rsidRPr="005C1EF3" w:rsidRDefault="005C1EF3" w:rsidP="005C1EF3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5C1EF3">
        <w:rPr>
          <w:rFonts w:ascii="Arial" w:hAnsi="Arial" w:cs="Arial"/>
          <w:color w:val="000000"/>
          <w:sz w:val="20"/>
          <w:szCs w:val="20"/>
        </w:rPr>
        <w:t xml:space="preserve">Monika </w:t>
      </w:r>
      <w:proofErr w:type="spellStart"/>
      <w:r w:rsidRPr="005C1EF3">
        <w:rPr>
          <w:rFonts w:ascii="Arial" w:hAnsi="Arial" w:cs="Arial"/>
          <w:color w:val="000000"/>
          <w:sz w:val="20"/>
          <w:szCs w:val="20"/>
        </w:rPr>
        <w:t>Sahu</w:t>
      </w:r>
      <w:proofErr w:type="spellEnd"/>
      <w:r w:rsidRPr="005C1EF3">
        <w:rPr>
          <w:rFonts w:ascii="Arial" w:hAnsi="Arial" w:cs="Arial"/>
          <w:color w:val="000000"/>
          <w:sz w:val="20"/>
          <w:szCs w:val="20"/>
        </w:rPr>
        <w:t>, DAV</w:t>
      </w:r>
      <w:r w:rsidRPr="005C1EF3">
        <w:rPr>
          <w:rFonts w:ascii="Arial" w:hAnsi="Arial" w:cs="Arial"/>
          <w:sz w:val="20"/>
          <w:szCs w:val="20"/>
        </w:rPr>
        <w:t xml:space="preserve">, </w:t>
      </w:r>
      <w:r w:rsidRPr="005C1EF3">
        <w:rPr>
          <w:rFonts w:ascii="Arial" w:hAnsi="Arial" w:cs="Arial"/>
          <w:color w:val="000000"/>
          <w:sz w:val="20"/>
          <w:szCs w:val="20"/>
        </w:rPr>
        <w:t>India</w:t>
      </w:r>
    </w:p>
    <w:p w:rsidR="004917BC" w:rsidRPr="005C1EF3" w:rsidRDefault="004917BC" w:rsidP="004917B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917BC" w:rsidRPr="005C1EF3" w:rsidRDefault="004917BC" w:rsidP="004917BC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4917BC" w:rsidRPr="005C1EF3" w:rsidRDefault="004917BC" w:rsidP="004917B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44264" w:rsidRPr="005C1EF3" w:rsidRDefault="00444264" w:rsidP="004917BC">
      <w:pPr>
        <w:rPr>
          <w:rFonts w:ascii="Arial" w:hAnsi="Arial" w:cs="Arial"/>
          <w:b/>
          <w:sz w:val="20"/>
          <w:szCs w:val="20"/>
        </w:rPr>
      </w:pPr>
    </w:p>
    <w:sectPr w:rsidR="00444264" w:rsidRPr="005C1EF3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264"/>
    <w:rsid w:val="00444264"/>
    <w:rsid w:val="004917BC"/>
    <w:rsid w:val="00505D05"/>
    <w:rsid w:val="0052068C"/>
    <w:rsid w:val="005B67D6"/>
    <w:rsid w:val="005C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A46EC6-3950-4C87-A8CA-AC787B62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AJOMC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6</cp:revision>
  <dcterms:created xsi:type="dcterms:W3CDTF">2026-03-06T05:56:00Z</dcterms:created>
  <dcterms:modified xsi:type="dcterms:W3CDTF">2026-03-20T07:13:00Z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2026-03-06T00:00:00Z</vt:filetime>
  </property>
  <property fmtid="{D5CDD505-2E9C-101B-9397-08002B2CF9AE}" pid="5" name="Producer">
    <vt:lpwstr>www.ilovepdf.com</vt:lpwstr>
  </property>
</Properties>
</file>