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FD95" w14:textId="55965E6D" w:rsidR="002D1927" w:rsidRDefault="002D1927" w:rsidP="009D7FB8">
      <w:pPr>
        <w:spacing w:after="0" w:line="288" w:lineRule="auto"/>
        <w:jc w:val="center"/>
        <w:rPr>
          <w:rFonts w:ascii="Times New Roman" w:hAnsi="Times New Roman" w:cs="Times New Roman"/>
          <w:b/>
          <w:bCs/>
        </w:rPr>
      </w:pPr>
      <w:r w:rsidRPr="002D1927">
        <w:rPr>
          <w:rFonts w:ascii="Times New Roman" w:hAnsi="Times New Roman" w:cs="Times New Roman"/>
          <w:b/>
          <w:bCs/>
        </w:rPr>
        <w:t>COMBINING ABILITY, AGRONOMIC PERFORMANCE, YIELD, AND FRESH-EATING QUALITY OF WAXY MAIZE HYBRIDS EVALUATED ACROSS TWO CROPPING SEASONS</w:t>
      </w:r>
    </w:p>
    <w:p w14:paraId="3AED42E7" w14:textId="77777777" w:rsidR="00192207" w:rsidRDefault="00192207" w:rsidP="009D7FB8">
      <w:pPr>
        <w:spacing w:after="0" w:line="288" w:lineRule="auto"/>
        <w:jc w:val="center"/>
        <w:rPr>
          <w:rFonts w:ascii="Times New Roman" w:hAnsi="Times New Roman" w:cs="Times New Roman"/>
          <w:b/>
          <w:bCs/>
        </w:rPr>
      </w:pPr>
    </w:p>
    <w:p w14:paraId="67C6672C" w14:textId="37B23636" w:rsidR="00CD05FA" w:rsidRPr="00E379D6" w:rsidRDefault="00CD05FA" w:rsidP="00307FCF">
      <w:pPr>
        <w:spacing w:after="0" w:line="288" w:lineRule="auto"/>
        <w:jc w:val="center"/>
        <w:rPr>
          <w:rFonts w:ascii="Times New Roman" w:hAnsi="Times New Roman" w:cs="Times New Roman"/>
          <w:bCs/>
          <w:sz w:val="20"/>
          <w:szCs w:val="20"/>
          <w:lang w:val="es-US"/>
        </w:rPr>
      </w:pPr>
    </w:p>
    <w:p w14:paraId="5679EE11" w14:textId="77777777" w:rsidR="00DC784A" w:rsidRPr="00E379D6" w:rsidRDefault="00DC784A" w:rsidP="00307FCF">
      <w:pPr>
        <w:spacing w:after="0" w:line="288" w:lineRule="auto"/>
        <w:jc w:val="center"/>
        <w:rPr>
          <w:rFonts w:ascii="Times New Roman" w:hAnsi="Times New Roman" w:cs="Times New Roman"/>
          <w:b/>
          <w:bCs/>
          <w:sz w:val="20"/>
          <w:szCs w:val="20"/>
          <w:lang w:val="es-US"/>
        </w:rPr>
      </w:pPr>
    </w:p>
    <w:p w14:paraId="6425B935" w14:textId="25408585" w:rsidR="009A2A7C" w:rsidRPr="00311474" w:rsidRDefault="009A2A7C" w:rsidP="009D7FB8">
      <w:pPr>
        <w:spacing w:after="0" w:line="288" w:lineRule="auto"/>
        <w:jc w:val="center"/>
        <w:rPr>
          <w:rFonts w:ascii="Times New Roman" w:hAnsi="Times New Roman" w:cs="Times New Roman"/>
          <w:b/>
          <w:bCs/>
        </w:rPr>
      </w:pPr>
      <w:r w:rsidRPr="00311474">
        <w:rPr>
          <w:rFonts w:ascii="Times New Roman" w:hAnsi="Times New Roman" w:cs="Times New Roman"/>
          <w:b/>
          <w:bCs/>
        </w:rPr>
        <w:t>ABSTRACT</w:t>
      </w:r>
    </w:p>
    <w:p w14:paraId="163F19B9" w14:textId="77777777" w:rsidR="009A2A7C" w:rsidRPr="00311474" w:rsidRDefault="009A2A7C" w:rsidP="009A2A7C">
      <w:pPr>
        <w:spacing w:after="0" w:line="288" w:lineRule="auto"/>
        <w:ind w:firstLine="720"/>
        <w:jc w:val="both"/>
        <w:rPr>
          <w:rFonts w:ascii="Times New Roman" w:hAnsi="Times New Roman" w:cs="Times New Roman"/>
        </w:rPr>
      </w:pPr>
      <w:r w:rsidRPr="00311474">
        <w:rPr>
          <w:rFonts w:ascii="Times New Roman" w:hAnsi="Times New Roman" w:cs="Times New Roman"/>
        </w:rPr>
        <w:t xml:space="preserve">This study aimed to evaluate growth performance, yield components, fresh ear yield, grain yield, and eating quality of eleven waxy maize hybrids compared with the control variety HN68 over two cropping seasons. The experiment </w:t>
      </w:r>
      <w:proofErr w:type="gramStart"/>
      <w:r w:rsidRPr="00311474">
        <w:rPr>
          <w:rFonts w:ascii="Times New Roman" w:hAnsi="Times New Roman" w:cs="Times New Roman"/>
        </w:rPr>
        <w:t>was arranged</w:t>
      </w:r>
      <w:proofErr w:type="gramEnd"/>
      <w:r w:rsidRPr="00311474">
        <w:rPr>
          <w:rFonts w:ascii="Times New Roman" w:hAnsi="Times New Roman" w:cs="Times New Roman"/>
        </w:rPr>
        <w:t xml:space="preserve"> in a randomized complete block design with three replications. Results showed significant differences among hybrids in growth duration, plant height, ear characteristics, yield, and quality traits. Harvesting time ranged from 70 to 73 </w:t>
      </w:r>
      <w:proofErr w:type="gramStart"/>
      <w:r w:rsidRPr="00311474">
        <w:rPr>
          <w:rFonts w:ascii="Times New Roman" w:hAnsi="Times New Roman" w:cs="Times New Roman"/>
        </w:rPr>
        <w:t>days</w:t>
      </w:r>
      <w:proofErr w:type="gramEnd"/>
      <w:r w:rsidRPr="00311474">
        <w:rPr>
          <w:rFonts w:ascii="Times New Roman" w:hAnsi="Times New Roman" w:cs="Times New Roman"/>
        </w:rPr>
        <w:t xml:space="preserve">, indicating good adaptability to seasonal conditions. The hybrid N59 × N15 exhibited superior performance in plant height, ear length, fresh ear yield (11.8 t ha⁻¹), and grain yield (5.1 t ha⁻¹), and differed significantly from the control at the 5% level. Other promising hybrids included N02 × N7B and N02 × N59, which demonstrated high and stable yields across seasons. Eating quality scores ranged from 2.38 to 2.88, with several hybrids showing good sensory characteristics. The coefficient of variation for major traits was below 7%, confirming the reliability of the experiment. Overall, N59 × N15 </w:t>
      </w:r>
      <w:proofErr w:type="gramStart"/>
      <w:r w:rsidRPr="00311474">
        <w:rPr>
          <w:rFonts w:ascii="Times New Roman" w:hAnsi="Times New Roman" w:cs="Times New Roman"/>
        </w:rPr>
        <w:t>was identified</w:t>
      </w:r>
      <w:proofErr w:type="gramEnd"/>
      <w:r w:rsidRPr="00311474">
        <w:rPr>
          <w:rFonts w:ascii="Times New Roman" w:hAnsi="Times New Roman" w:cs="Times New Roman"/>
        </w:rPr>
        <w:t xml:space="preserve"> as the most promising hybrid for further large-scale production trials, while N02 × N7B and N02 × N59 warrant additional evaluation.</w:t>
      </w:r>
    </w:p>
    <w:p w14:paraId="0DCA7E2A" w14:textId="77777777" w:rsidR="009A2A7C" w:rsidRPr="00311474" w:rsidRDefault="009A2A7C" w:rsidP="009A2A7C">
      <w:pPr>
        <w:spacing w:after="0" w:line="288" w:lineRule="auto"/>
        <w:jc w:val="both"/>
        <w:rPr>
          <w:rFonts w:ascii="Times New Roman" w:hAnsi="Times New Roman" w:cs="Times New Roman"/>
        </w:rPr>
      </w:pPr>
      <w:commentRangeStart w:id="0"/>
      <w:r w:rsidRPr="00311474">
        <w:rPr>
          <w:rFonts w:ascii="Times New Roman" w:hAnsi="Times New Roman" w:cs="Times New Roman"/>
          <w:b/>
          <w:bCs/>
        </w:rPr>
        <w:t>K</w:t>
      </w:r>
      <w:commentRangeEnd w:id="0"/>
      <w:r w:rsidR="00C05F58">
        <w:rPr>
          <w:rStyle w:val="ad"/>
        </w:rPr>
        <w:commentReference w:id="0"/>
      </w:r>
      <w:r w:rsidRPr="00311474">
        <w:rPr>
          <w:rFonts w:ascii="Times New Roman" w:hAnsi="Times New Roman" w:cs="Times New Roman"/>
          <w:b/>
          <w:bCs/>
        </w:rPr>
        <w:t>eywords:</w:t>
      </w:r>
      <w:r w:rsidRPr="00311474">
        <w:rPr>
          <w:rFonts w:ascii="Times New Roman" w:hAnsi="Times New Roman" w:cs="Times New Roman"/>
        </w:rPr>
        <w:t xml:space="preserve"> waxy maize, hybrid evaluation, fresh ear yield, grain yield, eating quality.</w:t>
      </w:r>
    </w:p>
    <w:p w14:paraId="4F4D66CB" w14:textId="77777777" w:rsidR="00440DD4" w:rsidRPr="00440DD4" w:rsidRDefault="00440DD4" w:rsidP="009D7FB8">
      <w:pPr>
        <w:spacing w:after="0" w:line="288" w:lineRule="auto"/>
        <w:jc w:val="center"/>
        <w:rPr>
          <w:rFonts w:ascii="Times New Roman" w:hAnsi="Times New Roman" w:cs="Times New Roman"/>
          <w:b/>
          <w:bCs/>
        </w:rPr>
      </w:pPr>
      <w:r w:rsidRPr="00440DD4">
        <w:rPr>
          <w:rFonts w:ascii="Times New Roman" w:hAnsi="Times New Roman" w:cs="Times New Roman"/>
          <w:b/>
          <w:bCs/>
        </w:rPr>
        <w:t>1. INTRODUCTION</w:t>
      </w:r>
    </w:p>
    <w:p w14:paraId="676D4AE4" w14:textId="4564C749"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Waxy maize (</w:t>
      </w:r>
      <w:proofErr w:type="spellStart"/>
      <w:r w:rsidRPr="00440DD4">
        <w:rPr>
          <w:rFonts w:ascii="Times New Roman" w:hAnsi="Times New Roman" w:cs="Times New Roman"/>
          <w:i/>
          <w:iCs/>
        </w:rPr>
        <w:t>Zea</w:t>
      </w:r>
      <w:proofErr w:type="spellEnd"/>
      <w:r w:rsidRPr="00440DD4">
        <w:rPr>
          <w:rFonts w:ascii="Times New Roman" w:hAnsi="Times New Roman" w:cs="Times New Roman"/>
          <w:i/>
          <w:iCs/>
        </w:rPr>
        <w:t xml:space="preserve"> mays</w:t>
      </w:r>
      <w:r w:rsidRPr="00440DD4">
        <w:rPr>
          <w:rFonts w:ascii="Times New Roman" w:hAnsi="Times New Roman" w:cs="Times New Roman"/>
        </w:rPr>
        <w:t xml:space="preserve"> L. var. </w:t>
      </w:r>
      <w:proofErr w:type="spellStart"/>
      <w:r w:rsidRPr="00440DD4">
        <w:rPr>
          <w:rFonts w:ascii="Times New Roman" w:hAnsi="Times New Roman" w:cs="Times New Roman"/>
          <w:i/>
          <w:iCs/>
        </w:rPr>
        <w:t>ceratina</w:t>
      </w:r>
      <w:proofErr w:type="spellEnd"/>
      <w:r w:rsidRPr="00440DD4">
        <w:rPr>
          <w:rFonts w:ascii="Times New Roman" w:hAnsi="Times New Roman" w:cs="Times New Roman"/>
        </w:rPr>
        <w:t>) is a specialty maize type characterized by an endosperm composed almost entirely of amylopectin</w:t>
      </w:r>
      <w:r w:rsidR="00EE3550">
        <w:rPr>
          <w:rFonts w:ascii="Times New Roman" w:hAnsi="Times New Roman" w:cs="Times New Roman"/>
        </w:rPr>
        <w:t xml:space="preserve"> [1]</w:t>
      </w:r>
      <w:r w:rsidRPr="00440DD4">
        <w:rPr>
          <w:rFonts w:ascii="Times New Roman" w:hAnsi="Times New Roman" w:cs="Times New Roman"/>
        </w:rPr>
        <w:t xml:space="preserve">, </w:t>
      </w:r>
      <w:bookmarkStart w:id="1" w:name="_Hlk223077445"/>
      <w:r w:rsidRPr="00440DD4">
        <w:rPr>
          <w:rFonts w:ascii="Times New Roman" w:hAnsi="Times New Roman" w:cs="Times New Roman"/>
        </w:rPr>
        <w:t>which confers a sticky, soft texture and distinctive sweetness when harvested at the fresh ear stage</w:t>
      </w:r>
      <w:bookmarkEnd w:id="1"/>
      <w:r w:rsidR="00EE3550">
        <w:rPr>
          <w:rFonts w:ascii="Times New Roman" w:hAnsi="Times New Roman" w:cs="Times New Roman"/>
        </w:rPr>
        <w:t xml:space="preserve"> [2]</w:t>
      </w:r>
      <w:r w:rsidRPr="00440DD4">
        <w:rPr>
          <w:rFonts w:ascii="Times New Roman" w:hAnsi="Times New Roman" w:cs="Times New Roman"/>
        </w:rPr>
        <w:t>. Owing to its high sensory quality and strong consumer preference in many Asian countries, particularly Vietnam, waxy maize has become an economically important crop</w:t>
      </w:r>
      <w:r w:rsidR="00EE3550">
        <w:rPr>
          <w:rFonts w:ascii="Times New Roman" w:hAnsi="Times New Roman" w:cs="Times New Roman"/>
        </w:rPr>
        <w:t xml:space="preserve"> [3]</w:t>
      </w:r>
      <w:r w:rsidRPr="00440DD4">
        <w:rPr>
          <w:rFonts w:ascii="Times New Roman" w:hAnsi="Times New Roman" w:cs="Times New Roman"/>
        </w:rPr>
        <w:t>, contributing significantly to farmers’ income within short-season cropping systems.</w:t>
      </w:r>
    </w:p>
    <w:p w14:paraId="66DF022A" w14:textId="63471F63"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In recent years, the cultivation area of waxy maize has expanded to meet increasing demand for fresh consumption and processed food products</w:t>
      </w:r>
      <w:r w:rsidR="00EE3550">
        <w:rPr>
          <w:rFonts w:ascii="Times New Roman" w:hAnsi="Times New Roman" w:cs="Times New Roman"/>
        </w:rPr>
        <w:t xml:space="preserve"> [4]</w:t>
      </w:r>
      <w:r w:rsidRPr="00440DD4">
        <w:rPr>
          <w:rFonts w:ascii="Times New Roman" w:hAnsi="Times New Roman" w:cs="Times New Roman"/>
        </w:rPr>
        <w:t>. However, waxy maize production still faces several constraints</w:t>
      </w:r>
      <w:r w:rsidR="00EE3550">
        <w:rPr>
          <w:rFonts w:ascii="Times New Roman" w:hAnsi="Times New Roman" w:cs="Times New Roman"/>
        </w:rPr>
        <w:t xml:space="preserve"> [5]</w:t>
      </w:r>
      <w:r w:rsidRPr="00440DD4">
        <w:rPr>
          <w:rFonts w:ascii="Times New Roman" w:hAnsi="Times New Roman" w:cs="Times New Roman"/>
        </w:rPr>
        <w:t>, including unstable yield performance across seasons, limited tolerance to adverse environmental conditions, and inconsistent eating quality. Moreover, the market increasingly requires new cultivars to simultaneously satisfy three key criteria: (</w:t>
      </w:r>
      <w:proofErr w:type="spellStart"/>
      <w:r w:rsidRPr="00440DD4">
        <w:rPr>
          <w:rFonts w:ascii="Times New Roman" w:hAnsi="Times New Roman" w:cs="Times New Roman"/>
        </w:rPr>
        <w:t>i</w:t>
      </w:r>
      <w:proofErr w:type="spellEnd"/>
      <w:r w:rsidRPr="00440DD4">
        <w:rPr>
          <w:rFonts w:ascii="Times New Roman" w:hAnsi="Times New Roman" w:cs="Times New Roman"/>
        </w:rPr>
        <w:t>) short growth duration suitable for intensive cropping systems</w:t>
      </w:r>
      <w:r w:rsidR="00EE3550">
        <w:rPr>
          <w:rFonts w:ascii="Times New Roman" w:hAnsi="Times New Roman" w:cs="Times New Roman"/>
        </w:rPr>
        <w:t xml:space="preserve"> [6]</w:t>
      </w:r>
      <w:r w:rsidRPr="00440DD4">
        <w:rPr>
          <w:rFonts w:ascii="Times New Roman" w:hAnsi="Times New Roman" w:cs="Times New Roman"/>
        </w:rPr>
        <w:t>, (ii) high and stable fresh ear yield</w:t>
      </w:r>
      <w:r w:rsidR="00EE3550">
        <w:rPr>
          <w:rFonts w:ascii="Times New Roman" w:hAnsi="Times New Roman" w:cs="Times New Roman"/>
        </w:rPr>
        <w:t xml:space="preserve"> [7]</w:t>
      </w:r>
      <w:r w:rsidRPr="00440DD4">
        <w:rPr>
          <w:rFonts w:ascii="Times New Roman" w:hAnsi="Times New Roman" w:cs="Times New Roman"/>
        </w:rPr>
        <w:t xml:space="preserve">, and (iii) superior eating quality, including stickiness, sweetness, aroma, and appealing kernel </w:t>
      </w:r>
      <w:proofErr w:type="gramStart"/>
      <w:r w:rsidRPr="00440DD4">
        <w:rPr>
          <w:rFonts w:ascii="Times New Roman" w:hAnsi="Times New Roman" w:cs="Times New Roman"/>
        </w:rPr>
        <w:t>color</w:t>
      </w:r>
      <w:r w:rsidR="00EE3550">
        <w:rPr>
          <w:rFonts w:ascii="Times New Roman" w:hAnsi="Times New Roman" w:cs="Times New Roman"/>
        </w:rPr>
        <w:t>[</w:t>
      </w:r>
      <w:proofErr w:type="gramEnd"/>
      <w:r w:rsidR="00EE3550">
        <w:rPr>
          <w:rFonts w:ascii="Times New Roman" w:hAnsi="Times New Roman" w:cs="Times New Roman"/>
        </w:rPr>
        <w:t>8]</w:t>
      </w:r>
      <w:r w:rsidRPr="00440DD4">
        <w:rPr>
          <w:rFonts w:ascii="Times New Roman" w:hAnsi="Times New Roman" w:cs="Times New Roman"/>
        </w:rPr>
        <w:t>.</w:t>
      </w:r>
    </w:p>
    <w:p w14:paraId="1462F055" w14:textId="1AE622A2"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From a physiological and genetic perspective, maize yield is a complex quantitative trait determined by plant growth capacity</w:t>
      </w:r>
      <w:r w:rsidR="00EE3550">
        <w:rPr>
          <w:rFonts w:ascii="Times New Roman" w:hAnsi="Times New Roman" w:cs="Times New Roman"/>
        </w:rPr>
        <w:t xml:space="preserve"> [9]</w:t>
      </w:r>
      <w:r w:rsidRPr="00440DD4">
        <w:rPr>
          <w:rFonts w:ascii="Times New Roman" w:hAnsi="Times New Roman" w:cs="Times New Roman"/>
        </w:rPr>
        <w:t>, photosynthetic efficiency, and the accumulation and partitioning of assimilates into the ear</w:t>
      </w:r>
      <w:r w:rsidR="00EE3550">
        <w:rPr>
          <w:rFonts w:ascii="Times New Roman" w:hAnsi="Times New Roman" w:cs="Times New Roman"/>
        </w:rPr>
        <w:t xml:space="preserve"> [10]</w:t>
      </w:r>
      <w:r w:rsidRPr="00440DD4">
        <w:rPr>
          <w:rFonts w:ascii="Times New Roman" w:hAnsi="Times New Roman" w:cs="Times New Roman"/>
        </w:rPr>
        <w:t>. Yield components such as ear length, ear diameter, number of kernel rows per ear, and kernel number per row play decisive roles in determining commercial productivity</w:t>
      </w:r>
      <w:r w:rsidR="00EE3550">
        <w:rPr>
          <w:rFonts w:ascii="Times New Roman" w:hAnsi="Times New Roman" w:cs="Times New Roman"/>
        </w:rPr>
        <w:t xml:space="preserve"> [11]</w:t>
      </w:r>
      <w:r w:rsidRPr="00440DD4">
        <w:rPr>
          <w:rFonts w:ascii="Times New Roman" w:hAnsi="Times New Roman" w:cs="Times New Roman"/>
        </w:rPr>
        <w:t>. In addition, morphological traits including plant height and ear height influence lodging resistance and adaptability to cultivation conditions</w:t>
      </w:r>
      <w:r w:rsidR="00EE3550">
        <w:rPr>
          <w:rFonts w:ascii="Times New Roman" w:hAnsi="Times New Roman" w:cs="Times New Roman"/>
        </w:rPr>
        <w:t xml:space="preserve"> [12]</w:t>
      </w:r>
      <w:r w:rsidRPr="00440DD4">
        <w:rPr>
          <w:rFonts w:ascii="Times New Roman" w:hAnsi="Times New Roman" w:cs="Times New Roman"/>
        </w:rPr>
        <w:t>. Therefore, comprehensive evaluation of growth traits together with yield components is essential in hybrid selection and breeding programs</w:t>
      </w:r>
      <w:r w:rsidR="00EE3550">
        <w:rPr>
          <w:rFonts w:ascii="Times New Roman" w:hAnsi="Times New Roman" w:cs="Times New Roman"/>
        </w:rPr>
        <w:t xml:space="preserve"> [13]</w:t>
      </w:r>
      <w:r w:rsidRPr="00440DD4">
        <w:rPr>
          <w:rFonts w:ascii="Times New Roman" w:hAnsi="Times New Roman" w:cs="Times New Roman"/>
        </w:rPr>
        <w:t>.</w:t>
      </w:r>
    </w:p>
    <w:p w14:paraId="32AAB603" w14:textId="3203FEF2"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lastRenderedPageBreak/>
        <w:t xml:space="preserve">In hybrid breeding, F1 combinations </w:t>
      </w:r>
      <w:proofErr w:type="gramStart"/>
      <w:r w:rsidRPr="00440DD4">
        <w:rPr>
          <w:rFonts w:ascii="Times New Roman" w:hAnsi="Times New Roman" w:cs="Times New Roman"/>
        </w:rPr>
        <w:t>are developed</w:t>
      </w:r>
      <w:proofErr w:type="gramEnd"/>
      <w:r w:rsidRPr="00440DD4">
        <w:rPr>
          <w:rFonts w:ascii="Times New Roman" w:hAnsi="Times New Roman" w:cs="Times New Roman"/>
        </w:rPr>
        <w:t xml:space="preserve"> to exploit </w:t>
      </w:r>
      <w:proofErr w:type="spellStart"/>
      <w:r w:rsidRPr="00440DD4">
        <w:rPr>
          <w:rFonts w:ascii="Times New Roman" w:hAnsi="Times New Roman" w:cs="Times New Roman"/>
        </w:rPr>
        <w:t>heterosis</w:t>
      </w:r>
      <w:proofErr w:type="spellEnd"/>
      <w:r w:rsidRPr="00440DD4">
        <w:rPr>
          <w:rFonts w:ascii="Times New Roman" w:hAnsi="Times New Roman" w:cs="Times New Roman"/>
        </w:rPr>
        <w:t xml:space="preserve"> for growth vigor and yield improvement</w:t>
      </w:r>
      <w:r w:rsidR="00EE3550">
        <w:rPr>
          <w:rFonts w:ascii="Times New Roman" w:hAnsi="Times New Roman" w:cs="Times New Roman"/>
        </w:rPr>
        <w:t xml:space="preserve"> [14]</w:t>
      </w:r>
      <w:r w:rsidRPr="00440DD4">
        <w:rPr>
          <w:rFonts w:ascii="Times New Roman" w:hAnsi="Times New Roman" w:cs="Times New Roman"/>
        </w:rPr>
        <w:t xml:space="preserve">. Nevertheless, not all hybrid combinations express stable </w:t>
      </w:r>
      <w:proofErr w:type="spellStart"/>
      <w:r w:rsidRPr="00440DD4">
        <w:rPr>
          <w:rFonts w:ascii="Times New Roman" w:hAnsi="Times New Roman" w:cs="Times New Roman"/>
        </w:rPr>
        <w:t>heterotic</w:t>
      </w:r>
      <w:proofErr w:type="spellEnd"/>
      <w:r w:rsidRPr="00440DD4">
        <w:rPr>
          <w:rFonts w:ascii="Times New Roman" w:hAnsi="Times New Roman" w:cs="Times New Roman"/>
        </w:rPr>
        <w:t xml:space="preserve"> performance across seasons and environments</w:t>
      </w:r>
      <w:r w:rsidR="00EE3550">
        <w:rPr>
          <w:rFonts w:ascii="Times New Roman" w:hAnsi="Times New Roman" w:cs="Times New Roman"/>
        </w:rPr>
        <w:t xml:space="preserve"> [15]</w:t>
      </w:r>
      <w:r w:rsidRPr="00440DD4">
        <w:rPr>
          <w:rFonts w:ascii="Times New Roman" w:hAnsi="Times New Roman" w:cs="Times New Roman"/>
        </w:rPr>
        <w:t>. Multi-season comparative trials are therefore necessary to assess the stability and adaptability of candidate hybrids</w:t>
      </w:r>
      <w:r w:rsidR="00EE3550">
        <w:rPr>
          <w:rFonts w:ascii="Times New Roman" w:hAnsi="Times New Roman" w:cs="Times New Roman"/>
        </w:rPr>
        <w:t xml:space="preserve"> [16]</w:t>
      </w:r>
      <w:r w:rsidRPr="00440DD4">
        <w:rPr>
          <w:rFonts w:ascii="Times New Roman" w:hAnsi="Times New Roman" w:cs="Times New Roman"/>
        </w:rPr>
        <w:t>. Statistical parameters such as analysis of variance (ANOVA), coefficient of variation (</w:t>
      </w:r>
      <w:proofErr w:type="gramStart"/>
      <w:r w:rsidRPr="00440DD4">
        <w:rPr>
          <w:rFonts w:ascii="Times New Roman" w:hAnsi="Times New Roman" w:cs="Times New Roman"/>
        </w:rPr>
        <w:t>CV%</w:t>
      </w:r>
      <w:proofErr w:type="gramEnd"/>
      <w:r w:rsidRPr="00440DD4">
        <w:rPr>
          <w:rFonts w:ascii="Times New Roman" w:hAnsi="Times New Roman" w:cs="Times New Roman"/>
        </w:rPr>
        <w:t xml:space="preserve">), and least significant difference (LSD) provide reliable tools to quantify differences among hybrids and </w:t>
      </w:r>
      <w:commentRangeStart w:id="2"/>
      <w:r w:rsidRPr="00440DD4">
        <w:rPr>
          <w:rFonts w:ascii="Times New Roman" w:hAnsi="Times New Roman" w:cs="Times New Roman"/>
        </w:rPr>
        <w:t>e</w:t>
      </w:r>
      <w:commentRangeEnd w:id="2"/>
      <w:r w:rsidR="00A057DD">
        <w:rPr>
          <w:rStyle w:val="ad"/>
        </w:rPr>
        <w:commentReference w:id="2"/>
      </w:r>
      <w:r w:rsidRPr="00440DD4">
        <w:rPr>
          <w:rFonts w:ascii="Times New Roman" w:hAnsi="Times New Roman" w:cs="Times New Roman"/>
        </w:rPr>
        <w:t>nhance the validity of conclusions</w:t>
      </w:r>
      <w:r w:rsidR="00EE3550">
        <w:rPr>
          <w:rFonts w:ascii="Times New Roman" w:hAnsi="Times New Roman" w:cs="Times New Roman"/>
        </w:rPr>
        <w:t xml:space="preserve"> [17]</w:t>
      </w:r>
      <w:r w:rsidRPr="00440DD4">
        <w:rPr>
          <w:rFonts w:ascii="Times New Roman" w:hAnsi="Times New Roman" w:cs="Times New Roman"/>
        </w:rPr>
        <w:t>.</w:t>
      </w:r>
    </w:p>
    <w:p w14:paraId="5A154F5B" w14:textId="68B93D0A"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Besides yield performance, eating quality is a critical determinant of market acceptance for waxy maize</w:t>
      </w:r>
      <w:r w:rsidR="00EE3550">
        <w:rPr>
          <w:rFonts w:ascii="Times New Roman" w:hAnsi="Times New Roman" w:cs="Times New Roman"/>
        </w:rPr>
        <w:t xml:space="preserve"> [18]</w:t>
      </w:r>
      <w:r w:rsidRPr="00440DD4">
        <w:rPr>
          <w:rFonts w:ascii="Times New Roman" w:hAnsi="Times New Roman" w:cs="Times New Roman"/>
        </w:rPr>
        <w:t>. Sensory evaluation commonly considers stickiness, sweetness, tenderness, flavor, and overall consumer preference</w:t>
      </w:r>
      <w:r w:rsidR="00EE3550">
        <w:rPr>
          <w:rFonts w:ascii="Times New Roman" w:hAnsi="Times New Roman" w:cs="Times New Roman"/>
        </w:rPr>
        <w:t xml:space="preserve"> [19]</w:t>
      </w:r>
      <w:r w:rsidRPr="00440DD4">
        <w:rPr>
          <w:rFonts w:ascii="Times New Roman" w:hAnsi="Times New Roman" w:cs="Times New Roman"/>
        </w:rPr>
        <w:t>. In many cases, hybrids with high yield but poor sensory quality fail to gain acceptance in commercial production</w:t>
      </w:r>
      <w:r w:rsidR="00EE3550">
        <w:rPr>
          <w:rFonts w:ascii="Times New Roman" w:hAnsi="Times New Roman" w:cs="Times New Roman"/>
        </w:rPr>
        <w:t xml:space="preserve"> [20]</w:t>
      </w:r>
      <w:r w:rsidRPr="00440DD4">
        <w:rPr>
          <w:rFonts w:ascii="Times New Roman" w:hAnsi="Times New Roman" w:cs="Times New Roman"/>
        </w:rPr>
        <w:t>. Consequently, integrating both agronomic performance and eating quality assessment represents a central strategy in modern waxy maize breeding</w:t>
      </w:r>
      <w:r w:rsidR="00EE3550">
        <w:rPr>
          <w:rFonts w:ascii="Times New Roman" w:hAnsi="Times New Roman" w:cs="Times New Roman"/>
        </w:rPr>
        <w:t xml:space="preserve"> [21]</w:t>
      </w:r>
      <w:r w:rsidRPr="00440DD4">
        <w:rPr>
          <w:rFonts w:ascii="Times New Roman" w:hAnsi="Times New Roman" w:cs="Times New Roman"/>
        </w:rPr>
        <w:t>.</w:t>
      </w:r>
    </w:p>
    <w:p w14:paraId="7E922DB9" w14:textId="00E64F1C" w:rsidR="00440DD4" w:rsidRPr="00440DD4" w:rsidRDefault="00440DD4" w:rsidP="0076130A">
      <w:pPr>
        <w:spacing w:after="0" w:line="288" w:lineRule="auto"/>
        <w:ind w:firstLine="720"/>
        <w:jc w:val="both"/>
        <w:rPr>
          <w:rFonts w:ascii="Times New Roman" w:hAnsi="Times New Roman" w:cs="Times New Roman"/>
        </w:rPr>
      </w:pPr>
      <w:r w:rsidRPr="00440DD4">
        <w:rPr>
          <w:rFonts w:ascii="Times New Roman" w:hAnsi="Times New Roman" w:cs="Times New Roman"/>
        </w:rPr>
        <w:t>Based on these considerations, the present study was conducted to evaluate eleven new waxy maize hybrid combinations in two cropping seasons</w:t>
      </w:r>
      <w:r w:rsidR="00EE3550">
        <w:rPr>
          <w:rFonts w:ascii="Times New Roman" w:hAnsi="Times New Roman" w:cs="Times New Roman"/>
        </w:rPr>
        <w:t xml:space="preserve"> [22]</w:t>
      </w:r>
      <w:r w:rsidRPr="00440DD4">
        <w:rPr>
          <w:rFonts w:ascii="Times New Roman" w:hAnsi="Times New Roman" w:cs="Times New Roman"/>
        </w:rPr>
        <w:t>, using HN68 as the control variety. The specific objectives were to (</w:t>
      </w:r>
      <w:proofErr w:type="spellStart"/>
      <w:r w:rsidRPr="00440DD4">
        <w:rPr>
          <w:rFonts w:ascii="Times New Roman" w:hAnsi="Times New Roman" w:cs="Times New Roman"/>
        </w:rPr>
        <w:t>i</w:t>
      </w:r>
      <w:proofErr w:type="spellEnd"/>
      <w:r w:rsidRPr="00440DD4">
        <w:rPr>
          <w:rFonts w:ascii="Times New Roman" w:hAnsi="Times New Roman" w:cs="Times New Roman"/>
        </w:rPr>
        <w:t xml:space="preserve">) analyze growth characteristics and harvesting time, (ii) assess yield components, fresh ear yield, and grain yield, (iii) determine statistically significant differences among hybrids, and </w:t>
      </w:r>
      <w:proofErr w:type="gramStart"/>
      <w:r w:rsidRPr="00440DD4">
        <w:rPr>
          <w:rFonts w:ascii="Times New Roman" w:hAnsi="Times New Roman" w:cs="Times New Roman"/>
        </w:rPr>
        <w:t>(iv) identify</w:t>
      </w:r>
      <w:proofErr w:type="gramEnd"/>
      <w:r w:rsidRPr="00440DD4">
        <w:rPr>
          <w:rFonts w:ascii="Times New Roman" w:hAnsi="Times New Roman" w:cs="Times New Roman"/>
        </w:rPr>
        <w:t xml:space="preserve"> promising hybrids with high yield potential, stability, and desirable eating quality for further large-scale production trials.</w:t>
      </w:r>
    </w:p>
    <w:p w14:paraId="7C6E21D1" w14:textId="77777777" w:rsidR="00440DD4" w:rsidRPr="00440DD4" w:rsidRDefault="00440DD4" w:rsidP="000A3D38">
      <w:pPr>
        <w:spacing w:after="0" w:line="288" w:lineRule="auto"/>
        <w:jc w:val="center"/>
        <w:rPr>
          <w:rFonts w:ascii="Times New Roman" w:hAnsi="Times New Roman" w:cs="Times New Roman"/>
          <w:b/>
          <w:bCs/>
        </w:rPr>
      </w:pPr>
      <w:r w:rsidRPr="00440DD4">
        <w:rPr>
          <w:rFonts w:ascii="Times New Roman" w:hAnsi="Times New Roman" w:cs="Times New Roman"/>
          <w:b/>
          <w:bCs/>
        </w:rPr>
        <w:t>2. MATERIALS AND METHODS</w:t>
      </w:r>
    </w:p>
    <w:p w14:paraId="281459C5" w14:textId="77777777" w:rsidR="00440DD4" w:rsidRPr="00440DD4" w:rsidRDefault="00440DD4" w:rsidP="00FD084F">
      <w:pPr>
        <w:spacing w:after="0" w:line="288" w:lineRule="auto"/>
        <w:jc w:val="both"/>
        <w:rPr>
          <w:rFonts w:ascii="Times New Roman" w:hAnsi="Times New Roman" w:cs="Times New Roman"/>
          <w:b/>
          <w:bCs/>
        </w:rPr>
      </w:pPr>
      <w:r w:rsidRPr="00440DD4">
        <w:rPr>
          <w:rFonts w:ascii="Times New Roman" w:hAnsi="Times New Roman" w:cs="Times New Roman"/>
          <w:b/>
          <w:bCs/>
        </w:rPr>
        <w:t>2.1. Plant Materials</w:t>
      </w:r>
    </w:p>
    <w:p w14:paraId="2FC4A45F"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The experimental materials consisted of eight highly inbred waxy maize lines (S ≥ 6), namely N7B, N15, N59, N27, D666, N02, N51, and N19. These lines were developed and maintained through continuous </w:t>
      </w:r>
      <w:proofErr w:type="spellStart"/>
      <w:r w:rsidRPr="00440DD4">
        <w:rPr>
          <w:rFonts w:ascii="Times New Roman" w:hAnsi="Times New Roman" w:cs="Times New Roman"/>
        </w:rPr>
        <w:t>selfing</w:t>
      </w:r>
      <w:proofErr w:type="spellEnd"/>
      <w:r w:rsidRPr="00440DD4">
        <w:rPr>
          <w:rFonts w:ascii="Times New Roman" w:hAnsi="Times New Roman" w:cs="Times New Roman"/>
        </w:rPr>
        <w:t xml:space="preserve"> and selection from a combination of local </w:t>
      </w:r>
      <w:proofErr w:type="spellStart"/>
      <w:r w:rsidRPr="00440DD4">
        <w:rPr>
          <w:rFonts w:ascii="Times New Roman" w:hAnsi="Times New Roman" w:cs="Times New Roman"/>
        </w:rPr>
        <w:t>germplasm</w:t>
      </w:r>
      <w:proofErr w:type="spellEnd"/>
      <w:r w:rsidRPr="00440DD4">
        <w:rPr>
          <w:rFonts w:ascii="Times New Roman" w:hAnsi="Times New Roman" w:cs="Times New Roman"/>
        </w:rPr>
        <w:t xml:space="preserve"> and introduced materials. All lines exhibited stable agronomic performance and clear genetic differentiation.</w:t>
      </w:r>
    </w:p>
    <w:p w14:paraId="25E2A721" w14:textId="77777777" w:rsid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From these inbred lines, eleven promising hybrid combinations </w:t>
      </w:r>
      <w:proofErr w:type="gramStart"/>
      <w:r w:rsidRPr="00440DD4">
        <w:rPr>
          <w:rFonts w:ascii="Times New Roman" w:hAnsi="Times New Roman" w:cs="Times New Roman"/>
        </w:rPr>
        <w:t>were developed</w:t>
      </w:r>
      <w:proofErr w:type="gramEnd"/>
      <w:r w:rsidRPr="00440DD4">
        <w:rPr>
          <w:rFonts w:ascii="Times New Roman" w:hAnsi="Times New Roman" w:cs="Times New Roman"/>
        </w:rPr>
        <w:t xml:space="preserve"> to evaluate combining ability and production potential, including:</w:t>
      </w:r>
    </w:p>
    <w:p w14:paraId="39D04EAE" w14:textId="77F64A54" w:rsidR="00313999" w:rsidRPr="00440DD4" w:rsidRDefault="00313999" w:rsidP="004E6BAD">
      <w:pPr>
        <w:spacing w:after="0" w:line="288" w:lineRule="auto"/>
        <w:ind w:firstLine="720"/>
        <w:jc w:val="both"/>
        <w:rPr>
          <w:rFonts w:ascii="Times New Roman" w:hAnsi="Times New Roman" w:cs="Times New Roman"/>
        </w:rPr>
      </w:pPr>
      <w:r>
        <w:rPr>
          <w:rFonts w:ascii="Times New Roman" w:hAnsi="Times New Roman" w:cs="Times New Roman"/>
        </w:rPr>
        <w:t xml:space="preserve">Chart 1: </w:t>
      </w:r>
      <w:r w:rsidR="00E379D6">
        <w:rPr>
          <w:rFonts w:ascii="Times New Roman" w:hAnsi="Times New Roman" w:cs="Times New Roman"/>
        </w:rPr>
        <w:t>E</w:t>
      </w:r>
      <w:r w:rsidR="00E379D6" w:rsidRPr="00440DD4">
        <w:rPr>
          <w:rFonts w:ascii="Times New Roman" w:hAnsi="Times New Roman" w:cs="Times New Roman"/>
        </w:rPr>
        <w:t xml:space="preserve">leven hybrid combinations </w:t>
      </w:r>
    </w:p>
    <w:tbl>
      <w:tblPr>
        <w:tblW w:w="9788" w:type="dxa"/>
        <w:tblLook w:val="04A0" w:firstRow="1" w:lastRow="0" w:firstColumn="1" w:lastColumn="0" w:noHBand="0" w:noVBand="1"/>
      </w:tblPr>
      <w:tblGrid>
        <w:gridCol w:w="2447"/>
        <w:gridCol w:w="2447"/>
        <w:gridCol w:w="2447"/>
        <w:gridCol w:w="2447"/>
      </w:tblGrid>
      <w:tr w:rsidR="00440DD4" w:rsidRPr="00311474" w14:paraId="7A802BD4" w14:textId="77777777" w:rsidTr="00577DAF">
        <w:trPr>
          <w:trHeight w:val="640"/>
        </w:trPr>
        <w:tc>
          <w:tcPr>
            <w:tcW w:w="2447" w:type="dxa"/>
            <w:tcBorders>
              <w:top w:val="single" w:sz="4" w:space="0" w:color="auto"/>
              <w:left w:val="single" w:sz="4" w:space="0" w:color="auto"/>
              <w:bottom w:val="single" w:sz="4" w:space="0" w:color="auto"/>
              <w:right w:val="single" w:sz="4" w:space="0" w:color="auto"/>
            </w:tcBorders>
            <w:vAlign w:val="center"/>
            <w:hideMark/>
          </w:tcPr>
          <w:p w14:paraId="2F672EE3" w14:textId="77777777" w:rsidR="00440DD4" w:rsidRPr="00CB2DB3"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N02 × N7B</w:t>
            </w:r>
          </w:p>
        </w:tc>
        <w:tc>
          <w:tcPr>
            <w:tcW w:w="2447" w:type="dxa"/>
            <w:tcBorders>
              <w:top w:val="single" w:sz="4" w:space="0" w:color="auto"/>
              <w:left w:val="nil"/>
              <w:bottom w:val="single" w:sz="4" w:space="0" w:color="auto"/>
              <w:right w:val="single" w:sz="4" w:space="0" w:color="auto"/>
            </w:tcBorders>
            <w:vAlign w:val="center"/>
            <w:hideMark/>
          </w:tcPr>
          <w:p w14:paraId="247E8C70" w14:textId="77777777" w:rsidR="00440DD4" w:rsidRPr="00CB2DB3"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N19 × N7B</w:t>
            </w:r>
          </w:p>
        </w:tc>
        <w:tc>
          <w:tcPr>
            <w:tcW w:w="2447" w:type="dxa"/>
            <w:tcBorders>
              <w:top w:val="single" w:sz="4" w:space="0" w:color="auto"/>
              <w:left w:val="nil"/>
              <w:bottom w:val="single" w:sz="4" w:space="0" w:color="auto"/>
              <w:right w:val="single" w:sz="4" w:space="0" w:color="auto"/>
            </w:tcBorders>
            <w:vAlign w:val="center"/>
            <w:hideMark/>
          </w:tcPr>
          <w:p w14:paraId="25DE7397" w14:textId="77777777" w:rsidR="00440DD4" w:rsidRPr="00CB2DB3"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N59 × N15</w:t>
            </w:r>
          </w:p>
        </w:tc>
        <w:tc>
          <w:tcPr>
            <w:tcW w:w="2447" w:type="dxa"/>
            <w:tcBorders>
              <w:top w:val="single" w:sz="4" w:space="0" w:color="auto"/>
              <w:left w:val="nil"/>
              <w:bottom w:val="single" w:sz="4" w:space="0" w:color="auto"/>
              <w:right w:val="single" w:sz="4" w:space="0" w:color="auto"/>
            </w:tcBorders>
            <w:vAlign w:val="center"/>
            <w:hideMark/>
          </w:tcPr>
          <w:p w14:paraId="62052598" w14:textId="77777777" w:rsidR="00440DD4" w:rsidRPr="00CB2DB3"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D666 × N15</w:t>
            </w:r>
          </w:p>
        </w:tc>
      </w:tr>
      <w:tr w:rsidR="00440DD4" w:rsidRPr="00311474" w14:paraId="3864391D" w14:textId="77777777" w:rsidTr="00577DAF">
        <w:trPr>
          <w:trHeight w:val="640"/>
        </w:trPr>
        <w:tc>
          <w:tcPr>
            <w:tcW w:w="2447" w:type="dxa"/>
            <w:tcBorders>
              <w:top w:val="nil"/>
              <w:left w:val="single" w:sz="4" w:space="0" w:color="auto"/>
              <w:bottom w:val="single" w:sz="4" w:space="0" w:color="auto"/>
              <w:right w:val="single" w:sz="4" w:space="0" w:color="auto"/>
            </w:tcBorders>
            <w:vAlign w:val="center"/>
            <w:hideMark/>
          </w:tcPr>
          <w:p w14:paraId="221E6EA3"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447" w:type="dxa"/>
            <w:tcBorders>
              <w:top w:val="nil"/>
              <w:left w:val="nil"/>
              <w:bottom w:val="single" w:sz="4" w:space="0" w:color="auto"/>
              <w:right w:val="single" w:sz="4" w:space="0" w:color="auto"/>
            </w:tcBorders>
            <w:vAlign w:val="center"/>
            <w:hideMark/>
          </w:tcPr>
          <w:p w14:paraId="04871831"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447" w:type="dxa"/>
            <w:tcBorders>
              <w:top w:val="nil"/>
              <w:left w:val="nil"/>
              <w:bottom w:val="single" w:sz="4" w:space="0" w:color="auto"/>
              <w:right w:val="single" w:sz="4" w:space="0" w:color="auto"/>
            </w:tcBorders>
            <w:vAlign w:val="center"/>
            <w:hideMark/>
          </w:tcPr>
          <w:p w14:paraId="4DB7D363"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447" w:type="dxa"/>
            <w:tcBorders>
              <w:top w:val="nil"/>
              <w:left w:val="nil"/>
              <w:bottom w:val="single" w:sz="4" w:space="0" w:color="auto"/>
              <w:right w:val="single" w:sz="4" w:space="0" w:color="auto"/>
            </w:tcBorders>
            <w:vAlign w:val="center"/>
            <w:hideMark/>
          </w:tcPr>
          <w:p w14:paraId="203550A9"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r>
      <w:tr w:rsidR="00440DD4" w:rsidRPr="00311474" w14:paraId="587D297A" w14:textId="77777777" w:rsidTr="00577DAF">
        <w:trPr>
          <w:trHeight w:val="640"/>
        </w:trPr>
        <w:tc>
          <w:tcPr>
            <w:tcW w:w="2447" w:type="dxa"/>
            <w:tcBorders>
              <w:top w:val="nil"/>
              <w:left w:val="single" w:sz="4" w:space="0" w:color="auto"/>
              <w:bottom w:val="single" w:sz="4" w:space="0" w:color="auto"/>
              <w:right w:val="single" w:sz="4" w:space="0" w:color="auto"/>
            </w:tcBorders>
            <w:vAlign w:val="center"/>
            <w:hideMark/>
          </w:tcPr>
          <w:p w14:paraId="77EFDF94"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447" w:type="dxa"/>
            <w:tcBorders>
              <w:top w:val="nil"/>
              <w:left w:val="nil"/>
              <w:bottom w:val="single" w:sz="4" w:space="0" w:color="auto"/>
              <w:right w:val="single" w:sz="4" w:space="0" w:color="auto"/>
            </w:tcBorders>
            <w:vAlign w:val="center"/>
            <w:hideMark/>
          </w:tcPr>
          <w:p w14:paraId="48612CFF"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447" w:type="dxa"/>
            <w:tcBorders>
              <w:top w:val="nil"/>
              <w:left w:val="nil"/>
              <w:bottom w:val="single" w:sz="4" w:space="0" w:color="auto"/>
              <w:right w:val="single" w:sz="4" w:space="0" w:color="auto"/>
            </w:tcBorders>
            <w:vAlign w:val="center"/>
            <w:hideMark/>
          </w:tcPr>
          <w:p w14:paraId="530812C5" w14:textId="77777777" w:rsidR="00440DD4" w:rsidRPr="00311474" w:rsidRDefault="00440DD4"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447" w:type="dxa"/>
            <w:tcBorders>
              <w:top w:val="nil"/>
              <w:left w:val="nil"/>
              <w:bottom w:val="single" w:sz="4" w:space="0" w:color="auto"/>
              <w:right w:val="single" w:sz="4" w:space="0" w:color="auto"/>
            </w:tcBorders>
            <w:vAlign w:val="center"/>
            <w:hideMark/>
          </w:tcPr>
          <w:p w14:paraId="77C4EB20" w14:textId="51C240FC" w:rsidR="00440DD4" w:rsidRPr="00311474" w:rsidRDefault="00CB2DB3" w:rsidP="00577DAF">
            <w:pPr>
              <w:spacing w:after="0" w:line="240" w:lineRule="auto"/>
              <w:jc w:val="center"/>
              <w:rPr>
                <w:rFonts w:ascii="Times New Roman" w:eastAsia="Times New Roman" w:hAnsi="Times New Roman" w:cs="Times New Roman"/>
                <w:color w:val="000000"/>
                <w:kern w:val="0"/>
                <w:sz w:val="22"/>
                <w:szCs w:val="22"/>
                <w14:ligatures w14:val="none"/>
              </w:rPr>
            </w:pPr>
            <w:r w:rsidRPr="00CB2DB3">
              <w:rPr>
                <w:rFonts w:ascii="Times New Roman" w:eastAsia="Times New Roman" w:hAnsi="Times New Roman" w:cs="Times New Roman"/>
                <w:color w:val="000000"/>
                <w:kern w:val="0"/>
                <w:sz w:val="22"/>
                <w:szCs w:val="22"/>
                <w14:ligatures w14:val="none"/>
              </w:rPr>
              <w:t>HN68 (control variety)</w:t>
            </w:r>
          </w:p>
        </w:tc>
      </w:tr>
    </w:tbl>
    <w:p w14:paraId="7941AC09"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 Research Methods</w:t>
      </w:r>
    </w:p>
    <w:p w14:paraId="6771DA6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2.2.1. Breeding Method and Combining Ability Analysis</w:t>
      </w:r>
    </w:p>
    <w:p w14:paraId="15D50C2C" w14:textId="77777777"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The inbred lines </w:t>
      </w:r>
      <w:proofErr w:type="gramStart"/>
      <w:r w:rsidRPr="00440DD4">
        <w:rPr>
          <w:rFonts w:ascii="Times New Roman" w:hAnsi="Times New Roman" w:cs="Times New Roman"/>
        </w:rPr>
        <w:t>were developed</w:t>
      </w:r>
      <w:proofErr w:type="gramEnd"/>
      <w:r w:rsidRPr="00440DD4">
        <w:rPr>
          <w:rFonts w:ascii="Times New Roman" w:hAnsi="Times New Roman" w:cs="Times New Roman"/>
        </w:rPr>
        <w:t xml:space="preserve"> using conventional breeding methods involving continuous self-pollination combined with half-sib selection. Eight S₆ inbred lines (N7B, N15, N59, N27, D666, N02, N51, and N19) </w:t>
      </w:r>
      <w:proofErr w:type="gramStart"/>
      <w:r w:rsidRPr="00440DD4">
        <w:rPr>
          <w:rFonts w:ascii="Times New Roman" w:hAnsi="Times New Roman" w:cs="Times New Roman"/>
        </w:rPr>
        <w:t>were used</w:t>
      </w:r>
      <w:proofErr w:type="gramEnd"/>
      <w:r w:rsidRPr="00440DD4">
        <w:rPr>
          <w:rFonts w:ascii="Times New Roman" w:hAnsi="Times New Roman" w:cs="Times New Roman"/>
        </w:rPr>
        <w:t xml:space="preserve"> as parental materials for hybridization.</w:t>
      </w:r>
    </w:p>
    <w:p w14:paraId="30DB063D" w14:textId="75F77A23" w:rsidR="00440DD4" w:rsidRPr="00440DD4" w:rsidRDefault="00440DD4" w:rsidP="004E6BAD">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Combining ability </w:t>
      </w:r>
      <w:proofErr w:type="gramStart"/>
      <w:r w:rsidRPr="00440DD4">
        <w:rPr>
          <w:rFonts w:ascii="Times New Roman" w:hAnsi="Times New Roman" w:cs="Times New Roman"/>
        </w:rPr>
        <w:t>was evaluated</w:t>
      </w:r>
      <w:proofErr w:type="gramEnd"/>
      <w:r w:rsidRPr="00440DD4">
        <w:rPr>
          <w:rFonts w:ascii="Times New Roman" w:hAnsi="Times New Roman" w:cs="Times New Roman"/>
        </w:rPr>
        <w:t xml:space="preserve"> using a </w:t>
      </w:r>
      <w:proofErr w:type="spellStart"/>
      <w:r w:rsidRPr="00440DD4">
        <w:rPr>
          <w:rFonts w:ascii="Times New Roman" w:hAnsi="Times New Roman" w:cs="Times New Roman"/>
        </w:rPr>
        <w:t>diallel</w:t>
      </w:r>
      <w:proofErr w:type="spellEnd"/>
      <w:r w:rsidRPr="00440DD4">
        <w:rPr>
          <w:rFonts w:ascii="Times New Roman" w:hAnsi="Times New Roman" w:cs="Times New Roman"/>
        </w:rPr>
        <w:t xml:space="preserve"> crossing scheme according to </w:t>
      </w:r>
      <w:proofErr w:type="spellStart"/>
      <w:r w:rsidRPr="00440DD4">
        <w:rPr>
          <w:rFonts w:ascii="Times New Roman" w:hAnsi="Times New Roman" w:cs="Times New Roman"/>
        </w:rPr>
        <w:t>Griffing’s</w:t>
      </w:r>
      <w:proofErr w:type="spellEnd"/>
      <w:r w:rsidRPr="00440DD4">
        <w:rPr>
          <w:rFonts w:ascii="Times New Roman" w:hAnsi="Times New Roman" w:cs="Times New Roman"/>
        </w:rPr>
        <w:t xml:space="preserve"> method IV (Model I) (</w:t>
      </w:r>
      <w:proofErr w:type="spellStart"/>
      <w:r w:rsidRPr="00440DD4">
        <w:rPr>
          <w:rFonts w:ascii="Times New Roman" w:hAnsi="Times New Roman" w:cs="Times New Roman"/>
        </w:rPr>
        <w:t>Griffing</w:t>
      </w:r>
      <w:proofErr w:type="spellEnd"/>
      <w:r w:rsidRPr="00440DD4">
        <w:rPr>
          <w:rFonts w:ascii="Times New Roman" w:hAnsi="Times New Roman" w:cs="Times New Roman"/>
        </w:rPr>
        <w:t>, 1956)</w:t>
      </w:r>
      <w:r w:rsidR="00EE3550">
        <w:rPr>
          <w:rFonts w:ascii="Times New Roman" w:hAnsi="Times New Roman" w:cs="Times New Roman"/>
        </w:rPr>
        <w:t xml:space="preserve"> [23]</w:t>
      </w:r>
      <w:r w:rsidRPr="00440DD4">
        <w:rPr>
          <w:rFonts w:ascii="Times New Roman" w:hAnsi="Times New Roman" w:cs="Times New Roman"/>
        </w:rPr>
        <w:t xml:space="preserve">. General combining ability (GCA) and specific combining ability (SCA) effects were estimated following the analytical procedures described by Ngo </w:t>
      </w:r>
      <w:proofErr w:type="spellStart"/>
      <w:r w:rsidRPr="00440DD4">
        <w:rPr>
          <w:rFonts w:ascii="Times New Roman" w:hAnsi="Times New Roman" w:cs="Times New Roman"/>
        </w:rPr>
        <w:t>Huu</w:t>
      </w:r>
      <w:proofErr w:type="spellEnd"/>
      <w:r w:rsidRPr="00440DD4">
        <w:rPr>
          <w:rFonts w:ascii="Times New Roman" w:hAnsi="Times New Roman" w:cs="Times New Roman"/>
        </w:rPr>
        <w:t xml:space="preserve"> </w:t>
      </w:r>
      <w:proofErr w:type="spellStart"/>
      <w:r w:rsidRPr="00440DD4">
        <w:rPr>
          <w:rFonts w:ascii="Times New Roman" w:hAnsi="Times New Roman" w:cs="Times New Roman"/>
        </w:rPr>
        <w:t>Tinh</w:t>
      </w:r>
      <w:proofErr w:type="spellEnd"/>
      <w:r w:rsidRPr="00440DD4">
        <w:rPr>
          <w:rFonts w:ascii="Times New Roman" w:hAnsi="Times New Roman" w:cs="Times New Roman"/>
        </w:rPr>
        <w:t xml:space="preserve"> and Nguyen </w:t>
      </w:r>
      <w:proofErr w:type="spellStart"/>
      <w:r w:rsidRPr="00440DD4">
        <w:rPr>
          <w:rFonts w:ascii="Times New Roman" w:hAnsi="Times New Roman" w:cs="Times New Roman"/>
        </w:rPr>
        <w:t>Dinh</w:t>
      </w:r>
      <w:proofErr w:type="spellEnd"/>
      <w:r w:rsidRPr="00440DD4">
        <w:rPr>
          <w:rFonts w:ascii="Times New Roman" w:hAnsi="Times New Roman" w:cs="Times New Roman"/>
        </w:rPr>
        <w:t xml:space="preserve"> </w:t>
      </w:r>
      <w:proofErr w:type="spellStart"/>
      <w:r w:rsidRPr="00440DD4">
        <w:rPr>
          <w:rFonts w:ascii="Times New Roman" w:hAnsi="Times New Roman" w:cs="Times New Roman"/>
        </w:rPr>
        <w:t>Hien</w:t>
      </w:r>
      <w:proofErr w:type="spellEnd"/>
      <w:r w:rsidRPr="00440DD4">
        <w:rPr>
          <w:rFonts w:ascii="Times New Roman" w:hAnsi="Times New Roman" w:cs="Times New Roman"/>
        </w:rPr>
        <w:t xml:space="preserve"> (1996)</w:t>
      </w:r>
      <w:r w:rsidR="00EE3550">
        <w:rPr>
          <w:rFonts w:ascii="Times New Roman" w:hAnsi="Times New Roman" w:cs="Times New Roman"/>
        </w:rPr>
        <w:t xml:space="preserve"> [24]</w:t>
      </w:r>
      <w:r w:rsidRPr="00440DD4">
        <w:rPr>
          <w:rFonts w:ascii="Times New Roman" w:hAnsi="Times New Roman" w:cs="Times New Roman"/>
        </w:rPr>
        <w:t>.</w:t>
      </w:r>
    </w:p>
    <w:p w14:paraId="5D8B1C0A"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lastRenderedPageBreak/>
        <w:t>2.2.2. Evaluation of Hybrid Combinations</w:t>
      </w:r>
    </w:p>
    <w:p w14:paraId="3CBF8938"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The hybrid combinations </w:t>
      </w:r>
      <w:proofErr w:type="gramStart"/>
      <w:r w:rsidRPr="00440DD4">
        <w:rPr>
          <w:rFonts w:ascii="Times New Roman" w:hAnsi="Times New Roman" w:cs="Times New Roman"/>
        </w:rPr>
        <w:t>were evaluated</w:t>
      </w:r>
      <w:proofErr w:type="gramEnd"/>
      <w:r w:rsidRPr="00440DD4">
        <w:rPr>
          <w:rFonts w:ascii="Times New Roman" w:hAnsi="Times New Roman" w:cs="Times New Roman"/>
        </w:rPr>
        <w:t xml:space="preserve"> in accordance with the Vietnamese National Standard TCVN 13381-2:2021 for testing the value for cultivation and use (VCU) of maize varieties.</w:t>
      </w:r>
    </w:p>
    <w:p w14:paraId="1AFFFE2A"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Design</w:t>
      </w:r>
    </w:p>
    <w:p w14:paraId="69C65C69"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The experiment </w:t>
      </w:r>
      <w:proofErr w:type="gramStart"/>
      <w:r w:rsidRPr="00440DD4">
        <w:rPr>
          <w:rFonts w:ascii="Times New Roman" w:hAnsi="Times New Roman" w:cs="Times New Roman"/>
        </w:rPr>
        <w:t>was arranged</w:t>
      </w:r>
      <w:proofErr w:type="gramEnd"/>
      <w:r w:rsidRPr="00440DD4">
        <w:rPr>
          <w:rFonts w:ascii="Times New Roman" w:hAnsi="Times New Roman" w:cs="Times New Roman"/>
        </w:rPr>
        <w:t xml:space="preserve"> in a randomized complete block design (RCBD) with three replications. Each experimental plot consisted of four rows, each containing 20 plants, with a row length of 5 m.</w:t>
      </w:r>
    </w:p>
    <w:p w14:paraId="79D4091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Planting Density and Spacing</w:t>
      </w:r>
    </w:p>
    <w:p w14:paraId="566E05EF" w14:textId="77777777" w:rsidR="00440DD4" w:rsidRPr="00440DD4" w:rsidRDefault="00440DD4" w:rsidP="00B34EBF">
      <w:pPr>
        <w:spacing w:after="0" w:line="288" w:lineRule="auto"/>
        <w:ind w:firstLine="720"/>
        <w:jc w:val="both"/>
        <w:rPr>
          <w:rFonts w:ascii="Times New Roman" w:hAnsi="Times New Roman" w:cs="Times New Roman"/>
        </w:rPr>
      </w:pPr>
      <w:r w:rsidRPr="00440DD4">
        <w:rPr>
          <w:rFonts w:ascii="Times New Roman" w:hAnsi="Times New Roman" w:cs="Times New Roman"/>
        </w:rPr>
        <w:t>The planting density was 57,000 plants ha⁻¹, with a spacing of 70 cm × 25 cm, one plant per hill.</w:t>
      </w:r>
    </w:p>
    <w:p w14:paraId="55E6736C"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Fertilizer Application (per hectare)</w:t>
      </w:r>
    </w:p>
    <w:p w14:paraId="5E641FE5" w14:textId="17B55D18" w:rsidR="00440DD4" w:rsidRPr="00440DD4" w:rsidRDefault="004E6BAD" w:rsidP="004E6BAD">
      <w:pPr>
        <w:spacing w:after="0" w:line="288" w:lineRule="auto"/>
        <w:ind w:left="720"/>
        <w:jc w:val="both"/>
        <w:rPr>
          <w:rFonts w:ascii="Times New Roman" w:hAnsi="Times New Roman" w:cs="Times New Roman"/>
        </w:rPr>
      </w:pPr>
      <w:r>
        <w:rPr>
          <w:rFonts w:ascii="Times New Roman" w:hAnsi="Times New Roman" w:cs="Times New Roman"/>
        </w:rPr>
        <w:t>-</w:t>
      </w:r>
      <w:r w:rsidR="00026179">
        <w:rPr>
          <w:rFonts w:ascii="Times New Roman" w:hAnsi="Times New Roman" w:cs="Times New Roman"/>
        </w:rPr>
        <w:t xml:space="preserve"> </w:t>
      </w:r>
      <w:r w:rsidR="00440DD4" w:rsidRPr="00440DD4">
        <w:rPr>
          <w:rFonts w:ascii="Times New Roman" w:hAnsi="Times New Roman" w:cs="Times New Roman"/>
        </w:rPr>
        <w:t xml:space="preserve">2.5 tons of Song </w:t>
      </w:r>
      <w:proofErr w:type="spellStart"/>
      <w:r w:rsidR="00440DD4" w:rsidRPr="00440DD4">
        <w:rPr>
          <w:rFonts w:ascii="Times New Roman" w:hAnsi="Times New Roman" w:cs="Times New Roman"/>
        </w:rPr>
        <w:t>Gianh</w:t>
      </w:r>
      <w:proofErr w:type="spellEnd"/>
      <w:r w:rsidR="00440DD4" w:rsidRPr="00440DD4">
        <w:rPr>
          <w:rFonts w:ascii="Times New Roman" w:hAnsi="Times New Roman" w:cs="Times New Roman"/>
        </w:rPr>
        <w:t xml:space="preserve"> bio-organic fertilizer</w:t>
      </w:r>
      <w:r w:rsidR="00026179">
        <w:rPr>
          <w:rFonts w:ascii="Times New Roman" w:hAnsi="Times New Roman" w:cs="Times New Roman"/>
        </w:rPr>
        <w:t xml:space="preserve">, </w:t>
      </w:r>
      <w:r w:rsidR="00440DD4" w:rsidRPr="00440DD4">
        <w:rPr>
          <w:rFonts w:ascii="Times New Roman" w:hAnsi="Times New Roman" w:cs="Times New Roman"/>
        </w:rPr>
        <w:t>150 kg N</w:t>
      </w:r>
      <w:r w:rsidR="00026179">
        <w:rPr>
          <w:rFonts w:ascii="Times New Roman" w:hAnsi="Times New Roman" w:cs="Times New Roman"/>
        </w:rPr>
        <w:t xml:space="preserve">, </w:t>
      </w:r>
      <w:r w:rsidR="00440DD4" w:rsidRPr="00440DD4">
        <w:rPr>
          <w:rFonts w:ascii="Times New Roman" w:hAnsi="Times New Roman" w:cs="Times New Roman"/>
        </w:rPr>
        <w:t>70 kg P₂O₅</w:t>
      </w:r>
      <w:r w:rsidR="00026179">
        <w:rPr>
          <w:rFonts w:ascii="Times New Roman" w:hAnsi="Times New Roman" w:cs="Times New Roman"/>
        </w:rPr>
        <w:t xml:space="preserve">, </w:t>
      </w:r>
      <w:r w:rsidR="00440DD4" w:rsidRPr="00440DD4">
        <w:rPr>
          <w:rFonts w:ascii="Times New Roman" w:hAnsi="Times New Roman" w:cs="Times New Roman"/>
        </w:rPr>
        <w:t>80 kg K₂O</w:t>
      </w:r>
    </w:p>
    <w:p w14:paraId="2836AADC" w14:textId="77777777" w:rsidR="00440DD4" w:rsidRPr="0084406C"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Observed Traits</w:t>
      </w:r>
    </w:p>
    <w:p w14:paraId="04288ED9" w14:textId="7EBD4AF8"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duration: Time from sowing to fresh ear harvest.</w:t>
      </w:r>
    </w:p>
    <w:p w14:paraId="22FCDDBF" w14:textId="649B2AB4"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Growth and morphological traits: Plant height, ear placement height, ear length, ear diameter, and husk cover tightness.</w:t>
      </w:r>
    </w:p>
    <w:p w14:paraId="59D3A3BB" w14:textId="44FFDB3C"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Major pest and disease incidence: Assessment of infection levels of stem borer, ear borer, sheath blight, southern leaf blight, stalk rot, and rust using a 1–5 rating scale.</w:t>
      </w:r>
    </w:p>
    <w:p w14:paraId="273D1161" w14:textId="2476C513"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Lodging resistance: Evaluation of root lodging and stalk lodging using a 1–5 rating scale.</w:t>
      </w:r>
    </w:p>
    <w:p w14:paraId="6CD084E9" w14:textId="0AAAFEDF"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Yield components: Number of effective ears per plant, number of kernel rows per ear, number of kernels per row, 1,000-kernel weight, percentage of Grade I ears (%), and fresh ear yield (t/ha).</w:t>
      </w:r>
    </w:p>
    <w:p w14:paraId="1687D436" w14:textId="71F6AE45" w:rsidR="00B52E90" w:rsidRPr="00B52E90" w:rsidRDefault="00B52E90" w:rsidP="00B52E90">
      <w:pPr>
        <w:spacing w:after="0" w:line="288" w:lineRule="auto"/>
        <w:ind w:firstLine="720"/>
        <w:jc w:val="both"/>
        <w:rPr>
          <w:rFonts w:ascii="Times New Roman" w:hAnsi="Times New Roman" w:cs="Times New Roman"/>
        </w:rPr>
      </w:pPr>
      <w:r>
        <w:rPr>
          <w:rFonts w:ascii="Times New Roman" w:hAnsi="Times New Roman" w:cs="Times New Roman"/>
        </w:rPr>
        <w:t xml:space="preserve">- </w:t>
      </w:r>
      <w:r w:rsidRPr="00B52E90">
        <w:rPr>
          <w:rFonts w:ascii="Times New Roman" w:hAnsi="Times New Roman" w:cs="Times New Roman"/>
        </w:rPr>
        <w:t>Fresh-eating quality: Sensory evaluation based on aroma, stickiness, sweetness, and flavor intensity using a 1–5 rating scale.</w:t>
      </w:r>
    </w:p>
    <w:p w14:paraId="018CBD0C"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2.2.3. Statistical Analysis</w:t>
      </w:r>
    </w:p>
    <w:p w14:paraId="0F3D307B"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Data </w:t>
      </w:r>
      <w:proofErr w:type="gramStart"/>
      <w:r w:rsidRPr="00440DD4">
        <w:rPr>
          <w:rFonts w:ascii="Times New Roman" w:hAnsi="Times New Roman" w:cs="Times New Roman"/>
        </w:rPr>
        <w:t>were subjected</w:t>
      </w:r>
      <w:proofErr w:type="gramEnd"/>
      <w:r w:rsidRPr="00440DD4">
        <w:rPr>
          <w:rFonts w:ascii="Times New Roman" w:hAnsi="Times New Roman" w:cs="Times New Roman"/>
        </w:rPr>
        <w:t xml:space="preserve"> to descriptive statistical analysis and analysis of variance (ANOVA) using Excel and </w:t>
      </w:r>
      <w:proofErr w:type="spellStart"/>
      <w:r w:rsidRPr="00440DD4">
        <w:rPr>
          <w:rFonts w:ascii="Times New Roman" w:hAnsi="Times New Roman" w:cs="Times New Roman"/>
        </w:rPr>
        <w:t>Statistix</w:t>
      </w:r>
      <w:proofErr w:type="spellEnd"/>
      <w:r w:rsidRPr="00440DD4">
        <w:rPr>
          <w:rFonts w:ascii="Times New Roman" w:hAnsi="Times New Roman" w:cs="Times New Roman"/>
        </w:rPr>
        <w:t xml:space="preserve"> 10 software.</w:t>
      </w:r>
    </w:p>
    <w:p w14:paraId="39799E3A"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General combining ability (GCA) and specific combining ability (SCA) effects </w:t>
      </w:r>
      <w:proofErr w:type="gramStart"/>
      <w:r w:rsidRPr="00440DD4">
        <w:rPr>
          <w:rFonts w:ascii="Times New Roman" w:hAnsi="Times New Roman" w:cs="Times New Roman"/>
        </w:rPr>
        <w:t>were analyzed</w:t>
      </w:r>
      <w:proofErr w:type="gramEnd"/>
      <w:r w:rsidRPr="00440DD4">
        <w:rPr>
          <w:rFonts w:ascii="Times New Roman" w:hAnsi="Times New Roman" w:cs="Times New Roman"/>
        </w:rPr>
        <w:t xml:space="preserve"> using the Line × Tester program following Nguyen </w:t>
      </w:r>
      <w:proofErr w:type="spellStart"/>
      <w:r w:rsidRPr="00440DD4">
        <w:rPr>
          <w:rFonts w:ascii="Times New Roman" w:hAnsi="Times New Roman" w:cs="Times New Roman"/>
        </w:rPr>
        <w:t>Dinh</w:t>
      </w:r>
      <w:proofErr w:type="spellEnd"/>
      <w:r w:rsidRPr="00440DD4">
        <w:rPr>
          <w:rFonts w:ascii="Times New Roman" w:hAnsi="Times New Roman" w:cs="Times New Roman"/>
        </w:rPr>
        <w:t xml:space="preserve"> </w:t>
      </w:r>
      <w:proofErr w:type="spellStart"/>
      <w:r w:rsidRPr="00440DD4">
        <w:rPr>
          <w:rFonts w:ascii="Times New Roman" w:hAnsi="Times New Roman" w:cs="Times New Roman"/>
        </w:rPr>
        <w:t>Hien</w:t>
      </w:r>
      <w:proofErr w:type="spellEnd"/>
      <w:r w:rsidRPr="00440DD4">
        <w:rPr>
          <w:rFonts w:ascii="Times New Roman" w:hAnsi="Times New Roman" w:cs="Times New Roman"/>
        </w:rPr>
        <w:t xml:space="preserve"> (1996).</w:t>
      </w:r>
    </w:p>
    <w:p w14:paraId="09B7D740" w14:textId="77777777" w:rsidR="00440DD4" w:rsidRPr="00440DD4" w:rsidRDefault="00440DD4" w:rsidP="0084406C">
      <w:pPr>
        <w:spacing w:after="0" w:line="288" w:lineRule="auto"/>
        <w:ind w:firstLine="720"/>
        <w:jc w:val="both"/>
        <w:rPr>
          <w:rFonts w:ascii="Times New Roman" w:hAnsi="Times New Roman" w:cs="Times New Roman"/>
        </w:rPr>
      </w:pPr>
      <w:r w:rsidRPr="00440DD4">
        <w:rPr>
          <w:rFonts w:ascii="Times New Roman" w:hAnsi="Times New Roman" w:cs="Times New Roman"/>
        </w:rPr>
        <w:t xml:space="preserve">Agronomic traits and yield data </w:t>
      </w:r>
      <w:proofErr w:type="gramStart"/>
      <w:r w:rsidRPr="00440DD4">
        <w:rPr>
          <w:rFonts w:ascii="Times New Roman" w:hAnsi="Times New Roman" w:cs="Times New Roman"/>
        </w:rPr>
        <w:t>were further analyzed</w:t>
      </w:r>
      <w:proofErr w:type="gramEnd"/>
      <w:r w:rsidRPr="00440DD4">
        <w:rPr>
          <w:rFonts w:ascii="Times New Roman" w:hAnsi="Times New Roman" w:cs="Times New Roman"/>
        </w:rPr>
        <w:t xml:space="preserve"> using SAS 9.2, R 4.1, IRRISTAT 5.0, and STATGRAPHICS/</w:t>
      </w:r>
      <w:proofErr w:type="spellStart"/>
      <w:r w:rsidRPr="00440DD4">
        <w:rPr>
          <w:rFonts w:ascii="Times New Roman" w:hAnsi="Times New Roman" w:cs="Times New Roman"/>
        </w:rPr>
        <w:t>Stath</w:t>
      </w:r>
      <w:proofErr w:type="spellEnd"/>
      <w:r w:rsidRPr="00440DD4">
        <w:rPr>
          <w:rFonts w:ascii="Times New Roman" w:hAnsi="Times New Roman" w:cs="Times New Roman"/>
        </w:rPr>
        <w:t xml:space="preserve"> 5.0. Mean comparisons were performed using the Least Significant Difference (LSD) test at the 5% probability level.</w:t>
      </w:r>
    </w:p>
    <w:p w14:paraId="05C07D34" w14:textId="77777777" w:rsidR="00440DD4" w:rsidRPr="00440DD4" w:rsidRDefault="00440DD4" w:rsidP="00413A51">
      <w:pPr>
        <w:spacing w:after="0" w:line="288" w:lineRule="auto"/>
        <w:jc w:val="both"/>
        <w:rPr>
          <w:rFonts w:ascii="Times New Roman" w:hAnsi="Times New Roman" w:cs="Times New Roman"/>
          <w:b/>
          <w:bCs/>
        </w:rPr>
      </w:pPr>
      <w:r w:rsidRPr="00440DD4">
        <w:rPr>
          <w:rFonts w:ascii="Times New Roman" w:hAnsi="Times New Roman" w:cs="Times New Roman"/>
          <w:b/>
          <w:bCs/>
        </w:rPr>
        <w:t>2.3. Location and Duration of the Study</w:t>
      </w:r>
    </w:p>
    <w:p w14:paraId="448FDFB9"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Experimental Sites</w:t>
      </w:r>
    </w:p>
    <w:p w14:paraId="5E86A003" w14:textId="2772E94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proofErr w:type="spellStart"/>
      <w:r w:rsidR="00440DD4" w:rsidRPr="00440DD4">
        <w:rPr>
          <w:rFonts w:ascii="Times New Roman" w:hAnsi="Times New Roman" w:cs="Times New Roman"/>
        </w:rPr>
        <w:t>Tho</w:t>
      </w:r>
      <w:proofErr w:type="spellEnd"/>
      <w:r w:rsidR="00440DD4" w:rsidRPr="00440DD4">
        <w:rPr>
          <w:rFonts w:ascii="Times New Roman" w:hAnsi="Times New Roman" w:cs="Times New Roman"/>
        </w:rPr>
        <w:t xml:space="preserve"> </w:t>
      </w:r>
      <w:proofErr w:type="spellStart"/>
      <w:r w:rsidR="00440DD4" w:rsidRPr="00440DD4">
        <w:rPr>
          <w:rFonts w:ascii="Times New Roman" w:hAnsi="Times New Roman" w:cs="Times New Roman"/>
        </w:rPr>
        <w:t>Xuan</w:t>
      </w:r>
      <w:proofErr w:type="spellEnd"/>
      <w:r w:rsidR="00440DD4" w:rsidRPr="00440DD4">
        <w:rPr>
          <w:rFonts w:ascii="Times New Roman" w:hAnsi="Times New Roman" w:cs="Times New Roman"/>
        </w:rPr>
        <w:t xml:space="preserve"> Crop Research, Testing and Service Center, </w:t>
      </w:r>
      <w:proofErr w:type="spellStart"/>
      <w:r w:rsidR="00440DD4" w:rsidRPr="00440DD4">
        <w:rPr>
          <w:rFonts w:ascii="Times New Roman" w:hAnsi="Times New Roman" w:cs="Times New Roman"/>
        </w:rPr>
        <w:t>Thanh</w:t>
      </w:r>
      <w:proofErr w:type="spellEnd"/>
      <w:r w:rsidR="00440DD4" w:rsidRPr="00440DD4">
        <w:rPr>
          <w:rFonts w:ascii="Times New Roman" w:hAnsi="Times New Roman" w:cs="Times New Roman"/>
        </w:rPr>
        <w:t xml:space="preserve">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Province</w:t>
      </w:r>
    </w:p>
    <w:p w14:paraId="6DB56AD4" w14:textId="3631B9AB"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proofErr w:type="spellStart"/>
      <w:r w:rsidR="00440DD4" w:rsidRPr="00440DD4">
        <w:rPr>
          <w:rFonts w:ascii="Times New Roman" w:hAnsi="Times New Roman" w:cs="Times New Roman"/>
        </w:rPr>
        <w:t>Tu</w:t>
      </w:r>
      <w:proofErr w:type="spellEnd"/>
      <w:r w:rsidR="00440DD4" w:rsidRPr="00440DD4">
        <w:rPr>
          <w:rFonts w:ascii="Times New Roman" w:hAnsi="Times New Roman" w:cs="Times New Roman"/>
        </w:rPr>
        <w:t xml:space="preserve"> </w:t>
      </w:r>
      <w:proofErr w:type="spellStart"/>
      <w:r w:rsidR="00440DD4" w:rsidRPr="00440DD4">
        <w:rPr>
          <w:rFonts w:ascii="Times New Roman" w:hAnsi="Times New Roman" w:cs="Times New Roman"/>
        </w:rPr>
        <w:t>Luyen</w:t>
      </w:r>
      <w:proofErr w:type="spellEnd"/>
      <w:r w:rsidR="00440DD4" w:rsidRPr="00440DD4">
        <w:rPr>
          <w:rFonts w:ascii="Times New Roman" w:hAnsi="Times New Roman" w:cs="Times New Roman"/>
        </w:rPr>
        <w:t xml:space="preserve"> Hamlet, Hoang Dao Commune, Hoang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District, </w:t>
      </w:r>
      <w:proofErr w:type="spellStart"/>
      <w:r w:rsidR="00440DD4" w:rsidRPr="00440DD4">
        <w:rPr>
          <w:rFonts w:ascii="Times New Roman" w:hAnsi="Times New Roman" w:cs="Times New Roman"/>
        </w:rPr>
        <w:t>Thanh</w:t>
      </w:r>
      <w:proofErr w:type="spellEnd"/>
      <w:r w:rsidR="00440DD4" w:rsidRPr="00440DD4">
        <w:rPr>
          <w:rFonts w:ascii="Times New Roman" w:hAnsi="Times New Roman" w:cs="Times New Roman"/>
        </w:rPr>
        <w:t xml:space="preserve"> </w:t>
      </w:r>
      <w:proofErr w:type="spellStart"/>
      <w:r w:rsidR="00440DD4" w:rsidRPr="00440DD4">
        <w:rPr>
          <w:rFonts w:ascii="Times New Roman" w:hAnsi="Times New Roman" w:cs="Times New Roman"/>
        </w:rPr>
        <w:t>Hoa</w:t>
      </w:r>
      <w:proofErr w:type="spellEnd"/>
      <w:r w:rsidR="00440DD4" w:rsidRPr="00440DD4">
        <w:rPr>
          <w:rFonts w:ascii="Times New Roman" w:hAnsi="Times New Roman" w:cs="Times New Roman"/>
        </w:rPr>
        <w:t xml:space="preserve"> Province, Vietnam</w:t>
      </w:r>
    </w:p>
    <w:p w14:paraId="63D03BC1" w14:textId="77777777" w:rsidR="00440DD4" w:rsidRPr="00440DD4" w:rsidRDefault="00440DD4" w:rsidP="00413A51">
      <w:pPr>
        <w:spacing w:after="0" w:line="288" w:lineRule="auto"/>
        <w:jc w:val="both"/>
        <w:rPr>
          <w:rFonts w:ascii="Times New Roman" w:hAnsi="Times New Roman" w:cs="Times New Roman"/>
          <w:b/>
          <w:bCs/>
          <w:i/>
          <w:iCs/>
        </w:rPr>
      </w:pPr>
      <w:r w:rsidRPr="00440DD4">
        <w:rPr>
          <w:rFonts w:ascii="Times New Roman" w:hAnsi="Times New Roman" w:cs="Times New Roman"/>
          <w:b/>
          <w:bCs/>
          <w:i/>
          <w:iCs/>
        </w:rPr>
        <w:t>Cropping Seasons and Timeline</w:t>
      </w:r>
    </w:p>
    <w:p w14:paraId="469134F4" w14:textId="7787679F"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2023: Sowing on 10 September 2023; fresh ear harvest on 21 November 2023</w:t>
      </w:r>
    </w:p>
    <w:p w14:paraId="4BA94650" w14:textId="1908926D" w:rsidR="00440DD4" w:rsidRP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Spring 2024: Sowing on 6 March 2024; fresh ear harvest on 22 May 2024</w:t>
      </w:r>
    </w:p>
    <w:p w14:paraId="37FB4474" w14:textId="77EDC24A" w:rsidR="00440DD4" w:rsidRDefault="00F965F4" w:rsidP="00F965F4">
      <w:pPr>
        <w:spacing w:after="0" w:line="288" w:lineRule="auto"/>
        <w:ind w:left="720"/>
        <w:jc w:val="both"/>
        <w:rPr>
          <w:rFonts w:ascii="Times New Roman" w:hAnsi="Times New Roman" w:cs="Times New Roman"/>
        </w:rPr>
      </w:pPr>
      <w:r>
        <w:rPr>
          <w:rFonts w:ascii="Times New Roman" w:hAnsi="Times New Roman" w:cs="Times New Roman"/>
        </w:rPr>
        <w:t xml:space="preserve">- </w:t>
      </w:r>
      <w:r w:rsidR="00440DD4" w:rsidRPr="00440DD4">
        <w:rPr>
          <w:rFonts w:ascii="Times New Roman" w:hAnsi="Times New Roman" w:cs="Times New Roman"/>
        </w:rPr>
        <w:t>Winter 2024: Sowing on 12 September 2024; fresh ear harvest on 24 November 2024</w:t>
      </w:r>
    </w:p>
    <w:p w14:paraId="44C73867" w14:textId="77777777" w:rsidR="00DB7A96" w:rsidRPr="00440DD4" w:rsidRDefault="00DB7A96" w:rsidP="00263DE0">
      <w:pPr>
        <w:spacing w:after="0" w:line="288" w:lineRule="auto"/>
        <w:jc w:val="both"/>
        <w:rPr>
          <w:rFonts w:ascii="Times New Roman" w:hAnsi="Times New Roman" w:cs="Times New Roman"/>
        </w:rPr>
      </w:pPr>
    </w:p>
    <w:p w14:paraId="6F10BC37" w14:textId="0FECC9F1" w:rsidR="00553A80" w:rsidRDefault="000A3D38" w:rsidP="00263DE0">
      <w:pPr>
        <w:pStyle w:val="a6"/>
        <w:spacing w:after="0" w:line="288" w:lineRule="auto"/>
        <w:ind w:left="0"/>
        <w:jc w:val="center"/>
        <w:rPr>
          <w:rFonts w:ascii="Times New Roman" w:hAnsi="Times New Roman" w:cs="Times New Roman"/>
          <w:b/>
          <w:bCs/>
        </w:rPr>
      </w:pPr>
      <w:r>
        <w:rPr>
          <w:rFonts w:ascii="Times New Roman" w:hAnsi="Times New Roman" w:cs="Times New Roman"/>
          <w:b/>
          <w:bCs/>
        </w:rPr>
        <w:t xml:space="preserve">3. </w:t>
      </w:r>
      <w:r w:rsidR="00553A80" w:rsidRPr="00553A80">
        <w:rPr>
          <w:rFonts w:ascii="Times New Roman" w:hAnsi="Times New Roman" w:cs="Times New Roman"/>
          <w:b/>
          <w:bCs/>
        </w:rPr>
        <w:t>RESULTS AND DISCUSSION</w:t>
      </w:r>
    </w:p>
    <w:p w14:paraId="106284C0" w14:textId="77777777" w:rsidR="005D797A" w:rsidRDefault="005D797A" w:rsidP="00263DE0">
      <w:pPr>
        <w:pStyle w:val="a6"/>
        <w:spacing w:after="0" w:line="288" w:lineRule="auto"/>
        <w:ind w:left="0"/>
        <w:jc w:val="center"/>
        <w:rPr>
          <w:rFonts w:ascii="Times New Roman" w:hAnsi="Times New Roman" w:cs="Times New Roman"/>
          <w:b/>
          <w:bCs/>
        </w:rPr>
      </w:pPr>
    </w:p>
    <w:p w14:paraId="70116DDB" w14:textId="4FF815A7" w:rsidR="00553A80" w:rsidRPr="00553A80" w:rsidRDefault="00553A80" w:rsidP="00263DE0">
      <w:pPr>
        <w:pStyle w:val="a6"/>
        <w:spacing w:after="0" w:line="288" w:lineRule="auto"/>
        <w:ind w:left="0"/>
        <w:jc w:val="center"/>
        <w:rPr>
          <w:rFonts w:ascii="Times New Roman" w:hAnsi="Times New Roman" w:cs="Times New Roman"/>
          <w:b/>
          <w:bCs/>
        </w:rPr>
      </w:pPr>
      <w:r w:rsidRPr="00553A80">
        <w:rPr>
          <w:rFonts w:ascii="Times New Roman" w:hAnsi="Times New Roman" w:cs="Times New Roman"/>
          <w:b/>
          <w:bCs/>
        </w:rPr>
        <w:t xml:space="preserve">Table 1. Combined ANOVA </w:t>
      </w:r>
      <w:r>
        <w:rPr>
          <w:rFonts w:ascii="Times New Roman" w:hAnsi="Times New Roman" w:cs="Times New Roman"/>
          <w:b/>
          <w:bCs/>
        </w:rPr>
        <w:t>s</w:t>
      </w:r>
      <w:r w:rsidRPr="00553A80">
        <w:rPr>
          <w:rFonts w:ascii="Times New Roman" w:hAnsi="Times New Roman" w:cs="Times New Roman"/>
          <w:b/>
          <w:bCs/>
        </w:rPr>
        <w:t xml:space="preserve">ummary </w:t>
      </w:r>
      <w:r>
        <w:rPr>
          <w:rFonts w:ascii="Times New Roman" w:hAnsi="Times New Roman" w:cs="Times New Roman"/>
          <w:b/>
          <w:bCs/>
        </w:rPr>
        <w:t>t</w:t>
      </w:r>
      <w:r w:rsidRPr="00553A80">
        <w:rPr>
          <w:rFonts w:ascii="Times New Roman" w:hAnsi="Times New Roman" w:cs="Times New Roman"/>
          <w:b/>
          <w:bCs/>
        </w:rPr>
        <w:t>able</w:t>
      </w:r>
    </w:p>
    <w:tbl>
      <w:tblPr>
        <w:tblW w:w="10697" w:type="dxa"/>
        <w:tblInd w:w="-431" w:type="dxa"/>
        <w:tblLook w:val="04A0" w:firstRow="1" w:lastRow="0" w:firstColumn="1" w:lastColumn="0" w:noHBand="0" w:noVBand="1"/>
      </w:tblPr>
      <w:tblGrid>
        <w:gridCol w:w="1844"/>
        <w:gridCol w:w="709"/>
        <w:gridCol w:w="1255"/>
        <w:gridCol w:w="1132"/>
        <w:gridCol w:w="1132"/>
        <w:gridCol w:w="1132"/>
        <w:gridCol w:w="1124"/>
        <w:gridCol w:w="1125"/>
        <w:gridCol w:w="1244"/>
      </w:tblGrid>
      <w:tr w:rsidR="00E46BF4" w:rsidRPr="00E46BF4" w14:paraId="43EF90A6" w14:textId="77777777" w:rsidTr="005D797A">
        <w:trPr>
          <w:trHeight w:val="607"/>
        </w:trPr>
        <w:tc>
          <w:tcPr>
            <w:tcW w:w="1844" w:type="dxa"/>
            <w:tcBorders>
              <w:top w:val="single" w:sz="4" w:space="0" w:color="auto"/>
              <w:left w:val="single" w:sz="4" w:space="0" w:color="auto"/>
              <w:bottom w:val="single" w:sz="4" w:space="0" w:color="auto"/>
              <w:right w:val="single" w:sz="4" w:space="0" w:color="auto"/>
            </w:tcBorders>
            <w:vAlign w:val="center"/>
            <w:hideMark/>
          </w:tcPr>
          <w:p w14:paraId="64DC4633" w14:textId="6FBB4A9F"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Source of variation</w:t>
            </w:r>
          </w:p>
        </w:tc>
        <w:tc>
          <w:tcPr>
            <w:tcW w:w="709" w:type="dxa"/>
            <w:tcBorders>
              <w:top w:val="single" w:sz="4" w:space="0" w:color="auto"/>
              <w:left w:val="nil"/>
              <w:bottom w:val="single" w:sz="4" w:space="0" w:color="auto"/>
              <w:right w:val="single" w:sz="4" w:space="0" w:color="auto"/>
            </w:tcBorders>
            <w:vAlign w:val="center"/>
            <w:hideMark/>
          </w:tcPr>
          <w:p w14:paraId="717E089D" w14:textId="77777777" w:rsidR="009F099A" w:rsidRPr="00E46BF4" w:rsidRDefault="009F099A" w:rsidP="00577DAF">
            <w:pPr>
              <w:spacing w:after="0" w:line="240" w:lineRule="auto"/>
              <w:jc w:val="center"/>
              <w:rPr>
                <w:rFonts w:ascii="Times New Roman" w:eastAsia="Times New Roman" w:hAnsi="Times New Roman" w:cs="Times New Roman"/>
                <w:b/>
                <w:bCs/>
                <w:color w:val="000000"/>
                <w:kern w:val="0"/>
                <w:sz w:val="20"/>
                <w:szCs w:val="20"/>
                <w14:ligatures w14:val="none"/>
              </w:rPr>
            </w:pPr>
            <w:proofErr w:type="spellStart"/>
            <w:r w:rsidRPr="00E46BF4">
              <w:rPr>
                <w:rFonts w:ascii="Times New Roman" w:eastAsia="Times New Roman" w:hAnsi="Times New Roman" w:cs="Times New Roman"/>
                <w:b/>
                <w:bCs/>
                <w:color w:val="000000"/>
                <w:kern w:val="0"/>
                <w:sz w:val="20"/>
                <w:szCs w:val="20"/>
                <w14:ligatures w14:val="none"/>
              </w:rPr>
              <w:t>df</w:t>
            </w:r>
            <w:proofErr w:type="spellEnd"/>
          </w:p>
        </w:tc>
        <w:tc>
          <w:tcPr>
            <w:tcW w:w="1255" w:type="dxa"/>
            <w:tcBorders>
              <w:top w:val="single" w:sz="4" w:space="0" w:color="auto"/>
              <w:left w:val="nil"/>
              <w:bottom w:val="single" w:sz="4" w:space="0" w:color="auto"/>
              <w:right w:val="single" w:sz="4" w:space="0" w:color="auto"/>
            </w:tcBorders>
            <w:vAlign w:val="center"/>
            <w:hideMark/>
          </w:tcPr>
          <w:p w14:paraId="0B1D5311" w14:textId="70233653"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7F087988" w14:textId="123EB95E"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5D797A">
              <w:rPr>
                <w:rFonts w:ascii="Times New Roman" w:eastAsia="Times New Roman" w:hAnsi="Times New Roman" w:cs="Times New Roman"/>
                <w:b/>
                <w:bCs/>
                <w:color w:val="000000"/>
                <w:kern w:val="0"/>
                <w:sz w:val="20"/>
                <w:szCs w:val="20"/>
                <w14:ligatures w14:val="none"/>
              </w:rPr>
              <w:t>MS (Spring 2024)</w:t>
            </w:r>
          </w:p>
        </w:tc>
        <w:tc>
          <w:tcPr>
            <w:tcW w:w="1132" w:type="dxa"/>
            <w:tcBorders>
              <w:top w:val="single" w:sz="4" w:space="0" w:color="auto"/>
              <w:left w:val="nil"/>
              <w:bottom w:val="single" w:sz="4" w:space="0" w:color="auto"/>
              <w:right w:val="single" w:sz="4" w:space="0" w:color="auto"/>
            </w:tcBorders>
            <w:vAlign w:val="center"/>
            <w:hideMark/>
          </w:tcPr>
          <w:p w14:paraId="032B45C1" w14:textId="0384CEFB"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(Winter 2023</w:t>
            </w:r>
            <w:r>
              <w:rPr>
                <w:rFonts w:ascii="Times New Roman" w:eastAsia="Times New Roman" w:hAnsi="Times New Roman" w:cs="Times New Roman"/>
                <w:b/>
                <w:bCs/>
                <w:color w:val="000000"/>
                <w:kern w:val="0"/>
                <w:sz w:val="20"/>
                <w:szCs w:val="20"/>
                <w14:ligatures w14:val="none"/>
              </w:rPr>
              <w:t>)</w:t>
            </w:r>
          </w:p>
        </w:tc>
        <w:tc>
          <w:tcPr>
            <w:tcW w:w="1132" w:type="dxa"/>
            <w:tcBorders>
              <w:top w:val="single" w:sz="4" w:space="0" w:color="auto"/>
              <w:left w:val="nil"/>
              <w:bottom w:val="single" w:sz="4" w:space="0" w:color="auto"/>
              <w:right w:val="single" w:sz="4" w:space="0" w:color="auto"/>
            </w:tcBorders>
            <w:vAlign w:val="center"/>
            <w:hideMark/>
          </w:tcPr>
          <w:p w14:paraId="2E1FAD98" w14:textId="13CF686E"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 xml:space="preserve">F </w:t>
            </w:r>
            <w:r w:rsidRPr="005D797A">
              <w:rPr>
                <w:rFonts w:ascii="Times New Roman" w:eastAsia="Times New Roman" w:hAnsi="Times New Roman" w:cs="Times New Roman"/>
                <w:b/>
                <w:bCs/>
                <w:color w:val="000000"/>
                <w:kern w:val="0"/>
                <w:sz w:val="20"/>
                <w:szCs w:val="20"/>
                <w14:ligatures w14:val="none"/>
              </w:rPr>
              <w:t>(Spring 2024)</w:t>
            </w:r>
          </w:p>
        </w:tc>
        <w:tc>
          <w:tcPr>
            <w:tcW w:w="1124" w:type="dxa"/>
            <w:tcBorders>
              <w:top w:val="single" w:sz="4" w:space="0" w:color="auto"/>
              <w:left w:val="nil"/>
              <w:bottom w:val="single" w:sz="4" w:space="0" w:color="auto"/>
              <w:right w:val="single" w:sz="4" w:space="0" w:color="auto"/>
            </w:tcBorders>
            <w:vAlign w:val="center"/>
            <w:hideMark/>
          </w:tcPr>
          <w:p w14:paraId="105367B5" w14:textId="1EC629F2"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(Winter 2023</w:t>
            </w:r>
            <w:r>
              <w:rPr>
                <w:rFonts w:ascii="Times New Roman" w:eastAsia="Times New Roman" w:hAnsi="Times New Roman" w:cs="Times New Roman"/>
                <w:b/>
                <w:bCs/>
                <w:color w:val="000000"/>
                <w:kern w:val="0"/>
                <w:sz w:val="20"/>
                <w:szCs w:val="20"/>
                <w14:ligatures w14:val="none"/>
              </w:rPr>
              <w:t>)</w:t>
            </w:r>
          </w:p>
        </w:tc>
        <w:tc>
          <w:tcPr>
            <w:tcW w:w="1125" w:type="dxa"/>
            <w:tcBorders>
              <w:top w:val="single" w:sz="4" w:space="0" w:color="auto"/>
              <w:left w:val="nil"/>
              <w:bottom w:val="single" w:sz="4" w:space="0" w:color="auto"/>
              <w:right w:val="single" w:sz="4" w:space="0" w:color="auto"/>
            </w:tcBorders>
            <w:vAlign w:val="center"/>
            <w:hideMark/>
          </w:tcPr>
          <w:p w14:paraId="6ABE39CE" w14:textId="57A5F1ED" w:rsidR="009F099A" w:rsidRPr="00E46BF4" w:rsidRDefault="005D797A" w:rsidP="00577DAF">
            <w:pPr>
              <w:spacing w:after="0" w:line="240" w:lineRule="auto"/>
              <w:jc w:val="center"/>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P</w:t>
            </w:r>
            <w:r w:rsidRPr="005D797A">
              <w:rPr>
                <w:rFonts w:ascii="Times New Roman" w:eastAsia="Times New Roman" w:hAnsi="Times New Roman" w:cs="Times New Roman"/>
                <w:b/>
                <w:bCs/>
                <w:color w:val="000000"/>
                <w:kern w:val="0"/>
                <w:sz w:val="20"/>
                <w:szCs w:val="20"/>
                <w14:ligatures w14:val="none"/>
              </w:rPr>
              <w:t xml:space="preserve"> (Spring 2024)</w:t>
            </w:r>
          </w:p>
        </w:tc>
        <w:tc>
          <w:tcPr>
            <w:tcW w:w="1244" w:type="dxa"/>
            <w:tcBorders>
              <w:top w:val="single" w:sz="4" w:space="0" w:color="auto"/>
              <w:left w:val="nil"/>
              <w:bottom w:val="single" w:sz="4" w:space="0" w:color="auto"/>
              <w:right w:val="single" w:sz="4" w:space="0" w:color="auto"/>
            </w:tcBorders>
            <w:vAlign w:val="center"/>
            <w:hideMark/>
          </w:tcPr>
          <w:p w14:paraId="1EBC96BD" w14:textId="77777777" w:rsidR="009F099A" w:rsidRPr="00E46BF4" w:rsidRDefault="009F099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GCA/SCA</w:t>
            </w:r>
          </w:p>
        </w:tc>
      </w:tr>
      <w:tr w:rsidR="00E46BF4" w:rsidRPr="00E46BF4" w14:paraId="31614C08"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88D0ECA" w14:textId="0AE8AFF6" w:rsidR="009F099A" w:rsidRPr="00E46BF4" w:rsidRDefault="008F00BF"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Replication</w:t>
            </w:r>
          </w:p>
        </w:tc>
        <w:tc>
          <w:tcPr>
            <w:tcW w:w="709" w:type="dxa"/>
            <w:tcBorders>
              <w:top w:val="nil"/>
              <w:left w:val="nil"/>
              <w:bottom w:val="single" w:sz="4" w:space="0" w:color="auto"/>
              <w:right w:val="single" w:sz="4" w:space="0" w:color="auto"/>
            </w:tcBorders>
            <w:vAlign w:val="center"/>
            <w:hideMark/>
          </w:tcPr>
          <w:p w14:paraId="367D3719"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w:t>
            </w:r>
          </w:p>
        </w:tc>
        <w:tc>
          <w:tcPr>
            <w:tcW w:w="1255" w:type="dxa"/>
            <w:tcBorders>
              <w:top w:val="nil"/>
              <w:left w:val="nil"/>
              <w:bottom w:val="single" w:sz="4" w:space="0" w:color="auto"/>
              <w:right w:val="single" w:sz="4" w:space="0" w:color="auto"/>
            </w:tcBorders>
            <w:vAlign w:val="center"/>
            <w:hideMark/>
          </w:tcPr>
          <w:p w14:paraId="7CB77A24"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0.335</w:t>
            </w:r>
          </w:p>
        </w:tc>
        <w:tc>
          <w:tcPr>
            <w:tcW w:w="1132" w:type="dxa"/>
            <w:tcBorders>
              <w:top w:val="nil"/>
              <w:left w:val="nil"/>
              <w:bottom w:val="single" w:sz="4" w:space="0" w:color="auto"/>
              <w:right w:val="single" w:sz="4" w:space="0" w:color="auto"/>
            </w:tcBorders>
            <w:vAlign w:val="center"/>
            <w:hideMark/>
          </w:tcPr>
          <w:p w14:paraId="25D5C2E5"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0.749</w:t>
            </w:r>
          </w:p>
        </w:tc>
        <w:tc>
          <w:tcPr>
            <w:tcW w:w="1132" w:type="dxa"/>
            <w:tcBorders>
              <w:top w:val="nil"/>
              <w:left w:val="nil"/>
              <w:bottom w:val="single" w:sz="4" w:space="0" w:color="auto"/>
              <w:right w:val="single" w:sz="4" w:space="0" w:color="auto"/>
            </w:tcBorders>
            <w:vAlign w:val="center"/>
            <w:hideMark/>
          </w:tcPr>
          <w:p w14:paraId="14A2A2EF"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3.82</w:t>
            </w:r>
          </w:p>
        </w:tc>
        <w:tc>
          <w:tcPr>
            <w:tcW w:w="1132" w:type="dxa"/>
            <w:tcBorders>
              <w:top w:val="nil"/>
              <w:left w:val="nil"/>
              <w:bottom w:val="single" w:sz="4" w:space="0" w:color="auto"/>
              <w:right w:val="single" w:sz="4" w:space="0" w:color="auto"/>
            </w:tcBorders>
            <w:vAlign w:val="center"/>
            <w:hideMark/>
          </w:tcPr>
          <w:p w14:paraId="3E517933"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24.95</w:t>
            </w:r>
          </w:p>
        </w:tc>
        <w:tc>
          <w:tcPr>
            <w:tcW w:w="1124" w:type="dxa"/>
            <w:tcBorders>
              <w:top w:val="nil"/>
              <w:left w:val="nil"/>
              <w:bottom w:val="single" w:sz="4" w:space="0" w:color="auto"/>
              <w:right w:val="single" w:sz="4" w:space="0" w:color="auto"/>
            </w:tcBorders>
            <w:vAlign w:val="center"/>
            <w:hideMark/>
          </w:tcPr>
          <w:p w14:paraId="56A37337"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0.085</w:t>
            </w:r>
          </w:p>
        </w:tc>
        <w:tc>
          <w:tcPr>
            <w:tcW w:w="1125" w:type="dxa"/>
            <w:tcBorders>
              <w:top w:val="nil"/>
              <w:left w:val="nil"/>
              <w:bottom w:val="single" w:sz="4" w:space="0" w:color="auto"/>
              <w:right w:val="single" w:sz="4" w:space="0" w:color="auto"/>
            </w:tcBorders>
            <w:vAlign w:val="center"/>
            <w:hideMark/>
          </w:tcPr>
          <w:p w14:paraId="5787EF14"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0.001</w:t>
            </w:r>
          </w:p>
        </w:tc>
        <w:tc>
          <w:tcPr>
            <w:tcW w:w="1244" w:type="dxa"/>
            <w:tcBorders>
              <w:top w:val="nil"/>
              <w:left w:val="nil"/>
              <w:bottom w:val="single" w:sz="4" w:space="0" w:color="auto"/>
              <w:right w:val="single" w:sz="4" w:space="0" w:color="auto"/>
            </w:tcBorders>
            <w:vAlign w:val="center"/>
            <w:hideMark/>
          </w:tcPr>
          <w:p w14:paraId="14EBB3E6"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6F5DCCFD"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AEA1B3" w14:textId="5EEE88FE" w:rsidR="009F099A" w:rsidRPr="00E46BF4" w:rsidRDefault="008F00BF"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Hybrid combinations</w:t>
            </w:r>
          </w:p>
        </w:tc>
        <w:tc>
          <w:tcPr>
            <w:tcW w:w="709" w:type="dxa"/>
            <w:tcBorders>
              <w:top w:val="nil"/>
              <w:left w:val="nil"/>
              <w:bottom w:val="single" w:sz="4" w:space="0" w:color="auto"/>
              <w:right w:val="single" w:sz="4" w:space="0" w:color="auto"/>
            </w:tcBorders>
            <w:vAlign w:val="center"/>
            <w:hideMark/>
          </w:tcPr>
          <w:p w14:paraId="527E4537"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27</w:t>
            </w:r>
          </w:p>
        </w:tc>
        <w:tc>
          <w:tcPr>
            <w:tcW w:w="1255" w:type="dxa"/>
            <w:tcBorders>
              <w:top w:val="nil"/>
              <w:left w:val="nil"/>
              <w:bottom w:val="single" w:sz="4" w:space="0" w:color="auto"/>
              <w:right w:val="single" w:sz="4" w:space="0" w:color="auto"/>
            </w:tcBorders>
            <w:vAlign w:val="center"/>
            <w:hideMark/>
          </w:tcPr>
          <w:p w14:paraId="51322C1E"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512.68</w:t>
            </w:r>
          </w:p>
        </w:tc>
        <w:tc>
          <w:tcPr>
            <w:tcW w:w="1132" w:type="dxa"/>
            <w:tcBorders>
              <w:top w:val="nil"/>
              <w:left w:val="nil"/>
              <w:bottom w:val="single" w:sz="4" w:space="0" w:color="auto"/>
              <w:right w:val="single" w:sz="4" w:space="0" w:color="auto"/>
            </w:tcBorders>
            <w:vAlign w:val="center"/>
            <w:hideMark/>
          </w:tcPr>
          <w:p w14:paraId="0CD34C46"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690.36</w:t>
            </w:r>
          </w:p>
        </w:tc>
        <w:tc>
          <w:tcPr>
            <w:tcW w:w="1132" w:type="dxa"/>
            <w:tcBorders>
              <w:top w:val="nil"/>
              <w:left w:val="nil"/>
              <w:bottom w:val="single" w:sz="4" w:space="0" w:color="auto"/>
              <w:right w:val="single" w:sz="4" w:space="0" w:color="auto"/>
            </w:tcBorders>
            <w:vAlign w:val="center"/>
            <w:hideMark/>
          </w:tcPr>
          <w:p w14:paraId="2121D6F3"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1011.15</w:t>
            </w:r>
          </w:p>
        </w:tc>
        <w:tc>
          <w:tcPr>
            <w:tcW w:w="1132" w:type="dxa"/>
            <w:tcBorders>
              <w:top w:val="nil"/>
              <w:left w:val="nil"/>
              <w:bottom w:val="single" w:sz="4" w:space="0" w:color="auto"/>
              <w:right w:val="single" w:sz="4" w:space="0" w:color="auto"/>
            </w:tcBorders>
            <w:vAlign w:val="center"/>
            <w:hideMark/>
          </w:tcPr>
          <w:p w14:paraId="2A3FE0A0"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2810.29</w:t>
            </w:r>
          </w:p>
        </w:tc>
        <w:tc>
          <w:tcPr>
            <w:tcW w:w="1124" w:type="dxa"/>
            <w:tcBorders>
              <w:top w:val="nil"/>
              <w:left w:val="nil"/>
              <w:bottom w:val="single" w:sz="4" w:space="0" w:color="auto"/>
              <w:right w:val="single" w:sz="4" w:space="0" w:color="auto"/>
            </w:tcBorders>
            <w:vAlign w:val="center"/>
            <w:hideMark/>
          </w:tcPr>
          <w:p w14:paraId="6F992460"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6115774D"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F8EABB4"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r w:rsidR="00E46BF4" w:rsidRPr="00E46BF4" w14:paraId="43596FC4"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7C8DF361" w14:textId="6E352CFF" w:rsidR="009F099A" w:rsidRPr="00E46BF4" w:rsidRDefault="008F00BF"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General combining ability (GCA)</w:t>
            </w:r>
          </w:p>
        </w:tc>
        <w:tc>
          <w:tcPr>
            <w:tcW w:w="709" w:type="dxa"/>
            <w:tcBorders>
              <w:top w:val="nil"/>
              <w:left w:val="nil"/>
              <w:bottom w:val="single" w:sz="4" w:space="0" w:color="auto"/>
              <w:right w:val="single" w:sz="4" w:space="0" w:color="auto"/>
            </w:tcBorders>
            <w:vAlign w:val="center"/>
            <w:hideMark/>
          </w:tcPr>
          <w:p w14:paraId="6CBEB89C"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w:t>
            </w:r>
          </w:p>
        </w:tc>
        <w:tc>
          <w:tcPr>
            <w:tcW w:w="1255" w:type="dxa"/>
            <w:tcBorders>
              <w:top w:val="nil"/>
              <w:left w:val="nil"/>
              <w:bottom w:val="single" w:sz="4" w:space="0" w:color="auto"/>
              <w:right w:val="single" w:sz="4" w:space="0" w:color="auto"/>
            </w:tcBorders>
            <w:vAlign w:val="center"/>
            <w:hideMark/>
          </w:tcPr>
          <w:p w14:paraId="6BBD39EC"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941.29</w:t>
            </w:r>
          </w:p>
        </w:tc>
        <w:tc>
          <w:tcPr>
            <w:tcW w:w="1132" w:type="dxa"/>
            <w:tcBorders>
              <w:top w:val="nil"/>
              <w:left w:val="nil"/>
              <w:bottom w:val="single" w:sz="4" w:space="0" w:color="auto"/>
              <w:right w:val="single" w:sz="4" w:space="0" w:color="auto"/>
            </w:tcBorders>
            <w:vAlign w:val="center"/>
            <w:hideMark/>
          </w:tcPr>
          <w:p w14:paraId="5563F94F"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1134.20</w:t>
            </w:r>
          </w:p>
        </w:tc>
        <w:tc>
          <w:tcPr>
            <w:tcW w:w="1132" w:type="dxa"/>
            <w:tcBorders>
              <w:top w:val="nil"/>
              <w:left w:val="nil"/>
              <w:bottom w:val="single" w:sz="4" w:space="0" w:color="auto"/>
              <w:right w:val="single" w:sz="4" w:space="0" w:color="auto"/>
            </w:tcBorders>
            <w:vAlign w:val="center"/>
            <w:hideMark/>
          </w:tcPr>
          <w:p w14:paraId="77603F29"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1856.49</w:t>
            </w:r>
          </w:p>
        </w:tc>
        <w:tc>
          <w:tcPr>
            <w:tcW w:w="1132" w:type="dxa"/>
            <w:tcBorders>
              <w:top w:val="nil"/>
              <w:left w:val="nil"/>
              <w:bottom w:val="single" w:sz="4" w:space="0" w:color="auto"/>
              <w:right w:val="single" w:sz="4" w:space="0" w:color="auto"/>
            </w:tcBorders>
            <w:vAlign w:val="center"/>
            <w:hideMark/>
          </w:tcPr>
          <w:p w14:paraId="42640493"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4617.06</w:t>
            </w:r>
          </w:p>
        </w:tc>
        <w:tc>
          <w:tcPr>
            <w:tcW w:w="1124" w:type="dxa"/>
            <w:tcBorders>
              <w:top w:val="nil"/>
              <w:left w:val="nil"/>
              <w:bottom w:val="single" w:sz="4" w:space="0" w:color="auto"/>
              <w:right w:val="single" w:sz="4" w:space="0" w:color="auto"/>
            </w:tcBorders>
            <w:vAlign w:val="center"/>
            <w:hideMark/>
          </w:tcPr>
          <w:p w14:paraId="12105ED6"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1912ECA5"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060D3290" w14:textId="05C71EBD" w:rsidR="009F099A" w:rsidRPr="00E46BF4" w:rsidRDefault="009F099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2.39 (</w:t>
            </w:r>
            <w:r w:rsidR="008F00BF">
              <w:rPr>
                <w:rFonts w:ascii="Times New Roman" w:eastAsia="Times New Roman" w:hAnsi="Times New Roman" w:cs="Times New Roman"/>
                <w:b/>
                <w:bCs/>
                <w:color w:val="000000"/>
                <w:kern w:val="0"/>
                <w:sz w:val="20"/>
                <w:szCs w:val="20"/>
                <w14:ligatures w14:val="none"/>
              </w:rPr>
              <w:t>Winter</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00F72BF5"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5921878C" w14:textId="5F73443F" w:rsidR="009F099A" w:rsidRPr="00E46BF4" w:rsidRDefault="008F00BF"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Specific combining ability (SCA)</w:t>
            </w:r>
          </w:p>
        </w:tc>
        <w:tc>
          <w:tcPr>
            <w:tcW w:w="709" w:type="dxa"/>
            <w:tcBorders>
              <w:top w:val="nil"/>
              <w:left w:val="nil"/>
              <w:bottom w:val="single" w:sz="4" w:space="0" w:color="auto"/>
              <w:right w:val="single" w:sz="4" w:space="0" w:color="auto"/>
            </w:tcBorders>
            <w:vAlign w:val="center"/>
            <w:hideMark/>
          </w:tcPr>
          <w:p w14:paraId="7659DB6D"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20</w:t>
            </w:r>
          </w:p>
        </w:tc>
        <w:tc>
          <w:tcPr>
            <w:tcW w:w="1255" w:type="dxa"/>
            <w:tcBorders>
              <w:top w:val="nil"/>
              <w:left w:val="nil"/>
              <w:bottom w:val="single" w:sz="4" w:space="0" w:color="auto"/>
              <w:right w:val="single" w:sz="4" w:space="0" w:color="auto"/>
            </w:tcBorders>
            <w:vAlign w:val="center"/>
            <w:hideMark/>
          </w:tcPr>
          <w:p w14:paraId="7043CF11"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394.11</w:t>
            </w:r>
          </w:p>
        </w:tc>
        <w:tc>
          <w:tcPr>
            <w:tcW w:w="1132" w:type="dxa"/>
            <w:tcBorders>
              <w:top w:val="nil"/>
              <w:left w:val="nil"/>
              <w:bottom w:val="single" w:sz="4" w:space="0" w:color="auto"/>
              <w:right w:val="single" w:sz="4" w:space="0" w:color="auto"/>
            </w:tcBorders>
            <w:vAlign w:val="center"/>
            <w:hideMark/>
          </w:tcPr>
          <w:p w14:paraId="746BC3B9"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594.85</w:t>
            </w:r>
          </w:p>
        </w:tc>
        <w:tc>
          <w:tcPr>
            <w:tcW w:w="1132" w:type="dxa"/>
            <w:tcBorders>
              <w:top w:val="nil"/>
              <w:left w:val="nil"/>
              <w:bottom w:val="single" w:sz="4" w:space="0" w:color="auto"/>
              <w:right w:val="single" w:sz="4" w:space="0" w:color="auto"/>
            </w:tcBorders>
            <w:vAlign w:val="center"/>
            <w:hideMark/>
          </w:tcPr>
          <w:p w14:paraId="6540767B"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777.30</w:t>
            </w:r>
          </w:p>
        </w:tc>
        <w:tc>
          <w:tcPr>
            <w:tcW w:w="1132" w:type="dxa"/>
            <w:tcBorders>
              <w:top w:val="nil"/>
              <w:left w:val="nil"/>
              <w:bottom w:val="single" w:sz="4" w:space="0" w:color="auto"/>
              <w:right w:val="single" w:sz="4" w:space="0" w:color="auto"/>
            </w:tcBorders>
            <w:vAlign w:val="center"/>
            <w:hideMark/>
          </w:tcPr>
          <w:p w14:paraId="750E4AA3"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2421.47</w:t>
            </w:r>
          </w:p>
        </w:tc>
        <w:tc>
          <w:tcPr>
            <w:tcW w:w="1124" w:type="dxa"/>
            <w:tcBorders>
              <w:top w:val="nil"/>
              <w:left w:val="nil"/>
              <w:bottom w:val="single" w:sz="4" w:space="0" w:color="auto"/>
              <w:right w:val="single" w:sz="4" w:space="0" w:color="auto"/>
            </w:tcBorders>
            <w:vAlign w:val="center"/>
            <w:hideMark/>
          </w:tcPr>
          <w:p w14:paraId="40523604"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125" w:type="dxa"/>
            <w:tcBorders>
              <w:top w:val="nil"/>
              <w:left w:val="nil"/>
              <w:bottom w:val="single" w:sz="4" w:space="0" w:color="auto"/>
              <w:right w:val="single" w:sz="4" w:space="0" w:color="auto"/>
            </w:tcBorders>
            <w:vAlign w:val="center"/>
            <w:hideMark/>
          </w:tcPr>
          <w:p w14:paraId="2CEF1963"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0.000</w:t>
            </w:r>
          </w:p>
        </w:tc>
        <w:tc>
          <w:tcPr>
            <w:tcW w:w="1244" w:type="dxa"/>
            <w:tcBorders>
              <w:top w:val="nil"/>
              <w:left w:val="nil"/>
              <w:bottom w:val="single" w:sz="4" w:space="0" w:color="auto"/>
              <w:right w:val="single" w:sz="4" w:space="0" w:color="auto"/>
            </w:tcBorders>
            <w:vAlign w:val="center"/>
            <w:hideMark/>
          </w:tcPr>
          <w:p w14:paraId="6BADADF3" w14:textId="758568AF" w:rsidR="009F099A" w:rsidRPr="00E46BF4" w:rsidRDefault="009F099A"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E46BF4">
              <w:rPr>
                <w:rFonts w:ascii="Times New Roman" w:eastAsia="Times New Roman" w:hAnsi="Times New Roman" w:cs="Times New Roman"/>
                <w:b/>
                <w:bCs/>
                <w:color w:val="000000"/>
                <w:kern w:val="0"/>
                <w:sz w:val="20"/>
                <w:szCs w:val="20"/>
                <w14:ligatures w14:val="none"/>
              </w:rPr>
              <w:t>1.91 (</w:t>
            </w:r>
            <w:r w:rsidR="008F00BF">
              <w:rPr>
                <w:rFonts w:ascii="Times New Roman" w:eastAsia="Times New Roman" w:hAnsi="Times New Roman" w:cs="Times New Roman"/>
                <w:b/>
                <w:bCs/>
                <w:color w:val="000000"/>
                <w:kern w:val="0"/>
                <w:sz w:val="20"/>
                <w:szCs w:val="20"/>
                <w14:ligatures w14:val="none"/>
              </w:rPr>
              <w:t>Spring</w:t>
            </w:r>
            <w:r w:rsidRPr="00E46BF4">
              <w:rPr>
                <w:rFonts w:ascii="Times New Roman" w:eastAsia="Times New Roman" w:hAnsi="Times New Roman" w:cs="Times New Roman"/>
                <w:b/>
                <w:bCs/>
                <w:color w:val="000000"/>
                <w:kern w:val="0"/>
                <w:sz w:val="20"/>
                <w:szCs w:val="20"/>
                <w14:ligatures w14:val="none"/>
              </w:rPr>
              <w:t>)</w:t>
            </w:r>
          </w:p>
        </w:tc>
      </w:tr>
      <w:tr w:rsidR="00E46BF4" w:rsidRPr="00E46BF4" w14:paraId="2EF916D1" w14:textId="77777777" w:rsidTr="005D797A">
        <w:trPr>
          <w:trHeight w:val="752"/>
        </w:trPr>
        <w:tc>
          <w:tcPr>
            <w:tcW w:w="1844" w:type="dxa"/>
            <w:tcBorders>
              <w:top w:val="nil"/>
              <w:left w:val="single" w:sz="4" w:space="0" w:color="auto"/>
              <w:bottom w:val="single" w:sz="4" w:space="0" w:color="auto"/>
              <w:right w:val="single" w:sz="4" w:space="0" w:color="auto"/>
            </w:tcBorders>
            <w:vAlign w:val="center"/>
            <w:hideMark/>
          </w:tcPr>
          <w:p w14:paraId="255E000A" w14:textId="5358BA84" w:rsidR="009F099A" w:rsidRPr="00E46BF4" w:rsidRDefault="008F00BF"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8F00BF">
              <w:rPr>
                <w:rFonts w:ascii="Times New Roman" w:eastAsia="Times New Roman" w:hAnsi="Times New Roman" w:cs="Times New Roman"/>
                <w:b/>
                <w:bCs/>
                <w:color w:val="000000"/>
                <w:kern w:val="0"/>
                <w:sz w:val="20"/>
                <w:szCs w:val="20"/>
                <w14:ligatures w14:val="none"/>
              </w:rPr>
              <w:t>Error</w:t>
            </w:r>
          </w:p>
        </w:tc>
        <w:tc>
          <w:tcPr>
            <w:tcW w:w="709" w:type="dxa"/>
            <w:tcBorders>
              <w:top w:val="nil"/>
              <w:left w:val="nil"/>
              <w:bottom w:val="single" w:sz="4" w:space="0" w:color="auto"/>
              <w:right w:val="single" w:sz="4" w:space="0" w:color="auto"/>
            </w:tcBorders>
            <w:vAlign w:val="center"/>
            <w:hideMark/>
          </w:tcPr>
          <w:p w14:paraId="223455A7"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48</w:t>
            </w:r>
          </w:p>
        </w:tc>
        <w:tc>
          <w:tcPr>
            <w:tcW w:w="1255" w:type="dxa"/>
            <w:tcBorders>
              <w:top w:val="nil"/>
              <w:left w:val="nil"/>
              <w:bottom w:val="single" w:sz="4" w:space="0" w:color="auto"/>
              <w:right w:val="single" w:sz="4" w:space="0" w:color="auto"/>
            </w:tcBorders>
            <w:vAlign w:val="center"/>
            <w:hideMark/>
          </w:tcPr>
          <w:p w14:paraId="4CC6BABA"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0.507</w:t>
            </w:r>
          </w:p>
        </w:tc>
        <w:tc>
          <w:tcPr>
            <w:tcW w:w="1132" w:type="dxa"/>
            <w:tcBorders>
              <w:top w:val="nil"/>
              <w:left w:val="nil"/>
              <w:bottom w:val="single" w:sz="4" w:space="0" w:color="auto"/>
              <w:right w:val="single" w:sz="4" w:space="0" w:color="auto"/>
            </w:tcBorders>
            <w:vAlign w:val="center"/>
            <w:hideMark/>
          </w:tcPr>
          <w:p w14:paraId="7EF64599"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0.246</w:t>
            </w:r>
          </w:p>
        </w:tc>
        <w:tc>
          <w:tcPr>
            <w:tcW w:w="1132" w:type="dxa"/>
            <w:tcBorders>
              <w:top w:val="nil"/>
              <w:left w:val="nil"/>
              <w:bottom w:val="single" w:sz="4" w:space="0" w:color="auto"/>
              <w:right w:val="single" w:sz="4" w:space="0" w:color="auto"/>
            </w:tcBorders>
            <w:vAlign w:val="center"/>
            <w:hideMark/>
          </w:tcPr>
          <w:p w14:paraId="48D906CD"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32" w:type="dxa"/>
            <w:tcBorders>
              <w:top w:val="nil"/>
              <w:left w:val="nil"/>
              <w:bottom w:val="single" w:sz="4" w:space="0" w:color="auto"/>
              <w:right w:val="single" w:sz="4" w:space="0" w:color="auto"/>
            </w:tcBorders>
            <w:vAlign w:val="center"/>
            <w:hideMark/>
          </w:tcPr>
          <w:p w14:paraId="48E6C901"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4" w:type="dxa"/>
            <w:tcBorders>
              <w:top w:val="nil"/>
              <w:left w:val="nil"/>
              <w:bottom w:val="single" w:sz="4" w:space="0" w:color="auto"/>
              <w:right w:val="single" w:sz="4" w:space="0" w:color="auto"/>
            </w:tcBorders>
            <w:vAlign w:val="center"/>
            <w:hideMark/>
          </w:tcPr>
          <w:p w14:paraId="58B9FFBB"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125" w:type="dxa"/>
            <w:tcBorders>
              <w:top w:val="nil"/>
              <w:left w:val="nil"/>
              <w:bottom w:val="single" w:sz="4" w:space="0" w:color="auto"/>
              <w:right w:val="single" w:sz="4" w:space="0" w:color="auto"/>
            </w:tcBorders>
            <w:vAlign w:val="center"/>
            <w:hideMark/>
          </w:tcPr>
          <w:p w14:paraId="72949700"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c>
          <w:tcPr>
            <w:tcW w:w="1244" w:type="dxa"/>
            <w:tcBorders>
              <w:top w:val="nil"/>
              <w:left w:val="nil"/>
              <w:bottom w:val="single" w:sz="4" w:space="0" w:color="auto"/>
              <w:right w:val="single" w:sz="4" w:space="0" w:color="auto"/>
            </w:tcBorders>
            <w:vAlign w:val="center"/>
            <w:hideMark/>
          </w:tcPr>
          <w:p w14:paraId="4971D4AF" w14:textId="77777777" w:rsidR="009F099A" w:rsidRPr="00E46BF4"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E46BF4">
              <w:rPr>
                <w:rFonts w:ascii="Times New Roman" w:eastAsia="Times New Roman" w:hAnsi="Times New Roman" w:cs="Times New Roman"/>
                <w:color w:val="000000"/>
                <w:kern w:val="0"/>
                <w:sz w:val="20"/>
                <w:szCs w:val="20"/>
                <w14:ligatures w14:val="none"/>
              </w:rPr>
              <w:t>-</w:t>
            </w:r>
          </w:p>
        </w:tc>
      </w:tr>
    </w:tbl>
    <w:p w14:paraId="6B3CBD56" w14:textId="77777777" w:rsidR="00440DD4" w:rsidRPr="00311474" w:rsidRDefault="00440DD4">
      <w:pPr>
        <w:rPr>
          <w:rFonts w:ascii="Times New Roman" w:hAnsi="Times New Roman" w:cs="Times New Roman"/>
        </w:rPr>
      </w:pPr>
    </w:p>
    <w:p w14:paraId="39C88AD6"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analysis of variance revealed that the hybrid combination effect was highly significant in both the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2023 and Spring 2024 seasons (P = 0.000). The F-values were extremely high (1011.15 in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and 2810.29 in Spring), indicating the existence of pronounced genetic differences among hybrid combinations for the studied trait. This significant variation reflects the substantial genetic diversity among the parental inbred lines and demonstrates the strong potential for exploiting </w:t>
      </w:r>
      <w:proofErr w:type="spellStart"/>
      <w:r w:rsidRPr="009F099A">
        <w:rPr>
          <w:rFonts w:ascii="Times New Roman" w:hAnsi="Times New Roman" w:cs="Times New Roman"/>
        </w:rPr>
        <w:t>heterosis</w:t>
      </w:r>
      <w:proofErr w:type="spellEnd"/>
      <w:r w:rsidRPr="009F099A">
        <w:rPr>
          <w:rFonts w:ascii="Times New Roman" w:hAnsi="Times New Roman" w:cs="Times New Roman"/>
        </w:rPr>
        <w:t xml:space="preserve"> within the experimental population. These findings validate the appropriateness of the selected </w:t>
      </w:r>
      <w:proofErr w:type="spellStart"/>
      <w:r w:rsidRPr="009F099A">
        <w:rPr>
          <w:rFonts w:ascii="Times New Roman" w:hAnsi="Times New Roman" w:cs="Times New Roman"/>
        </w:rPr>
        <w:t>germplasm</w:t>
      </w:r>
      <w:proofErr w:type="spellEnd"/>
      <w:r w:rsidRPr="009F099A">
        <w:rPr>
          <w:rFonts w:ascii="Times New Roman" w:hAnsi="Times New Roman" w:cs="Times New Roman"/>
        </w:rPr>
        <w:t xml:space="preserve"> and the </w:t>
      </w:r>
      <w:proofErr w:type="spellStart"/>
      <w:r w:rsidRPr="009F099A">
        <w:rPr>
          <w:rFonts w:ascii="Times New Roman" w:hAnsi="Times New Roman" w:cs="Times New Roman"/>
        </w:rPr>
        <w:t>diallel</w:t>
      </w:r>
      <w:proofErr w:type="spellEnd"/>
      <w:r w:rsidRPr="009F099A">
        <w:rPr>
          <w:rFonts w:ascii="Times New Roman" w:hAnsi="Times New Roman" w:cs="Times New Roman"/>
        </w:rPr>
        <w:t xml:space="preserve"> crossing design employed in this study.</w:t>
      </w:r>
    </w:p>
    <w:p w14:paraId="5D8304E3"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replication effect was not significant in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2023 (P = 0.085), suggesting relatively uniform experimental conditions among blocks during that season. However, in Spring 2024, the replication effect was highly significant (P = 0.001), indicating environmental heterogeneity among blocks, possibly due to fluctuations in temperature, soil moisture, or crop management practices. Nevertheless, the low mean square error (MS error) values in both seasons (0.507 in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and 0.246 in Spring) demonstrate high experimental precision, implying that the observed differences were primarily attributable to genetic factors rather than random error.</w:t>
      </w:r>
    </w:p>
    <w:p w14:paraId="065F6DCE"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Combining ability analysis showed that both general combining ability (GCA) and specific combining ability (SCA) effects were highly significant in both seasons (P = 0.000), indicating that the studied trait was governed by both additive gene effects and non-additive gene effects (dominance and epistasis). However, the mean square values of GCA were consistently higher </w:t>
      </w:r>
      <w:proofErr w:type="gramStart"/>
      <w:r w:rsidRPr="009F099A">
        <w:rPr>
          <w:rFonts w:ascii="Times New Roman" w:hAnsi="Times New Roman" w:cs="Times New Roman"/>
        </w:rPr>
        <w:t>than those of SCA</w:t>
      </w:r>
      <w:proofErr w:type="gramEnd"/>
      <w:r w:rsidRPr="009F099A">
        <w:rPr>
          <w:rFonts w:ascii="Times New Roman" w:hAnsi="Times New Roman" w:cs="Times New Roman"/>
        </w:rPr>
        <w:t xml:space="preserve"> in both seasons. Specifically, in Winter 2023, </w:t>
      </w:r>
      <w:proofErr w:type="gramStart"/>
      <w:r w:rsidRPr="009F099A">
        <w:rPr>
          <w:rFonts w:ascii="Times New Roman" w:hAnsi="Times New Roman" w:cs="Times New Roman"/>
        </w:rPr>
        <w:t>MS(</w:t>
      </w:r>
      <w:proofErr w:type="gramEnd"/>
      <w:r w:rsidRPr="009F099A">
        <w:rPr>
          <w:rFonts w:ascii="Times New Roman" w:hAnsi="Times New Roman" w:cs="Times New Roman"/>
        </w:rPr>
        <w:t xml:space="preserve">GCA) = 941.29 was substantially higher than MS(SCA) = 394.11; similarly, in Spring 2024, MS(GCA) = 1134.20 exceeded MS(SCA) = 594.85. The GCA/SCA ratios were 2.39 in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and 1.91 in Spring, both greater than unity, confirming the predominant role of additive gene action in controlling the trait.</w:t>
      </w:r>
    </w:p>
    <w:p w14:paraId="16043C8C"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According to quantitative genetic theory, when additive gene effects predominate, most phenotypic variation </w:t>
      </w:r>
      <w:proofErr w:type="gramStart"/>
      <w:r w:rsidRPr="009F099A">
        <w:rPr>
          <w:rFonts w:ascii="Times New Roman" w:hAnsi="Times New Roman" w:cs="Times New Roman"/>
        </w:rPr>
        <w:t>can be attributed</w:t>
      </w:r>
      <w:proofErr w:type="gramEnd"/>
      <w:r w:rsidRPr="009F099A">
        <w:rPr>
          <w:rFonts w:ascii="Times New Roman" w:hAnsi="Times New Roman" w:cs="Times New Roman"/>
        </w:rPr>
        <w:t xml:space="preserve"> to the accumulation of favorable alleles with additive effects. This has important practical implications for plant breeding, as additive effects are more heritable and respond effectively to selection across generations. Therefore, selecting inbred lines with high GCA values can enhance selection efficiency and shorten the breeding cycle.</w:t>
      </w:r>
    </w:p>
    <w:p w14:paraId="3B938FFD"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 xml:space="preserve">Although additive effects were predominant in both seasons, the GCA/SCA ratio decreased from 2.39 in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to 1.91 in Spring, suggesting a relatively greater contribution of non-additive effects under Spring conditions. This shift may reflect </w:t>
      </w:r>
      <w:commentRangeStart w:id="3"/>
      <w:r w:rsidRPr="009F099A">
        <w:rPr>
          <w:rFonts w:ascii="Times New Roman" w:hAnsi="Times New Roman" w:cs="Times New Roman"/>
        </w:rPr>
        <w:t>g</w:t>
      </w:r>
      <w:commentRangeEnd w:id="3"/>
      <w:r w:rsidR="00A057DD">
        <w:rPr>
          <w:rStyle w:val="ad"/>
        </w:rPr>
        <w:commentReference w:id="3"/>
      </w:r>
      <w:r w:rsidRPr="009F099A">
        <w:rPr>
          <w:rFonts w:ascii="Times New Roman" w:hAnsi="Times New Roman" w:cs="Times New Roman"/>
        </w:rPr>
        <w:t xml:space="preserve">enotype × environment (G × E) interactions, where environmental variation influences the expression of dominance and </w:t>
      </w:r>
      <w:proofErr w:type="spellStart"/>
      <w:r w:rsidRPr="009F099A">
        <w:rPr>
          <w:rFonts w:ascii="Times New Roman" w:hAnsi="Times New Roman" w:cs="Times New Roman"/>
        </w:rPr>
        <w:t>epistatic</w:t>
      </w:r>
      <w:proofErr w:type="spellEnd"/>
      <w:r w:rsidRPr="009F099A">
        <w:rPr>
          <w:rFonts w:ascii="Times New Roman" w:hAnsi="Times New Roman" w:cs="Times New Roman"/>
        </w:rPr>
        <w:t xml:space="preserve"> interactions. However, since the GCA/SCA ratio remained above one in both seasons, it </w:t>
      </w:r>
      <w:proofErr w:type="gramStart"/>
      <w:r w:rsidRPr="009F099A">
        <w:rPr>
          <w:rFonts w:ascii="Times New Roman" w:hAnsi="Times New Roman" w:cs="Times New Roman"/>
        </w:rPr>
        <w:t>can be concluded</w:t>
      </w:r>
      <w:proofErr w:type="gramEnd"/>
      <w:r w:rsidRPr="009F099A">
        <w:rPr>
          <w:rFonts w:ascii="Times New Roman" w:hAnsi="Times New Roman" w:cs="Times New Roman"/>
        </w:rPr>
        <w:t xml:space="preserve"> that the trait was primarily controlled by additive gene action and was less influenced by complex gene interactions.</w:t>
      </w:r>
    </w:p>
    <w:p w14:paraId="2707C18A" w14:textId="77777777" w:rsidR="009F099A" w:rsidRPr="009F099A" w:rsidRDefault="009F099A" w:rsidP="0036465E">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Overall, the results indicate that the experimental population possesses a favorable genetic background for breeding improvement. An appropriate breeding strategy under these conditions would prioritize the selection of parental lines with high GCA values, combined with the accumulation of favorable additive alleles through successive </w:t>
      </w:r>
      <w:proofErr w:type="spellStart"/>
      <w:r w:rsidRPr="009F099A">
        <w:rPr>
          <w:rFonts w:ascii="Times New Roman" w:hAnsi="Times New Roman" w:cs="Times New Roman"/>
        </w:rPr>
        <w:t>selfing</w:t>
      </w:r>
      <w:proofErr w:type="spellEnd"/>
      <w:r w:rsidRPr="009F099A">
        <w:rPr>
          <w:rFonts w:ascii="Times New Roman" w:hAnsi="Times New Roman" w:cs="Times New Roman"/>
        </w:rPr>
        <w:t xml:space="preserve"> generations to develop superior inbred lines. Furthermore, continued multi-season and multi-location evaluation of promising hybrids </w:t>
      </w:r>
      <w:proofErr w:type="gramStart"/>
      <w:r w:rsidRPr="009F099A">
        <w:rPr>
          <w:rFonts w:ascii="Times New Roman" w:hAnsi="Times New Roman" w:cs="Times New Roman"/>
        </w:rPr>
        <w:t>is recommended</w:t>
      </w:r>
      <w:proofErr w:type="gramEnd"/>
      <w:r w:rsidRPr="009F099A">
        <w:rPr>
          <w:rFonts w:ascii="Times New Roman" w:hAnsi="Times New Roman" w:cs="Times New Roman"/>
        </w:rPr>
        <w:t xml:space="preserve"> to identify combinations with high stability and wide adaptability for commercial production.</w:t>
      </w:r>
    </w:p>
    <w:p w14:paraId="45240FE5" w14:textId="1BB1276F" w:rsidR="009F099A" w:rsidRPr="00311474" w:rsidRDefault="00E94214" w:rsidP="009F099A">
      <w:pPr>
        <w:jc w:val="center"/>
        <w:rPr>
          <w:rFonts w:ascii="Times New Roman" w:hAnsi="Times New Roman" w:cs="Times New Roman"/>
          <w:b/>
          <w:bCs/>
        </w:rPr>
      </w:pPr>
      <w:r w:rsidRPr="00E94214">
        <w:rPr>
          <w:rFonts w:ascii="Times New Roman" w:hAnsi="Times New Roman" w:cs="Times New Roman"/>
          <w:b/>
          <w:bCs/>
        </w:rPr>
        <w:t xml:space="preserve">Table 2. Summary of </w:t>
      </w:r>
      <w:r>
        <w:rPr>
          <w:rFonts w:ascii="Times New Roman" w:hAnsi="Times New Roman" w:cs="Times New Roman"/>
          <w:b/>
          <w:bCs/>
        </w:rPr>
        <w:t>c</w:t>
      </w:r>
      <w:r w:rsidRPr="00E94214">
        <w:rPr>
          <w:rFonts w:ascii="Times New Roman" w:hAnsi="Times New Roman" w:cs="Times New Roman"/>
          <w:b/>
          <w:bCs/>
        </w:rPr>
        <w:t xml:space="preserve">ombining </w:t>
      </w:r>
      <w:r>
        <w:rPr>
          <w:rFonts w:ascii="Times New Roman" w:hAnsi="Times New Roman" w:cs="Times New Roman"/>
          <w:b/>
          <w:bCs/>
        </w:rPr>
        <w:t>a</w:t>
      </w:r>
      <w:r w:rsidRPr="00E94214">
        <w:rPr>
          <w:rFonts w:ascii="Times New Roman" w:hAnsi="Times New Roman" w:cs="Times New Roman"/>
          <w:b/>
          <w:bCs/>
        </w:rPr>
        <w:t xml:space="preserve">bility of </w:t>
      </w:r>
      <w:r>
        <w:rPr>
          <w:rFonts w:ascii="Times New Roman" w:hAnsi="Times New Roman" w:cs="Times New Roman"/>
          <w:b/>
          <w:bCs/>
        </w:rPr>
        <w:t>p</w:t>
      </w:r>
      <w:r w:rsidRPr="00E94214">
        <w:rPr>
          <w:rFonts w:ascii="Times New Roman" w:hAnsi="Times New Roman" w:cs="Times New Roman"/>
          <w:b/>
          <w:bCs/>
        </w:rPr>
        <w:t xml:space="preserve">arental </w:t>
      </w:r>
      <w:r>
        <w:rPr>
          <w:rFonts w:ascii="Times New Roman" w:hAnsi="Times New Roman" w:cs="Times New Roman"/>
          <w:b/>
          <w:bCs/>
        </w:rPr>
        <w:t>l</w:t>
      </w:r>
      <w:r w:rsidRPr="00E94214">
        <w:rPr>
          <w:rFonts w:ascii="Times New Roman" w:hAnsi="Times New Roman" w:cs="Times New Roman"/>
          <w:b/>
          <w:bCs/>
        </w:rPr>
        <w:t xml:space="preserve">ines in </w:t>
      </w:r>
      <w:proofErr w:type="gramStart"/>
      <w:r w:rsidRPr="00E94214">
        <w:rPr>
          <w:rFonts w:ascii="Times New Roman" w:hAnsi="Times New Roman" w:cs="Times New Roman"/>
          <w:b/>
          <w:bCs/>
        </w:rPr>
        <w:t>Winter</w:t>
      </w:r>
      <w:proofErr w:type="gramEnd"/>
      <w:r w:rsidRPr="00E94214">
        <w:rPr>
          <w:rFonts w:ascii="Times New Roman" w:hAnsi="Times New Roman" w:cs="Times New Roman"/>
          <w:b/>
          <w:bCs/>
        </w:rPr>
        <w:t xml:space="preserve"> 2023</w:t>
      </w:r>
    </w:p>
    <w:tbl>
      <w:tblPr>
        <w:tblW w:w="9846" w:type="dxa"/>
        <w:tblLook w:val="04A0" w:firstRow="1" w:lastRow="0" w:firstColumn="1" w:lastColumn="0" w:noHBand="0" w:noVBand="1"/>
      </w:tblPr>
      <w:tblGrid>
        <w:gridCol w:w="1641"/>
        <w:gridCol w:w="1641"/>
        <w:gridCol w:w="1641"/>
        <w:gridCol w:w="1641"/>
        <w:gridCol w:w="1641"/>
        <w:gridCol w:w="1641"/>
      </w:tblGrid>
      <w:tr w:rsidR="009F099A" w:rsidRPr="00311474" w14:paraId="63061FDD" w14:textId="77777777" w:rsidTr="00577DAF">
        <w:trPr>
          <w:trHeight w:val="849"/>
        </w:trPr>
        <w:tc>
          <w:tcPr>
            <w:tcW w:w="1641" w:type="dxa"/>
            <w:tcBorders>
              <w:top w:val="single" w:sz="4" w:space="0" w:color="auto"/>
              <w:left w:val="single" w:sz="4" w:space="0" w:color="auto"/>
              <w:bottom w:val="single" w:sz="4" w:space="0" w:color="auto"/>
              <w:right w:val="single" w:sz="4" w:space="0" w:color="auto"/>
            </w:tcBorders>
            <w:vAlign w:val="center"/>
            <w:hideMark/>
          </w:tcPr>
          <w:p w14:paraId="138298CA" w14:textId="19E2EAE4" w:rsidR="009F099A" w:rsidRPr="00311474" w:rsidRDefault="004D5B20"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641" w:type="dxa"/>
            <w:tcBorders>
              <w:top w:val="single" w:sz="4" w:space="0" w:color="auto"/>
              <w:left w:val="nil"/>
              <w:bottom w:val="single" w:sz="4" w:space="0" w:color="auto"/>
              <w:right w:val="single" w:sz="4" w:space="0" w:color="auto"/>
            </w:tcBorders>
            <w:vAlign w:val="center"/>
            <w:hideMark/>
          </w:tcPr>
          <w:p w14:paraId="142C33A2" w14:textId="77777777" w:rsidR="009F099A" w:rsidRPr="00311474" w:rsidRDefault="009F099A"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w:t>
            </w:r>
            <w:proofErr w:type="spellStart"/>
            <w:r w:rsidRPr="00311474">
              <w:rPr>
                <w:rFonts w:ascii="Times New Roman" w:eastAsia="Times New Roman" w:hAnsi="Times New Roman" w:cs="Times New Roman"/>
                <w:b/>
                <w:bCs/>
                <w:color w:val="000000"/>
                <w:kern w:val="0"/>
                <w:sz w:val="22"/>
                <w:szCs w:val="22"/>
                <w14:ligatures w14:val="none"/>
              </w:rPr>
              <w:t>ĝj</w:t>
            </w:r>
            <w:proofErr w:type="spellEnd"/>
            <w:r w:rsidRPr="00311474">
              <w:rPr>
                <w:rFonts w:ascii="Times New Roman" w:eastAsia="Times New Roman" w:hAnsi="Times New Roman" w:cs="Times New Roman"/>
                <w:b/>
                <w:bCs/>
                <w:color w:val="000000"/>
                <w:kern w:val="0"/>
                <w:sz w:val="22"/>
                <w:szCs w:val="22"/>
                <w14:ligatures w14:val="none"/>
              </w:rPr>
              <w:t>)</w:t>
            </w:r>
          </w:p>
        </w:tc>
        <w:tc>
          <w:tcPr>
            <w:tcW w:w="1641" w:type="dxa"/>
            <w:tcBorders>
              <w:top w:val="single" w:sz="4" w:space="0" w:color="auto"/>
              <w:left w:val="nil"/>
              <w:bottom w:val="single" w:sz="4" w:space="0" w:color="auto"/>
              <w:right w:val="single" w:sz="4" w:space="0" w:color="auto"/>
            </w:tcBorders>
            <w:vAlign w:val="center"/>
            <w:hideMark/>
          </w:tcPr>
          <w:p w14:paraId="7EC594CE" w14:textId="77777777" w:rsidR="009F099A" w:rsidRPr="00311474" w:rsidRDefault="009F099A"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641" w:type="dxa"/>
            <w:tcBorders>
              <w:top w:val="single" w:sz="4" w:space="0" w:color="auto"/>
              <w:left w:val="nil"/>
              <w:bottom w:val="single" w:sz="4" w:space="0" w:color="auto"/>
              <w:right w:val="single" w:sz="4" w:space="0" w:color="auto"/>
            </w:tcBorders>
            <w:vAlign w:val="center"/>
            <w:hideMark/>
          </w:tcPr>
          <w:p w14:paraId="7CEAA38F" w14:textId="316FBD22" w:rsidR="009F099A" w:rsidRPr="00311474" w:rsidRDefault="00E94214"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GCA classification</w:t>
            </w:r>
          </w:p>
        </w:tc>
        <w:tc>
          <w:tcPr>
            <w:tcW w:w="1641" w:type="dxa"/>
            <w:tcBorders>
              <w:top w:val="single" w:sz="4" w:space="0" w:color="auto"/>
              <w:left w:val="nil"/>
              <w:bottom w:val="single" w:sz="4" w:space="0" w:color="auto"/>
              <w:right w:val="single" w:sz="4" w:space="0" w:color="auto"/>
            </w:tcBorders>
            <w:vAlign w:val="center"/>
            <w:hideMark/>
          </w:tcPr>
          <w:p w14:paraId="5091A78C" w14:textId="24A42A09" w:rsidR="009F099A" w:rsidRPr="00311474" w:rsidRDefault="00E94214"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Highest SCA combination</w:t>
            </w:r>
          </w:p>
        </w:tc>
        <w:tc>
          <w:tcPr>
            <w:tcW w:w="1641" w:type="dxa"/>
            <w:tcBorders>
              <w:top w:val="single" w:sz="4" w:space="0" w:color="auto"/>
              <w:left w:val="nil"/>
              <w:bottom w:val="single" w:sz="4" w:space="0" w:color="auto"/>
              <w:right w:val="single" w:sz="4" w:space="0" w:color="auto"/>
            </w:tcBorders>
            <w:vAlign w:val="center"/>
            <w:hideMark/>
          </w:tcPr>
          <w:p w14:paraId="7ED596C6" w14:textId="724CB15C" w:rsidR="009F099A" w:rsidRPr="00311474" w:rsidRDefault="00E94214"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E94214">
              <w:rPr>
                <w:rFonts w:ascii="Times New Roman" w:eastAsia="Times New Roman" w:hAnsi="Times New Roman" w:cs="Times New Roman"/>
                <w:b/>
                <w:bCs/>
                <w:color w:val="000000"/>
                <w:kern w:val="0"/>
                <w:sz w:val="22"/>
                <w:szCs w:val="22"/>
                <w14:ligatures w14:val="none"/>
              </w:rPr>
              <w:t>SCA value</w:t>
            </w:r>
          </w:p>
        </w:tc>
      </w:tr>
      <w:tr w:rsidR="009F099A" w:rsidRPr="00311474" w14:paraId="3D3750BC"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7D015DE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641" w:type="dxa"/>
            <w:tcBorders>
              <w:top w:val="nil"/>
              <w:left w:val="nil"/>
              <w:bottom w:val="single" w:sz="4" w:space="0" w:color="auto"/>
              <w:right w:val="single" w:sz="4" w:space="0" w:color="auto"/>
            </w:tcBorders>
            <w:vAlign w:val="center"/>
            <w:hideMark/>
          </w:tcPr>
          <w:p w14:paraId="387BD04A"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+0.617</w:t>
            </w:r>
          </w:p>
        </w:tc>
        <w:tc>
          <w:tcPr>
            <w:tcW w:w="1641" w:type="dxa"/>
            <w:tcBorders>
              <w:top w:val="nil"/>
              <w:left w:val="nil"/>
              <w:bottom w:val="single" w:sz="4" w:space="0" w:color="auto"/>
              <w:right w:val="single" w:sz="4" w:space="0" w:color="auto"/>
            </w:tcBorders>
            <w:vAlign w:val="center"/>
            <w:hideMark/>
          </w:tcPr>
          <w:p w14:paraId="00F2866C"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0.273</w:t>
            </w:r>
          </w:p>
        </w:tc>
        <w:tc>
          <w:tcPr>
            <w:tcW w:w="1641" w:type="dxa"/>
            <w:tcBorders>
              <w:top w:val="nil"/>
              <w:left w:val="nil"/>
              <w:bottom w:val="single" w:sz="4" w:space="0" w:color="auto"/>
              <w:right w:val="single" w:sz="4" w:space="0" w:color="auto"/>
            </w:tcBorders>
            <w:vAlign w:val="center"/>
            <w:hideMark/>
          </w:tcPr>
          <w:p w14:paraId="731B810C" w14:textId="6A20C263"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641" w:type="dxa"/>
            <w:tcBorders>
              <w:top w:val="nil"/>
              <w:left w:val="nil"/>
              <w:bottom w:val="single" w:sz="4" w:space="0" w:color="auto"/>
              <w:right w:val="single" w:sz="4" w:space="0" w:color="auto"/>
            </w:tcBorders>
            <w:vAlign w:val="center"/>
            <w:hideMark/>
          </w:tcPr>
          <w:p w14:paraId="0132A2D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N51</w:t>
            </w:r>
          </w:p>
        </w:tc>
        <w:tc>
          <w:tcPr>
            <w:tcW w:w="1641" w:type="dxa"/>
            <w:tcBorders>
              <w:top w:val="nil"/>
              <w:left w:val="nil"/>
              <w:bottom w:val="single" w:sz="4" w:space="0" w:color="auto"/>
              <w:right w:val="single" w:sz="4" w:space="0" w:color="auto"/>
            </w:tcBorders>
            <w:vAlign w:val="center"/>
            <w:hideMark/>
          </w:tcPr>
          <w:p w14:paraId="0E9D223E"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73D63906"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0E2101B9"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641" w:type="dxa"/>
            <w:tcBorders>
              <w:top w:val="nil"/>
              <w:left w:val="nil"/>
              <w:bottom w:val="single" w:sz="4" w:space="0" w:color="auto"/>
              <w:right w:val="single" w:sz="4" w:space="0" w:color="auto"/>
            </w:tcBorders>
            <w:vAlign w:val="center"/>
            <w:hideMark/>
          </w:tcPr>
          <w:p w14:paraId="234BC1AB"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+0.475</w:t>
            </w:r>
          </w:p>
        </w:tc>
        <w:tc>
          <w:tcPr>
            <w:tcW w:w="1641" w:type="dxa"/>
            <w:tcBorders>
              <w:top w:val="nil"/>
              <w:left w:val="nil"/>
              <w:bottom w:val="single" w:sz="4" w:space="0" w:color="auto"/>
              <w:right w:val="single" w:sz="4" w:space="0" w:color="auto"/>
            </w:tcBorders>
            <w:vAlign w:val="center"/>
            <w:hideMark/>
          </w:tcPr>
          <w:p w14:paraId="2C517E16"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0.190</w:t>
            </w:r>
          </w:p>
        </w:tc>
        <w:tc>
          <w:tcPr>
            <w:tcW w:w="1641" w:type="dxa"/>
            <w:tcBorders>
              <w:top w:val="nil"/>
              <w:left w:val="nil"/>
              <w:bottom w:val="single" w:sz="4" w:space="0" w:color="auto"/>
              <w:right w:val="single" w:sz="4" w:space="0" w:color="auto"/>
            </w:tcBorders>
            <w:vAlign w:val="center"/>
            <w:hideMark/>
          </w:tcPr>
          <w:p w14:paraId="4D5ED7FA" w14:textId="0F86699A" w:rsidR="00E94214" w:rsidRPr="00311474" w:rsidRDefault="00E94214" w:rsidP="00E94214">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641" w:type="dxa"/>
            <w:tcBorders>
              <w:top w:val="nil"/>
              <w:left w:val="nil"/>
              <w:bottom w:val="single" w:sz="4" w:space="0" w:color="auto"/>
              <w:right w:val="single" w:sz="4" w:space="0" w:color="auto"/>
            </w:tcBorders>
            <w:vAlign w:val="center"/>
            <w:hideMark/>
          </w:tcPr>
          <w:p w14:paraId="4A905E52"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N02</w:t>
            </w:r>
          </w:p>
        </w:tc>
        <w:tc>
          <w:tcPr>
            <w:tcW w:w="1641" w:type="dxa"/>
            <w:tcBorders>
              <w:top w:val="nil"/>
              <w:left w:val="nil"/>
              <w:bottom w:val="single" w:sz="4" w:space="0" w:color="auto"/>
              <w:right w:val="single" w:sz="4" w:space="0" w:color="auto"/>
            </w:tcBorders>
            <w:vAlign w:val="center"/>
            <w:hideMark/>
          </w:tcPr>
          <w:p w14:paraId="1F7F5B17"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0.688</w:t>
            </w:r>
          </w:p>
        </w:tc>
      </w:tr>
      <w:tr w:rsidR="009F099A" w:rsidRPr="00311474" w14:paraId="7F2B6EC0"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7C5699CE"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641" w:type="dxa"/>
            <w:tcBorders>
              <w:top w:val="nil"/>
              <w:left w:val="nil"/>
              <w:bottom w:val="single" w:sz="4" w:space="0" w:color="auto"/>
              <w:right w:val="single" w:sz="4" w:space="0" w:color="auto"/>
            </w:tcBorders>
            <w:vAlign w:val="center"/>
            <w:hideMark/>
          </w:tcPr>
          <w:p w14:paraId="2157732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+0.158</w:t>
            </w:r>
          </w:p>
        </w:tc>
        <w:tc>
          <w:tcPr>
            <w:tcW w:w="1641" w:type="dxa"/>
            <w:tcBorders>
              <w:top w:val="nil"/>
              <w:left w:val="nil"/>
              <w:bottom w:val="single" w:sz="4" w:space="0" w:color="auto"/>
              <w:right w:val="single" w:sz="4" w:space="0" w:color="auto"/>
            </w:tcBorders>
            <w:vAlign w:val="center"/>
            <w:hideMark/>
          </w:tcPr>
          <w:p w14:paraId="32E8F6EF"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0.252</w:t>
            </w:r>
          </w:p>
        </w:tc>
        <w:tc>
          <w:tcPr>
            <w:tcW w:w="1641" w:type="dxa"/>
            <w:tcBorders>
              <w:top w:val="nil"/>
              <w:left w:val="nil"/>
              <w:bottom w:val="single" w:sz="4" w:space="0" w:color="auto"/>
              <w:right w:val="single" w:sz="4" w:space="0" w:color="auto"/>
            </w:tcBorders>
            <w:vAlign w:val="center"/>
            <w:hideMark/>
          </w:tcPr>
          <w:p w14:paraId="2E55F3E9" w14:textId="1AD9D25D"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327AF741"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N02</w:t>
            </w:r>
          </w:p>
        </w:tc>
        <w:tc>
          <w:tcPr>
            <w:tcW w:w="1641" w:type="dxa"/>
            <w:tcBorders>
              <w:top w:val="nil"/>
              <w:left w:val="nil"/>
              <w:bottom w:val="single" w:sz="4" w:space="0" w:color="auto"/>
              <w:right w:val="single" w:sz="4" w:space="0" w:color="auto"/>
            </w:tcBorders>
            <w:vAlign w:val="center"/>
            <w:hideMark/>
          </w:tcPr>
          <w:p w14:paraId="326C48A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122.143</w:t>
            </w:r>
          </w:p>
        </w:tc>
      </w:tr>
      <w:tr w:rsidR="009F099A" w:rsidRPr="00311474" w14:paraId="59536DC0"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4044BE47"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641" w:type="dxa"/>
            <w:tcBorders>
              <w:top w:val="nil"/>
              <w:left w:val="nil"/>
              <w:bottom w:val="single" w:sz="4" w:space="0" w:color="auto"/>
              <w:right w:val="single" w:sz="4" w:space="0" w:color="auto"/>
            </w:tcBorders>
            <w:vAlign w:val="center"/>
            <w:hideMark/>
          </w:tcPr>
          <w:p w14:paraId="28446D7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+0.142</w:t>
            </w:r>
          </w:p>
        </w:tc>
        <w:tc>
          <w:tcPr>
            <w:tcW w:w="1641" w:type="dxa"/>
            <w:tcBorders>
              <w:top w:val="nil"/>
              <w:left w:val="nil"/>
              <w:bottom w:val="single" w:sz="4" w:space="0" w:color="auto"/>
              <w:right w:val="single" w:sz="4" w:space="0" w:color="auto"/>
            </w:tcBorders>
            <w:vAlign w:val="center"/>
            <w:hideMark/>
          </w:tcPr>
          <w:p w14:paraId="6427D5C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-0.047</w:t>
            </w:r>
          </w:p>
        </w:tc>
        <w:tc>
          <w:tcPr>
            <w:tcW w:w="1641" w:type="dxa"/>
            <w:tcBorders>
              <w:top w:val="nil"/>
              <w:left w:val="nil"/>
              <w:bottom w:val="single" w:sz="4" w:space="0" w:color="auto"/>
              <w:right w:val="single" w:sz="4" w:space="0" w:color="auto"/>
            </w:tcBorders>
            <w:vAlign w:val="center"/>
            <w:hideMark/>
          </w:tcPr>
          <w:p w14:paraId="6742116E" w14:textId="15E3A061"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641" w:type="dxa"/>
            <w:tcBorders>
              <w:top w:val="nil"/>
              <w:left w:val="nil"/>
              <w:bottom w:val="single" w:sz="4" w:space="0" w:color="auto"/>
              <w:right w:val="single" w:sz="4" w:space="0" w:color="auto"/>
            </w:tcBorders>
            <w:vAlign w:val="center"/>
            <w:hideMark/>
          </w:tcPr>
          <w:p w14:paraId="6CA3A1BE"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D666</w:t>
            </w:r>
          </w:p>
        </w:tc>
        <w:tc>
          <w:tcPr>
            <w:tcW w:w="1641" w:type="dxa"/>
            <w:tcBorders>
              <w:top w:val="nil"/>
              <w:left w:val="nil"/>
              <w:bottom w:val="single" w:sz="4" w:space="0" w:color="auto"/>
              <w:right w:val="single" w:sz="4" w:space="0" w:color="auto"/>
            </w:tcBorders>
            <w:vAlign w:val="center"/>
            <w:hideMark/>
          </w:tcPr>
          <w:p w14:paraId="5C80EEBB"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0.838</w:t>
            </w:r>
          </w:p>
        </w:tc>
      </w:tr>
      <w:tr w:rsidR="009F099A" w:rsidRPr="00311474" w14:paraId="58774F69"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70A63537"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641" w:type="dxa"/>
            <w:tcBorders>
              <w:top w:val="nil"/>
              <w:left w:val="nil"/>
              <w:bottom w:val="single" w:sz="4" w:space="0" w:color="auto"/>
              <w:right w:val="single" w:sz="4" w:space="0" w:color="auto"/>
            </w:tcBorders>
            <w:vAlign w:val="center"/>
            <w:hideMark/>
          </w:tcPr>
          <w:p w14:paraId="33547059"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-0.183</w:t>
            </w:r>
          </w:p>
        </w:tc>
        <w:tc>
          <w:tcPr>
            <w:tcW w:w="1641" w:type="dxa"/>
            <w:tcBorders>
              <w:top w:val="nil"/>
              <w:left w:val="nil"/>
              <w:bottom w:val="single" w:sz="4" w:space="0" w:color="auto"/>
              <w:right w:val="single" w:sz="4" w:space="0" w:color="auto"/>
            </w:tcBorders>
            <w:vAlign w:val="center"/>
            <w:hideMark/>
          </w:tcPr>
          <w:p w14:paraId="4966D96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1.869</w:t>
            </w:r>
          </w:p>
        </w:tc>
        <w:tc>
          <w:tcPr>
            <w:tcW w:w="1641" w:type="dxa"/>
            <w:tcBorders>
              <w:top w:val="nil"/>
              <w:left w:val="nil"/>
              <w:bottom w:val="single" w:sz="4" w:space="0" w:color="auto"/>
              <w:right w:val="single" w:sz="4" w:space="0" w:color="auto"/>
            </w:tcBorders>
            <w:vAlign w:val="center"/>
            <w:hideMark/>
          </w:tcPr>
          <w:p w14:paraId="09B0154D" w14:textId="019E82A3"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432DD14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641" w:type="dxa"/>
            <w:tcBorders>
              <w:top w:val="nil"/>
              <w:left w:val="nil"/>
              <w:bottom w:val="single" w:sz="4" w:space="0" w:color="auto"/>
              <w:right w:val="single" w:sz="4" w:space="0" w:color="auto"/>
            </w:tcBorders>
            <w:vAlign w:val="center"/>
            <w:hideMark/>
          </w:tcPr>
          <w:p w14:paraId="4FC1CA36"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170.476</w:t>
            </w:r>
          </w:p>
        </w:tc>
      </w:tr>
      <w:tr w:rsidR="009F099A" w:rsidRPr="00311474" w14:paraId="174D7E87"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742E4828"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641" w:type="dxa"/>
            <w:tcBorders>
              <w:top w:val="nil"/>
              <w:left w:val="nil"/>
              <w:bottom w:val="single" w:sz="4" w:space="0" w:color="auto"/>
              <w:right w:val="single" w:sz="4" w:space="0" w:color="auto"/>
            </w:tcBorders>
            <w:vAlign w:val="center"/>
            <w:hideMark/>
          </w:tcPr>
          <w:p w14:paraId="2E931EA5"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-0.292</w:t>
            </w:r>
          </w:p>
        </w:tc>
        <w:tc>
          <w:tcPr>
            <w:tcW w:w="1641" w:type="dxa"/>
            <w:tcBorders>
              <w:top w:val="nil"/>
              <w:left w:val="nil"/>
              <w:bottom w:val="single" w:sz="4" w:space="0" w:color="auto"/>
              <w:right w:val="single" w:sz="4" w:space="0" w:color="auto"/>
            </w:tcBorders>
            <w:vAlign w:val="center"/>
            <w:hideMark/>
          </w:tcPr>
          <w:p w14:paraId="5D0B5A02"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0.336</w:t>
            </w:r>
          </w:p>
        </w:tc>
        <w:tc>
          <w:tcPr>
            <w:tcW w:w="1641" w:type="dxa"/>
            <w:tcBorders>
              <w:top w:val="nil"/>
              <w:left w:val="nil"/>
              <w:bottom w:val="single" w:sz="4" w:space="0" w:color="auto"/>
              <w:right w:val="single" w:sz="4" w:space="0" w:color="auto"/>
            </w:tcBorders>
            <w:vAlign w:val="center"/>
            <w:hideMark/>
          </w:tcPr>
          <w:p w14:paraId="1788F62A" w14:textId="46CD8212"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7C58714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641" w:type="dxa"/>
            <w:tcBorders>
              <w:top w:val="nil"/>
              <w:left w:val="nil"/>
              <w:bottom w:val="single" w:sz="4" w:space="0" w:color="auto"/>
              <w:right w:val="single" w:sz="4" w:space="0" w:color="auto"/>
            </w:tcBorders>
            <w:vAlign w:val="center"/>
            <w:hideMark/>
          </w:tcPr>
          <w:p w14:paraId="67FE0688"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157.143</w:t>
            </w:r>
          </w:p>
        </w:tc>
      </w:tr>
      <w:tr w:rsidR="009F099A" w:rsidRPr="00311474" w14:paraId="22A816BD"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12FBC2D5"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641" w:type="dxa"/>
            <w:tcBorders>
              <w:top w:val="nil"/>
              <w:left w:val="nil"/>
              <w:bottom w:val="single" w:sz="4" w:space="0" w:color="auto"/>
              <w:right w:val="single" w:sz="4" w:space="0" w:color="auto"/>
            </w:tcBorders>
            <w:vAlign w:val="center"/>
            <w:hideMark/>
          </w:tcPr>
          <w:p w14:paraId="5F6E2B49"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-0.383</w:t>
            </w:r>
          </w:p>
        </w:tc>
        <w:tc>
          <w:tcPr>
            <w:tcW w:w="1641" w:type="dxa"/>
            <w:tcBorders>
              <w:top w:val="nil"/>
              <w:left w:val="nil"/>
              <w:bottom w:val="single" w:sz="4" w:space="0" w:color="auto"/>
              <w:right w:val="single" w:sz="4" w:space="0" w:color="auto"/>
            </w:tcBorders>
            <w:vAlign w:val="center"/>
            <w:hideMark/>
          </w:tcPr>
          <w:p w14:paraId="207F7B6B"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-0.204</w:t>
            </w:r>
          </w:p>
        </w:tc>
        <w:tc>
          <w:tcPr>
            <w:tcW w:w="1641" w:type="dxa"/>
            <w:tcBorders>
              <w:top w:val="nil"/>
              <w:left w:val="nil"/>
              <w:bottom w:val="single" w:sz="4" w:space="0" w:color="auto"/>
              <w:right w:val="single" w:sz="4" w:space="0" w:color="auto"/>
            </w:tcBorders>
            <w:vAlign w:val="center"/>
            <w:hideMark/>
          </w:tcPr>
          <w:p w14:paraId="55AE80ED" w14:textId="2776FC5F"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641" w:type="dxa"/>
            <w:tcBorders>
              <w:top w:val="nil"/>
              <w:left w:val="nil"/>
              <w:bottom w:val="single" w:sz="4" w:space="0" w:color="auto"/>
              <w:right w:val="single" w:sz="4" w:space="0" w:color="auto"/>
            </w:tcBorders>
            <w:vAlign w:val="center"/>
            <w:hideMark/>
          </w:tcPr>
          <w:p w14:paraId="2294E1C3"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1641" w:type="dxa"/>
            <w:tcBorders>
              <w:top w:val="nil"/>
              <w:left w:val="nil"/>
              <w:bottom w:val="single" w:sz="4" w:space="0" w:color="auto"/>
              <w:right w:val="single" w:sz="4" w:space="0" w:color="auto"/>
            </w:tcBorders>
            <w:vAlign w:val="center"/>
            <w:hideMark/>
          </w:tcPr>
          <w:p w14:paraId="44A5AB4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156.190</w:t>
            </w:r>
          </w:p>
        </w:tc>
      </w:tr>
      <w:tr w:rsidR="009F099A" w:rsidRPr="00311474" w14:paraId="06AEEF43" w14:textId="77777777" w:rsidTr="00577DAF">
        <w:trPr>
          <w:trHeight w:val="596"/>
        </w:trPr>
        <w:tc>
          <w:tcPr>
            <w:tcW w:w="1641" w:type="dxa"/>
            <w:tcBorders>
              <w:top w:val="nil"/>
              <w:left w:val="single" w:sz="4" w:space="0" w:color="auto"/>
              <w:bottom w:val="single" w:sz="4" w:space="0" w:color="auto"/>
              <w:right w:val="single" w:sz="4" w:space="0" w:color="auto"/>
            </w:tcBorders>
            <w:vAlign w:val="center"/>
            <w:hideMark/>
          </w:tcPr>
          <w:p w14:paraId="257D0BA1"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641" w:type="dxa"/>
            <w:tcBorders>
              <w:top w:val="nil"/>
              <w:left w:val="nil"/>
              <w:bottom w:val="single" w:sz="4" w:space="0" w:color="auto"/>
              <w:right w:val="single" w:sz="4" w:space="0" w:color="auto"/>
            </w:tcBorders>
            <w:vAlign w:val="center"/>
            <w:hideMark/>
          </w:tcPr>
          <w:p w14:paraId="4933F77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-0.533</w:t>
            </w:r>
          </w:p>
        </w:tc>
        <w:tc>
          <w:tcPr>
            <w:tcW w:w="1641" w:type="dxa"/>
            <w:tcBorders>
              <w:top w:val="nil"/>
              <w:left w:val="nil"/>
              <w:bottom w:val="single" w:sz="4" w:space="0" w:color="auto"/>
              <w:right w:val="single" w:sz="4" w:space="0" w:color="auto"/>
            </w:tcBorders>
            <w:vAlign w:val="center"/>
            <w:hideMark/>
          </w:tcPr>
          <w:p w14:paraId="69A9006B"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0.165</w:t>
            </w:r>
          </w:p>
        </w:tc>
        <w:tc>
          <w:tcPr>
            <w:tcW w:w="1641" w:type="dxa"/>
            <w:tcBorders>
              <w:top w:val="nil"/>
              <w:left w:val="nil"/>
              <w:bottom w:val="single" w:sz="4" w:space="0" w:color="auto"/>
              <w:right w:val="single" w:sz="4" w:space="0" w:color="auto"/>
            </w:tcBorders>
            <w:vAlign w:val="center"/>
            <w:hideMark/>
          </w:tcPr>
          <w:p w14:paraId="1381FC90" w14:textId="504EE184" w:rsidR="009F099A" w:rsidRPr="00311474" w:rsidRDefault="00E94214" w:rsidP="00577DAF">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641" w:type="dxa"/>
            <w:tcBorders>
              <w:top w:val="nil"/>
              <w:left w:val="nil"/>
              <w:bottom w:val="single" w:sz="4" w:space="0" w:color="auto"/>
              <w:right w:val="single" w:sz="4" w:space="0" w:color="auto"/>
            </w:tcBorders>
            <w:vAlign w:val="center"/>
            <w:hideMark/>
          </w:tcPr>
          <w:p w14:paraId="7CC2E52B"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641" w:type="dxa"/>
            <w:tcBorders>
              <w:top w:val="nil"/>
              <w:left w:val="nil"/>
              <w:bottom w:val="single" w:sz="4" w:space="0" w:color="auto"/>
              <w:right w:val="single" w:sz="4" w:space="0" w:color="auto"/>
            </w:tcBorders>
            <w:vAlign w:val="center"/>
            <w:hideMark/>
          </w:tcPr>
          <w:p w14:paraId="5BDEA00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140.476</w:t>
            </w:r>
          </w:p>
        </w:tc>
      </w:tr>
    </w:tbl>
    <w:p w14:paraId="7AEF8846" w14:textId="77777777" w:rsidR="009F099A" w:rsidRPr="00311474" w:rsidRDefault="009F099A">
      <w:pPr>
        <w:rPr>
          <w:rFonts w:ascii="Times New Roman" w:hAnsi="Times New Roman" w:cs="Times New Roman"/>
        </w:rPr>
      </w:pPr>
    </w:p>
    <w:p w14:paraId="7A39BE87"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combining ability analysis of parental lines in the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2023 season revealed clear differences in general combining ability (GCA) among the eight inbred lines. Among them, line N02 exhibited the highest GCA effect (</w:t>
      </w:r>
      <w:proofErr w:type="spellStart"/>
      <w:r w:rsidRPr="009F099A">
        <w:rPr>
          <w:rFonts w:ascii="Times New Roman" w:hAnsi="Times New Roman" w:cs="Times New Roman"/>
        </w:rPr>
        <w:t>ĝj</w:t>
      </w:r>
      <w:proofErr w:type="spellEnd"/>
      <w:r w:rsidRPr="009F099A">
        <w:rPr>
          <w:rFonts w:ascii="Times New Roman" w:hAnsi="Times New Roman" w:cs="Times New Roman"/>
        </w:rPr>
        <w:t xml:space="preserve"> = +0.617) and was classified as “very good,” indicating its strong and stable capacity to transmit favorable alleles to hybrid progenies. The second highest GCA value was observed in N59 (</w:t>
      </w:r>
      <w:proofErr w:type="spellStart"/>
      <w:r w:rsidRPr="009F099A">
        <w:rPr>
          <w:rFonts w:ascii="Times New Roman" w:hAnsi="Times New Roman" w:cs="Times New Roman"/>
        </w:rPr>
        <w:t>ĝj</w:t>
      </w:r>
      <w:proofErr w:type="spellEnd"/>
      <w:r w:rsidRPr="009F099A">
        <w:rPr>
          <w:rFonts w:ascii="Times New Roman" w:hAnsi="Times New Roman" w:cs="Times New Roman"/>
        </w:rPr>
        <w:t xml:space="preserve"> = +0.475), rated as “good,” followed by N15 (+0.158) and N19 (+0.142), which were categorized as “</w:t>
      </w:r>
      <w:commentRangeStart w:id="4"/>
      <w:r w:rsidRPr="009F099A">
        <w:rPr>
          <w:rFonts w:ascii="Times New Roman" w:hAnsi="Times New Roman" w:cs="Times New Roman"/>
        </w:rPr>
        <w:t>f</w:t>
      </w:r>
      <w:commentRangeEnd w:id="4"/>
      <w:r w:rsidR="00A057DD">
        <w:rPr>
          <w:rStyle w:val="ad"/>
        </w:rPr>
        <w:commentReference w:id="4"/>
      </w:r>
      <w:r w:rsidRPr="009F099A">
        <w:rPr>
          <w:rFonts w:ascii="Times New Roman" w:hAnsi="Times New Roman" w:cs="Times New Roman"/>
        </w:rPr>
        <w:t>air.” The positive GCA values of these lines suggest that they possess a high frequency of favorable additive alleles contributing positively to the studied trait, thus demonstrating strong potential as parental lines in hybrid breeding programs.</w:t>
      </w:r>
    </w:p>
    <w:p w14:paraId="144F41F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In contrast, lines N7B (−0.183), D666 (−0.292), N51 (−0.383), and particularly N27 (−0.533) showed negative GCA effects, indicating below-average contributions of favorable </w:t>
      </w:r>
      <w:r w:rsidRPr="009F099A">
        <w:rPr>
          <w:rFonts w:ascii="Times New Roman" w:hAnsi="Times New Roman" w:cs="Times New Roman"/>
        </w:rPr>
        <w:lastRenderedPageBreak/>
        <w:t>additive genes relative to the population mean. Line N27, classified as “very poor,” exhibited limited additive genetic value for the trait under investigation. However, it is important to note that a negative GCA value does not necessarily imply a lack of breeding utility, as hybrid performance also depends on specific combining ability (SCA).</w:t>
      </w:r>
    </w:p>
    <w:p w14:paraId="3FA39E57"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analysis of variance components (σ²Si) revealed differential contributions of parental lines to SCA variation. Lines such as N7B (1.869) and D666 (0.336) exhibited relatively high σ²Si values, suggesting their potential to participate in highly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hybrid combinations despite having low GCA values. This finding highlights the importance of non-additive gene effects (dominance and/or epistasis) in certain specific crosses. Conversely, lines with negative or near-zero σ²Si values (e.g., N19 and N51) showed limited contribution to SCA variation, indicating that their hybrid performance largely depended on additive gene effects.</w:t>
      </w:r>
    </w:p>
    <w:p w14:paraId="02FE4D1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Regarding specific combining ability, several hybrid combinations exhibited remarkably high SCA effects. Notably, N02 × N51 (156.190) and N7B × N02 (170.476) showed exceptionally large SCA values, indicating strong favorable genetic interactions between these parental pairs. Although N7B and N51 had negative GCA values, their crosses with N02 (a line with very high GCA) resulted in pronounced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effects. This demonstrates that genetic complementation between lines with divergent genetic backgrounds can generate strong dominance or </w:t>
      </w:r>
      <w:proofErr w:type="spellStart"/>
      <w:r w:rsidRPr="009F099A">
        <w:rPr>
          <w:rFonts w:ascii="Times New Roman" w:hAnsi="Times New Roman" w:cs="Times New Roman"/>
        </w:rPr>
        <w:t>epistatic</w:t>
      </w:r>
      <w:proofErr w:type="spellEnd"/>
      <w:r w:rsidRPr="009F099A">
        <w:rPr>
          <w:rFonts w:ascii="Times New Roman" w:hAnsi="Times New Roman" w:cs="Times New Roman"/>
        </w:rPr>
        <w:t xml:space="preserve"> interactions, thereby enhancing SCA effects.</w:t>
      </w:r>
    </w:p>
    <w:p w14:paraId="70E145BF" w14:textId="77777777" w:rsidR="009F099A" w:rsidRPr="009F099A" w:rsidRDefault="009F099A" w:rsidP="00EC3751">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Additionally, the combinations N15 × N02 (122.143) and D666 × N51 (157.143) also exhibited high SCA values, suggesting significant </w:t>
      </w:r>
      <w:proofErr w:type="spellStart"/>
      <w:r w:rsidRPr="009F099A">
        <w:rPr>
          <w:rFonts w:ascii="Times New Roman" w:hAnsi="Times New Roman" w:cs="Times New Roman"/>
        </w:rPr>
        <w:t>heterosis</w:t>
      </w:r>
      <w:proofErr w:type="spellEnd"/>
      <w:r w:rsidRPr="009F099A">
        <w:rPr>
          <w:rFonts w:ascii="Times New Roman" w:hAnsi="Times New Roman" w:cs="Times New Roman"/>
        </w:rPr>
        <w:t xml:space="preserve"> potential in crosses involving complementary parental backgrounds. The frequent occurrence of N02 in high-SCA combinations further underscores its central role in the breeding program and confirms its importance as a key parental line for hybrid development.</w:t>
      </w:r>
    </w:p>
    <w:p w14:paraId="6BB0E3A7" w14:textId="012D4AD5" w:rsidR="009F099A" w:rsidRPr="00311474" w:rsidRDefault="00023D90" w:rsidP="009F099A">
      <w:pPr>
        <w:jc w:val="center"/>
        <w:rPr>
          <w:rFonts w:ascii="Times New Roman" w:hAnsi="Times New Roman" w:cs="Times New Roman"/>
          <w:b/>
          <w:bCs/>
        </w:rPr>
      </w:pPr>
      <w:r w:rsidRPr="00023D90">
        <w:rPr>
          <w:rFonts w:ascii="Times New Roman" w:hAnsi="Times New Roman" w:cs="Times New Roman"/>
          <w:b/>
          <w:bCs/>
        </w:rPr>
        <w:t xml:space="preserve">Table 3. Summary of </w:t>
      </w:r>
      <w:r>
        <w:rPr>
          <w:rFonts w:ascii="Times New Roman" w:hAnsi="Times New Roman" w:cs="Times New Roman"/>
          <w:b/>
          <w:bCs/>
        </w:rPr>
        <w:t>c</w:t>
      </w:r>
      <w:r w:rsidRPr="00023D90">
        <w:rPr>
          <w:rFonts w:ascii="Times New Roman" w:hAnsi="Times New Roman" w:cs="Times New Roman"/>
          <w:b/>
          <w:bCs/>
        </w:rPr>
        <w:t xml:space="preserve">ombining </w:t>
      </w:r>
      <w:r>
        <w:rPr>
          <w:rFonts w:ascii="Times New Roman" w:hAnsi="Times New Roman" w:cs="Times New Roman"/>
          <w:b/>
          <w:bCs/>
        </w:rPr>
        <w:t>a</w:t>
      </w:r>
      <w:r w:rsidRPr="00023D90">
        <w:rPr>
          <w:rFonts w:ascii="Times New Roman" w:hAnsi="Times New Roman" w:cs="Times New Roman"/>
          <w:b/>
          <w:bCs/>
        </w:rPr>
        <w:t xml:space="preserve">bility of </w:t>
      </w:r>
      <w:r>
        <w:rPr>
          <w:rFonts w:ascii="Times New Roman" w:hAnsi="Times New Roman" w:cs="Times New Roman"/>
          <w:b/>
          <w:bCs/>
        </w:rPr>
        <w:t>p</w:t>
      </w:r>
      <w:r w:rsidRPr="00023D90">
        <w:rPr>
          <w:rFonts w:ascii="Times New Roman" w:hAnsi="Times New Roman" w:cs="Times New Roman"/>
          <w:b/>
          <w:bCs/>
        </w:rPr>
        <w:t xml:space="preserve">arental </w:t>
      </w:r>
      <w:r>
        <w:rPr>
          <w:rFonts w:ascii="Times New Roman" w:hAnsi="Times New Roman" w:cs="Times New Roman"/>
          <w:b/>
          <w:bCs/>
        </w:rPr>
        <w:t>l</w:t>
      </w:r>
      <w:r w:rsidRPr="00023D90">
        <w:rPr>
          <w:rFonts w:ascii="Times New Roman" w:hAnsi="Times New Roman" w:cs="Times New Roman"/>
          <w:b/>
          <w:bCs/>
        </w:rPr>
        <w:t xml:space="preserve">ines in </w:t>
      </w:r>
      <w:proofErr w:type="gramStart"/>
      <w:r w:rsidRPr="00023D90">
        <w:rPr>
          <w:rFonts w:ascii="Times New Roman" w:hAnsi="Times New Roman" w:cs="Times New Roman"/>
          <w:b/>
          <w:bCs/>
        </w:rPr>
        <w:t>Spring</w:t>
      </w:r>
      <w:proofErr w:type="gramEnd"/>
      <w:r w:rsidRPr="00023D90">
        <w:rPr>
          <w:rFonts w:ascii="Times New Roman" w:hAnsi="Times New Roman" w:cs="Times New Roman"/>
          <w:b/>
          <w:bCs/>
        </w:rPr>
        <w:t xml:space="preserve"> 2024</w:t>
      </w:r>
    </w:p>
    <w:tbl>
      <w:tblPr>
        <w:tblW w:w="9672" w:type="dxa"/>
        <w:tblLook w:val="04A0" w:firstRow="1" w:lastRow="0" w:firstColumn="1" w:lastColumn="0" w:noHBand="0" w:noVBand="1"/>
      </w:tblPr>
      <w:tblGrid>
        <w:gridCol w:w="1492"/>
        <w:gridCol w:w="1572"/>
        <w:gridCol w:w="1572"/>
        <w:gridCol w:w="1572"/>
        <w:gridCol w:w="1892"/>
        <w:gridCol w:w="1572"/>
      </w:tblGrid>
      <w:tr w:rsidR="009F099A" w:rsidRPr="00311474" w14:paraId="12DED62E" w14:textId="77777777" w:rsidTr="00577DAF">
        <w:trPr>
          <w:trHeight w:val="865"/>
        </w:trPr>
        <w:tc>
          <w:tcPr>
            <w:tcW w:w="1492" w:type="dxa"/>
            <w:tcBorders>
              <w:top w:val="single" w:sz="4" w:space="0" w:color="auto"/>
              <w:left w:val="single" w:sz="4" w:space="0" w:color="auto"/>
              <w:bottom w:val="single" w:sz="4" w:space="0" w:color="auto"/>
              <w:right w:val="single" w:sz="4" w:space="0" w:color="auto"/>
            </w:tcBorders>
            <w:vAlign w:val="center"/>
            <w:hideMark/>
          </w:tcPr>
          <w:p w14:paraId="7C1A6F68" w14:textId="2B15A31C" w:rsidR="009F099A" w:rsidRPr="00311474" w:rsidRDefault="004D5B20"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4D5B20">
              <w:rPr>
                <w:rFonts w:ascii="Times New Roman" w:eastAsia="Times New Roman" w:hAnsi="Times New Roman" w:cs="Times New Roman"/>
                <w:b/>
                <w:bCs/>
                <w:color w:val="000000"/>
                <w:kern w:val="0"/>
                <w:sz w:val="22"/>
                <w:szCs w:val="22"/>
                <w14:ligatures w14:val="none"/>
              </w:rPr>
              <w:t>Parental line</w:t>
            </w:r>
          </w:p>
        </w:tc>
        <w:tc>
          <w:tcPr>
            <w:tcW w:w="1572" w:type="dxa"/>
            <w:tcBorders>
              <w:top w:val="single" w:sz="4" w:space="0" w:color="auto"/>
              <w:left w:val="nil"/>
              <w:bottom w:val="single" w:sz="4" w:space="0" w:color="auto"/>
              <w:right w:val="single" w:sz="4" w:space="0" w:color="auto"/>
            </w:tcBorders>
            <w:vAlign w:val="center"/>
            <w:hideMark/>
          </w:tcPr>
          <w:p w14:paraId="1D30DECC" w14:textId="77777777" w:rsidR="009F099A" w:rsidRPr="00311474" w:rsidRDefault="009F099A"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GCA (</w:t>
            </w:r>
            <w:proofErr w:type="spellStart"/>
            <w:r w:rsidRPr="00311474">
              <w:rPr>
                <w:rFonts w:ascii="Times New Roman" w:eastAsia="Times New Roman" w:hAnsi="Times New Roman" w:cs="Times New Roman"/>
                <w:b/>
                <w:bCs/>
                <w:color w:val="000000"/>
                <w:kern w:val="0"/>
                <w:sz w:val="22"/>
                <w:szCs w:val="22"/>
                <w14:ligatures w14:val="none"/>
              </w:rPr>
              <w:t>ĝi</w:t>
            </w:r>
            <w:proofErr w:type="spellEnd"/>
            <w:r w:rsidRPr="00311474">
              <w:rPr>
                <w:rFonts w:ascii="Times New Roman" w:eastAsia="Times New Roman" w:hAnsi="Times New Roman" w:cs="Times New Roman"/>
                <w:b/>
                <w:bCs/>
                <w:color w:val="000000"/>
                <w:kern w:val="0"/>
                <w:sz w:val="22"/>
                <w:szCs w:val="22"/>
                <w14:ligatures w14:val="none"/>
              </w:rPr>
              <w:t>)</w:t>
            </w:r>
          </w:p>
        </w:tc>
        <w:tc>
          <w:tcPr>
            <w:tcW w:w="1572" w:type="dxa"/>
            <w:tcBorders>
              <w:top w:val="single" w:sz="4" w:space="0" w:color="auto"/>
              <w:left w:val="nil"/>
              <w:bottom w:val="single" w:sz="4" w:space="0" w:color="auto"/>
              <w:right w:val="single" w:sz="4" w:space="0" w:color="auto"/>
            </w:tcBorders>
            <w:vAlign w:val="center"/>
            <w:hideMark/>
          </w:tcPr>
          <w:p w14:paraId="76DFEEE1" w14:textId="77777777" w:rsidR="009F099A" w:rsidRPr="00311474" w:rsidRDefault="009F099A"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11474">
              <w:rPr>
                <w:rFonts w:ascii="Times New Roman" w:eastAsia="Times New Roman" w:hAnsi="Times New Roman" w:cs="Times New Roman"/>
                <w:b/>
                <w:bCs/>
                <w:color w:val="000000"/>
                <w:kern w:val="0"/>
                <w:sz w:val="22"/>
                <w:szCs w:val="22"/>
                <w14:ligatures w14:val="none"/>
              </w:rPr>
              <w:t>σ²Si</w:t>
            </w:r>
          </w:p>
        </w:tc>
        <w:tc>
          <w:tcPr>
            <w:tcW w:w="1572" w:type="dxa"/>
            <w:tcBorders>
              <w:top w:val="single" w:sz="4" w:space="0" w:color="auto"/>
              <w:left w:val="nil"/>
              <w:bottom w:val="single" w:sz="4" w:space="0" w:color="auto"/>
              <w:right w:val="single" w:sz="4" w:space="0" w:color="auto"/>
            </w:tcBorders>
            <w:vAlign w:val="center"/>
            <w:hideMark/>
          </w:tcPr>
          <w:p w14:paraId="07DC257A" w14:textId="20B01FA5" w:rsidR="009F099A" w:rsidRPr="00311474" w:rsidRDefault="003C47FD"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GCA classification</w:t>
            </w:r>
          </w:p>
        </w:tc>
        <w:tc>
          <w:tcPr>
            <w:tcW w:w="1892" w:type="dxa"/>
            <w:tcBorders>
              <w:top w:val="single" w:sz="4" w:space="0" w:color="auto"/>
              <w:left w:val="nil"/>
              <w:bottom w:val="single" w:sz="4" w:space="0" w:color="auto"/>
              <w:right w:val="single" w:sz="4" w:space="0" w:color="auto"/>
            </w:tcBorders>
            <w:vAlign w:val="center"/>
            <w:hideMark/>
          </w:tcPr>
          <w:p w14:paraId="239676FD" w14:textId="03F9E1BF" w:rsidR="009F099A" w:rsidRPr="00311474" w:rsidRDefault="003C47FD"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Highest SCA combination</w:t>
            </w:r>
          </w:p>
        </w:tc>
        <w:tc>
          <w:tcPr>
            <w:tcW w:w="1572" w:type="dxa"/>
            <w:tcBorders>
              <w:top w:val="single" w:sz="4" w:space="0" w:color="auto"/>
              <w:left w:val="nil"/>
              <w:bottom w:val="single" w:sz="4" w:space="0" w:color="auto"/>
              <w:right w:val="single" w:sz="4" w:space="0" w:color="auto"/>
            </w:tcBorders>
            <w:vAlign w:val="center"/>
            <w:hideMark/>
          </w:tcPr>
          <w:p w14:paraId="5E5F8E31" w14:textId="2D68AB7A" w:rsidR="009F099A" w:rsidRPr="00311474" w:rsidRDefault="003C47FD"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3C47FD">
              <w:rPr>
                <w:rFonts w:ascii="Times New Roman" w:eastAsia="Times New Roman" w:hAnsi="Times New Roman" w:cs="Times New Roman"/>
                <w:b/>
                <w:bCs/>
                <w:color w:val="000000"/>
                <w:kern w:val="0"/>
                <w:sz w:val="22"/>
                <w:szCs w:val="22"/>
                <w14:ligatures w14:val="none"/>
              </w:rPr>
              <w:t>SCA value</w:t>
            </w:r>
          </w:p>
        </w:tc>
      </w:tr>
      <w:tr w:rsidR="000A4B96" w:rsidRPr="00311474" w14:paraId="0BF99ED6"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09CB57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w:t>
            </w:r>
          </w:p>
        </w:tc>
        <w:tc>
          <w:tcPr>
            <w:tcW w:w="1572" w:type="dxa"/>
            <w:tcBorders>
              <w:top w:val="nil"/>
              <w:left w:val="nil"/>
              <w:bottom w:val="single" w:sz="4" w:space="0" w:color="auto"/>
              <w:right w:val="single" w:sz="4" w:space="0" w:color="auto"/>
            </w:tcBorders>
            <w:vAlign w:val="center"/>
            <w:hideMark/>
          </w:tcPr>
          <w:p w14:paraId="58DB9F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+0.564</w:t>
            </w:r>
          </w:p>
        </w:tc>
        <w:tc>
          <w:tcPr>
            <w:tcW w:w="1572" w:type="dxa"/>
            <w:tcBorders>
              <w:top w:val="nil"/>
              <w:left w:val="nil"/>
              <w:bottom w:val="single" w:sz="4" w:space="0" w:color="auto"/>
              <w:right w:val="single" w:sz="4" w:space="0" w:color="auto"/>
            </w:tcBorders>
            <w:vAlign w:val="center"/>
            <w:hideMark/>
          </w:tcPr>
          <w:p w14:paraId="7C80092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0.314</w:t>
            </w:r>
          </w:p>
        </w:tc>
        <w:tc>
          <w:tcPr>
            <w:tcW w:w="1572" w:type="dxa"/>
            <w:tcBorders>
              <w:top w:val="nil"/>
              <w:left w:val="nil"/>
              <w:bottom w:val="single" w:sz="4" w:space="0" w:color="auto"/>
              <w:right w:val="single" w:sz="4" w:space="0" w:color="auto"/>
            </w:tcBorders>
            <w:vAlign w:val="center"/>
            <w:hideMark/>
          </w:tcPr>
          <w:p w14:paraId="56EB7D2C" w14:textId="4604A376"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Very good</w:t>
            </w:r>
          </w:p>
        </w:tc>
        <w:tc>
          <w:tcPr>
            <w:tcW w:w="1892" w:type="dxa"/>
            <w:tcBorders>
              <w:top w:val="nil"/>
              <w:left w:val="nil"/>
              <w:bottom w:val="single" w:sz="4" w:space="0" w:color="auto"/>
              <w:right w:val="single" w:sz="4" w:space="0" w:color="auto"/>
            </w:tcBorders>
            <w:vAlign w:val="center"/>
            <w:hideMark/>
          </w:tcPr>
          <w:p w14:paraId="232DEBC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3BA451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324F2765"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024F278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w:t>
            </w:r>
          </w:p>
        </w:tc>
        <w:tc>
          <w:tcPr>
            <w:tcW w:w="1572" w:type="dxa"/>
            <w:tcBorders>
              <w:top w:val="nil"/>
              <w:left w:val="nil"/>
              <w:bottom w:val="single" w:sz="4" w:space="0" w:color="auto"/>
              <w:right w:val="single" w:sz="4" w:space="0" w:color="auto"/>
            </w:tcBorders>
            <w:vAlign w:val="center"/>
            <w:hideMark/>
          </w:tcPr>
          <w:p w14:paraId="31ACFB5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4338F34"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0.431</w:t>
            </w:r>
          </w:p>
        </w:tc>
        <w:tc>
          <w:tcPr>
            <w:tcW w:w="1572" w:type="dxa"/>
            <w:tcBorders>
              <w:top w:val="nil"/>
              <w:left w:val="nil"/>
              <w:bottom w:val="single" w:sz="4" w:space="0" w:color="auto"/>
              <w:right w:val="single" w:sz="4" w:space="0" w:color="auto"/>
            </w:tcBorders>
            <w:vAlign w:val="center"/>
            <w:hideMark/>
          </w:tcPr>
          <w:p w14:paraId="590990C3" w14:textId="02923B99"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Good</w:t>
            </w:r>
          </w:p>
        </w:tc>
        <w:tc>
          <w:tcPr>
            <w:tcW w:w="1892" w:type="dxa"/>
            <w:tcBorders>
              <w:top w:val="nil"/>
              <w:left w:val="nil"/>
              <w:bottom w:val="single" w:sz="4" w:space="0" w:color="auto"/>
              <w:right w:val="single" w:sz="4" w:space="0" w:color="auto"/>
            </w:tcBorders>
            <w:vAlign w:val="center"/>
            <w:hideMark/>
          </w:tcPr>
          <w:p w14:paraId="5F035EA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N27</w:t>
            </w:r>
          </w:p>
        </w:tc>
        <w:tc>
          <w:tcPr>
            <w:tcW w:w="1572" w:type="dxa"/>
            <w:tcBorders>
              <w:top w:val="nil"/>
              <w:left w:val="nil"/>
              <w:bottom w:val="single" w:sz="4" w:space="0" w:color="auto"/>
              <w:right w:val="single" w:sz="4" w:space="0" w:color="auto"/>
            </w:tcBorders>
            <w:vAlign w:val="center"/>
            <w:hideMark/>
          </w:tcPr>
          <w:p w14:paraId="1F5245DE"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138.175</w:t>
            </w:r>
          </w:p>
        </w:tc>
      </w:tr>
      <w:tr w:rsidR="009F099A" w:rsidRPr="00311474" w14:paraId="02F9B1F8"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21A72E0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w:t>
            </w:r>
          </w:p>
        </w:tc>
        <w:tc>
          <w:tcPr>
            <w:tcW w:w="1572" w:type="dxa"/>
            <w:tcBorders>
              <w:top w:val="nil"/>
              <w:left w:val="nil"/>
              <w:bottom w:val="single" w:sz="4" w:space="0" w:color="auto"/>
              <w:right w:val="single" w:sz="4" w:space="0" w:color="auto"/>
            </w:tcBorders>
            <w:vAlign w:val="center"/>
            <w:hideMark/>
          </w:tcPr>
          <w:p w14:paraId="259E72D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+0.181</w:t>
            </w:r>
          </w:p>
        </w:tc>
        <w:tc>
          <w:tcPr>
            <w:tcW w:w="1572" w:type="dxa"/>
            <w:tcBorders>
              <w:top w:val="nil"/>
              <w:left w:val="nil"/>
              <w:bottom w:val="single" w:sz="4" w:space="0" w:color="auto"/>
              <w:right w:val="single" w:sz="4" w:space="0" w:color="auto"/>
            </w:tcBorders>
            <w:vAlign w:val="center"/>
            <w:hideMark/>
          </w:tcPr>
          <w:p w14:paraId="4AA7FB24"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0.116</w:t>
            </w:r>
          </w:p>
        </w:tc>
        <w:tc>
          <w:tcPr>
            <w:tcW w:w="1572" w:type="dxa"/>
            <w:tcBorders>
              <w:top w:val="nil"/>
              <w:left w:val="nil"/>
              <w:bottom w:val="single" w:sz="4" w:space="0" w:color="auto"/>
              <w:right w:val="single" w:sz="4" w:space="0" w:color="auto"/>
            </w:tcBorders>
            <w:vAlign w:val="center"/>
            <w:hideMark/>
          </w:tcPr>
          <w:p w14:paraId="295A82E6" w14:textId="73034251" w:rsidR="009F099A" w:rsidRPr="00311474" w:rsidRDefault="000A4B96" w:rsidP="00577DAF">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Fairly good</w:t>
            </w:r>
          </w:p>
        </w:tc>
        <w:tc>
          <w:tcPr>
            <w:tcW w:w="1892" w:type="dxa"/>
            <w:tcBorders>
              <w:top w:val="nil"/>
              <w:left w:val="nil"/>
              <w:bottom w:val="single" w:sz="4" w:space="0" w:color="auto"/>
              <w:right w:val="single" w:sz="4" w:space="0" w:color="auto"/>
            </w:tcBorders>
            <w:vAlign w:val="center"/>
            <w:hideMark/>
          </w:tcPr>
          <w:p w14:paraId="105C7DD6"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N19</w:t>
            </w:r>
          </w:p>
        </w:tc>
        <w:tc>
          <w:tcPr>
            <w:tcW w:w="1572" w:type="dxa"/>
            <w:tcBorders>
              <w:top w:val="nil"/>
              <w:left w:val="nil"/>
              <w:bottom w:val="single" w:sz="4" w:space="0" w:color="auto"/>
              <w:right w:val="single" w:sz="4" w:space="0" w:color="auto"/>
            </w:tcBorders>
            <w:vAlign w:val="center"/>
            <w:hideMark/>
          </w:tcPr>
          <w:p w14:paraId="47542AC5"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0.954</w:t>
            </w:r>
          </w:p>
        </w:tc>
      </w:tr>
      <w:tr w:rsidR="000A4B96" w:rsidRPr="00311474" w14:paraId="3CA4113A"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402D27D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w:t>
            </w:r>
          </w:p>
        </w:tc>
        <w:tc>
          <w:tcPr>
            <w:tcW w:w="1572" w:type="dxa"/>
            <w:tcBorders>
              <w:top w:val="nil"/>
              <w:left w:val="nil"/>
              <w:bottom w:val="single" w:sz="4" w:space="0" w:color="auto"/>
              <w:right w:val="single" w:sz="4" w:space="0" w:color="auto"/>
            </w:tcBorders>
            <w:vAlign w:val="center"/>
            <w:hideMark/>
          </w:tcPr>
          <w:p w14:paraId="1F5F795F"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-0.152</w:t>
            </w:r>
          </w:p>
        </w:tc>
        <w:tc>
          <w:tcPr>
            <w:tcW w:w="1572" w:type="dxa"/>
            <w:tcBorders>
              <w:top w:val="nil"/>
              <w:left w:val="nil"/>
              <w:bottom w:val="single" w:sz="4" w:space="0" w:color="auto"/>
              <w:right w:val="single" w:sz="4" w:space="0" w:color="auto"/>
            </w:tcBorders>
            <w:vAlign w:val="center"/>
            <w:hideMark/>
          </w:tcPr>
          <w:p w14:paraId="2CBFF67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3.563</w:t>
            </w:r>
          </w:p>
        </w:tc>
        <w:tc>
          <w:tcPr>
            <w:tcW w:w="1572" w:type="dxa"/>
            <w:tcBorders>
              <w:top w:val="nil"/>
              <w:left w:val="nil"/>
              <w:bottom w:val="single" w:sz="4" w:space="0" w:color="auto"/>
              <w:right w:val="single" w:sz="4" w:space="0" w:color="auto"/>
            </w:tcBorders>
            <w:vAlign w:val="center"/>
            <w:hideMark/>
          </w:tcPr>
          <w:p w14:paraId="5B5E5173" w14:textId="482025D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4C67810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N7B × N02</w:t>
            </w:r>
          </w:p>
        </w:tc>
        <w:tc>
          <w:tcPr>
            <w:tcW w:w="1572" w:type="dxa"/>
            <w:tcBorders>
              <w:top w:val="nil"/>
              <w:left w:val="nil"/>
              <w:bottom w:val="single" w:sz="4" w:space="0" w:color="auto"/>
              <w:right w:val="single" w:sz="4" w:space="0" w:color="auto"/>
            </w:tcBorders>
            <w:vAlign w:val="center"/>
            <w:hideMark/>
          </w:tcPr>
          <w:p w14:paraId="39CE5BC9"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222.063</w:t>
            </w:r>
          </w:p>
        </w:tc>
      </w:tr>
      <w:tr w:rsidR="000A4B96" w:rsidRPr="00311474" w14:paraId="4FBAD494"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7D35A46D"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w:t>
            </w:r>
          </w:p>
        </w:tc>
        <w:tc>
          <w:tcPr>
            <w:tcW w:w="1572" w:type="dxa"/>
            <w:tcBorders>
              <w:top w:val="nil"/>
              <w:left w:val="nil"/>
              <w:bottom w:val="single" w:sz="4" w:space="0" w:color="auto"/>
              <w:right w:val="single" w:sz="4" w:space="0" w:color="auto"/>
            </w:tcBorders>
            <w:vAlign w:val="center"/>
            <w:hideMark/>
          </w:tcPr>
          <w:p w14:paraId="0DF1D8F2"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-0.281</w:t>
            </w:r>
          </w:p>
        </w:tc>
        <w:tc>
          <w:tcPr>
            <w:tcW w:w="1572" w:type="dxa"/>
            <w:tcBorders>
              <w:top w:val="nil"/>
              <w:left w:val="nil"/>
              <w:bottom w:val="single" w:sz="4" w:space="0" w:color="auto"/>
              <w:right w:val="single" w:sz="4" w:space="0" w:color="auto"/>
            </w:tcBorders>
            <w:vAlign w:val="center"/>
            <w:hideMark/>
          </w:tcPr>
          <w:p w14:paraId="121C6C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0.681</w:t>
            </w:r>
          </w:p>
        </w:tc>
        <w:tc>
          <w:tcPr>
            <w:tcW w:w="1572" w:type="dxa"/>
            <w:tcBorders>
              <w:top w:val="nil"/>
              <w:left w:val="nil"/>
              <w:bottom w:val="single" w:sz="4" w:space="0" w:color="auto"/>
              <w:right w:val="single" w:sz="4" w:space="0" w:color="auto"/>
            </w:tcBorders>
            <w:vAlign w:val="center"/>
            <w:hideMark/>
          </w:tcPr>
          <w:p w14:paraId="6777262C" w14:textId="120BCEBC"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1004AC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N15 × N59</w:t>
            </w:r>
          </w:p>
        </w:tc>
        <w:tc>
          <w:tcPr>
            <w:tcW w:w="1572" w:type="dxa"/>
            <w:tcBorders>
              <w:top w:val="nil"/>
              <w:left w:val="nil"/>
              <w:bottom w:val="single" w:sz="4" w:space="0" w:color="auto"/>
              <w:right w:val="single" w:sz="4" w:space="0" w:color="auto"/>
            </w:tcBorders>
            <w:vAlign w:val="center"/>
            <w:hideMark/>
          </w:tcPr>
          <w:p w14:paraId="63410071"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commentRangeStart w:id="5"/>
            <w:r w:rsidRPr="00311474">
              <w:rPr>
                <w:rFonts w:ascii="Times New Roman" w:eastAsia="Times New Roman" w:hAnsi="Times New Roman" w:cs="Times New Roman"/>
                <w:color w:val="000000"/>
                <w:kern w:val="0"/>
                <w:sz w:val="22"/>
                <w:szCs w:val="22"/>
                <w14:ligatures w14:val="none"/>
              </w:rPr>
              <w:t>1</w:t>
            </w:r>
            <w:commentRangeEnd w:id="5"/>
            <w:r w:rsidR="00A057DD">
              <w:rPr>
                <w:rStyle w:val="ad"/>
              </w:rPr>
              <w:commentReference w:id="5"/>
            </w:r>
            <w:r w:rsidRPr="00311474">
              <w:rPr>
                <w:rFonts w:ascii="Times New Roman" w:eastAsia="Times New Roman" w:hAnsi="Times New Roman" w:cs="Times New Roman"/>
                <w:color w:val="000000"/>
                <w:kern w:val="0"/>
                <w:sz w:val="22"/>
                <w:szCs w:val="22"/>
                <w14:ligatures w14:val="none"/>
              </w:rPr>
              <w:t>.556.508</w:t>
            </w:r>
          </w:p>
        </w:tc>
      </w:tr>
      <w:tr w:rsidR="000A4B96" w:rsidRPr="00311474" w14:paraId="3BCE641D"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4D7A1053"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w:t>
            </w:r>
          </w:p>
        </w:tc>
        <w:tc>
          <w:tcPr>
            <w:tcW w:w="1572" w:type="dxa"/>
            <w:tcBorders>
              <w:top w:val="nil"/>
              <w:left w:val="nil"/>
              <w:bottom w:val="single" w:sz="4" w:space="0" w:color="auto"/>
              <w:right w:val="single" w:sz="4" w:space="0" w:color="auto"/>
            </w:tcBorders>
            <w:vAlign w:val="center"/>
            <w:hideMark/>
          </w:tcPr>
          <w:p w14:paraId="5ED122D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-0.285</w:t>
            </w:r>
          </w:p>
        </w:tc>
        <w:tc>
          <w:tcPr>
            <w:tcW w:w="1572" w:type="dxa"/>
            <w:tcBorders>
              <w:top w:val="nil"/>
              <w:left w:val="nil"/>
              <w:bottom w:val="single" w:sz="4" w:space="0" w:color="auto"/>
              <w:right w:val="single" w:sz="4" w:space="0" w:color="auto"/>
            </w:tcBorders>
            <w:vAlign w:val="center"/>
            <w:hideMark/>
          </w:tcPr>
          <w:p w14:paraId="183227B0"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0.464</w:t>
            </w:r>
          </w:p>
        </w:tc>
        <w:tc>
          <w:tcPr>
            <w:tcW w:w="1572" w:type="dxa"/>
            <w:tcBorders>
              <w:top w:val="nil"/>
              <w:left w:val="nil"/>
              <w:bottom w:val="single" w:sz="4" w:space="0" w:color="auto"/>
              <w:right w:val="single" w:sz="4" w:space="0" w:color="auto"/>
            </w:tcBorders>
            <w:vAlign w:val="center"/>
            <w:hideMark/>
          </w:tcPr>
          <w:p w14:paraId="57294A67" w14:textId="1D13CEA4"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E94214">
              <w:rPr>
                <w:rFonts w:ascii="Times New Roman" w:eastAsia="Times New Roman" w:hAnsi="Times New Roman" w:cs="Times New Roman"/>
                <w:color w:val="000000"/>
                <w:kern w:val="0"/>
                <w:sz w:val="22"/>
                <w:szCs w:val="22"/>
                <w14:ligatures w14:val="none"/>
              </w:rPr>
              <w:t>Poor</w:t>
            </w:r>
          </w:p>
        </w:tc>
        <w:tc>
          <w:tcPr>
            <w:tcW w:w="1892" w:type="dxa"/>
            <w:tcBorders>
              <w:top w:val="nil"/>
              <w:left w:val="nil"/>
              <w:bottom w:val="single" w:sz="4" w:space="0" w:color="auto"/>
              <w:right w:val="single" w:sz="4" w:space="0" w:color="auto"/>
            </w:tcBorders>
            <w:vAlign w:val="center"/>
            <w:hideMark/>
          </w:tcPr>
          <w:p w14:paraId="6618257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N51</w:t>
            </w:r>
          </w:p>
        </w:tc>
        <w:tc>
          <w:tcPr>
            <w:tcW w:w="1572" w:type="dxa"/>
            <w:tcBorders>
              <w:top w:val="nil"/>
              <w:left w:val="nil"/>
              <w:bottom w:val="single" w:sz="4" w:space="0" w:color="auto"/>
              <w:right w:val="single" w:sz="4" w:space="0" w:color="auto"/>
            </w:tcBorders>
            <w:vAlign w:val="center"/>
            <w:hideMark/>
          </w:tcPr>
          <w:p w14:paraId="4762FE9B"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0A4B96" w:rsidRPr="00311474" w14:paraId="2862223D"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77E38446"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w:t>
            </w:r>
          </w:p>
        </w:tc>
        <w:tc>
          <w:tcPr>
            <w:tcW w:w="1572" w:type="dxa"/>
            <w:tcBorders>
              <w:top w:val="nil"/>
              <w:left w:val="nil"/>
              <w:bottom w:val="single" w:sz="4" w:space="0" w:color="auto"/>
              <w:right w:val="single" w:sz="4" w:space="0" w:color="auto"/>
            </w:tcBorders>
            <w:vAlign w:val="center"/>
            <w:hideMark/>
          </w:tcPr>
          <w:p w14:paraId="6E56662A"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-0.427</w:t>
            </w:r>
          </w:p>
        </w:tc>
        <w:tc>
          <w:tcPr>
            <w:tcW w:w="1572" w:type="dxa"/>
            <w:tcBorders>
              <w:top w:val="nil"/>
              <w:left w:val="nil"/>
              <w:bottom w:val="single" w:sz="4" w:space="0" w:color="auto"/>
              <w:right w:val="single" w:sz="4" w:space="0" w:color="auto"/>
            </w:tcBorders>
            <w:vAlign w:val="center"/>
            <w:hideMark/>
          </w:tcPr>
          <w:p w14:paraId="039A5977"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-0.022</w:t>
            </w:r>
          </w:p>
        </w:tc>
        <w:tc>
          <w:tcPr>
            <w:tcW w:w="1572" w:type="dxa"/>
            <w:tcBorders>
              <w:top w:val="nil"/>
              <w:left w:val="nil"/>
              <w:bottom w:val="single" w:sz="4" w:space="0" w:color="auto"/>
              <w:right w:val="single" w:sz="4" w:space="0" w:color="auto"/>
            </w:tcBorders>
            <w:vAlign w:val="center"/>
            <w:hideMark/>
          </w:tcPr>
          <w:p w14:paraId="5366D59D" w14:textId="260DFDCA"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2B1DC865"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D666</w:t>
            </w:r>
          </w:p>
        </w:tc>
        <w:tc>
          <w:tcPr>
            <w:tcW w:w="1572" w:type="dxa"/>
            <w:tcBorders>
              <w:top w:val="nil"/>
              <w:left w:val="nil"/>
              <w:bottom w:val="single" w:sz="4" w:space="0" w:color="auto"/>
              <w:right w:val="single" w:sz="4" w:space="0" w:color="auto"/>
            </w:tcBorders>
            <w:vAlign w:val="center"/>
            <w:hideMark/>
          </w:tcPr>
          <w:p w14:paraId="309D94CC" w14:textId="77777777" w:rsidR="000A4B96" w:rsidRPr="00311474" w:rsidRDefault="000A4B96" w:rsidP="000A4B96">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154.841</w:t>
            </w:r>
          </w:p>
        </w:tc>
      </w:tr>
      <w:tr w:rsidR="009F099A" w:rsidRPr="00311474" w14:paraId="33157C6A" w14:textId="77777777" w:rsidTr="00577DAF">
        <w:trPr>
          <w:trHeight w:val="470"/>
        </w:trPr>
        <w:tc>
          <w:tcPr>
            <w:tcW w:w="1492" w:type="dxa"/>
            <w:tcBorders>
              <w:top w:val="nil"/>
              <w:left w:val="single" w:sz="4" w:space="0" w:color="auto"/>
              <w:bottom w:val="single" w:sz="4" w:space="0" w:color="auto"/>
              <w:right w:val="single" w:sz="4" w:space="0" w:color="auto"/>
            </w:tcBorders>
            <w:vAlign w:val="center"/>
            <w:hideMark/>
          </w:tcPr>
          <w:p w14:paraId="57C8469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w:t>
            </w:r>
          </w:p>
        </w:tc>
        <w:tc>
          <w:tcPr>
            <w:tcW w:w="1572" w:type="dxa"/>
            <w:tcBorders>
              <w:top w:val="nil"/>
              <w:left w:val="nil"/>
              <w:bottom w:val="single" w:sz="4" w:space="0" w:color="auto"/>
              <w:right w:val="single" w:sz="4" w:space="0" w:color="auto"/>
            </w:tcBorders>
            <w:vAlign w:val="center"/>
            <w:hideMark/>
          </w:tcPr>
          <w:p w14:paraId="3949E7A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-0.627</w:t>
            </w:r>
          </w:p>
        </w:tc>
        <w:tc>
          <w:tcPr>
            <w:tcW w:w="1572" w:type="dxa"/>
            <w:tcBorders>
              <w:top w:val="nil"/>
              <w:left w:val="nil"/>
              <w:bottom w:val="single" w:sz="4" w:space="0" w:color="auto"/>
              <w:right w:val="single" w:sz="4" w:space="0" w:color="auto"/>
            </w:tcBorders>
            <w:vAlign w:val="center"/>
            <w:hideMark/>
          </w:tcPr>
          <w:p w14:paraId="6349AE3D"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0.828</w:t>
            </w:r>
          </w:p>
        </w:tc>
        <w:tc>
          <w:tcPr>
            <w:tcW w:w="1572" w:type="dxa"/>
            <w:tcBorders>
              <w:top w:val="nil"/>
              <w:left w:val="nil"/>
              <w:bottom w:val="single" w:sz="4" w:space="0" w:color="auto"/>
              <w:right w:val="single" w:sz="4" w:space="0" w:color="auto"/>
            </w:tcBorders>
            <w:vAlign w:val="center"/>
            <w:hideMark/>
          </w:tcPr>
          <w:p w14:paraId="1CAE4490" w14:textId="54E7D1F7" w:rsidR="009F099A" w:rsidRPr="00311474" w:rsidRDefault="000A4B96" w:rsidP="00577DAF">
            <w:pPr>
              <w:spacing w:after="0" w:line="240" w:lineRule="auto"/>
              <w:jc w:val="cente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Very p</w:t>
            </w:r>
            <w:r w:rsidRPr="00E94214">
              <w:rPr>
                <w:rFonts w:ascii="Times New Roman" w:eastAsia="Times New Roman" w:hAnsi="Times New Roman" w:cs="Times New Roman"/>
                <w:color w:val="000000"/>
                <w:kern w:val="0"/>
                <w:sz w:val="22"/>
                <w:szCs w:val="22"/>
                <w14:ligatures w14:val="none"/>
              </w:rPr>
              <w:t>oor</w:t>
            </w:r>
          </w:p>
        </w:tc>
        <w:tc>
          <w:tcPr>
            <w:tcW w:w="1892" w:type="dxa"/>
            <w:tcBorders>
              <w:top w:val="nil"/>
              <w:left w:val="nil"/>
              <w:bottom w:val="single" w:sz="4" w:space="0" w:color="auto"/>
              <w:right w:val="single" w:sz="4" w:space="0" w:color="auto"/>
            </w:tcBorders>
            <w:vAlign w:val="center"/>
            <w:hideMark/>
          </w:tcPr>
          <w:p w14:paraId="6488F917"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N7B</w:t>
            </w:r>
          </w:p>
        </w:tc>
        <w:tc>
          <w:tcPr>
            <w:tcW w:w="1572" w:type="dxa"/>
            <w:tcBorders>
              <w:top w:val="nil"/>
              <w:left w:val="nil"/>
              <w:bottom w:val="single" w:sz="4" w:space="0" w:color="auto"/>
              <w:right w:val="single" w:sz="4" w:space="0" w:color="auto"/>
            </w:tcBorders>
            <w:vAlign w:val="center"/>
            <w:hideMark/>
          </w:tcPr>
          <w:p w14:paraId="75C8CAB5" w14:textId="77777777" w:rsidR="009F099A" w:rsidRPr="00311474" w:rsidRDefault="009F099A"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157.063</w:t>
            </w:r>
          </w:p>
        </w:tc>
      </w:tr>
    </w:tbl>
    <w:p w14:paraId="4EC142E0" w14:textId="77777777" w:rsidR="009F099A" w:rsidRPr="00311474" w:rsidRDefault="009F099A">
      <w:pPr>
        <w:rPr>
          <w:rFonts w:ascii="Times New Roman" w:hAnsi="Times New Roman" w:cs="Times New Roman"/>
        </w:rPr>
      </w:pPr>
    </w:p>
    <w:p w14:paraId="096A07D5"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combining ability analysis of parental lines in the </w:t>
      </w:r>
      <w:proofErr w:type="gramStart"/>
      <w:r w:rsidRPr="009F099A">
        <w:rPr>
          <w:rFonts w:ascii="Times New Roman" w:hAnsi="Times New Roman" w:cs="Times New Roman"/>
        </w:rPr>
        <w:t>Spring</w:t>
      </w:r>
      <w:proofErr w:type="gramEnd"/>
      <w:r w:rsidRPr="009F099A">
        <w:rPr>
          <w:rFonts w:ascii="Times New Roman" w:hAnsi="Times New Roman" w:cs="Times New Roman"/>
        </w:rPr>
        <w:t xml:space="preserve"> 2024 season continued to reveal clear differentiation in GCA effects among the inbred lines. Line N02 exhibited the highest GCA value (</w:t>
      </w:r>
      <w:proofErr w:type="spellStart"/>
      <w:r w:rsidRPr="009F099A">
        <w:rPr>
          <w:rFonts w:ascii="Times New Roman" w:hAnsi="Times New Roman" w:cs="Times New Roman"/>
        </w:rPr>
        <w:t>ĝi</w:t>
      </w:r>
      <w:proofErr w:type="spellEnd"/>
      <w:r w:rsidRPr="009F099A">
        <w:rPr>
          <w:rFonts w:ascii="Times New Roman" w:hAnsi="Times New Roman" w:cs="Times New Roman"/>
        </w:rPr>
        <w:t xml:space="preserve"> = +0.564) and was classified as “very good,” confirming its consistent ability to transmit favorable alleles across hybrid combinations. The next highest GCA value was observed </w:t>
      </w:r>
      <w:r w:rsidRPr="009F099A">
        <w:rPr>
          <w:rFonts w:ascii="Times New Roman" w:hAnsi="Times New Roman" w:cs="Times New Roman"/>
        </w:rPr>
        <w:lastRenderedPageBreak/>
        <w:t>in N59 (</w:t>
      </w:r>
      <w:proofErr w:type="spellStart"/>
      <w:r w:rsidRPr="009F099A">
        <w:rPr>
          <w:rFonts w:ascii="Times New Roman" w:hAnsi="Times New Roman" w:cs="Times New Roman"/>
        </w:rPr>
        <w:t>ĝi</w:t>
      </w:r>
      <w:proofErr w:type="spellEnd"/>
      <w:r w:rsidRPr="009F099A">
        <w:rPr>
          <w:rFonts w:ascii="Times New Roman" w:hAnsi="Times New Roman" w:cs="Times New Roman"/>
        </w:rPr>
        <w:t xml:space="preserve"> = +0.464), rated as “good,” followed by N19 (+0.181), which was classified as “fair.” The positive GCA effects of these lines indicate the presence of favorable additive alleles and highlight their potential as key parental lines in hybrid breeding programs.</w:t>
      </w:r>
    </w:p>
    <w:p w14:paraId="43BB1D1E"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Conversely, lines N7B (−0.152), N15 (−0.281), D666 (−0.285), N51 (−0.427), and N27 (−0.627) exhibited negative GCA effects and were rated from “poor” to “very poor.” Notably, N27 again showed the lowest GCA value, consistent with the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2023 results, indicating limited additive genetic contribution. However, as observed in the previous season, low GCA does not necessarily imply low breeding value, since favorable SCA effects may compensate through specific gene interactions.</w:t>
      </w:r>
    </w:p>
    <w:p w14:paraId="7C58DE3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analysis of SCA variance components (σ²Si) showed that several lines contributed substantially to non-additive variation, particularly N7B (3.563), N27 (0.828), and N15 (0.681). These results suggest that these lines have strong potential to generate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effects when crossed with genetically complementary parents. In contrast, lines such as N51 exhibited very low σ²Si values (−0.022), indicating limited contribution to SCA variation.</w:t>
      </w:r>
    </w:p>
    <w:p w14:paraId="7851C768"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Regarding specific combining ability, several hybrid combinations displayed remarkably high SCA effects. The most outstanding was N7B × N02, with an SCA value of 222.063, indicating a very strong genetic interaction between these two lines. Notably, although N7B had a negative GCA effect, its cross with N02 (a line with very high GCA) resulted in pronounced </w:t>
      </w:r>
      <w:proofErr w:type="spellStart"/>
      <w:r w:rsidRPr="009F099A">
        <w:rPr>
          <w:rFonts w:ascii="Times New Roman" w:hAnsi="Times New Roman" w:cs="Times New Roman"/>
        </w:rPr>
        <w:t>heterosis</w:t>
      </w:r>
      <w:proofErr w:type="spellEnd"/>
      <w:r w:rsidRPr="009F099A">
        <w:rPr>
          <w:rFonts w:ascii="Times New Roman" w:hAnsi="Times New Roman" w:cs="Times New Roman"/>
        </w:rPr>
        <w:t xml:space="preserve">, reflecting effective genetic complementation between divergent parental backgrounds. Similarly, D666 × N51 (154.841) and N27 × N7B (157.063) also exhibited high SCA values, highlighting the role of dominance and/or </w:t>
      </w:r>
      <w:proofErr w:type="spellStart"/>
      <w:r w:rsidRPr="009F099A">
        <w:rPr>
          <w:rFonts w:ascii="Times New Roman" w:hAnsi="Times New Roman" w:cs="Times New Roman"/>
        </w:rPr>
        <w:t>epistatic</w:t>
      </w:r>
      <w:proofErr w:type="spellEnd"/>
      <w:r w:rsidRPr="009F099A">
        <w:rPr>
          <w:rFonts w:ascii="Times New Roman" w:hAnsi="Times New Roman" w:cs="Times New Roman"/>
        </w:rPr>
        <w:t xml:space="preserve"> interactions in </w:t>
      </w:r>
      <w:proofErr w:type="spellStart"/>
      <w:r w:rsidRPr="009F099A">
        <w:rPr>
          <w:rFonts w:ascii="Times New Roman" w:hAnsi="Times New Roman" w:cs="Times New Roman"/>
        </w:rPr>
        <w:t>heterosis</w:t>
      </w:r>
      <w:proofErr w:type="spellEnd"/>
      <w:r w:rsidRPr="009F099A">
        <w:rPr>
          <w:rFonts w:ascii="Times New Roman" w:hAnsi="Times New Roman" w:cs="Times New Roman"/>
        </w:rPr>
        <w:t xml:space="preserve"> expression.</w:t>
      </w:r>
    </w:p>
    <w:p w14:paraId="745BE27B"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Particularly remarkable was the hybrid N15 × N59, which showed an exceptionally large SCA value (1,556.508), suggesting a superior interaction effect under </w:t>
      </w:r>
      <w:proofErr w:type="gramStart"/>
      <w:r w:rsidRPr="009F099A">
        <w:rPr>
          <w:rFonts w:ascii="Times New Roman" w:hAnsi="Times New Roman" w:cs="Times New Roman"/>
        </w:rPr>
        <w:t>Spring</w:t>
      </w:r>
      <w:proofErr w:type="gramEnd"/>
      <w:r w:rsidRPr="009F099A">
        <w:rPr>
          <w:rFonts w:ascii="Times New Roman" w:hAnsi="Times New Roman" w:cs="Times New Roman"/>
        </w:rPr>
        <w:t xml:space="preserve"> conditions. This may reflect specific genetic complementation or enhanced environmental adaptation of this cross during the </w:t>
      </w:r>
      <w:proofErr w:type="gramStart"/>
      <w:r w:rsidRPr="009F099A">
        <w:rPr>
          <w:rFonts w:ascii="Times New Roman" w:hAnsi="Times New Roman" w:cs="Times New Roman"/>
        </w:rPr>
        <w:t>Spring</w:t>
      </w:r>
      <w:proofErr w:type="gramEnd"/>
      <w:r w:rsidRPr="009F099A">
        <w:rPr>
          <w:rFonts w:ascii="Times New Roman" w:hAnsi="Times New Roman" w:cs="Times New Roman"/>
        </w:rPr>
        <w:t xml:space="preserve"> season.</w:t>
      </w:r>
    </w:p>
    <w:p w14:paraId="040C72B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Comparison with the </w:t>
      </w:r>
      <w:proofErr w:type="gramStart"/>
      <w:r w:rsidRPr="009F099A">
        <w:rPr>
          <w:rFonts w:ascii="Times New Roman" w:hAnsi="Times New Roman" w:cs="Times New Roman"/>
        </w:rPr>
        <w:t>Winter</w:t>
      </w:r>
      <w:proofErr w:type="gramEnd"/>
      <w:r w:rsidRPr="009F099A">
        <w:rPr>
          <w:rFonts w:ascii="Times New Roman" w:hAnsi="Times New Roman" w:cs="Times New Roman"/>
        </w:rPr>
        <w:t xml:space="preserve"> 2023 season indicates a consistent overall pattern: N02 and N59 maintained high positive GCA values and played central roles in hybrid combinations with high SCA effects. This demonstrates the genetic stability of these two lines across seasons. However, SCA variation appeared greater in </w:t>
      </w:r>
      <w:proofErr w:type="gramStart"/>
      <w:r w:rsidRPr="009F099A">
        <w:rPr>
          <w:rFonts w:ascii="Times New Roman" w:hAnsi="Times New Roman" w:cs="Times New Roman"/>
        </w:rPr>
        <w:t>Spring</w:t>
      </w:r>
      <w:proofErr w:type="gramEnd"/>
      <w:r w:rsidRPr="009F099A">
        <w:rPr>
          <w:rFonts w:ascii="Times New Roman" w:hAnsi="Times New Roman" w:cs="Times New Roman"/>
        </w:rPr>
        <w:t xml:space="preserve"> 2024, as evidenced by several extremely high SCA values and increased σ²Si estimates in certain lines, suggesting a stronger influence of environmental conditions on non-additive gene expression.</w:t>
      </w:r>
    </w:p>
    <w:p w14:paraId="6C99647D"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Based on the combining ability analysis across both seasons, several general conclusions </w:t>
      </w:r>
      <w:proofErr w:type="gramStart"/>
      <w:r w:rsidRPr="009F099A">
        <w:rPr>
          <w:rFonts w:ascii="Times New Roman" w:hAnsi="Times New Roman" w:cs="Times New Roman"/>
        </w:rPr>
        <w:t>can be drawn</w:t>
      </w:r>
      <w:proofErr w:type="gramEnd"/>
      <w:r w:rsidRPr="009F099A">
        <w:rPr>
          <w:rFonts w:ascii="Times New Roman" w:hAnsi="Times New Roman" w:cs="Times New Roman"/>
        </w:rPr>
        <w:t>. Lines N02 and N59 consistently exhibited high and stable positive GCA effects, indicating their strong capacity to transmit favorable additive alleles and confirming their suitability as primary parental lines in breeding programs. In contrast, lines such as N27, N51, and D666 showed negative GCA values in both seasons, reflecting limitations in additive genetic effects.</w:t>
      </w:r>
    </w:p>
    <w:p w14:paraId="53B10E56"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Nevertheless, several hybrid combinations involving lines with low GCA values displayed very high SCA effects (e.g., N7B × N02, D666 × N51, and N27 × N7B), demonstrating the significant role of non-additive gene effects (dominance and epistasis) in trait expression. These findings indicate that </w:t>
      </w:r>
      <w:proofErr w:type="gramStart"/>
      <w:r w:rsidRPr="009F099A">
        <w:rPr>
          <w:rFonts w:ascii="Times New Roman" w:hAnsi="Times New Roman" w:cs="Times New Roman"/>
        </w:rPr>
        <w:t>the studied trait is governed by both additive and non-additive genetic effects, with additive effects being more stable across seasons, whereas non-additive effects are more strongly influenced by environmental conditions</w:t>
      </w:r>
      <w:proofErr w:type="gramEnd"/>
      <w:r w:rsidRPr="009F099A">
        <w:rPr>
          <w:rFonts w:ascii="Times New Roman" w:hAnsi="Times New Roman" w:cs="Times New Roman"/>
        </w:rPr>
        <w:t>.</w:t>
      </w:r>
    </w:p>
    <w:p w14:paraId="4A7FEE0E" w14:textId="77777777" w:rsidR="009F099A" w:rsidRPr="009F099A" w:rsidRDefault="009F099A" w:rsidP="00B3395A">
      <w:pPr>
        <w:spacing w:after="0" w:line="288" w:lineRule="auto"/>
        <w:ind w:firstLine="720"/>
        <w:jc w:val="both"/>
        <w:rPr>
          <w:rFonts w:ascii="Times New Roman" w:hAnsi="Times New Roman" w:cs="Times New Roman"/>
        </w:rPr>
      </w:pPr>
      <w:r w:rsidRPr="009F099A">
        <w:rPr>
          <w:rFonts w:ascii="Times New Roman" w:hAnsi="Times New Roman" w:cs="Times New Roman"/>
        </w:rPr>
        <w:lastRenderedPageBreak/>
        <w:t xml:space="preserve">Therefore, an effective breeding strategy should integrate both approaches: maintaining and exploiting lines with high GCA to establish a strong additive genetic foundation, while simultaneously developing hybrid combinations with high SCA to maximize </w:t>
      </w:r>
      <w:proofErr w:type="spellStart"/>
      <w:r w:rsidRPr="009F099A">
        <w:rPr>
          <w:rFonts w:ascii="Times New Roman" w:hAnsi="Times New Roman" w:cs="Times New Roman"/>
        </w:rPr>
        <w:t>heterosis</w:t>
      </w:r>
      <w:proofErr w:type="spellEnd"/>
      <w:r w:rsidRPr="009F099A">
        <w:rPr>
          <w:rFonts w:ascii="Times New Roman" w:hAnsi="Times New Roman" w:cs="Times New Roman"/>
        </w:rPr>
        <w:t xml:space="preserve"> for </w:t>
      </w:r>
      <w:commentRangeStart w:id="6"/>
      <w:r w:rsidRPr="009F099A">
        <w:rPr>
          <w:rFonts w:ascii="Times New Roman" w:hAnsi="Times New Roman" w:cs="Times New Roman"/>
        </w:rPr>
        <w:t>c</w:t>
      </w:r>
      <w:commentRangeEnd w:id="6"/>
      <w:r w:rsidR="00134CF2">
        <w:rPr>
          <w:rStyle w:val="ad"/>
        </w:rPr>
        <w:commentReference w:id="6"/>
      </w:r>
      <w:r w:rsidRPr="009F099A">
        <w:rPr>
          <w:rFonts w:ascii="Times New Roman" w:hAnsi="Times New Roman" w:cs="Times New Roman"/>
        </w:rPr>
        <w:t>ommercial production.</w:t>
      </w:r>
    </w:p>
    <w:p w14:paraId="2F167E3D" w14:textId="4E132513" w:rsidR="00DE70B6"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Table 4. Summary of </w:t>
      </w:r>
      <w:commentRangeStart w:id="7"/>
      <w:r w:rsidRPr="00DE70B6">
        <w:rPr>
          <w:rFonts w:ascii="Times New Roman" w:hAnsi="Times New Roman" w:cs="Times New Roman"/>
          <w:b/>
          <w:bCs/>
        </w:rPr>
        <w:t>A</w:t>
      </w:r>
      <w:commentRangeEnd w:id="7"/>
      <w:r w:rsidR="00A057DD">
        <w:rPr>
          <w:rStyle w:val="ad"/>
        </w:rPr>
        <w:commentReference w:id="7"/>
      </w:r>
      <w:r w:rsidRPr="00DE70B6">
        <w:rPr>
          <w:rFonts w:ascii="Times New Roman" w:hAnsi="Times New Roman" w:cs="Times New Roman"/>
          <w:b/>
          <w:bCs/>
        </w:rPr>
        <w:t xml:space="preserve">gro-Morphological </w:t>
      </w:r>
      <w:r w:rsidR="006C1F4B">
        <w:rPr>
          <w:rFonts w:ascii="Times New Roman" w:hAnsi="Times New Roman" w:cs="Times New Roman"/>
          <w:b/>
          <w:bCs/>
        </w:rPr>
        <w:t>c</w:t>
      </w:r>
      <w:r w:rsidRPr="00DE70B6">
        <w:rPr>
          <w:rFonts w:ascii="Times New Roman" w:hAnsi="Times New Roman" w:cs="Times New Roman"/>
          <w:b/>
          <w:bCs/>
        </w:rPr>
        <w:t xml:space="preserve">haracteristics of Hybrid </w:t>
      </w:r>
      <w:r w:rsidR="006C1F4B">
        <w:rPr>
          <w:rFonts w:ascii="Times New Roman" w:hAnsi="Times New Roman" w:cs="Times New Roman"/>
          <w:b/>
          <w:bCs/>
        </w:rPr>
        <w:t>c</w:t>
      </w:r>
      <w:r w:rsidRPr="00DE70B6">
        <w:rPr>
          <w:rFonts w:ascii="Times New Roman" w:hAnsi="Times New Roman" w:cs="Times New Roman"/>
          <w:b/>
          <w:bCs/>
        </w:rPr>
        <w:t>ombinations</w:t>
      </w:r>
    </w:p>
    <w:p w14:paraId="698C6123" w14:textId="7DDAE761" w:rsidR="009F099A" w:rsidRPr="00311474" w:rsidRDefault="00DE70B6" w:rsidP="003C5522">
      <w:pPr>
        <w:spacing w:after="0" w:line="288" w:lineRule="auto"/>
        <w:jc w:val="center"/>
        <w:rPr>
          <w:rFonts w:ascii="Times New Roman" w:hAnsi="Times New Roman" w:cs="Times New Roman"/>
          <w:b/>
          <w:bCs/>
        </w:rPr>
      </w:pPr>
      <w:r w:rsidRPr="00DE70B6">
        <w:rPr>
          <w:rFonts w:ascii="Times New Roman" w:hAnsi="Times New Roman" w:cs="Times New Roman"/>
          <w:b/>
          <w:bCs/>
        </w:rPr>
        <w:t xml:space="preserve"> (Mean of </w:t>
      </w:r>
      <w:r w:rsidR="006C1F4B">
        <w:rPr>
          <w:rFonts w:ascii="Times New Roman" w:hAnsi="Times New Roman" w:cs="Times New Roman"/>
          <w:b/>
          <w:bCs/>
        </w:rPr>
        <w:t>t</w:t>
      </w:r>
      <w:r w:rsidRPr="00DE70B6">
        <w:rPr>
          <w:rFonts w:ascii="Times New Roman" w:hAnsi="Times New Roman" w:cs="Times New Roman"/>
          <w:b/>
          <w:bCs/>
        </w:rPr>
        <w:t xml:space="preserve">wo </w:t>
      </w:r>
      <w:r w:rsidR="006C1F4B">
        <w:rPr>
          <w:rFonts w:ascii="Times New Roman" w:hAnsi="Times New Roman" w:cs="Times New Roman"/>
          <w:b/>
          <w:bCs/>
        </w:rPr>
        <w:t>s</w:t>
      </w:r>
      <w:r w:rsidRPr="00DE70B6">
        <w:rPr>
          <w:rFonts w:ascii="Times New Roman" w:hAnsi="Times New Roman" w:cs="Times New Roman"/>
          <w:b/>
          <w:bCs/>
        </w:rPr>
        <w:t>easons)</w:t>
      </w:r>
    </w:p>
    <w:tbl>
      <w:tblPr>
        <w:tblW w:w="10203" w:type="dxa"/>
        <w:tblLook w:val="04A0" w:firstRow="1" w:lastRow="0" w:firstColumn="1" w:lastColumn="0" w:noHBand="0" w:noVBand="1"/>
      </w:tblPr>
      <w:tblGrid>
        <w:gridCol w:w="1680"/>
        <w:gridCol w:w="1964"/>
        <w:gridCol w:w="1741"/>
        <w:gridCol w:w="1741"/>
        <w:gridCol w:w="1498"/>
        <w:gridCol w:w="1579"/>
      </w:tblGrid>
      <w:tr w:rsidR="009F099A" w:rsidRPr="00311474" w14:paraId="4CC45C35" w14:textId="77777777" w:rsidTr="008E40AC">
        <w:trPr>
          <w:trHeight w:val="879"/>
        </w:trPr>
        <w:tc>
          <w:tcPr>
            <w:tcW w:w="1680" w:type="dxa"/>
            <w:tcBorders>
              <w:top w:val="single" w:sz="4" w:space="0" w:color="auto"/>
              <w:left w:val="single" w:sz="4" w:space="0" w:color="auto"/>
              <w:bottom w:val="single" w:sz="4" w:space="0" w:color="auto"/>
              <w:right w:val="single" w:sz="4" w:space="0" w:color="auto"/>
            </w:tcBorders>
            <w:vAlign w:val="center"/>
            <w:hideMark/>
          </w:tcPr>
          <w:p w14:paraId="49777147" w14:textId="3307C9F9"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Hybrid combination</w:t>
            </w:r>
          </w:p>
        </w:tc>
        <w:tc>
          <w:tcPr>
            <w:tcW w:w="1964" w:type="dxa"/>
            <w:tcBorders>
              <w:top w:val="single" w:sz="4" w:space="0" w:color="auto"/>
              <w:left w:val="nil"/>
              <w:bottom w:val="single" w:sz="4" w:space="0" w:color="auto"/>
              <w:right w:val="single" w:sz="4" w:space="0" w:color="auto"/>
            </w:tcBorders>
            <w:vAlign w:val="center"/>
            <w:hideMark/>
          </w:tcPr>
          <w:p w14:paraId="06418A69" w14:textId="021A6AA3"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Days to harvest (days)</w:t>
            </w:r>
          </w:p>
        </w:tc>
        <w:tc>
          <w:tcPr>
            <w:tcW w:w="1741" w:type="dxa"/>
            <w:tcBorders>
              <w:top w:val="single" w:sz="4" w:space="0" w:color="auto"/>
              <w:left w:val="nil"/>
              <w:bottom w:val="single" w:sz="4" w:space="0" w:color="auto"/>
              <w:right w:val="single" w:sz="4" w:space="0" w:color="auto"/>
            </w:tcBorders>
            <w:vAlign w:val="center"/>
            <w:hideMark/>
          </w:tcPr>
          <w:p w14:paraId="1B679AEA" w14:textId="657D8652"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Plant height (cm)</w:t>
            </w:r>
          </w:p>
        </w:tc>
        <w:tc>
          <w:tcPr>
            <w:tcW w:w="1741" w:type="dxa"/>
            <w:tcBorders>
              <w:top w:val="single" w:sz="4" w:space="0" w:color="auto"/>
              <w:left w:val="nil"/>
              <w:bottom w:val="single" w:sz="4" w:space="0" w:color="auto"/>
              <w:right w:val="single" w:sz="4" w:space="0" w:color="auto"/>
            </w:tcBorders>
            <w:vAlign w:val="center"/>
            <w:hideMark/>
          </w:tcPr>
          <w:p w14:paraId="70AEC265" w14:textId="6F375D63"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placement height (cm)</w:t>
            </w:r>
          </w:p>
        </w:tc>
        <w:tc>
          <w:tcPr>
            <w:tcW w:w="1498" w:type="dxa"/>
            <w:tcBorders>
              <w:top w:val="single" w:sz="4" w:space="0" w:color="auto"/>
              <w:left w:val="nil"/>
              <w:bottom w:val="single" w:sz="4" w:space="0" w:color="auto"/>
              <w:right w:val="single" w:sz="4" w:space="0" w:color="auto"/>
            </w:tcBorders>
            <w:vAlign w:val="center"/>
            <w:hideMark/>
          </w:tcPr>
          <w:p w14:paraId="7B649027" w14:textId="3E1DE38A"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length (cm)</w:t>
            </w:r>
          </w:p>
        </w:tc>
        <w:tc>
          <w:tcPr>
            <w:tcW w:w="1579" w:type="dxa"/>
            <w:tcBorders>
              <w:top w:val="single" w:sz="4" w:space="0" w:color="auto"/>
              <w:left w:val="nil"/>
              <w:bottom w:val="single" w:sz="4" w:space="0" w:color="auto"/>
              <w:right w:val="single" w:sz="4" w:space="0" w:color="auto"/>
            </w:tcBorders>
            <w:vAlign w:val="center"/>
            <w:hideMark/>
          </w:tcPr>
          <w:p w14:paraId="5BFB24EC" w14:textId="7C9EC59A" w:rsidR="009F099A" w:rsidRPr="008E40AC" w:rsidRDefault="00DE70B6"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DE70B6">
              <w:rPr>
                <w:rFonts w:ascii="Times New Roman" w:eastAsia="Times New Roman" w:hAnsi="Times New Roman" w:cs="Times New Roman"/>
                <w:b/>
                <w:bCs/>
                <w:color w:val="000000"/>
                <w:kern w:val="0"/>
                <w:sz w:val="20"/>
                <w:szCs w:val="20"/>
                <w14:ligatures w14:val="none"/>
              </w:rPr>
              <w:t>Ear diameter (cm)</w:t>
            </w:r>
          </w:p>
        </w:tc>
      </w:tr>
      <w:tr w:rsidR="009F099A" w:rsidRPr="00311474" w14:paraId="2574B26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4123B5E"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N7B</w:t>
            </w:r>
          </w:p>
        </w:tc>
        <w:tc>
          <w:tcPr>
            <w:tcW w:w="1964" w:type="dxa"/>
            <w:tcBorders>
              <w:top w:val="nil"/>
              <w:left w:val="nil"/>
              <w:bottom w:val="single" w:sz="4" w:space="0" w:color="auto"/>
              <w:right w:val="single" w:sz="4" w:space="0" w:color="auto"/>
            </w:tcBorders>
            <w:vAlign w:val="center"/>
            <w:hideMark/>
          </w:tcPr>
          <w:p w14:paraId="6A7C3E0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B641A7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177.7 ± 3.2</w:t>
            </w:r>
          </w:p>
        </w:tc>
        <w:tc>
          <w:tcPr>
            <w:tcW w:w="1741" w:type="dxa"/>
            <w:tcBorders>
              <w:top w:val="nil"/>
              <w:left w:val="nil"/>
              <w:bottom w:val="single" w:sz="4" w:space="0" w:color="auto"/>
              <w:right w:val="single" w:sz="4" w:space="0" w:color="auto"/>
            </w:tcBorders>
            <w:vAlign w:val="center"/>
            <w:hideMark/>
          </w:tcPr>
          <w:p w14:paraId="0A58EAA1"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92.9 ± 2.8</w:t>
            </w:r>
          </w:p>
        </w:tc>
        <w:tc>
          <w:tcPr>
            <w:tcW w:w="1498" w:type="dxa"/>
            <w:tcBorders>
              <w:top w:val="nil"/>
              <w:left w:val="nil"/>
              <w:bottom w:val="single" w:sz="4" w:space="0" w:color="auto"/>
              <w:right w:val="single" w:sz="4" w:space="0" w:color="auto"/>
            </w:tcBorders>
            <w:vAlign w:val="center"/>
            <w:hideMark/>
          </w:tcPr>
          <w:p w14:paraId="102DE55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17.2 ± 0.3</w:t>
            </w:r>
          </w:p>
        </w:tc>
        <w:tc>
          <w:tcPr>
            <w:tcW w:w="1579" w:type="dxa"/>
            <w:tcBorders>
              <w:top w:val="nil"/>
              <w:left w:val="nil"/>
              <w:bottom w:val="single" w:sz="4" w:space="0" w:color="auto"/>
              <w:right w:val="single" w:sz="4" w:space="0" w:color="auto"/>
            </w:tcBorders>
            <w:vAlign w:val="center"/>
            <w:hideMark/>
          </w:tcPr>
          <w:p w14:paraId="4BC37BE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0.12</w:t>
            </w:r>
          </w:p>
        </w:tc>
      </w:tr>
      <w:tr w:rsidR="009F099A" w:rsidRPr="00311474" w14:paraId="2FB6840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8EC9AFF"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N7B</w:t>
            </w:r>
          </w:p>
        </w:tc>
        <w:tc>
          <w:tcPr>
            <w:tcW w:w="1964" w:type="dxa"/>
            <w:tcBorders>
              <w:top w:val="nil"/>
              <w:left w:val="nil"/>
              <w:bottom w:val="single" w:sz="4" w:space="0" w:color="auto"/>
              <w:right w:val="single" w:sz="4" w:space="0" w:color="auto"/>
            </w:tcBorders>
            <w:vAlign w:val="center"/>
            <w:hideMark/>
          </w:tcPr>
          <w:p w14:paraId="7802D4FE"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0.3</w:t>
            </w:r>
          </w:p>
        </w:tc>
        <w:tc>
          <w:tcPr>
            <w:tcW w:w="1741" w:type="dxa"/>
            <w:tcBorders>
              <w:top w:val="nil"/>
              <w:left w:val="nil"/>
              <w:bottom w:val="single" w:sz="4" w:space="0" w:color="auto"/>
              <w:right w:val="single" w:sz="4" w:space="0" w:color="auto"/>
            </w:tcBorders>
            <w:vAlign w:val="center"/>
            <w:hideMark/>
          </w:tcPr>
          <w:p w14:paraId="1FB2027F"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138.0 ± 2.7</w:t>
            </w:r>
          </w:p>
        </w:tc>
        <w:tc>
          <w:tcPr>
            <w:tcW w:w="1741" w:type="dxa"/>
            <w:tcBorders>
              <w:top w:val="nil"/>
              <w:left w:val="nil"/>
              <w:bottom w:val="single" w:sz="4" w:space="0" w:color="auto"/>
              <w:right w:val="single" w:sz="4" w:space="0" w:color="auto"/>
            </w:tcBorders>
            <w:vAlign w:val="center"/>
            <w:hideMark/>
          </w:tcPr>
          <w:p w14:paraId="0B167D1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63.7 ± 2.1</w:t>
            </w:r>
          </w:p>
        </w:tc>
        <w:tc>
          <w:tcPr>
            <w:tcW w:w="1498" w:type="dxa"/>
            <w:tcBorders>
              <w:top w:val="nil"/>
              <w:left w:val="nil"/>
              <w:bottom w:val="single" w:sz="4" w:space="0" w:color="auto"/>
              <w:right w:val="single" w:sz="4" w:space="0" w:color="auto"/>
            </w:tcBorders>
            <w:vAlign w:val="center"/>
            <w:hideMark/>
          </w:tcPr>
          <w:p w14:paraId="78CA4CC5"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0.3</w:t>
            </w:r>
          </w:p>
        </w:tc>
        <w:tc>
          <w:tcPr>
            <w:tcW w:w="1579" w:type="dxa"/>
            <w:tcBorders>
              <w:top w:val="nil"/>
              <w:left w:val="nil"/>
              <w:bottom w:val="single" w:sz="4" w:space="0" w:color="auto"/>
              <w:right w:val="single" w:sz="4" w:space="0" w:color="auto"/>
            </w:tcBorders>
            <w:vAlign w:val="center"/>
            <w:hideMark/>
          </w:tcPr>
          <w:p w14:paraId="03F02B3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0.10</w:t>
            </w:r>
          </w:p>
        </w:tc>
      </w:tr>
      <w:tr w:rsidR="009F099A" w:rsidRPr="00311474" w14:paraId="65D400C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07F37FA6"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N59 × N15</w:t>
            </w:r>
          </w:p>
        </w:tc>
        <w:tc>
          <w:tcPr>
            <w:tcW w:w="1964" w:type="dxa"/>
            <w:tcBorders>
              <w:top w:val="nil"/>
              <w:left w:val="nil"/>
              <w:bottom w:val="single" w:sz="4" w:space="0" w:color="auto"/>
              <w:right w:val="single" w:sz="4" w:space="0" w:color="auto"/>
            </w:tcBorders>
            <w:vAlign w:val="center"/>
            <w:hideMark/>
          </w:tcPr>
          <w:p w14:paraId="2374AFE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0.5</w:t>
            </w:r>
          </w:p>
        </w:tc>
        <w:tc>
          <w:tcPr>
            <w:tcW w:w="1741" w:type="dxa"/>
            <w:tcBorders>
              <w:top w:val="nil"/>
              <w:left w:val="nil"/>
              <w:bottom w:val="single" w:sz="4" w:space="0" w:color="auto"/>
              <w:right w:val="single" w:sz="4" w:space="0" w:color="auto"/>
            </w:tcBorders>
            <w:vAlign w:val="center"/>
            <w:hideMark/>
          </w:tcPr>
          <w:p w14:paraId="4E8C743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184.1 ± 3.8</w:t>
            </w:r>
          </w:p>
        </w:tc>
        <w:tc>
          <w:tcPr>
            <w:tcW w:w="1741" w:type="dxa"/>
            <w:tcBorders>
              <w:top w:val="nil"/>
              <w:left w:val="nil"/>
              <w:bottom w:val="single" w:sz="4" w:space="0" w:color="auto"/>
              <w:right w:val="single" w:sz="4" w:space="0" w:color="auto"/>
            </w:tcBorders>
            <w:vAlign w:val="center"/>
            <w:hideMark/>
          </w:tcPr>
          <w:p w14:paraId="7D53A9F6"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96.1 ± 3.1</w:t>
            </w:r>
          </w:p>
        </w:tc>
        <w:tc>
          <w:tcPr>
            <w:tcW w:w="1498" w:type="dxa"/>
            <w:tcBorders>
              <w:top w:val="nil"/>
              <w:left w:val="nil"/>
              <w:bottom w:val="single" w:sz="4" w:space="0" w:color="auto"/>
              <w:right w:val="single" w:sz="4" w:space="0" w:color="auto"/>
            </w:tcBorders>
            <w:vAlign w:val="center"/>
            <w:hideMark/>
          </w:tcPr>
          <w:p w14:paraId="0DAC3ADB"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18.2 ± 0.4</w:t>
            </w:r>
          </w:p>
        </w:tc>
        <w:tc>
          <w:tcPr>
            <w:tcW w:w="1579" w:type="dxa"/>
            <w:tcBorders>
              <w:top w:val="nil"/>
              <w:left w:val="nil"/>
              <w:bottom w:val="single" w:sz="4" w:space="0" w:color="auto"/>
              <w:right w:val="single" w:sz="4" w:space="0" w:color="auto"/>
            </w:tcBorders>
            <w:vAlign w:val="center"/>
            <w:hideMark/>
          </w:tcPr>
          <w:p w14:paraId="235A9A09"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01184100"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12E5392"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D666 × N15</w:t>
            </w:r>
          </w:p>
        </w:tc>
        <w:tc>
          <w:tcPr>
            <w:tcW w:w="1964" w:type="dxa"/>
            <w:tcBorders>
              <w:top w:val="nil"/>
              <w:left w:val="nil"/>
              <w:bottom w:val="single" w:sz="4" w:space="0" w:color="auto"/>
              <w:right w:val="single" w:sz="4" w:space="0" w:color="auto"/>
            </w:tcBorders>
            <w:vAlign w:val="center"/>
            <w:hideMark/>
          </w:tcPr>
          <w:p w14:paraId="3948BEE3"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71.0 ± 0.4</w:t>
            </w:r>
          </w:p>
        </w:tc>
        <w:tc>
          <w:tcPr>
            <w:tcW w:w="1741" w:type="dxa"/>
            <w:tcBorders>
              <w:top w:val="nil"/>
              <w:left w:val="nil"/>
              <w:bottom w:val="single" w:sz="4" w:space="0" w:color="auto"/>
              <w:right w:val="single" w:sz="4" w:space="0" w:color="auto"/>
            </w:tcBorders>
            <w:vAlign w:val="center"/>
            <w:hideMark/>
          </w:tcPr>
          <w:p w14:paraId="36CFE2CE"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174.8 ± 3.0</w:t>
            </w:r>
          </w:p>
        </w:tc>
        <w:tc>
          <w:tcPr>
            <w:tcW w:w="1741" w:type="dxa"/>
            <w:tcBorders>
              <w:top w:val="nil"/>
              <w:left w:val="nil"/>
              <w:bottom w:val="single" w:sz="4" w:space="0" w:color="auto"/>
              <w:right w:val="single" w:sz="4" w:space="0" w:color="auto"/>
            </w:tcBorders>
            <w:vAlign w:val="center"/>
            <w:hideMark/>
          </w:tcPr>
          <w:p w14:paraId="603CD898"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89.6 ± 2.6</w:t>
            </w:r>
          </w:p>
        </w:tc>
        <w:tc>
          <w:tcPr>
            <w:tcW w:w="1498" w:type="dxa"/>
            <w:tcBorders>
              <w:top w:val="nil"/>
              <w:left w:val="nil"/>
              <w:bottom w:val="single" w:sz="4" w:space="0" w:color="auto"/>
              <w:right w:val="single" w:sz="4" w:space="0" w:color="auto"/>
            </w:tcBorders>
            <w:vAlign w:val="center"/>
            <w:hideMark/>
          </w:tcPr>
          <w:p w14:paraId="194E1E4E"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 ± 0.3</w:t>
            </w:r>
          </w:p>
        </w:tc>
        <w:tc>
          <w:tcPr>
            <w:tcW w:w="1579" w:type="dxa"/>
            <w:tcBorders>
              <w:top w:val="nil"/>
              <w:left w:val="nil"/>
              <w:bottom w:val="single" w:sz="4" w:space="0" w:color="auto"/>
              <w:right w:val="single" w:sz="4" w:space="0" w:color="auto"/>
            </w:tcBorders>
            <w:vAlign w:val="center"/>
            <w:hideMark/>
          </w:tcPr>
          <w:p w14:paraId="64ED5D11"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4.45 ± 0.09</w:t>
            </w:r>
          </w:p>
        </w:tc>
      </w:tr>
      <w:tr w:rsidR="009F099A" w:rsidRPr="00311474" w14:paraId="1CB4BA5E"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1A825F1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N15</w:t>
            </w:r>
          </w:p>
        </w:tc>
        <w:tc>
          <w:tcPr>
            <w:tcW w:w="1964" w:type="dxa"/>
            <w:tcBorders>
              <w:top w:val="nil"/>
              <w:left w:val="nil"/>
              <w:bottom w:val="single" w:sz="4" w:space="0" w:color="auto"/>
              <w:right w:val="single" w:sz="4" w:space="0" w:color="auto"/>
            </w:tcBorders>
            <w:vAlign w:val="center"/>
            <w:hideMark/>
          </w:tcPr>
          <w:p w14:paraId="1686B0C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73.0 ± 0.4</w:t>
            </w:r>
          </w:p>
        </w:tc>
        <w:tc>
          <w:tcPr>
            <w:tcW w:w="1741" w:type="dxa"/>
            <w:tcBorders>
              <w:top w:val="nil"/>
              <w:left w:val="nil"/>
              <w:bottom w:val="single" w:sz="4" w:space="0" w:color="auto"/>
              <w:right w:val="single" w:sz="4" w:space="0" w:color="auto"/>
            </w:tcBorders>
            <w:vAlign w:val="center"/>
            <w:hideMark/>
          </w:tcPr>
          <w:p w14:paraId="483882D8"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152.8 ± 2.9</w:t>
            </w:r>
          </w:p>
        </w:tc>
        <w:tc>
          <w:tcPr>
            <w:tcW w:w="1741" w:type="dxa"/>
            <w:tcBorders>
              <w:top w:val="nil"/>
              <w:left w:val="nil"/>
              <w:bottom w:val="single" w:sz="4" w:space="0" w:color="auto"/>
              <w:right w:val="single" w:sz="4" w:space="0" w:color="auto"/>
            </w:tcBorders>
            <w:vAlign w:val="center"/>
            <w:hideMark/>
          </w:tcPr>
          <w:p w14:paraId="3B0071A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65.4 ± 2.3</w:t>
            </w:r>
          </w:p>
        </w:tc>
        <w:tc>
          <w:tcPr>
            <w:tcW w:w="1498" w:type="dxa"/>
            <w:tcBorders>
              <w:top w:val="nil"/>
              <w:left w:val="nil"/>
              <w:bottom w:val="single" w:sz="4" w:space="0" w:color="auto"/>
              <w:right w:val="single" w:sz="4" w:space="0" w:color="auto"/>
            </w:tcBorders>
            <w:vAlign w:val="center"/>
            <w:hideMark/>
          </w:tcPr>
          <w:p w14:paraId="1B15A383"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17.0 ± 0.3</w:t>
            </w:r>
          </w:p>
        </w:tc>
        <w:tc>
          <w:tcPr>
            <w:tcW w:w="1579" w:type="dxa"/>
            <w:tcBorders>
              <w:top w:val="nil"/>
              <w:left w:val="nil"/>
              <w:bottom w:val="single" w:sz="4" w:space="0" w:color="auto"/>
              <w:right w:val="single" w:sz="4" w:space="0" w:color="auto"/>
            </w:tcBorders>
            <w:vAlign w:val="center"/>
            <w:hideMark/>
          </w:tcPr>
          <w:p w14:paraId="282E8BC5"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4.75 ± 0.10</w:t>
            </w:r>
          </w:p>
        </w:tc>
      </w:tr>
      <w:tr w:rsidR="009F099A" w:rsidRPr="00311474" w14:paraId="58F49BEC"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C5E6BA8"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N27 × N59</w:t>
            </w:r>
          </w:p>
        </w:tc>
        <w:tc>
          <w:tcPr>
            <w:tcW w:w="1964" w:type="dxa"/>
            <w:tcBorders>
              <w:top w:val="nil"/>
              <w:left w:val="nil"/>
              <w:bottom w:val="single" w:sz="4" w:space="0" w:color="auto"/>
              <w:right w:val="single" w:sz="4" w:space="0" w:color="auto"/>
            </w:tcBorders>
            <w:vAlign w:val="center"/>
            <w:hideMark/>
          </w:tcPr>
          <w:p w14:paraId="2D54FF1F"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30CC221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156.1 ± 3.1</w:t>
            </w:r>
          </w:p>
        </w:tc>
        <w:tc>
          <w:tcPr>
            <w:tcW w:w="1741" w:type="dxa"/>
            <w:tcBorders>
              <w:top w:val="nil"/>
              <w:left w:val="nil"/>
              <w:bottom w:val="single" w:sz="4" w:space="0" w:color="auto"/>
              <w:right w:val="single" w:sz="4" w:space="0" w:color="auto"/>
            </w:tcBorders>
            <w:vAlign w:val="center"/>
            <w:hideMark/>
          </w:tcPr>
          <w:p w14:paraId="2245111F"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70.2 ± 2.5</w:t>
            </w:r>
          </w:p>
        </w:tc>
        <w:tc>
          <w:tcPr>
            <w:tcW w:w="1498" w:type="dxa"/>
            <w:tcBorders>
              <w:top w:val="nil"/>
              <w:left w:val="nil"/>
              <w:bottom w:val="single" w:sz="4" w:space="0" w:color="auto"/>
              <w:right w:val="single" w:sz="4" w:space="0" w:color="auto"/>
            </w:tcBorders>
            <w:vAlign w:val="center"/>
            <w:hideMark/>
          </w:tcPr>
          <w:p w14:paraId="4EAE854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183C361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0.12</w:t>
            </w:r>
          </w:p>
        </w:tc>
      </w:tr>
      <w:tr w:rsidR="009F099A" w:rsidRPr="00311474" w14:paraId="03760F1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B0E9F13"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N59</w:t>
            </w:r>
          </w:p>
        </w:tc>
        <w:tc>
          <w:tcPr>
            <w:tcW w:w="1964" w:type="dxa"/>
            <w:tcBorders>
              <w:top w:val="nil"/>
              <w:left w:val="nil"/>
              <w:bottom w:val="single" w:sz="4" w:space="0" w:color="auto"/>
              <w:right w:val="single" w:sz="4" w:space="0" w:color="auto"/>
            </w:tcBorders>
            <w:vAlign w:val="center"/>
            <w:hideMark/>
          </w:tcPr>
          <w:p w14:paraId="3AF97CC9"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0.3</w:t>
            </w:r>
          </w:p>
        </w:tc>
        <w:tc>
          <w:tcPr>
            <w:tcW w:w="1741" w:type="dxa"/>
            <w:tcBorders>
              <w:top w:val="nil"/>
              <w:left w:val="nil"/>
              <w:bottom w:val="single" w:sz="4" w:space="0" w:color="auto"/>
              <w:right w:val="single" w:sz="4" w:space="0" w:color="auto"/>
            </w:tcBorders>
            <w:vAlign w:val="center"/>
            <w:hideMark/>
          </w:tcPr>
          <w:p w14:paraId="1034FF8B"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164.5 ± 2.8</w:t>
            </w:r>
          </w:p>
        </w:tc>
        <w:tc>
          <w:tcPr>
            <w:tcW w:w="1741" w:type="dxa"/>
            <w:tcBorders>
              <w:top w:val="nil"/>
              <w:left w:val="nil"/>
              <w:bottom w:val="single" w:sz="4" w:space="0" w:color="auto"/>
              <w:right w:val="single" w:sz="4" w:space="0" w:color="auto"/>
            </w:tcBorders>
            <w:vAlign w:val="center"/>
            <w:hideMark/>
          </w:tcPr>
          <w:p w14:paraId="5C3C26C6"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74.5 ± 2.4</w:t>
            </w:r>
          </w:p>
        </w:tc>
        <w:tc>
          <w:tcPr>
            <w:tcW w:w="1498" w:type="dxa"/>
            <w:tcBorders>
              <w:top w:val="nil"/>
              <w:left w:val="nil"/>
              <w:bottom w:val="single" w:sz="4" w:space="0" w:color="auto"/>
              <w:right w:val="single" w:sz="4" w:space="0" w:color="auto"/>
            </w:tcBorders>
            <w:vAlign w:val="center"/>
            <w:hideMark/>
          </w:tcPr>
          <w:p w14:paraId="0AA86B60"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16.7 ± 0.2</w:t>
            </w:r>
          </w:p>
        </w:tc>
        <w:tc>
          <w:tcPr>
            <w:tcW w:w="1579" w:type="dxa"/>
            <w:tcBorders>
              <w:top w:val="nil"/>
              <w:left w:val="nil"/>
              <w:bottom w:val="single" w:sz="4" w:space="0" w:color="auto"/>
              <w:right w:val="single" w:sz="4" w:space="0" w:color="auto"/>
            </w:tcBorders>
            <w:vAlign w:val="center"/>
            <w:hideMark/>
          </w:tcPr>
          <w:p w14:paraId="7A2BF57F"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5.05 ± 0.11</w:t>
            </w:r>
          </w:p>
        </w:tc>
      </w:tr>
      <w:tr w:rsidR="009F099A" w:rsidRPr="00311474" w14:paraId="3DBAAD9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32E7651"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N59</w:t>
            </w:r>
          </w:p>
        </w:tc>
        <w:tc>
          <w:tcPr>
            <w:tcW w:w="1964" w:type="dxa"/>
            <w:tcBorders>
              <w:top w:val="nil"/>
              <w:left w:val="nil"/>
              <w:bottom w:val="single" w:sz="4" w:space="0" w:color="auto"/>
              <w:right w:val="single" w:sz="4" w:space="0" w:color="auto"/>
            </w:tcBorders>
            <w:vAlign w:val="center"/>
            <w:hideMark/>
          </w:tcPr>
          <w:p w14:paraId="087DF6C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70.0 ± 0.3</w:t>
            </w:r>
          </w:p>
        </w:tc>
        <w:tc>
          <w:tcPr>
            <w:tcW w:w="1741" w:type="dxa"/>
            <w:tcBorders>
              <w:top w:val="nil"/>
              <w:left w:val="nil"/>
              <w:bottom w:val="single" w:sz="4" w:space="0" w:color="auto"/>
              <w:right w:val="single" w:sz="4" w:space="0" w:color="auto"/>
            </w:tcBorders>
            <w:vAlign w:val="center"/>
            <w:hideMark/>
          </w:tcPr>
          <w:p w14:paraId="637081E9"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161.4 ± 2.9</w:t>
            </w:r>
          </w:p>
        </w:tc>
        <w:tc>
          <w:tcPr>
            <w:tcW w:w="1741" w:type="dxa"/>
            <w:tcBorders>
              <w:top w:val="nil"/>
              <w:left w:val="nil"/>
              <w:bottom w:val="single" w:sz="4" w:space="0" w:color="auto"/>
              <w:right w:val="single" w:sz="4" w:space="0" w:color="auto"/>
            </w:tcBorders>
            <w:vAlign w:val="center"/>
            <w:hideMark/>
          </w:tcPr>
          <w:p w14:paraId="6E34B723"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69.3 ± 2.2</w:t>
            </w:r>
          </w:p>
        </w:tc>
        <w:tc>
          <w:tcPr>
            <w:tcW w:w="1498" w:type="dxa"/>
            <w:tcBorders>
              <w:top w:val="nil"/>
              <w:left w:val="nil"/>
              <w:bottom w:val="single" w:sz="4" w:space="0" w:color="auto"/>
              <w:right w:val="single" w:sz="4" w:space="0" w:color="auto"/>
            </w:tcBorders>
            <w:vAlign w:val="center"/>
            <w:hideMark/>
          </w:tcPr>
          <w:p w14:paraId="77629E5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1D616DB6"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4.95 ± 0.10</w:t>
            </w:r>
          </w:p>
        </w:tc>
      </w:tr>
      <w:tr w:rsidR="009F099A" w:rsidRPr="00311474" w14:paraId="2F864831"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3DA17455"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N51 × N02</w:t>
            </w:r>
          </w:p>
        </w:tc>
        <w:tc>
          <w:tcPr>
            <w:tcW w:w="1964" w:type="dxa"/>
            <w:tcBorders>
              <w:top w:val="nil"/>
              <w:left w:val="nil"/>
              <w:bottom w:val="single" w:sz="4" w:space="0" w:color="auto"/>
              <w:right w:val="single" w:sz="4" w:space="0" w:color="auto"/>
            </w:tcBorders>
            <w:vAlign w:val="center"/>
            <w:hideMark/>
          </w:tcPr>
          <w:p w14:paraId="75F8C6D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72.5 ± 0.4</w:t>
            </w:r>
          </w:p>
        </w:tc>
        <w:tc>
          <w:tcPr>
            <w:tcW w:w="1741" w:type="dxa"/>
            <w:tcBorders>
              <w:top w:val="nil"/>
              <w:left w:val="nil"/>
              <w:bottom w:val="single" w:sz="4" w:space="0" w:color="auto"/>
              <w:right w:val="single" w:sz="4" w:space="0" w:color="auto"/>
            </w:tcBorders>
            <w:vAlign w:val="center"/>
            <w:hideMark/>
          </w:tcPr>
          <w:p w14:paraId="63F1A190"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157.9 ± 3.0</w:t>
            </w:r>
          </w:p>
        </w:tc>
        <w:tc>
          <w:tcPr>
            <w:tcW w:w="1741" w:type="dxa"/>
            <w:tcBorders>
              <w:top w:val="nil"/>
              <w:left w:val="nil"/>
              <w:bottom w:val="single" w:sz="4" w:space="0" w:color="auto"/>
              <w:right w:val="single" w:sz="4" w:space="0" w:color="auto"/>
            </w:tcBorders>
            <w:vAlign w:val="center"/>
            <w:hideMark/>
          </w:tcPr>
          <w:p w14:paraId="47D001A1"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66.2 ± 2.3</w:t>
            </w:r>
          </w:p>
        </w:tc>
        <w:tc>
          <w:tcPr>
            <w:tcW w:w="1498" w:type="dxa"/>
            <w:tcBorders>
              <w:top w:val="nil"/>
              <w:left w:val="nil"/>
              <w:bottom w:val="single" w:sz="4" w:space="0" w:color="auto"/>
              <w:right w:val="single" w:sz="4" w:space="0" w:color="auto"/>
            </w:tcBorders>
            <w:vAlign w:val="center"/>
            <w:hideMark/>
          </w:tcPr>
          <w:p w14:paraId="11DB620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16.0 ± 0.2</w:t>
            </w:r>
          </w:p>
        </w:tc>
        <w:tc>
          <w:tcPr>
            <w:tcW w:w="1579" w:type="dxa"/>
            <w:tcBorders>
              <w:top w:val="nil"/>
              <w:left w:val="nil"/>
              <w:bottom w:val="single" w:sz="4" w:space="0" w:color="auto"/>
              <w:right w:val="single" w:sz="4" w:space="0" w:color="auto"/>
            </w:tcBorders>
            <w:vAlign w:val="center"/>
            <w:hideMark/>
          </w:tcPr>
          <w:p w14:paraId="284D10B2"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4.70 ± 0.09</w:t>
            </w:r>
          </w:p>
        </w:tc>
      </w:tr>
      <w:tr w:rsidR="009F099A" w:rsidRPr="00311474" w14:paraId="1D7510AD"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4D8C5D3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N19 × N02</w:t>
            </w:r>
          </w:p>
        </w:tc>
        <w:tc>
          <w:tcPr>
            <w:tcW w:w="1964" w:type="dxa"/>
            <w:tcBorders>
              <w:top w:val="nil"/>
              <w:left w:val="nil"/>
              <w:bottom w:val="single" w:sz="4" w:space="0" w:color="auto"/>
              <w:right w:val="single" w:sz="4" w:space="0" w:color="auto"/>
            </w:tcBorders>
            <w:vAlign w:val="center"/>
            <w:hideMark/>
          </w:tcPr>
          <w:p w14:paraId="1CE1B40B"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70.5 ± 0.3</w:t>
            </w:r>
          </w:p>
        </w:tc>
        <w:tc>
          <w:tcPr>
            <w:tcW w:w="1741" w:type="dxa"/>
            <w:tcBorders>
              <w:top w:val="nil"/>
              <w:left w:val="nil"/>
              <w:bottom w:val="single" w:sz="4" w:space="0" w:color="auto"/>
              <w:right w:val="single" w:sz="4" w:space="0" w:color="auto"/>
            </w:tcBorders>
            <w:vAlign w:val="center"/>
            <w:hideMark/>
          </w:tcPr>
          <w:p w14:paraId="19C4DD65"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161.1 ± 2.7</w:t>
            </w:r>
          </w:p>
        </w:tc>
        <w:tc>
          <w:tcPr>
            <w:tcW w:w="1741" w:type="dxa"/>
            <w:tcBorders>
              <w:top w:val="nil"/>
              <w:left w:val="nil"/>
              <w:bottom w:val="single" w:sz="4" w:space="0" w:color="auto"/>
              <w:right w:val="single" w:sz="4" w:space="0" w:color="auto"/>
            </w:tcBorders>
            <w:vAlign w:val="center"/>
            <w:hideMark/>
          </w:tcPr>
          <w:p w14:paraId="306E258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68.8 ± 2.1</w:t>
            </w:r>
          </w:p>
        </w:tc>
        <w:tc>
          <w:tcPr>
            <w:tcW w:w="1498" w:type="dxa"/>
            <w:tcBorders>
              <w:top w:val="nil"/>
              <w:left w:val="nil"/>
              <w:bottom w:val="single" w:sz="4" w:space="0" w:color="auto"/>
              <w:right w:val="single" w:sz="4" w:space="0" w:color="auto"/>
            </w:tcBorders>
            <w:vAlign w:val="center"/>
            <w:hideMark/>
          </w:tcPr>
          <w:p w14:paraId="0CA2DB4E"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16.9 ± 0.3</w:t>
            </w:r>
          </w:p>
        </w:tc>
        <w:tc>
          <w:tcPr>
            <w:tcW w:w="1579" w:type="dxa"/>
            <w:tcBorders>
              <w:top w:val="nil"/>
              <w:left w:val="nil"/>
              <w:bottom w:val="single" w:sz="4" w:space="0" w:color="auto"/>
              <w:right w:val="single" w:sz="4" w:space="0" w:color="auto"/>
            </w:tcBorders>
            <w:vAlign w:val="center"/>
            <w:hideMark/>
          </w:tcPr>
          <w:p w14:paraId="5EC3ED5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0.08</w:t>
            </w:r>
          </w:p>
        </w:tc>
      </w:tr>
      <w:tr w:rsidR="009F099A" w:rsidRPr="00311474" w14:paraId="03F87213"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2F0D902B"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N02 × D666</w:t>
            </w:r>
          </w:p>
        </w:tc>
        <w:tc>
          <w:tcPr>
            <w:tcW w:w="1964" w:type="dxa"/>
            <w:tcBorders>
              <w:top w:val="nil"/>
              <w:left w:val="nil"/>
              <w:bottom w:val="single" w:sz="4" w:space="0" w:color="auto"/>
              <w:right w:val="single" w:sz="4" w:space="0" w:color="auto"/>
            </w:tcBorders>
            <w:vAlign w:val="center"/>
            <w:hideMark/>
          </w:tcPr>
          <w:p w14:paraId="36609ADD"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71.5 ± 0.4</w:t>
            </w:r>
          </w:p>
        </w:tc>
        <w:tc>
          <w:tcPr>
            <w:tcW w:w="1741" w:type="dxa"/>
            <w:tcBorders>
              <w:top w:val="nil"/>
              <w:left w:val="nil"/>
              <w:bottom w:val="single" w:sz="4" w:space="0" w:color="auto"/>
              <w:right w:val="single" w:sz="4" w:space="0" w:color="auto"/>
            </w:tcBorders>
            <w:vAlign w:val="center"/>
            <w:hideMark/>
          </w:tcPr>
          <w:p w14:paraId="3321D093"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159.8 ± 2.8</w:t>
            </w:r>
          </w:p>
        </w:tc>
        <w:tc>
          <w:tcPr>
            <w:tcW w:w="1741" w:type="dxa"/>
            <w:tcBorders>
              <w:top w:val="nil"/>
              <w:left w:val="nil"/>
              <w:bottom w:val="single" w:sz="4" w:space="0" w:color="auto"/>
              <w:right w:val="single" w:sz="4" w:space="0" w:color="auto"/>
            </w:tcBorders>
            <w:vAlign w:val="center"/>
            <w:hideMark/>
          </w:tcPr>
          <w:p w14:paraId="334B6B66"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66.9 ± 2.2</w:t>
            </w:r>
          </w:p>
        </w:tc>
        <w:tc>
          <w:tcPr>
            <w:tcW w:w="1498" w:type="dxa"/>
            <w:tcBorders>
              <w:top w:val="nil"/>
              <w:left w:val="nil"/>
              <w:bottom w:val="single" w:sz="4" w:space="0" w:color="auto"/>
              <w:right w:val="single" w:sz="4" w:space="0" w:color="auto"/>
            </w:tcBorders>
            <w:vAlign w:val="center"/>
            <w:hideMark/>
          </w:tcPr>
          <w:p w14:paraId="6F63F348"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16.5 ± 0.3</w:t>
            </w:r>
          </w:p>
        </w:tc>
        <w:tc>
          <w:tcPr>
            <w:tcW w:w="1579" w:type="dxa"/>
            <w:tcBorders>
              <w:top w:val="nil"/>
              <w:left w:val="nil"/>
              <w:bottom w:val="single" w:sz="4" w:space="0" w:color="auto"/>
              <w:right w:val="single" w:sz="4" w:space="0" w:color="auto"/>
            </w:tcBorders>
            <w:vAlign w:val="center"/>
            <w:hideMark/>
          </w:tcPr>
          <w:p w14:paraId="6878F914"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4.40 ± 0.09</w:t>
            </w:r>
          </w:p>
        </w:tc>
      </w:tr>
      <w:tr w:rsidR="009F099A" w:rsidRPr="00311474" w14:paraId="71EDFD14"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D3CF567" w14:textId="14E1B07B"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1964" w:type="dxa"/>
            <w:tcBorders>
              <w:top w:val="nil"/>
              <w:left w:val="nil"/>
              <w:bottom w:val="single" w:sz="4" w:space="0" w:color="auto"/>
              <w:right w:val="single" w:sz="4" w:space="0" w:color="auto"/>
            </w:tcBorders>
            <w:vAlign w:val="center"/>
            <w:hideMark/>
          </w:tcPr>
          <w:p w14:paraId="569F5A97"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72.0 ± 0.4</w:t>
            </w:r>
          </w:p>
        </w:tc>
        <w:tc>
          <w:tcPr>
            <w:tcW w:w="1741" w:type="dxa"/>
            <w:tcBorders>
              <w:top w:val="nil"/>
              <w:left w:val="nil"/>
              <w:bottom w:val="single" w:sz="4" w:space="0" w:color="auto"/>
              <w:right w:val="single" w:sz="4" w:space="0" w:color="auto"/>
            </w:tcBorders>
            <w:vAlign w:val="center"/>
            <w:hideMark/>
          </w:tcPr>
          <w:p w14:paraId="3A633B88"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168.5 ± 3.1</w:t>
            </w:r>
          </w:p>
        </w:tc>
        <w:tc>
          <w:tcPr>
            <w:tcW w:w="1741" w:type="dxa"/>
            <w:tcBorders>
              <w:top w:val="nil"/>
              <w:left w:val="nil"/>
              <w:bottom w:val="single" w:sz="4" w:space="0" w:color="auto"/>
              <w:right w:val="single" w:sz="4" w:space="0" w:color="auto"/>
            </w:tcBorders>
            <w:vAlign w:val="center"/>
            <w:hideMark/>
          </w:tcPr>
          <w:p w14:paraId="0BEFA0BC"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73.9 ± 2.5</w:t>
            </w:r>
          </w:p>
        </w:tc>
        <w:tc>
          <w:tcPr>
            <w:tcW w:w="1498" w:type="dxa"/>
            <w:tcBorders>
              <w:top w:val="nil"/>
              <w:left w:val="nil"/>
              <w:bottom w:val="single" w:sz="4" w:space="0" w:color="auto"/>
              <w:right w:val="single" w:sz="4" w:space="0" w:color="auto"/>
            </w:tcBorders>
            <w:vAlign w:val="center"/>
            <w:hideMark/>
          </w:tcPr>
          <w:p w14:paraId="02F5F4FD"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15.8 ± 0.2</w:t>
            </w:r>
          </w:p>
        </w:tc>
        <w:tc>
          <w:tcPr>
            <w:tcW w:w="1579" w:type="dxa"/>
            <w:tcBorders>
              <w:top w:val="nil"/>
              <w:left w:val="nil"/>
              <w:bottom w:val="single" w:sz="4" w:space="0" w:color="auto"/>
              <w:right w:val="single" w:sz="4" w:space="0" w:color="auto"/>
            </w:tcBorders>
            <w:vAlign w:val="center"/>
            <w:hideMark/>
          </w:tcPr>
          <w:p w14:paraId="30C4333A" w14:textId="77777777" w:rsidR="009F099A" w:rsidRPr="008E40AC"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8E40AC">
              <w:rPr>
                <w:rFonts w:ascii="Times New Roman" w:eastAsia="Times New Roman" w:hAnsi="Times New Roman" w:cs="Times New Roman"/>
                <w:color w:val="000000"/>
                <w:kern w:val="0"/>
                <w:sz w:val="20"/>
                <w:szCs w:val="20"/>
                <w14:ligatures w14:val="none"/>
              </w:rPr>
              <w:t>4.25 ± 0.08</w:t>
            </w:r>
          </w:p>
        </w:tc>
      </w:tr>
      <w:tr w:rsidR="009F099A" w:rsidRPr="00311474" w14:paraId="4EC17638"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5212E445"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CV (%)</w:t>
            </w:r>
          </w:p>
        </w:tc>
        <w:tc>
          <w:tcPr>
            <w:tcW w:w="1964" w:type="dxa"/>
            <w:tcBorders>
              <w:top w:val="nil"/>
              <w:left w:val="nil"/>
              <w:bottom w:val="single" w:sz="4" w:space="0" w:color="auto"/>
              <w:right w:val="single" w:sz="4" w:space="0" w:color="auto"/>
            </w:tcBorders>
            <w:vAlign w:val="center"/>
            <w:hideMark/>
          </w:tcPr>
          <w:p w14:paraId="39CC1C95"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2.4</w:t>
            </w:r>
          </w:p>
        </w:tc>
        <w:tc>
          <w:tcPr>
            <w:tcW w:w="1741" w:type="dxa"/>
            <w:tcBorders>
              <w:top w:val="nil"/>
              <w:left w:val="nil"/>
              <w:bottom w:val="single" w:sz="4" w:space="0" w:color="auto"/>
              <w:right w:val="single" w:sz="4" w:space="0" w:color="auto"/>
            </w:tcBorders>
            <w:vAlign w:val="center"/>
            <w:hideMark/>
          </w:tcPr>
          <w:p w14:paraId="66716116"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5.1</w:t>
            </w:r>
          </w:p>
        </w:tc>
        <w:tc>
          <w:tcPr>
            <w:tcW w:w="1741" w:type="dxa"/>
            <w:tcBorders>
              <w:top w:val="nil"/>
              <w:left w:val="nil"/>
              <w:bottom w:val="single" w:sz="4" w:space="0" w:color="auto"/>
              <w:right w:val="single" w:sz="4" w:space="0" w:color="auto"/>
            </w:tcBorders>
            <w:vAlign w:val="center"/>
            <w:hideMark/>
          </w:tcPr>
          <w:p w14:paraId="26A6647B"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5.8</w:t>
            </w:r>
          </w:p>
        </w:tc>
        <w:tc>
          <w:tcPr>
            <w:tcW w:w="1498" w:type="dxa"/>
            <w:tcBorders>
              <w:top w:val="nil"/>
              <w:left w:val="nil"/>
              <w:bottom w:val="single" w:sz="4" w:space="0" w:color="auto"/>
              <w:right w:val="single" w:sz="4" w:space="0" w:color="auto"/>
            </w:tcBorders>
            <w:noWrap/>
            <w:vAlign w:val="center"/>
            <w:hideMark/>
          </w:tcPr>
          <w:p w14:paraId="58699434"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4.6</w:t>
            </w:r>
          </w:p>
        </w:tc>
        <w:tc>
          <w:tcPr>
            <w:tcW w:w="1579" w:type="dxa"/>
            <w:tcBorders>
              <w:top w:val="nil"/>
              <w:left w:val="nil"/>
              <w:bottom w:val="single" w:sz="4" w:space="0" w:color="auto"/>
              <w:right w:val="single" w:sz="4" w:space="0" w:color="auto"/>
            </w:tcBorders>
            <w:vAlign w:val="center"/>
            <w:hideMark/>
          </w:tcPr>
          <w:p w14:paraId="656780B4"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4.9</w:t>
            </w:r>
          </w:p>
        </w:tc>
      </w:tr>
      <w:tr w:rsidR="009F099A" w:rsidRPr="00311474" w14:paraId="7693A955" w14:textId="77777777" w:rsidTr="008E40AC">
        <w:trPr>
          <w:trHeight w:val="432"/>
        </w:trPr>
        <w:tc>
          <w:tcPr>
            <w:tcW w:w="1680" w:type="dxa"/>
            <w:tcBorders>
              <w:top w:val="nil"/>
              <w:left w:val="single" w:sz="4" w:space="0" w:color="auto"/>
              <w:bottom w:val="single" w:sz="4" w:space="0" w:color="auto"/>
              <w:right w:val="single" w:sz="4" w:space="0" w:color="auto"/>
            </w:tcBorders>
            <w:vAlign w:val="center"/>
            <w:hideMark/>
          </w:tcPr>
          <w:p w14:paraId="6EE133B5"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LSD₀.₀₅</w:t>
            </w:r>
          </w:p>
        </w:tc>
        <w:tc>
          <w:tcPr>
            <w:tcW w:w="1964" w:type="dxa"/>
            <w:tcBorders>
              <w:top w:val="nil"/>
              <w:left w:val="nil"/>
              <w:bottom w:val="single" w:sz="4" w:space="0" w:color="auto"/>
              <w:right w:val="single" w:sz="4" w:space="0" w:color="auto"/>
            </w:tcBorders>
            <w:vAlign w:val="center"/>
            <w:hideMark/>
          </w:tcPr>
          <w:p w14:paraId="5089A023"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1</w:t>
            </w:r>
          </w:p>
        </w:tc>
        <w:tc>
          <w:tcPr>
            <w:tcW w:w="1741" w:type="dxa"/>
            <w:tcBorders>
              <w:top w:val="nil"/>
              <w:left w:val="nil"/>
              <w:bottom w:val="single" w:sz="4" w:space="0" w:color="auto"/>
              <w:right w:val="single" w:sz="4" w:space="0" w:color="auto"/>
            </w:tcBorders>
            <w:vAlign w:val="center"/>
            <w:hideMark/>
          </w:tcPr>
          <w:p w14:paraId="4AD14272"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8.5</w:t>
            </w:r>
          </w:p>
        </w:tc>
        <w:tc>
          <w:tcPr>
            <w:tcW w:w="1741" w:type="dxa"/>
            <w:tcBorders>
              <w:top w:val="nil"/>
              <w:left w:val="nil"/>
              <w:bottom w:val="single" w:sz="4" w:space="0" w:color="auto"/>
              <w:right w:val="single" w:sz="4" w:space="0" w:color="auto"/>
            </w:tcBorders>
            <w:vAlign w:val="center"/>
            <w:hideMark/>
          </w:tcPr>
          <w:p w14:paraId="58EEE030"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7.2</w:t>
            </w:r>
          </w:p>
        </w:tc>
        <w:tc>
          <w:tcPr>
            <w:tcW w:w="1498" w:type="dxa"/>
            <w:tcBorders>
              <w:top w:val="nil"/>
              <w:left w:val="nil"/>
              <w:bottom w:val="single" w:sz="4" w:space="0" w:color="auto"/>
              <w:right w:val="single" w:sz="4" w:space="0" w:color="auto"/>
            </w:tcBorders>
            <w:noWrap/>
            <w:vAlign w:val="center"/>
            <w:hideMark/>
          </w:tcPr>
          <w:p w14:paraId="5F1B63EF"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0.8</w:t>
            </w:r>
          </w:p>
        </w:tc>
        <w:tc>
          <w:tcPr>
            <w:tcW w:w="1579" w:type="dxa"/>
            <w:tcBorders>
              <w:top w:val="nil"/>
              <w:left w:val="nil"/>
              <w:bottom w:val="single" w:sz="4" w:space="0" w:color="auto"/>
              <w:right w:val="single" w:sz="4" w:space="0" w:color="auto"/>
            </w:tcBorders>
            <w:vAlign w:val="center"/>
            <w:hideMark/>
          </w:tcPr>
          <w:p w14:paraId="38D5A124" w14:textId="77777777" w:rsidR="009F099A" w:rsidRPr="008E40AC" w:rsidRDefault="009F099A" w:rsidP="00577DAF">
            <w:pPr>
              <w:spacing w:after="0" w:line="240" w:lineRule="auto"/>
              <w:jc w:val="center"/>
              <w:rPr>
                <w:rFonts w:ascii="Times New Roman" w:eastAsia="Times New Roman" w:hAnsi="Times New Roman" w:cs="Times New Roman"/>
                <w:i/>
                <w:iCs/>
                <w:color w:val="000000"/>
                <w:kern w:val="0"/>
                <w:sz w:val="20"/>
                <w:szCs w:val="20"/>
                <w14:ligatures w14:val="none"/>
              </w:rPr>
            </w:pPr>
            <w:r w:rsidRPr="008E40AC">
              <w:rPr>
                <w:rFonts w:ascii="Times New Roman" w:eastAsia="Times New Roman" w:hAnsi="Times New Roman" w:cs="Times New Roman"/>
                <w:i/>
                <w:iCs/>
                <w:color w:val="000000"/>
                <w:kern w:val="0"/>
                <w:sz w:val="20"/>
                <w:szCs w:val="20"/>
                <w14:ligatures w14:val="none"/>
              </w:rPr>
              <w:t>0.35</w:t>
            </w:r>
          </w:p>
        </w:tc>
      </w:tr>
    </w:tbl>
    <w:p w14:paraId="3B604464" w14:textId="77777777" w:rsidR="009F099A" w:rsidRPr="00311474" w:rsidRDefault="009F099A">
      <w:pPr>
        <w:rPr>
          <w:rFonts w:ascii="Times New Roman" w:hAnsi="Times New Roman" w:cs="Times New Roman"/>
        </w:rPr>
      </w:pPr>
    </w:p>
    <w:p w14:paraId="40BABF3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combined analysis of agro-biological traits across two cropping seasons revealed relatively clear differences among hybrid combinations in growth duration and yield components compared with the control variety HN68. Overall, the hybrids not only ensured good ecological adaptability but also </w:t>
      </w:r>
      <w:commentRangeStart w:id="8"/>
      <w:r w:rsidRPr="009F099A">
        <w:rPr>
          <w:rFonts w:ascii="Times New Roman" w:hAnsi="Times New Roman" w:cs="Times New Roman"/>
        </w:rPr>
        <w:t>e</w:t>
      </w:r>
      <w:commentRangeEnd w:id="8"/>
      <w:r w:rsidR="00577DAF">
        <w:rPr>
          <w:rStyle w:val="ad"/>
        </w:rPr>
        <w:commentReference w:id="8"/>
      </w:r>
      <w:r w:rsidRPr="009F099A">
        <w:rPr>
          <w:rFonts w:ascii="Times New Roman" w:hAnsi="Times New Roman" w:cs="Times New Roman"/>
        </w:rPr>
        <w:t>xpressed several superior morphological and yield-related characteristics.</w:t>
      </w:r>
    </w:p>
    <w:p w14:paraId="57463F7A"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Regarding days to harvest, the hybrids ranged from 70.0 to 73.0 days, which was comparable to or only slightly different from the control (72.0 days). Some combinations, such as N19 × N59 (70.0 days), N19 × N02 (70.5 days), and N19 × N7B (71.0 days), tended to mature earlier, demonstrating an advantage in shortened growth duration. This trait is </w:t>
      </w:r>
      <w:proofErr w:type="spellStart"/>
      <w:r w:rsidRPr="009F099A">
        <w:rPr>
          <w:rFonts w:ascii="Times New Roman" w:hAnsi="Times New Roman" w:cs="Times New Roman"/>
        </w:rPr>
        <w:t>agronomically</w:t>
      </w:r>
      <w:proofErr w:type="spellEnd"/>
      <w:r w:rsidRPr="009F099A">
        <w:rPr>
          <w:rFonts w:ascii="Times New Roman" w:hAnsi="Times New Roman" w:cs="Times New Roman"/>
        </w:rPr>
        <w:t xml:space="preserve"> meaningful for multiple-cropping systems, particularly under production conditions that require avoidance of late-season constraints (e.g., heavy rainfall, pest pressure, or high temperatures). Most of the remaining hybrids </w:t>
      </w:r>
      <w:proofErr w:type="gramStart"/>
      <w:r w:rsidRPr="009F099A">
        <w:rPr>
          <w:rFonts w:ascii="Times New Roman" w:hAnsi="Times New Roman" w:cs="Times New Roman"/>
        </w:rPr>
        <w:t>were classified</w:t>
      </w:r>
      <w:proofErr w:type="gramEnd"/>
      <w:r w:rsidRPr="009F099A">
        <w:rPr>
          <w:rFonts w:ascii="Times New Roman" w:hAnsi="Times New Roman" w:cs="Times New Roman"/>
        </w:rPr>
        <w:t xml:space="preserve"> as medium-maturing, indicating broad adaptability and suitability for the prevailing cropping calendar.</w:t>
      </w:r>
    </w:p>
    <w:p w14:paraId="3CFE0263"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Plant height varied considerably (138.0–184.1 cm), reflecting substantial phenotypic diversity among the hybrids. The N59 × N15 combination exhibited the greatest plant height (184.1 cm), followed by N02 × N7B (177.7 cm) and D666 × N15 (174.8 cm), all taller than the </w:t>
      </w:r>
      <w:r w:rsidRPr="009F099A">
        <w:rPr>
          <w:rFonts w:ascii="Times New Roman" w:hAnsi="Times New Roman" w:cs="Times New Roman"/>
        </w:rPr>
        <w:lastRenderedPageBreak/>
        <w:t xml:space="preserve">control (168.5 cm). However, excessive plant height may increase lodging risk under strong winds or high planting densities. In contrast, N19 × N7B showed the shortest plant height (138.0 cm), suggesting a more balanced growth habit. Hybrids with moderate plant height (150–170 cm), such as N02 × N59, N19 × N59, and N19 × N02, </w:t>
      </w:r>
      <w:proofErr w:type="gramStart"/>
      <w:r w:rsidRPr="009F099A">
        <w:rPr>
          <w:rFonts w:ascii="Times New Roman" w:hAnsi="Times New Roman" w:cs="Times New Roman"/>
        </w:rPr>
        <w:t>are considered</w:t>
      </w:r>
      <w:proofErr w:type="gramEnd"/>
      <w:r w:rsidRPr="009F099A">
        <w:rPr>
          <w:rFonts w:ascii="Times New Roman" w:hAnsi="Times New Roman" w:cs="Times New Roman"/>
        </w:rPr>
        <w:t xml:space="preserve"> </w:t>
      </w:r>
      <w:proofErr w:type="spellStart"/>
      <w:r w:rsidRPr="009F099A">
        <w:rPr>
          <w:rFonts w:ascii="Times New Roman" w:hAnsi="Times New Roman" w:cs="Times New Roman"/>
        </w:rPr>
        <w:t>agronomically</w:t>
      </w:r>
      <w:proofErr w:type="spellEnd"/>
      <w:r w:rsidRPr="009F099A">
        <w:rPr>
          <w:rFonts w:ascii="Times New Roman" w:hAnsi="Times New Roman" w:cs="Times New Roman"/>
        </w:rPr>
        <w:t xml:space="preserve"> favorable, as they combine vigorous growth with improved lodging resistance.</w:t>
      </w:r>
    </w:p>
    <w:p w14:paraId="77AE6C59"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Ear placement height ranged from 63.7 to 96.1 cm. N59 × N15 (96.1 cm) and N02 × N7B (92.9 cm) exhibited higher ear placement, which may facilitate manual harvesting but could also increase the plant’s center of gravity and lodging susceptibility. Conversely, N19 × N7B (63.7 cm) and N02 × N15 (65.4 cm) had lower ear placement, contributing to greater lodging resistance and field stability. Compared with the control (73.9 cm), many hybrids had similar or lower ear placement, indicating a relatively balanced plant architecture between vegetative and reproductive growth.</w:t>
      </w:r>
    </w:p>
    <w:p w14:paraId="797F911C"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For yield components, ear length ranged from 16.0 to 18.2 cm, exceeding that of the control (15.8 cm). The most outstanding combination was N59 × N15 (18.2 cm), followed by N02 × N7B (17.2 cm) and N02 × N15 (17.0 cm). Increased ear length suggests a higher potential number of kernel rows and kernels per row, thereby contributing to enhanced yield potential. Similarly, ear diameter ranged from 4.4 to 5.05 cm, clearly surpassing the control (4.25 cm). The combinations N02 × N7B, N59 × N15, and N02 × N59 achieved the largest ear diameter (5.05 cm), demonstrating marked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advantages in ear size—an important determinant of yield and market value in waxy maize.</w:t>
      </w:r>
    </w:p>
    <w:p w14:paraId="2DEEC5E6" w14:textId="77777777" w:rsidR="009F099A" w:rsidRPr="009F099A" w:rsidRDefault="009F099A" w:rsidP="008C0AA8">
      <w:pPr>
        <w:spacing w:after="0" w:line="288" w:lineRule="auto"/>
        <w:ind w:firstLine="720"/>
        <w:jc w:val="both"/>
        <w:rPr>
          <w:rFonts w:ascii="Times New Roman" w:hAnsi="Times New Roman" w:cs="Times New Roman"/>
        </w:rPr>
      </w:pPr>
      <w:r w:rsidRPr="009F099A">
        <w:rPr>
          <w:rFonts w:ascii="Times New Roman" w:hAnsi="Times New Roman" w:cs="Times New Roman"/>
        </w:rPr>
        <w:t>Overall, several hybrid combinations, particularly N59 × N15, N02 × N7B, and N02 × N59, not only maintained suitable growth duration but also exhibited balanced plant architecture and superior ear size compared with the control HN68. These phenotypic advantages are consistent with the previous combining ability analysis, in which lines N02 and N59 frequently displayed high GCA values and produced hybrids with outstanding SCA effects. This correspondence highlights the close relationship between genetic parameters and field performance, thereby strengthening the scientific basis for selecting promising waxy maize hybrids in breeding programs.</w:t>
      </w:r>
    </w:p>
    <w:p w14:paraId="2D3AB5B1" w14:textId="77777777" w:rsidR="00976FE9" w:rsidRDefault="00976FE9" w:rsidP="00976FE9">
      <w:pPr>
        <w:spacing w:after="0" w:line="288" w:lineRule="auto"/>
        <w:jc w:val="center"/>
        <w:rPr>
          <w:rFonts w:ascii="Times New Roman" w:hAnsi="Times New Roman" w:cs="Times New Roman"/>
          <w:b/>
          <w:bCs/>
        </w:rPr>
      </w:pPr>
      <w:commentRangeStart w:id="9"/>
      <w:r w:rsidRPr="00976FE9">
        <w:rPr>
          <w:rFonts w:ascii="Times New Roman" w:hAnsi="Times New Roman" w:cs="Times New Roman"/>
          <w:b/>
          <w:bCs/>
        </w:rPr>
        <w:t>T</w:t>
      </w:r>
      <w:commentRangeEnd w:id="9"/>
      <w:r w:rsidR="007B1287">
        <w:rPr>
          <w:rStyle w:val="ad"/>
        </w:rPr>
        <w:commentReference w:id="9"/>
      </w:r>
      <w:r w:rsidRPr="00976FE9">
        <w:rPr>
          <w:rFonts w:ascii="Times New Roman" w:hAnsi="Times New Roman" w:cs="Times New Roman"/>
          <w:b/>
          <w:bCs/>
        </w:rPr>
        <w:t xml:space="preserve">able 5. Summary of </w:t>
      </w:r>
      <w:r>
        <w:rPr>
          <w:rFonts w:ascii="Times New Roman" w:hAnsi="Times New Roman" w:cs="Times New Roman"/>
          <w:b/>
          <w:bCs/>
        </w:rPr>
        <w:t>p</w:t>
      </w:r>
      <w:r w:rsidRPr="00976FE9">
        <w:rPr>
          <w:rFonts w:ascii="Times New Roman" w:hAnsi="Times New Roman" w:cs="Times New Roman"/>
          <w:b/>
          <w:bCs/>
        </w:rPr>
        <w:t xml:space="preserve">est and </w:t>
      </w:r>
      <w:r>
        <w:rPr>
          <w:rFonts w:ascii="Times New Roman" w:hAnsi="Times New Roman" w:cs="Times New Roman"/>
          <w:b/>
          <w:bCs/>
        </w:rPr>
        <w:t>d</w:t>
      </w:r>
      <w:r w:rsidRPr="00976FE9">
        <w:rPr>
          <w:rFonts w:ascii="Times New Roman" w:hAnsi="Times New Roman" w:cs="Times New Roman"/>
          <w:b/>
          <w:bCs/>
        </w:rPr>
        <w:t xml:space="preserve">isease </w:t>
      </w:r>
      <w:r>
        <w:rPr>
          <w:rFonts w:ascii="Times New Roman" w:hAnsi="Times New Roman" w:cs="Times New Roman"/>
          <w:b/>
          <w:bCs/>
        </w:rPr>
        <w:t>r</w:t>
      </w:r>
      <w:r w:rsidRPr="00976FE9">
        <w:rPr>
          <w:rFonts w:ascii="Times New Roman" w:hAnsi="Times New Roman" w:cs="Times New Roman"/>
          <w:b/>
          <w:bCs/>
        </w:rPr>
        <w:t xml:space="preserve">esistance and </w:t>
      </w:r>
      <w:r>
        <w:rPr>
          <w:rFonts w:ascii="Times New Roman" w:hAnsi="Times New Roman" w:cs="Times New Roman"/>
          <w:b/>
          <w:bCs/>
        </w:rPr>
        <w:t>r</w:t>
      </w:r>
      <w:r w:rsidRPr="00976FE9">
        <w:rPr>
          <w:rFonts w:ascii="Times New Roman" w:hAnsi="Times New Roman" w:cs="Times New Roman"/>
          <w:b/>
          <w:bCs/>
        </w:rPr>
        <w:t xml:space="preserve">oot </w:t>
      </w:r>
      <w:r>
        <w:rPr>
          <w:rFonts w:ascii="Times New Roman" w:hAnsi="Times New Roman" w:cs="Times New Roman"/>
          <w:b/>
          <w:bCs/>
        </w:rPr>
        <w:t>l</w:t>
      </w:r>
      <w:r w:rsidRPr="00976FE9">
        <w:rPr>
          <w:rFonts w:ascii="Times New Roman" w:hAnsi="Times New Roman" w:cs="Times New Roman"/>
          <w:b/>
          <w:bCs/>
        </w:rPr>
        <w:t xml:space="preserve">odging </w:t>
      </w:r>
      <w:r>
        <w:rPr>
          <w:rFonts w:ascii="Times New Roman" w:hAnsi="Times New Roman" w:cs="Times New Roman"/>
          <w:b/>
          <w:bCs/>
        </w:rPr>
        <w:t>r</w:t>
      </w:r>
      <w:r w:rsidRPr="00976FE9">
        <w:rPr>
          <w:rFonts w:ascii="Times New Roman" w:hAnsi="Times New Roman" w:cs="Times New Roman"/>
          <w:b/>
          <w:bCs/>
        </w:rPr>
        <w:t>esistance</w:t>
      </w:r>
    </w:p>
    <w:p w14:paraId="7DD716C5" w14:textId="65774FBB" w:rsidR="009F099A" w:rsidRPr="00311474" w:rsidRDefault="00976FE9" w:rsidP="00976FE9">
      <w:pPr>
        <w:spacing w:after="0" w:line="288" w:lineRule="auto"/>
        <w:jc w:val="center"/>
        <w:rPr>
          <w:rFonts w:ascii="Times New Roman" w:hAnsi="Times New Roman" w:cs="Times New Roman"/>
          <w:b/>
          <w:bCs/>
        </w:rPr>
      </w:pPr>
      <w:r w:rsidRPr="00976FE9">
        <w:rPr>
          <w:rFonts w:ascii="Times New Roman" w:hAnsi="Times New Roman" w:cs="Times New Roman"/>
          <w:b/>
          <w:bCs/>
        </w:rPr>
        <w:t xml:space="preserve"> (Mean of </w:t>
      </w:r>
      <w:r>
        <w:rPr>
          <w:rFonts w:ascii="Times New Roman" w:hAnsi="Times New Roman" w:cs="Times New Roman"/>
          <w:b/>
          <w:bCs/>
        </w:rPr>
        <w:t>t</w:t>
      </w:r>
      <w:r w:rsidRPr="00976FE9">
        <w:rPr>
          <w:rFonts w:ascii="Times New Roman" w:hAnsi="Times New Roman" w:cs="Times New Roman"/>
          <w:b/>
          <w:bCs/>
        </w:rPr>
        <w:t xml:space="preserve">wo </w:t>
      </w:r>
      <w:r>
        <w:rPr>
          <w:rFonts w:ascii="Times New Roman" w:hAnsi="Times New Roman" w:cs="Times New Roman"/>
          <w:b/>
          <w:bCs/>
        </w:rPr>
        <w:t>s</w:t>
      </w:r>
      <w:r w:rsidRPr="00976FE9">
        <w:rPr>
          <w:rFonts w:ascii="Times New Roman" w:hAnsi="Times New Roman" w:cs="Times New Roman"/>
          <w:b/>
          <w:bCs/>
        </w:rPr>
        <w:t>easons)</w:t>
      </w:r>
    </w:p>
    <w:tbl>
      <w:tblPr>
        <w:tblW w:w="9870" w:type="dxa"/>
        <w:tblLook w:val="04A0" w:firstRow="1" w:lastRow="0" w:firstColumn="1" w:lastColumn="0" w:noHBand="0" w:noVBand="1"/>
      </w:tblPr>
      <w:tblGrid>
        <w:gridCol w:w="1785"/>
        <w:gridCol w:w="1260"/>
        <w:gridCol w:w="1260"/>
        <w:gridCol w:w="1260"/>
        <w:gridCol w:w="1260"/>
        <w:gridCol w:w="1260"/>
        <w:gridCol w:w="1785"/>
      </w:tblGrid>
      <w:tr w:rsidR="009F099A" w:rsidRPr="00311474" w14:paraId="353D9A6B" w14:textId="77777777" w:rsidTr="00983568">
        <w:trPr>
          <w:trHeight w:val="865"/>
        </w:trPr>
        <w:tc>
          <w:tcPr>
            <w:tcW w:w="1785" w:type="dxa"/>
            <w:tcBorders>
              <w:top w:val="single" w:sz="4" w:space="0" w:color="auto"/>
              <w:left w:val="single" w:sz="4" w:space="0" w:color="auto"/>
              <w:bottom w:val="single" w:sz="4" w:space="0" w:color="auto"/>
              <w:right w:val="single" w:sz="4" w:space="0" w:color="auto"/>
            </w:tcBorders>
            <w:vAlign w:val="center"/>
            <w:hideMark/>
          </w:tcPr>
          <w:p w14:paraId="3F9183B2" w14:textId="1C6EEE88"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Hybrid combination</w:t>
            </w:r>
          </w:p>
        </w:tc>
        <w:tc>
          <w:tcPr>
            <w:tcW w:w="1260" w:type="dxa"/>
            <w:tcBorders>
              <w:top w:val="single" w:sz="4" w:space="0" w:color="auto"/>
              <w:left w:val="nil"/>
              <w:bottom w:val="single" w:sz="4" w:space="0" w:color="auto"/>
              <w:right w:val="single" w:sz="4" w:space="0" w:color="auto"/>
            </w:tcBorders>
            <w:vAlign w:val="center"/>
            <w:hideMark/>
          </w:tcPr>
          <w:p w14:paraId="4C762572" w14:textId="0A45092C"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Stem borer</w:t>
            </w:r>
          </w:p>
        </w:tc>
        <w:tc>
          <w:tcPr>
            <w:tcW w:w="1260" w:type="dxa"/>
            <w:tcBorders>
              <w:top w:val="single" w:sz="4" w:space="0" w:color="auto"/>
              <w:left w:val="nil"/>
              <w:bottom w:val="single" w:sz="4" w:space="0" w:color="auto"/>
              <w:right w:val="single" w:sz="4" w:space="0" w:color="auto"/>
            </w:tcBorders>
            <w:vAlign w:val="center"/>
            <w:hideMark/>
          </w:tcPr>
          <w:p w14:paraId="6B8761D3" w14:textId="761E394C"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Ear borer</w:t>
            </w:r>
          </w:p>
        </w:tc>
        <w:tc>
          <w:tcPr>
            <w:tcW w:w="1260" w:type="dxa"/>
            <w:tcBorders>
              <w:top w:val="single" w:sz="4" w:space="0" w:color="auto"/>
              <w:left w:val="nil"/>
              <w:bottom w:val="single" w:sz="4" w:space="0" w:color="auto"/>
              <w:right w:val="single" w:sz="4" w:space="0" w:color="auto"/>
            </w:tcBorders>
            <w:vAlign w:val="center"/>
            <w:hideMark/>
          </w:tcPr>
          <w:p w14:paraId="43C0CC92" w14:textId="4C7E47C0"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Sheath blight</w:t>
            </w:r>
          </w:p>
        </w:tc>
        <w:tc>
          <w:tcPr>
            <w:tcW w:w="1260" w:type="dxa"/>
            <w:tcBorders>
              <w:top w:val="single" w:sz="4" w:space="0" w:color="auto"/>
              <w:left w:val="nil"/>
              <w:bottom w:val="single" w:sz="4" w:space="0" w:color="auto"/>
              <w:right w:val="single" w:sz="4" w:space="0" w:color="auto"/>
            </w:tcBorders>
            <w:vAlign w:val="center"/>
            <w:hideMark/>
          </w:tcPr>
          <w:p w14:paraId="5674CCB0" w14:textId="1668DDDB"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Southern leaf blight</w:t>
            </w:r>
          </w:p>
        </w:tc>
        <w:tc>
          <w:tcPr>
            <w:tcW w:w="1260" w:type="dxa"/>
            <w:tcBorders>
              <w:top w:val="single" w:sz="4" w:space="0" w:color="auto"/>
              <w:left w:val="nil"/>
              <w:bottom w:val="single" w:sz="4" w:space="0" w:color="auto"/>
              <w:right w:val="single" w:sz="4" w:space="0" w:color="auto"/>
            </w:tcBorders>
            <w:vAlign w:val="center"/>
            <w:hideMark/>
          </w:tcPr>
          <w:p w14:paraId="59DD58FF" w14:textId="63420A1B"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Root lodging</w:t>
            </w:r>
          </w:p>
        </w:tc>
        <w:tc>
          <w:tcPr>
            <w:tcW w:w="1785" w:type="dxa"/>
            <w:tcBorders>
              <w:top w:val="single" w:sz="4" w:space="0" w:color="auto"/>
              <w:left w:val="nil"/>
              <w:bottom w:val="single" w:sz="4" w:space="0" w:color="auto"/>
              <w:right w:val="single" w:sz="4" w:space="0" w:color="auto"/>
            </w:tcBorders>
            <w:vAlign w:val="center"/>
            <w:hideMark/>
          </w:tcPr>
          <w:p w14:paraId="1BAC1F68" w14:textId="40943C4B" w:rsidR="009F099A" w:rsidRPr="00983568" w:rsidRDefault="00983568" w:rsidP="00577DAF">
            <w:pPr>
              <w:spacing w:after="0" w:line="240" w:lineRule="auto"/>
              <w:jc w:val="center"/>
              <w:rPr>
                <w:rFonts w:ascii="Times New Roman" w:eastAsia="Times New Roman" w:hAnsi="Times New Roman" w:cs="Times New Roman"/>
                <w:b/>
                <w:bCs/>
                <w:color w:val="000000"/>
                <w:kern w:val="0"/>
                <w:sz w:val="20"/>
                <w:szCs w:val="20"/>
                <w14:ligatures w14:val="none"/>
              </w:rPr>
            </w:pPr>
            <w:r w:rsidRPr="00983568">
              <w:rPr>
                <w:rFonts w:ascii="Times New Roman" w:eastAsia="Times New Roman" w:hAnsi="Times New Roman" w:cs="Times New Roman"/>
                <w:b/>
                <w:bCs/>
                <w:color w:val="000000"/>
                <w:kern w:val="0"/>
                <w:sz w:val="20"/>
                <w:szCs w:val="20"/>
                <w14:ligatures w14:val="none"/>
              </w:rPr>
              <w:t>Resistance rating</w:t>
            </w:r>
          </w:p>
        </w:tc>
      </w:tr>
      <w:tr w:rsidR="00983568" w:rsidRPr="00311474" w14:paraId="1C402918"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759D93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N7B</w:t>
            </w:r>
          </w:p>
        </w:tc>
        <w:tc>
          <w:tcPr>
            <w:tcW w:w="1260" w:type="dxa"/>
            <w:tcBorders>
              <w:top w:val="nil"/>
              <w:left w:val="nil"/>
              <w:bottom w:val="single" w:sz="4" w:space="0" w:color="auto"/>
              <w:right w:val="single" w:sz="4" w:space="0" w:color="auto"/>
            </w:tcBorders>
            <w:vAlign w:val="center"/>
            <w:hideMark/>
          </w:tcPr>
          <w:p w14:paraId="6CEE940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7B1BF3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9015F6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4B58B4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23ADA1C7"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5724077D" w14:textId="45AA728F"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83568" w:rsidRPr="00311474" w14:paraId="72A1A62B"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647539A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N59 × N15</w:t>
            </w:r>
          </w:p>
        </w:tc>
        <w:tc>
          <w:tcPr>
            <w:tcW w:w="1260" w:type="dxa"/>
            <w:tcBorders>
              <w:top w:val="nil"/>
              <w:left w:val="nil"/>
              <w:bottom w:val="single" w:sz="4" w:space="0" w:color="auto"/>
              <w:right w:val="single" w:sz="4" w:space="0" w:color="auto"/>
            </w:tcBorders>
            <w:vAlign w:val="center"/>
            <w:hideMark/>
          </w:tcPr>
          <w:p w14:paraId="0031EE3A"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68CD4C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3CBA87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270BB59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0741EFF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079ED017" w14:textId="251DA752"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83568" w:rsidRPr="00311474" w14:paraId="1073FBCB"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3E70B91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N19 × N59</w:t>
            </w:r>
          </w:p>
        </w:tc>
        <w:tc>
          <w:tcPr>
            <w:tcW w:w="1260" w:type="dxa"/>
            <w:tcBorders>
              <w:top w:val="nil"/>
              <w:left w:val="nil"/>
              <w:bottom w:val="single" w:sz="4" w:space="0" w:color="auto"/>
              <w:right w:val="single" w:sz="4" w:space="0" w:color="auto"/>
            </w:tcBorders>
            <w:vAlign w:val="center"/>
            <w:hideMark/>
          </w:tcPr>
          <w:p w14:paraId="05791F0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2A8964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8990A5C"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22F67F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FB3D121"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306AE8DC" w14:textId="4DE3E0FD"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Very good</w:t>
            </w:r>
          </w:p>
        </w:tc>
      </w:tr>
      <w:tr w:rsidR="009F099A" w:rsidRPr="00311474" w14:paraId="3D6F70E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4C8F533E"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N59</w:t>
            </w:r>
          </w:p>
        </w:tc>
        <w:tc>
          <w:tcPr>
            <w:tcW w:w="1260" w:type="dxa"/>
            <w:tcBorders>
              <w:top w:val="nil"/>
              <w:left w:val="nil"/>
              <w:bottom w:val="single" w:sz="4" w:space="0" w:color="auto"/>
              <w:right w:val="single" w:sz="4" w:space="0" w:color="auto"/>
            </w:tcBorders>
            <w:vAlign w:val="center"/>
            <w:hideMark/>
          </w:tcPr>
          <w:p w14:paraId="317949B7"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150DC34E"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C0A484C"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18477F5"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11FABE82"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vAlign w:val="center"/>
            <w:hideMark/>
          </w:tcPr>
          <w:p w14:paraId="5B6B4629" w14:textId="105EBC13"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Good</w:t>
            </w:r>
          </w:p>
        </w:tc>
      </w:tr>
      <w:tr w:rsidR="00983568" w:rsidRPr="00311474" w14:paraId="42F70E0F"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774C32B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N15</w:t>
            </w:r>
          </w:p>
        </w:tc>
        <w:tc>
          <w:tcPr>
            <w:tcW w:w="1260" w:type="dxa"/>
            <w:tcBorders>
              <w:top w:val="nil"/>
              <w:left w:val="nil"/>
              <w:bottom w:val="single" w:sz="4" w:space="0" w:color="auto"/>
              <w:right w:val="single" w:sz="4" w:space="0" w:color="auto"/>
            </w:tcBorders>
            <w:vAlign w:val="center"/>
            <w:hideMark/>
          </w:tcPr>
          <w:p w14:paraId="4142E25C"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DF2C6B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5BDB4B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9CABBB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718FBF74"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785" w:type="dxa"/>
            <w:tcBorders>
              <w:top w:val="nil"/>
              <w:left w:val="nil"/>
              <w:bottom w:val="single" w:sz="4" w:space="0" w:color="auto"/>
              <w:right w:val="single" w:sz="4" w:space="0" w:color="auto"/>
            </w:tcBorders>
            <w:hideMark/>
          </w:tcPr>
          <w:p w14:paraId="32B0C80B" w14:textId="7D84799A"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Fair</w:t>
            </w:r>
          </w:p>
        </w:tc>
      </w:tr>
      <w:tr w:rsidR="00983568" w:rsidRPr="00311474" w14:paraId="1BAB776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AE33AE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N02 × D666</w:t>
            </w:r>
          </w:p>
        </w:tc>
        <w:tc>
          <w:tcPr>
            <w:tcW w:w="1260" w:type="dxa"/>
            <w:tcBorders>
              <w:top w:val="nil"/>
              <w:left w:val="nil"/>
              <w:bottom w:val="single" w:sz="4" w:space="0" w:color="auto"/>
              <w:right w:val="single" w:sz="4" w:space="0" w:color="auto"/>
            </w:tcBorders>
            <w:vAlign w:val="center"/>
            <w:hideMark/>
          </w:tcPr>
          <w:p w14:paraId="1A57878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AF66D0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4AC18779"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D77164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C9F970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hideMark/>
          </w:tcPr>
          <w:p w14:paraId="71711E7C" w14:textId="718C7EFF"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Fair</w:t>
            </w:r>
          </w:p>
        </w:tc>
      </w:tr>
      <w:tr w:rsidR="00983568" w:rsidRPr="00311474" w14:paraId="31E600E1"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1C117E85"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D666 × N15</w:t>
            </w:r>
          </w:p>
        </w:tc>
        <w:tc>
          <w:tcPr>
            <w:tcW w:w="1260" w:type="dxa"/>
            <w:tcBorders>
              <w:top w:val="nil"/>
              <w:left w:val="nil"/>
              <w:bottom w:val="single" w:sz="4" w:space="0" w:color="auto"/>
              <w:right w:val="single" w:sz="4" w:space="0" w:color="auto"/>
            </w:tcBorders>
            <w:vAlign w:val="center"/>
            <w:hideMark/>
          </w:tcPr>
          <w:p w14:paraId="662F79B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465CA98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BDFC620"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2C0BB0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36D3C9B2"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hideMark/>
          </w:tcPr>
          <w:p w14:paraId="75ED7673" w14:textId="7A51EF79"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83568" w:rsidRPr="00311474" w14:paraId="015F2D16"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FBC8F2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lastRenderedPageBreak/>
              <w:t>N19 × N7B</w:t>
            </w:r>
          </w:p>
        </w:tc>
        <w:tc>
          <w:tcPr>
            <w:tcW w:w="1260" w:type="dxa"/>
            <w:tcBorders>
              <w:top w:val="nil"/>
              <w:left w:val="nil"/>
              <w:bottom w:val="single" w:sz="4" w:space="0" w:color="auto"/>
              <w:right w:val="single" w:sz="4" w:space="0" w:color="auto"/>
            </w:tcBorders>
            <w:vAlign w:val="center"/>
            <w:hideMark/>
          </w:tcPr>
          <w:p w14:paraId="5FCDB09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0FBE19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A09AD01"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303EC8B8"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73A70E03"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hideMark/>
          </w:tcPr>
          <w:p w14:paraId="6AD17AC1" w14:textId="6AC353D5"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83568" w:rsidRPr="00311474" w14:paraId="4D658179"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3B5158EB"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N51 × N02</w:t>
            </w:r>
          </w:p>
        </w:tc>
        <w:tc>
          <w:tcPr>
            <w:tcW w:w="1260" w:type="dxa"/>
            <w:tcBorders>
              <w:top w:val="nil"/>
              <w:left w:val="nil"/>
              <w:bottom w:val="single" w:sz="4" w:space="0" w:color="auto"/>
              <w:right w:val="single" w:sz="4" w:space="0" w:color="auto"/>
            </w:tcBorders>
            <w:vAlign w:val="center"/>
            <w:hideMark/>
          </w:tcPr>
          <w:p w14:paraId="3ACD047E"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663221E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C4B6360"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63302626"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49347C8F" w14:textId="7777777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hideMark/>
          </w:tcPr>
          <w:p w14:paraId="7D9B6458" w14:textId="179B2B17" w:rsidR="00983568" w:rsidRPr="00983568" w:rsidRDefault="00983568" w:rsidP="00983568">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r w:rsidR="009F099A" w:rsidRPr="00311474" w14:paraId="55FCAA0F"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4A24E263"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N27 × N59</w:t>
            </w:r>
          </w:p>
        </w:tc>
        <w:tc>
          <w:tcPr>
            <w:tcW w:w="1260" w:type="dxa"/>
            <w:tcBorders>
              <w:top w:val="nil"/>
              <w:left w:val="nil"/>
              <w:bottom w:val="single" w:sz="4" w:space="0" w:color="auto"/>
              <w:right w:val="single" w:sz="4" w:space="0" w:color="auto"/>
            </w:tcBorders>
            <w:vAlign w:val="center"/>
            <w:hideMark/>
          </w:tcPr>
          <w:p w14:paraId="040DCB3B"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203A530E"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7890F189"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B8F1079"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6A77EDF6"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785" w:type="dxa"/>
            <w:tcBorders>
              <w:top w:val="nil"/>
              <w:left w:val="nil"/>
              <w:bottom w:val="single" w:sz="4" w:space="0" w:color="auto"/>
              <w:right w:val="single" w:sz="4" w:space="0" w:color="auto"/>
            </w:tcBorders>
            <w:vAlign w:val="center"/>
            <w:hideMark/>
          </w:tcPr>
          <w:p w14:paraId="15F0E7E3" w14:textId="4684F382"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Poor</w:t>
            </w:r>
          </w:p>
        </w:tc>
      </w:tr>
      <w:tr w:rsidR="009F099A" w:rsidRPr="00311474" w14:paraId="0AAADCCA"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914DCEF"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N19 × N02</w:t>
            </w:r>
          </w:p>
        </w:tc>
        <w:tc>
          <w:tcPr>
            <w:tcW w:w="1260" w:type="dxa"/>
            <w:tcBorders>
              <w:top w:val="nil"/>
              <w:left w:val="nil"/>
              <w:bottom w:val="single" w:sz="4" w:space="0" w:color="auto"/>
              <w:right w:val="single" w:sz="4" w:space="0" w:color="auto"/>
            </w:tcBorders>
            <w:vAlign w:val="center"/>
            <w:hideMark/>
          </w:tcPr>
          <w:p w14:paraId="106CB4B6"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355D7592"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1.0</w:t>
            </w:r>
          </w:p>
        </w:tc>
        <w:tc>
          <w:tcPr>
            <w:tcW w:w="1260" w:type="dxa"/>
            <w:tcBorders>
              <w:top w:val="nil"/>
              <w:left w:val="nil"/>
              <w:bottom w:val="single" w:sz="4" w:space="0" w:color="auto"/>
              <w:right w:val="single" w:sz="4" w:space="0" w:color="auto"/>
            </w:tcBorders>
            <w:vAlign w:val="center"/>
            <w:hideMark/>
          </w:tcPr>
          <w:p w14:paraId="5D743881"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2.5</w:t>
            </w:r>
          </w:p>
        </w:tc>
        <w:tc>
          <w:tcPr>
            <w:tcW w:w="1260" w:type="dxa"/>
            <w:tcBorders>
              <w:top w:val="nil"/>
              <w:left w:val="nil"/>
              <w:bottom w:val="single" w:sz="4" w:space="0" w:color="auto"/>
              <w:right w:val="single" w:sz="4" w:space="0" w:color="auto"/>
            </w:tcBorders>
            <w:vAlign w:val="center"/>
            <w:hideMark/>
          </w:tcPr>
          <w:p w14:paraId="4EA89E3B"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2.5</w:t>
            </w:r>
          </w:p>
        </w:tc>
        <w:tc>
          <w:tcPr>
            <w:tcW w:w="1260" w:type="dxa"/>
            <w:tcBorders>
              <w:top w:val="nil"/>
              <w:left w:val="nil"/>
              <w:bottom w:val="single" w:sz="4" w:space="0" w:color="auto"/>
              <w:right w:val="single" w:sz="4" w:space="0" w:color="auto"/>
            </w:tcBorders>
            <w:vAlign w:val="center"/>
            <w:hideMark/>
          </w:tcPr>
          <w:p w14:paraId="35CB1075"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vAlign w:val="center"/>
            <w:hideMark/>
          </w:tcPr>
          <w:p w14:paraId="4A4315DF" w14:textId="00FF69DB"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Very poor</w:t>
            </w:r>
          </w:p>
        </w:tc>
      </w:tr>
      <w:tr w:rsidR="009F099A" w:rsidRPr="00311474" w14:paraId="14DAD33E" w14:textId="77777777" w:rsidTr="00983568">
        <w:trPr>
          <w:trHeight w:val="485"/>
        </w:trPr>
        <w:tc>
          <w:tcPr>
            <w:tcW w:w="1785" w:type="dxa"/>
            <w:tcBorders>
              <w:top w:val="nil"/>
              <w:left w:val="single" w:sz="4" w:space="0" w:color="auto"/>
              <w:bottom w:val="single" w:sz="4" w:space="0" w:color="auto"/>
              <w:right w:val="single" w:sz="4" w:space="0" w:color="auto"/>
            </w:tcBorders>
            <w:vAlign w:val="center"/>
            <w:hideMark/>
          </w:tcPr>
          <w:p w14:paraId="57E4DD84" w14:textId="6943B88C"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1260" w:type="dxa"/>
            <w:tcBorders>
              <w:top w:val="nil"/>
              <w:left w:val="nil"/>
              <w:bottom w:val="single" w:sz="4" w:space="0" w:color="auto"/>
              <w:right w:val="single" w:sz="4" w:space="0" w:color="auto"/>
            </w:tcBorders>
            <w:vAlign w:val="center"/>
            <w:hideMark/>
          </w:tcPr>
          <w:p w14:paraId="0212EA46"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2AB22053"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E8EE008"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2.0</w:t>
            </w:r>
          </w:p>
        </w:tc>
        <w:tc>
          <w:tcPr>
            <w:tcW w:w="1260" w:type="dxa"/>
            <w:tcBorders>
              <w:top w:val="nil"/>
              <w:left w:val="nil"/>
              <w:bottom w:val="single" w:sz="4" w:space="0" w:color="auto"/>
              <w:right w:val="single" w:sz="4" w:space="0" w:color="auto"/>
            </w:tcBorders>
            <w:vAlign w:val="center"/>
            <w:hideMark/>
          </w:tcPr>
          <w:p w14:paraId="1A354F27"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260" w:type="dxa"/>
            <w:tcBorders>
              <w:top w:val="nil"/>
              <w:left w:val="nil"/>
              <w:bottom w:val="single" w:sz="4" w:space="0" w:color="auto"/>
              <w:right w:val="single" w:sz="4" w:space="0" w:color="auto"/>
            </w:tcBorders>
            <w:vAlign w:val="center"/>
            <w:hideMark/>
          </w:tcPr>
          <w:p w14:paraId="0A2A4025" w14:textId="77777777" w:rsidR="009F099A" w:rsidRPr="00983568" w:rsidRDefault="009F099A"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1.5</w:t>
            </w:r>
          </w:p>
        </w:tc>
        <w:tc>
          <w:tcPr>
            <w:tcW w:w="1785" w:type="dxa"/>
            <w:tcBorders>
              <w:top w:val="nil"/>
              <w:left w:val="nil"/>
              <w:bottom w:val="single" w:sz="4" w:space="0" w:color="auto"/>
              <w:right w:val="single" w:sz="4" w:space="0" w:color="auto"/>
            </w:tcBorders>
            <w:vAlign w:val="center"/>
            <w:hideMark/>
          </w:tcPr>
          <w:p w14:paraId="11EB8F08" w14:textId="0CDF4687" w:rsidR="009F099A" w:rsidRPr="00983568" w:rsidRDefault="00983568"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hAnsi="Times New Roman" w:cs="Times New Roman"/>
                <w:sz w:val="20"/>
                <w:szCs w:val="20"/>
              </w:rPr>
              <w:t>Moderate</w:t>
            </w:r>
          </w:p>
        </w:tc>
      </w:tr>
    </w:tbl>
    <w:p w14:paraId="5C2CCC9C" w14:textId="77777777" w:rsidR="009F099A" w:rsidRPr="00311474" w:rsidRDefault="009F099A">
      <w:pPr>
        <w:rPr>
          <w:rFonts w:ascii="Times New Roman" w:hAnsi="Times New Roman" w:cs="Times New Roman"/>
        </w:rPr>
      </w:pPr>
    </w:p>
    <w:p w14:paraId="4879941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combined results on </w:t>
      </w:r>
      <w:commentRangeStart w:id="10"/>
      <w:r w:rsidRPr="009F099A">
        <w:rPr>
          <w:rFonts w:ascii="Times New Roman" w:hAnsi="Times New Roman" w:cs="Times New Roman"/>
        </w:rPr>
        <w:t>p</w:t>
      </w:r>
      <w:commentRangeEnd w:id="10"/>
      <w:r w:rsidR="00577DAF">
        <w:rPr>
          <w:rStyle w:val="ad"/>
        </w:rPr>
        <w:commentReference w:id="10"/>
      </w:r>
      <w:r w:rsidRPr="009F099A">
        <w:rPr>
          <w:rFonts w:ascii="Times New Roman" w:hAnsi="Times New Roman" w:cs="Times New Roman"/>
        </w:rPr>
        <w:t>est, disease, and root lodging resistance across two seasons revealed clear differentiation among hybrid combinations, with several hybrids demonstrating superior resistance compared to the control variety HN68.</w:t>
      </w:r>
    </w:p>
    <w:p w14:paraId="7B32D6A5"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group with very strong resistance included N02 × N7B, N59 × N15, and N19 × N59, in which all evaluated traits (stem borer, ear borer, sheath blight, southern leaf blight, and root lodging) consistently scored 1.0. This indicates high stability and minimal susceptibility to major pests and diseases, as well as strong lodging resistance. Such performance is particularly valuable in production systems, as improved resistance reduces the need for chemical protection and lowers the risk of yield loss under adverse environmental conditions.</w:t>
      </w:r>
    </w:p>
    <w:p w14:paraId="68618328"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hybrid N02 × N59 was rated as good, with a score of 1.0 for most traits and a slightly higher score (1.5) for southern leaf blight. Overall, this combination still exhibited high and stable resistance. The hybrids N02 × N15 and N02 × D666 were classified as fairly good, showing mild infection levels in some traits (scores of 1.5–2.0), yet generally remaining comparable to or better than the control.</w:t>
      </w:r>
    </w:p>
    <w:p w14:paraId="7FF18240"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The moderate resistance group comprised D666 × N15, N19 × N7B, and N51 × N02, with scores ranging from 1.5 to 2.0. Compared with the control HN68—which also showed most traits at 1.5–2.0—these hybrids demonstrated similar or slightly improved resistance in certain aspects, though not markedly superior.</w:t>
      </w:r>
    </w:p>
    <w:p w14:paraId="6F1EC097" w14:textId="77777777" w:rsidR="009F099A" w:rsidRPr="009F099A" w:rsidRDefault="009F099A" w:rsidP="00307D76">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 hybrid N27 × N59 </w:t>
      </w:r>
      <w:proofErr w:type="gramStart"/>
      <w:r w:rsidRPr="009F099A">
        <w:rPr>
          <w:rFonts w:ascii="Times New Roman" w:hAnsi="Times New Roman" w:cs="Times New Roman"/>
        </w:rPr>
        <w:t>was classified</w:t>
      </w:r>
      <w:proofErr w:type="gramEnd"/>
      <w:r w:rsidRPr="009F099A">
        <w:rPr>
          <w:rFonts w:ascii="Times New Roman" w:hAnsi="Times New Roman" w:cs="Times New Roman"/>
        </w:rPr>
        <w:t xml:space="preserve"> as susceptible, due to higher scores (2.0) for stem borer damage and root lodging, along with moderate infection levels for other diseases. Notably, N19 × N02 exhibited the lowest resistance, particularly with sheath blight and southern leaf blight scoring 2.5, substantially higher than the control. Consequently, this hybrid </w:t>
      </w:r>
      <w:proofErr w:type="gramStart"/>
      <w:r w:rsidRPr="009F099A">
        <w:rPr>
          <w:rFonts w:ascii="Times New Roman" w:hAnsi="Times New Roman" w:cs="Times New Roman"/>
        </w:rPr>
        <w:t>was rated</w:t>
      </w:r>
      <w:proofErr w:type="gramEnd"/>
      <w:r w:rsidRPr="009F099A">
        <w:rPr>
          <w:rFonts w:ascii="Times New Roman" w:hAnsi="Times New Roman" w:cs="Times New Roman"/>
        </w:rPr>
        <w:t xml:space="preserve"> as the most susceptible among the evaluated combinations.</w:t>
      </w:r>
    </w:p>
    <w:p w14:paraId="3957FC8E" w14:textId="77777777" w:rsidR="003C5522" w:rsidRDefault="003C5522" w:rsidP="009F099A">
      <w:pPr>
        <w:spacing w:after="0" w:line="288" w:lineRule="auto"/>
        <w:ind w:firstLine="720"/>
        <w:jc w:val="center"/>
        <w:rPr>
          <w:rFonts w:ascii="Times New Roman" w:hAnsi="Times New Roman" w:cs="Times New Roman"/>
          <w:b/>
          <w:bCs/>
        </w:rPr>
      </w:pPr>
    </w:p>
    <w:p w14:paraId="2F3E005D" w14:textId="0BC580FD" w:rsidR="009F099A" w:rsidRPr="00311474" w:rsidRDefault="008468D0" w:rsidP="003C5522">
      <w:pPr>
        <w:spacing w:after="0" w:line="288" w:lineRule="auto"/>
        <w:ind w:firstLine="720"/>
        <w:jc w:val="center"/>
        <w:rPr>
          <w:rFonts w:ascii="Times New Roman" w:hAnsi="Times New Roman" w:cs="Times New Roman"/>
        </w:rPr>
      </w:pPr>
      <w:r w:rsidRPr="008468D0">
        <w:rPr>
          <w:rFonts w:ascii="Times New Roman" w:hAnsi="Times New Roman" w:cs="Times New Roman"/>
          <w:b/>
          <w:bCs/>
        </w:rPr>
        <w:t xml:space="preserve">Table 6. Summary of </w:t>
      </w:r>
      <w:r>
        <w:rPr>
          <w:rFonts w:ascii="Times New Roman" w:hAnsi="Times New Roman" w:cs="Times New Roman"/>
          <w:b/>
          <w:bCs/>
        </w:rPr>
        <w:t>y</w:t>
      </w:r>
      <w:r w:rsidRPr="008468D0">
        <w:rPr>
          <w:rFonts w:ascii="Times New Roman" w:hAnsi="Times New Roman" w:cs="Times New Roman"/>
          <w:b/>
          <w:bCs/>
        </w:rPr>
        <w:t xml:space="preserve">ield </w:t>
      </w:r>
      <w:r>
        <w:rPr>
          <w:rFonts w:ascii="Times New Roman" w:hAnsi="Times New Roman" w:cs="Times New Roman"/>
          <w:b/>
          <w:bCs/>
        </w:rPr>
        <w:t>c</w:t>
      </w:r>
      <w:r w:rsidRPr="008468D0">
        <w:rPr>
          <w:rFonts w:ascii="Times New Roman" w:hAnsi="Times New Roman" w:cs="Times New Roman"/>
          <w:b/>
          <w:bCs/>
        </w:rPr>
        <w:t xml:space="preserve">omponents (Mean of </w:t>
      </w:r>
      <w:r>
        <w:rPr>
          <w:rFonts w:ascii="Times New Roman" w:hAnsi="Times New Roman" w:cs="Times New Roman"/>
          <w:b/>
          <w:bCs/>
        </w:rPr>
        <w:t>t</w:t>
      </w:r>
      <w:r w:rsidRPr="008468D0">
        <w:rPr>
          <w:rFonts w:ascii="Times New Roman" w:hAnsi="Times New Roman" w:cs="Times New Roman"/>
          <w:b/>
          <w:bCs/>
        </w:rPr>
        <w:t xml:space="preserve">wo </w:t>
      </w:r>
      <w:r>
        <w:rPr>
          <w:rFonts w:ascii="Times New Roman" w:hAnsi="Times New Roman" w:cs="Times New Roman"/>
          <w:b/>
          <w:bCs/>
        </w:rPr>
        <w:t>s</w:t>
      </w:r>
      <w:r w:rsidRPr="008468D0">
        <w:rPr>
          <w:rFonts w:ascii="Times New Roman" w:hAnsi="Times New Roman" w:cs="Times New Roman"/>
          <w:b/>
          <w:bCs/>
        </w:rPr>
        <w:t>easons)</w:t>
      </w:r>
    </w:p>
    <w:tbl>
      <w:tblPr>
        <w:tblW w:w="9379" w:type="dxa"/>
        <w:tblLook w:val="04A0" w:firstRow="1" w:lastRow="0" w:firstColumn="1" w:lastColumn="0" w:noHBand="0" w:noVBand="1"/>
      </w:tblPr>
      <w:tblGrid>
        <w:gridCol w:w="2176"/>
        <w:gridCol w:w="2352"/>
        <w:gridCol w:w="2176"/>
        <w:gridCol w:w="2675"/>
      </w:tblGrid>
      <w:tr w:rsidR="00010BF6" w:rsidRPr="00311474" w14:paraId="3337D495" w14:textId="77777777" w:rsidTr="00010BF6">
        <w:trPr>
          <w:trHeight w:val="810"/>
        </w:trPr>
        <w:tc>
          <w:tcPr>
            <w:tcW w:w="2176" w:type="dxa"/>
            <w:tcBorders>
              <w:top w:val="single" w:sz="4" w:space="0" w:color="auto"/>
              <w:left w:val="single" w:sz="4" w:space="0" w:color="auto"/>
              <w:bottom w:val="single" w:sz="4" w:space="0" w:color="auto"/>
              <w:right w:val="single" w:sz="4" w:space="0" w:color="auto"/>
            </w:tcBorders>
            <w:vAlign w:val="center"/>
            <w:hideMark/>
          </w:tcPr>
          <w:p w14:paraId="78A0BD68" w14:textId="129AAAE6" w:rsidR="00010BF6" w:rsidRPr="00311474" w:rsidRDefault="00010BF6"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52" w:type="dxa"/>
            <w:tcBorders>
              <w:top w:val="single" w:sz="4" w:space="0" w:color="auto"/>
              <w:left w:val="nil"/>
              <w:bottom w:val="single" w:sz="4" w:space="0" w:color="auto"/>
              <w:right w:val="single" w:sz="4" w:space="0" w:color="auto"/>
            </w:tcBorders>
            <w:vAlign w:val="center"/>
            <w:hideMark/>
          </w:tcPr>
          <w:p w14:paraId="498F45E0" w14:textId="1395A826" w:rsidR="00010BF6" w:rsidRPr="00311474" w:rsidRDefault="00010BF6"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 rows per ear</w:t>
            </w:r>
          </w:p>
        </w:tc>
        <w:tc>
          <w:tcPr>
            <w:tcW w:w="2176" w:type="dxa"/>
            <w:tcBorders>
              <w:top w:val="single" w:sz="4" w:space="0" w:color="auto"/>
              <w:left w:val="nil"/>
              <w:bottom w:val="single" w:sz="4" w:space="0" w:color="auto"/>
              <w:right w:val="single" w:sz="4" w:space="0" w:color="auto"/>
            </w:tcBorders>
            <w:vAlign w:val="center"/>
            <w:hideMark/>
          </w:tcPr>
          <w:p w14:paraId="18788F66" w14:textId="295B42CE" w:rsidR="00010BF6" w:rsidRPr="00311474" w:rsidRDefault="00010BF6"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Kernels per row</w:t>
            </w:r>
          </w:p>
        </w:tc>
        <w:tc>
          <w:tcPr>
            <w:tcW w:w="2675" w:type="dxa"/>
            <w:tcBorders>
              <w:top w:val="single" w:sz="4" w:space="0" w:color="auto"/>
              <w:left w:val="nil"/>
              <w:bottom w:val="single" w:sz="4" w:space="0" w:color="auto"/>
              <w:right w:val="single" w:sz="4" w:space="0" w:color="auto"/>
            </w:tcBorders>
            <w:vAlign w:val="center"/>
            <w:hideMark/>
          </w:tcPr>
          <w:p w14:paraId="6421FA8B" w14:textId="40576127" w:rsidR="00010BF6" w:rsidRPr="00311474" w:rsidRDefault="00010BF6"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 xml:space="preserve">Percentage of </w:t>
            </w:r>
            <w:r w:rsidR="000828CB">
              <w:rPr>
                <w:rFonts w:ascii="Times New Roman" w:eastAsia="Times New Roman" w:hAnsi="Times New Roman" w:cs="Times New Roman"/>
                <w:b/>
                <w:bCs/>
                <w:color w:val="000000"/>
                <w:kern w:val="0"/>
                <w:sz w:val="22"/>
                <w:szCs w:val="22"/>
                <w14:ligatures w14:val="none"/>
              </w:rPr>
              <w:t>g</w:t>
            </w:r>
            <w:r w:rsidRPr="00803ACF">
              <w:rPr>
                <w:rFonts w:ascii="Times New Roman" w:eastAsia="Times New Roman" w:hAnsi="Times New Roman" w:cs="Times New Roman"/>
                <w:b/>
                <w:bCs/>
                <w:color w:val="000000"/>
                <w:kern w:val="0"/>
                <w:sz w:val="22"/>
                <w:szCs w:val="22"/>
                <w14:ligatures w14:val="none"/>
              </w:rPr>
              <w:t>rade I ears (%)</w:t>
            </w:r>
          </w:p>
        </w:tc>
      </w:tr>
      <w:tr w:rsidR="00010BF6" w:rsidRPr="00311474" w14:paraId="4BB5BDA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FE3370F"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52" w:type="dxa"/>
            <w:tcBorders>
              <w:top w:val="nil"/>
              <w:left w:val="nil"/>
              <w:bottom w:val="single" w:sz="4" w:space="0" w:color="auto"/>
              <w:right w:val="single" w:sz="4" w:space="0" w:color="auto"/>
            </w:tcBorders>
            <w:vAlign w:val="center"/>
            <w:hideMark/>
          </w:tcPr>
          <w:p w14:paraId="4AC43FF9"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15.2 ± 0.3</w:t>
            </w:r>
          </w:p>
        </w:tc>
        <w:tc>
          <w:tcPr>
            <w:tcW w:w="2176" w:type="dxa"/>
            <w:tcBorders>
              <w:top w:val="nil"/>
              <w:left w:val="nil"/>
              <w:bottom w:val="single" w:sz="4" w:space="0" w:color="auto"/>
              <w:right w:val="single" w:sz="4" w:space="0" w:color="auto"/>
            </w:tcBorders>
            <w:vAlign w:val="center"/>
            <w:hideMark/>
          </w:tcPr>
          <w:p w14:paraId="65D7014E"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45A02FA"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1.5</w:t>
            </w:r>
          </w:p>
        </w:tc>
      </w:tr>
      <w:tr w:rsidR="00010BF6" w:rsidRPr="00311474" w14:paraId="25E926CC"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63922B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N59 × N15</w:t>
            </w:r>
          </w:p>
        </w:tc>
        <w:tc>
          <w:tcPr>
            <w:tcW w:w="2352" w:type="dxa"/>
            <w:tcBorders>
              <w:top w:val="nil"/>
              <w:left w:val="nil"/>
              <w:bottom w:val="single" w:sz="4" w:space="0" w:color="auto"/>
              <w:right w:val="single" w:sz="4" w:space="0" w:color="auto"/>
            </w:tcBorders>
            <w:vAlign w:val="center"/>
            <w:hideMark/>
          </w:tcPr>
          <w:p w14:paraId="28F54356"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6424FBF4"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35.0 ± 0.6</w:t>
            </w:r>
          </w:p>
        </w:tc>
        <w:tc>
          <w:tcPr>
            <w:tcW w:w="2675" w:type="dxa"/>
            <w:tcBorders>
              <w:top w:val="nil"/>
              <w:left w:val="nil"/>
              <w:bottom w:val="single" w:sz="4" w:space="0" w:color="auto"/>
              <w:right w:val="single" w:sz="4" w:space="0" w:color="auto"/>
            </w:tcBorders>
            <w:vAlign w:val="center"/>
            <w:hideMark/>
          </w:tcPr>
          <w:p w14:paraId="79E2A4F1"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81.5 ± 1.4</w:t>
            </w:r>
          </w:p>
        </w:tc>
      </w:tr>
      <w:tr w:rsidR="00010BF6" w:rsidRPr="00311474" w14:paraId="15B67A3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C8221E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52" w:type="dxa"/>
            <w:tcBorders>
              <w:top w:val="nil"/>
              <w:left w:val="nil"/>
              <w:bottom w:val="single" w:sz="4" w:space="0" w:color="auto"/>
              <w:right w:val="single" w:sz="4" w:space="0" w:color="auto"/>
            </w:tcBorders>
            <w:vAlign w:val="center"/>
            <w:hideMark/>
          </w:tcPr>
          <w:p w14:paraId="275B3A77"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0.2</w:t>
            </w:r>
          </w:p>
        </w:tc>
        <w:tc>
          <w:tcPr>
            <w:tcW w:w="2176" w:type="dxa"/>
            <w:tcBorders>
              <w:top w:val="nil"/>
              <w:left w:val="nil"/>
              <w:bottom w:val="single" w:sz="4" w:space="0" w:color="auto"/>
              <w:right w:val="single" w:sz="4" w:space="0" w:color="auto"/>
            </w:tcBorders>
            <w:vAlign w:val="center"/>
            <w:hideMark/>
          </w:tcPr>
          <w:p w14:paraId="71DEACD6"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0.7</w:t>
            </w:r>
          </w:p>
        </w:tc>
        <w:tc>
          <w:tcPr>
            <w:tcW w:w="2675" w:type="dxa"/>
            <w:tcBorders>
              <w:top w:val="nil"/>
              <w:left w:val="nil"/>
              <w:bottom w:val="single" w:sz="4" w:space="0" w:color="auto"/>
              <w:right w:val="single" w:sz="4" w:space="0" w:color="auto"/>
            </w:tcBorders>
            <w:vAlign w:val="center"/>
            <w:hideMark/>
          </w:tcPr>
          <w:p w14:paraId="06998422"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82.5 ± 1.6</w:t>
            </w:r>
          </w:p>
        </w:tc>
      </w:tr>
      <w:tr w:rsidR="00010BF6" w:rsidRPr="00311474" w14:paraId="53F9A21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47B06C4"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52" w:type="dxa"/>
            <w:tcBorders>
              <w:top w:val="nil"/>
              <w:left w:val="nil"/>
              <w:bottom w:val="single" w:sz="4" w:space="0" w:color="auto"/>
              <w:right w:val="single" w:sz="4" w:space="0" w:color="auto"/>
            </w:tcBorders>
            <w:vAlign w:val="center"/>
            <w:hideMark/>
          </w:tcPr>
          <w:p w14:paraId="4EBF59EE"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14.5 ± 0.3</w:t>
            </w:r>
          </w:p>
        </w:tc>
        <w:tc>
          <w:tcPr>
            <w:tcW w:w="2176" w:type="dxa"/>
            <w:tcBorders>
              <w:top w:val="nil"/>
              <w:left w:val="nil"/>
              <w:bottom w:val="single" w:sz="4" w:space="0" w:color="auto"/>
              <w:right w:val="single" w:sz="4" w:space="0" w:color="auto"/>
            </w:tcBorders>
            <w:vAlign w:val="center"/>
            <w:hideMark/>
          </w:tcPr>
          <w:p w14:paraId="1DE9D94D"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35.5 ± 0.6</w:t>
            </w:r>
          </w:p>
        </w:tc>
        <w:tc>
          <w:tcPr>
            <w:tcW w:w="2675" w:type="dxa"/>
            <w:tcBorders>
              <w:top w:val="nil"/>
              <w:left w:val="nil"/>
              <w:bottom w:val="single" w:sz="4" w:space="0" w:color="auto"/>
              <w:right w:val="single" w:sz="4" w:space="0" w:color="auto"/>
            </w:tcBorders>
            <w:vAlign w:val="center"/>
            <w:hideMark/>
          </w:tcPr>
          <w:p w14:paraId="2F4230A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80.5 ± 1.3</w:t>
            </w:r>
          </w:p>
        </w:tc>
      </w:tr>
      <w:tr w:rsidR="00010BF6" w:rsidRPr="00311474" w14:paraId="1762275A"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CCB19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52" w:type="dxa"/>
            <w:tcBorders>
              <w:top w:val="nil"/>
              <w:left w:val="nil"/>
              <w:bottom w:val="single" w:sz="4" w:space="0" w:color="auto"/>
              <w:right w:val="single" w:sz="4" w:space="0" w:color="auto"/>
            </w:tcBorders>
            <w:vAlign w:val="center"/>
            <w:hideMark/>
          </w:tcPr>
          <w:p w14:paraId="09C4AD4B"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5938D0C4"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34.0 ± 0.6</w:t>
            </w:r>
          </w:p>
        </w:tc>
        <w:tc>
          <w:tcPr>
            <w:tcW w:w="2675" w:type="dxa"/>
            <w:tcBorders>
              <w:top w:val="nil"/>
              <w:left w:val="nil"/>
              <w:bottom w:val="single" w:sz="4" w:space="0" w:color="auto"/>
              <w:right w:val="single" w:sz="4" w:space="0" w:color="auto"/>
            </w:tcBorders>
            <w:vAlign w:val="center"/>
            <w:hideMark/>
          </w:tcPr>
          <w:p w14:paraId="73ADC3B8"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79.5 ± 1.2</w:t>
            </w:r>
          </w:p>
        </w:tc>
      </w:tr>
      <w:tr w:rsidR="00010BF6" w:rsidRPr="00311474" w14:paraId="0B81C3C3"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B8C625E"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lastRenderedPageBreak/>
              <w:t>N19 × N02</w:t>
            </w:r>
          </w:p>
        </w:tc>
        <w:tc>
          <w:tcPr>
            <w:tcW w:w="2352" w:type="dxa"/>
            <w:tcBorders>
              <w:top w:val="nil"/>
              <w:left w:val="nil"/>
              <w:bottom w:val="single" w:sz="4" w:space="0" w:color="auto"/>
              <w:right w:val="single" w:sz="4" w:space="0" w:color="auto"/>
            </w:tcBorders>
            <w:vAlign w:val="center"/>
            <w:hideMark/>
          </w:tcPr>
          <w:p w14:paraId="43A66C3E"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14.3 ± 0.2</w:t>
            </w:r>
          </w:p>
        </w:tc>
        <w:tc>
          <w:tcPr>
            <w:tcW w:w="2176" w:type="dxa"/>
            <w:tcBorders>
              <w:top w:val="nil"/>
              <w:left w:val="nil"/>
              <w:bottom w:val="single" w:sz="4" w:space="0" w:color="auto"/>
              <w:right w:val="single" w:sz="4" w:space="0" w:color="auto"/>
            </w:tcBorders>
            <w:vAlign w:val="center"/>
            <w:hideMark/>
          </w:tcPr>
          <w:p w14:paraId="629353EC"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33.8 ± 0.5</w:t>
            </w:r>
          </w:p>
        </w:tc>
        <w:tc>
          <w:tcPr>
            <w:tcW w:w="2675" w:type="dxa"/>
            <w:tcBorders>
              <w:top w:val="nil"/>
              <w:left w:val="nil"/>
              <w:bottom w:val="single" w:sz="4" w:space="0" w:color="auto"/>
              <w:right w:val="single" w:sz="4" w:space="0" w:color="auto"/>
            </w:tcBorders>
            <w:vAlign w:val="center"/>
            <w:hideMark/>
          </w:tcPr>
          <w:p w14:paraId="490776ED"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1.3</w:t>
            </w:r>
          </w:p>
        </w:tc>
      </w:tr>
      <w:tr w:rsidR="00010BF6" w:rsidRPr="00311474" w14:paraId="2F84032B"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C3FBE6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52" w:type="dxa"/>
            <w:tcBorders>
              <w:top w:val="nil"/>
              <w:left w:val="nil"/>
              <w:bottom w:val="single" w:sz="4" w:space="0" w:color="auto"/>
              <w:right w:val="single" w:sz="4" w:space="0" w:color="auto"/>
            </w:tcBorders>
            <w:vAlign w:val="center"/>
            <w:hideMark/>
          </w:tcPr>
          <w:p w14:paraId="047714A3"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13.9 ± 0.3</w:t>
            </w:r>
          </w:p>
        </w:tc>
        <w:tc>
          <w:tcPr>
            <w:tcW w:w="2176" w:type="dxa"/>
            <w:tcBorders>
              <w:top w:val="nil"/>
              <w:left w:val="nil"/>
              <w:bottom w:val="single" w:sz="4" w:space="0" w:color="auto"/>
              <w:right w:val="single" w:sz="4" w:space="0" w:color="auto"/>
            </w:tcBorders>
            <w:vAlign w:val="center"/>
            <w:hideMark/>
          </w:tcPr>
          <w:p w14:paraId="675F67B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32.8 ± 0.6</w:t>
            </w:r>
          </w:p>
        </w:tc>
        <w:tc>
          <w:tcPr>
            <w:tcW w:w="2675" w:type="dxa"/>
            <w:tcBorders>
              <w:top w:val="nil"/>
              <w:left w:val="nil"/>
              <w:bottom w:val="single" w:sz="4" w:space="0" w:color="auto"/>
              <w:right w:val="single" w:sz="4" w:space="0" w:color="auto"/>
            </w:tcBorders>
            <w:vAlign w:val="center"/>
            <w:hideMark/>
          </w:tcPr>
          <w:p w14:paraId="5219A6CC"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78.0 ± 1.2</w:t>
            </w:r>
          </w:p>
        </w:tc>
      </w:tr>
      <w:tr w:rsidR="00010BF6" w:rsidRPr="00311474" w14:paraId="2DC72A86"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67A60F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52" w:type="dxa"/>
            <w:tcBorders>
              <w:top w:val="nil"/>
              <w:left w:val="nil"/>
              <w:bottom w:val="single" w:sz="4" w:space="0" w:color="auto"/>
              <w:right w:val="single" w:sz="4" w:space="0" w:color="auto"/>
            </w:tcBorders>
            <w:vAlign w:val="center"/>
            <w:hideMark/>
          </w:tcPr>
          <w:p w14:paraId="4FE69D2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15.0 ± 0.3</w:t>
            </w:r>
          </w:p>
        </w:tc>
        <w:tc>
          <w:tcPr>
            <w:tcW w:w="2176" w:type="dxa"/>
            <w:tcBorders>
              <w:top w:val="nil"/>
              <w:left w:val="nil"/>
              <w:bottom w:val="single" w:sz="4" w:space="0" w:color="auto"/>
              <w:right w:val="single" w:sz="4" w:space="0" w:color="auto"/>
            </w:tcBorders>
            <w:vAlign w:val="center"/>
            <w:hideMark/>
          </w:tcPr>
          <w:p w14:paraId="5D26B3DB"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31.8 ± 0.5</w:t>
            </w:r>
          </w:p>
        </w:tc>
        <w:tc>
          <w:tcPr>
            <w:tcW w:w="2675" w:type="dxa"/>
            <w:tcBorders>
              <w:top w:val="nil"/>
              <w:left w:val="nil"/>
              <w:bottom w:val="single" w:sz="4" w:space="0" w:color="auto"/>
              <w:right w:val="single" w:sz="4" w:space="0" w:color="auto"/>
            </w:tcBorders>
            <w:vAlign w:val="center"/>
            <w:hideMark/>
          </w:tcPr>
          <w:p w14:paraId="30CED398"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1.4</w:t>
            </w:r>
          </w:p>
        </w:tc>
      </w:tr>
      <w:tr w:rsidR="00010BF6" w:rsidRPr="00311474" w14:paraId="0EC6AF0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4CB7316B"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52" w:type="dxa"/>
            <w:tcBorders>
              <w:top w:val="nil"/>
              <w:left w:val="nil"/>
              <w:bottom w:val="single" w:sz="4" w:space="0" w:color="auto"/>
              <w:right w:val="single" w:sz="4" w:space="0" w:color="auto"/>
            </w:tcBorders>
            <w:vAlign w:val="center"/>
            <w:hideMark/>
          </w:tcPr>
          <w:p w14:paraId="2AEFAE7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13.2 ± 0.4</w:t>
            </w:r>
          </w:p>
        </w:tc>
        <w:tc>
          <w:tcPr>
            <w:tcW w:w="2176" w:type="dxa"/>
            <w:tcBorders>
              <w:top w:val="nil"/>
              <w:left w:val="nil"/>
              <w:bottom w:val="single" w:sz="4" w:space="0" w:color="auto"/>
              <w:right w:val="single" w:sz="4" w:space="0" w:color="auto"/>
            </w:tcBorders>
            <w:vAlign w:val="center"/>
            <w:hideMark/>
          </w:tcPr>
          <w:p w14:paraId="4803CCFD"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4DBD8A1"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77.5 ± 1.3</w:t>
            </w:r>
          </w:p>
        </w:tc>
      </w:tr>
      <w:tr w:rsidR="00010BF6" w:rsidRPr="00311474" w14:paraId="50633561"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734D716"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52" w:type="dxa"/>
            <w:tcBorders>
              <w:top w:val="nil"/>
              <w:left w:val="nil"/>
              <w:bottom w:val="single" w:sz="4" w:space="0" w:color="auto"/>
              <w:right w:val="single" w:sz="4" w:space="0" w:color="auto"/>
            </w:tcBorders>
            <w:vAlign w:val="center"/>
            <w:hideMark/>
          </w:tcPr>
          <w:p w14:paraId="412C4E6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13.7 ± 0.3</w:t>
            </w:r>
          </w:p>
        </w:tc>
        <w:tc>
          <w:tcPr>
            <w:tcW w:w="2176" w:type="dxa"/>
            <w:tcBorders>
              <w:top w:val="nil"/>
              <w:left w:val="nil"/>
              <w:bottom w:val="single" w:sz="4" w:space="0" w:color="auto"/>
              <w:right w:val="single" w:sz="4" w:space="0" w:color="auto"/>
            </w:tcBorders>
            <w:vAlign w:val="center"/>
            <w:hideMark/>
          </w:tcPr>
          <w:p w14:paraId="5BC845A4"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29.5 ± 0.7</w:t>
            </w:r>
          </w:p>
        </w:tc>
        <w:tc>
          <w:tcPr>
            <w:tcW w:w="2675" w:type="dxa"/>
            <w:tcBorders>
              <w:top w:val="nil"/>
              <w:left w:val="nil"/>
              <w:bottom w:val="single" w:sz="4" w:space="0" w:color="auto"/>
              <w:right w:val="single" w:sz="4" w:space="0" w:color="auto"/>
            </w:tcBorders>
            <w:vAlign w:val="center"/>
            <w:hideMark/>
          </w:tcPr>
          <w:p w14:paraId="2D249353"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77.0 ± 1.5</w:t>
            </w:r>
          </w:p>
        </w:tc>
      </w:tr>
      <w:tr w:rsidR="00010BF6" w:rsidRPr="00311474" w14:paraId="0063491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0903B444"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52" w:type="dxa"/>
            <w:tcBorders>
              <w:top w:val="nil"/>
              <w:left w:val="nil"/>
              <w:bottom w:val="single" w:sz="4" w:space="0" w:color="auto"/>
              <w:right w:val="single" w:sz="4" w:space="0" w:color="auto"/>
            </w:tcBorders>
            <w:vAlign w:val="center"/>
            <w:hideMark/>
          </w:tcPr>
          <w:p w14:paraId="6E27490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14.0 ± 0.3</w:t>
            </w:r>
          </w:p>
        </w:tc>
        <w:tc>
          <w:tcPr>
            <w:tcW w:w="2176" w:type="dxa"/>
            <w:tcBorders>
              <w:top w:val="nil"/>
              <w:left w:val="nil"/>
              <w:bottom w:val="single" w:sz="4" w:space="0" w:color="auto"/>
              <w:right w:val="single" w:sz="4" w:space="0" w:color="auto"/>
            </w:tcBorders>
            <w:vAlign w:val="center"/>
            <w:hideMark/>
          </w:tcPr>
          <w:p w14:paraId="74287CF5"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0.5</w:t>
            </w:r>
          </w:p>
        </w:tc>
        <w:tc>
          <w:tcPr>
            <w:tcW w:w="2675" w:type="dxa"/>
            <w:tcBorders>
              <w:top w:val="nil"/>
              <w:left w:val="nil"/>
              <w:bottom w:val="single" w:sz="4" w:space="0" w:color="auto"/>
              <w:right w:val="single" w:sz="4" w:space="0" w:color="auto"/>
            </w:tcBorders>
            <w:vAlign w:val="center"/>
            <w:hideMark/>
          </w:tcPr>
          <w:p w14:paraId="504EBBDD"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1.2</w:t>
            </w:r>
          </w:p>
        </w:tc>
      </w:tr>
      <w:tr w:rsidR="00010BF6" w:rsidRPr="00311474" w14:paraId="1D712AD0"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7BF729A7" w14:textId="6AD00AF8" w:rsidR="00010BF6" w:rsidRPr="00983568" w:rsidRDefault="00010BF6"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52" w:type="dxa"/>
            <w:tcBorders>
              <w:top w:val="nil"/>
              <w:left w:val="nil"/>
              <w:bottom w:val="single" w:sz="4" w:space="0" w:color="auto"/>
              <w:right w:val="single" w:sz="4" w:space="0" w:color="auto"/>
            </w:tcBorders>
            <w:vAlign w:val="center"/>
            <w:hideMark/>
          </w:tcPr>
          <w:p w14:paraId="5405DE02"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12.8 ± 0.3</w:t>
            </w:r>
          </w:p>
        </w:tc>
        <w:tc>
          <w:tcPr>
            <w:tcW w:w="2176" w:type="dxa"/>
            <w:tcBorders>
              <w:top w:val="nil"/>
              <w:left w:val="nil"/>
              <w:bottom w:val="single" w:sz="4" w:space="0" w:color="auto"/>
              <w:right w:val="single" w:sz="4" w:space="0" w:color="auto"/>
            </w:tcBorders>
            <w:vAlign w:val="center"/>
            <w:hideMark/>
          </w:tcPr>
          <w:p w14:paraId="0022E200"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32.0 ± 0.6</w:t>
            </w:r>
          </w:p>
        </w:tc>
        <w:tc>
          <w:tcPr>
            <w:tcW w:w="2675" w:type="dxa"/>
            <w:tcBorders>
              <w:top w:val="nil"/>
              <w:left w:val="nil"/>
              <w:bottom w:val="single" w:sz="4" w:space="0" w:color="auto"/>
              <w:right w:val="single" w:sz="4" w:space="0" w:color="auto"/>
            </w:tcBorders>
            <w:vAlign w:val="center"/>
            <w:hideMark/>
          </w:tcPr>
          <w:p w14:paraId="5544C35C"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76.5 ± 1.4</w:t>
            </w:r>
          </w:p>
        </w:tc>
      </w:tr>
      <w:tr w:rsidR="00010BF6" w:rsidRPr="00311474" w14:paraId="35F24724"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19842AC8"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52" w:type="dxa"/>
            <w:tcBorders>
              <w:top w:val="nil"/>
              <w:left w:val="nil"/>
              <w:bottom w:val="single" w:sz="4" w:space="0" w:color="auto"/>
              <w:right w:val="single" w:sz="4" w:space="0" w:color="auto"/>
            </w:tcBorders>
            <w:vAlign w:val="center"/>
            <w:hideMark/>
          </w:tcPr>
          <w:p w14:paraId="7E69FD7D"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c>
          <w:tcPr>
            <w:tcW w:w="2176" w:type="dxa"/>
            <w:tcBorders>
              <w:top w:val="nil"/>
              <w:left w:val="nil"/>
              <w:bottom w:val="single" w:sz="4" w:space="0" w:color="auto"/>
              <w:right w:val="single" w:sz="4" w:space="0" w:color="auto"/>
            </w:tcBorders>
            <w:vAlign w:val="center"/>
            <w:hideMark/>
          </w:tcPr>
          <w:p w14:paraId="432EA583"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5.2</w:t>
            </w:r>
          </w:p>
        </w:tc>
        <w:tc>
          <w:tcPr>
            <w:tcW w:w="2675" w:type="dxa"/>
            <w:tcBorders>
              <w:top w:val="nil"/>
              <w:left w:val="nil"/>
              <w:bottom w:val="single" w:sz="4" w:space="0" w:color="auto"/>
              <w:right w:val="single" w:sz="4" w:space="0" w:color="auto"/>
            </w:tcBorders>
            <w:vAlign w:val="center"/>
            <w:hideMark/>
          </w:tcPr>
          <w:p w14:paraId="6F906B3A"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3.9</w:t>
            </w:r>
          </w:p>
        </w:tc>
      </w:tr>
      <w:tr w:rsidR="00010BF6" w:rsidRPr="00311474" w14:paraId="67F4E925" w14:textId="77777777" w:rsidTr="00010BF6">
        <w:trPr>
          <w:trHeight w:val="447"/>
        </w:trPr>
        <w:tc>
          <w:tcPr>
            <w:tcW w:w="2176" w:type="dxa"/>
            <w:tcBorders>
              <w:top w:val="nil"/>
              <w:left w:val="single" w:sz="4" w:space="0" w:color="auto"/>
              <w:bottom w:val="single" w:sz="4" w:space="0" w:color="auto"/>
              <w:right w:val="single" w:sz="4" w:space="0" w:color="auto"/>
            </w:tcBorders>
            <w:vAlign w:val="center"/>
            <w:hideMark/>
          </w:tcPr>
          <w:p w14:paraId="2AA0063F"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LSD₀.₀₅</w:t>
            </w:r>
          </w:p>
        </w:tc>
        <w:tc>
          <w:tcPr>
            <w:tcW w:w="2352" w:type="dxa"/>
            <w:tcBorders>
              <w:top w:val="nil"/>
              <w:left w:val="nil"/>
              <w:bottom w:val="single" w:sz="4" w:space="0" w:color="auto"/>
              <w:right w:val="single" w:sz="4" w:space="0" w:color="auto"/>
            </w:tcBorders>
            <w:vAlign w:val="center"/>
            <w:hideMark/>
          </w:tcPr>
          <w:p w14:paraId="581C7461"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0.8</w:t>
            </w:r>
          </w:p>
        </w:tc>
        <w:tc>
          <w:tcPr>
            <w:tcW w:w="2176" w:type="dxa"/>
            <w:tcBorders>
              <w:top w:val="nil"/>
              <w:left w:val="nil"/>
              <w:bottom w:val="single" w:sz="4" w:space="0" w:color="auto"/>
              <w:right w:val="single" w:sz="4" w:space="0" w:color="auto"/>
            </w:tcBorders>
            <w:vAlign w:val="center"/>
            <w:hideMark/>
          </w:tcPr>
          <w:p w14:paraId="56A990BE"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1.5</w:t>
            </w:r>
          </w:p>
        </w:tc>
        <w:tc>
          <w:tcPr>
            <w:tcW w:w="2675" w:type="dxa"/>
            <w:tcBorders>
              <w:top w:val="nil"/>
              <w:left w:val="nil"/>
              <w:bottom w:val="single" w:sz="4" w:space="0" w:color="auto"/>
              <w:right w:val="single" w:sz="4" w:space="0" w:color="auto"/>
            </w:tcBorders>
            <w:vAlign w:val="center"/>
            <w:hideMark/>
          </w:tcPr>
          <w:p w14:paraId="4222AB41" w14:textId="77777777" w:rsidR="00010BF6" w:rsidRPr="00311474" w:rsidRDefault="00010BF6"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3.2</w:t>
            </w:r>
          </w:p>
        </w:tc>
      </w:tr>
    </w:tbl>
    <w:p w14:paraId="78BA7573" w14:textId="77777777" w:rsidR="009F099A" w:rsidRPr="00311474" w:rsidRDefault="009F099A">
      <w:pPr>
        <w:rPr>
          <w:rFonts w:ascii="Times New Roman" w:hAnsi="Times New Roman" w:cs="Times New Roman"/>
        </w:rPr>
      </w:pPr>
    </w:p>
    <w:p w14:paraId="1FDE368F"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analysis of yield components across two seasons revealed clear differences among hybrid combinations and the control variety HN68, and these results were generally consistent with the previously analyzed agro-morphological traits.</w:t>
      </w:r>
    </w:p>
    <w:p w14:paraId="2ADFCFE9"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Regarding the number of kernel rows per ear, the hybrids ranged from 13.2 to 15.2 rows, all exceeding the control (12.8 rows). The combinations N02 × N7B (15.2 rows), N59 × N15 (15.0 rows), and N02 × N59 (15.0 rows) recorded the highest values, demonstrating a clear advantage in yield potential. In contrast, hybrids such as N27 × N59 (13.2 rows) and N19 × N7B (13.7 rows) showed relatively lower values, indicating certain limitations in this yield component.</w:t>
      </w:r>
    </w:p>
    <w:p w14:paraId="6737EDD1"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For kernels per row, the hybrids varied from 29.5 to 35.5 kernels, while the control produced 32.0 kernels per row. Notably, N02 × N7B, N02 × N59, and N02 × N15 each reached 35.5 kernels per row—the highest in the experiment—indicating a substantial increase in kernel density per ear. Conversely, N19 × N7B had the lowest value (29.5 kernels), which contributed to its reduced yield potential.</w:t>
      </w:r>
    </w:p>
    <w:p w14:paraId="67AB5266"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The proportion of Grade I ears ranged from 76.5% to 82.5%, whereas the control achieved only 76.5%. The highest percentage was observed in N02 × N7B and N02 × N59 (82.5%), followed by N59 × N15 (81.5%) and N02 × N15 (80.5%). A high proportion of Grade I ears not only reflects superior yield potential but also indicates strong market quality, which is particularly important for commercial waxy maize production.</w:t>
      </w:r>
    </w:p>
    <w:p w14:paraId="32850D57"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Based on the overall assessment of yield components, three hybrids—N02 × N7B, N59 × N15, and N02 × N59—were classified as having very high yield potential, as they simultaneously combined a high number of kernel rows, a large number of kernels per row, and a superior proportion of Grade I ears. The high to </w:t>
      </w:r>
      <w:proofErr w:type="gramStart"/>
      <w:r w:rsidRPr="009F099A">
        <w:rPr>
          <w:rFonts w:ascii="Times New Roman" w:hAnsi="Times New Roman" w:cs="Times New Roman"/>
        </w:rPr>
        <w:t>fairly high</w:t>
      </w:r>
      <w:proofErr w:type="gramEnd"/>
      <w:r w:rsidRPr="009F099A">
        <w:rPr>
          <w:rFonts w:ascii="Times New Roman" w:hAnsi="Times New Roman" w:cs="Times New Roman"/>
        </w:rPr>
        <w:t xml:space="preserve"> group included N02 × N15, N19 × N59, and N19 × N02, which showed relatively good performance but not consistently across all components. Hybrids D666 × N15, N51 × N02, and N27 × N59 were rated as moderate, while N19 × N7B and N02 × D666 were classified as low due to limitations in kernels per row or Grade I ear percentage.</w:t>
      </w:r>
    </w:p>
    <w:p w14:paraId="355D86DE" w14:textId="77777777" w:rsidR="009F099A" w:rsidRPr="009F099A" w:rsidRDefault="009F099A" w:rsidP="00820337">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Compared with the control HN68, most hybrid combinations outperformed it in key yield components, particularly those involving parental lines N02 and N59. This finding aligns well with the previous combining ability analysis (GCA and SCA), where these two lines frequently produced hybrids with pronounced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effects. Therefore, when considering agro-morphological traits, resistance performance, and yield components together, N02 × N7B, N59 × </w:t>
      </w:r>
      <w:r w:rsidRPr="009F099A">
        <w:rPr>
          <w:rFonts w:ascii="Times New Roman" w:hAnsi="Times New Roman" w:cs="Times New Roman"/>
        </w:rPr>
        <w:lastRenderedPageBreak/>
        <w:t>N15, and N02 × N59 emerge as the most promising hybrids, with strong potential for further multi-location trials and commercial variety development.</w:t>
      </w:r>
    </w:p>
    <w:p w14:paraId="1EF66509" w14:textId="7D68A71B" w:rsidR="009F099A" w:rsidRPr="00311474" w:rsidRDefault="00313999" w:rsidP="009F099A">
      <w:pPr>
        <w:jc w:val="center"/>
        <w:rPr>
          <w:rFonts w:ascii="Times New Roman" w:hAnsi="Times New Roman" w:cs="Times New Roman"/>
        </w:rPr>
      </w:pPr>
      <w:r>
        <w:rPr>
          <w:rFonts w:ascii="Times New Roman" w:hAnsi="Times New Roman" w:cs="Times New Roman"/>
          <w:b/>
          <w:bCs/>
        </w:rPr>
        <w:t>Table</w:t>
      </w:r>
      <w:r w:rsidR="009F099A" w:rsidRPr="00311474">
        <w:rPr>
          <w:rFonts w:ascii="Times New Roman" w:hAnsi="Times New Roman" w:cs="Times New Roman"/>
          <w:b/>
          <w:bCs/>
        </w:rPr>
        <w:t xml:space="preserve"> 7: </w:t>
      </w:r>
      <w:r w:rsidRPr="00313999">
        <w:rPr>
          <w:rFonts w:ascii="Times New Roman" w:hAnsi="Times New Roman" w:cs="Times New Roman"/>
          <w:b/>
          <w:bCs/>
        </w:rPr>
        <w:t xml:space="preserve">Summary table of yield and quality of fresh feed </w:t>
      </w:r>
      <w:r w:rsidR="009F099A" w:rsidRPr="00311474">
        <w:rPr>
          <w:rFonts w:ascii="Times New Roman" w:hAnsi="Times New Roman" w:cs="Times New Roman"/>
          <w:b/>
          <w:bCs/>
        </w:rPr>
        <w:t xml:space="preserve">(TB 2 </w:t>
      </w:r>
      <w:proofErr w:type="spellStart"/>
      <w:r w:rsidR="009F099A" w:rsidRPr="00311474">
        <w:rPr>
          <w:rFonts w:ascii="Times New Roman" w:hAnsi="Times New Roman" w:cs="Times New Roman"/>
          <w:b/>
          <w:bCs/>
        </w:rPr>
        <w:t>vụ</w:t>
      </w:r>
      <w:proofErr w:type="spellEnd"/>
      <w:r w:rsidR="009F099A" w:rsidRPr="00311474">
        <w:rPr>
          <w:rFonts w:ascii="Times New Roman" w:hAnsi="Times New Roman" w:cs="Times New Roman"/>
          <w:b/>
          <w:bCs/>
        </w:rPr>
        <w:t>)</w:t>
      </w:r>
    </w:p>
    <w:tbl>
      <w:tblPr>
        <w:tblW w:w="9520" w:type="dxa"/>
        <w:tblLook w:val="04A0" w:firstRow="1" w:lastRow="0" w:firstColumn="1" w:lastColumn="0" w:noHBand="0" w:noVBand="1"/>
      </w:tblPr>
      <w:tblGrid>
        <w:gridCol w:w="2380"/>
        <w:gridCol w:w="2380"/>
        <w:gridCol w:w="2380"/>
        <w:gridCol w:w="2380"/>
      </w:tblGrid>
      <w:tr w:rsidR="002C0655" w:rsidRPr="00311474" w14:paraId="23908D44" w14:textId="77777777" w:rsidTr="002C0655">
        <w:trPr>
          <w:trHeight w:val="1027"/>
        </w:trPr>
        <w:tc>
          <w:tcPr>
            <w:tcW w:w="2380" w:type="dxa"/>
            <w:tcBorders>
              <w:top w:val="single" w:sz="4" w:space="0" w:color="auto"/>
              <w:left w:val="single" w:sz="4" w:space="0" w:color="auto"/>
              <w:bottom w:val="single" w:sz="4" w:space="0" w:color="auto"/>
              <w:right w:val="single" w:sz="4" w:space="0" w:color="auto"/>
            </w:tcBorders>
            <w:vAlign w:val="center"/>
            <w:hideMark/>
          </w:tcPr>
          <w:p w14:paraId="6D8EBE6B" w14:textId="6821926C" w:rsidR="002C0655" w:rsidRPr="00311474" w:rsidRDefault="005C4B69"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803ACF">
              <w:rPr>
                <w:rFonts w:ascii="Times New Roman" w:eastAsia="Times New Roman" w:hAnsi="Times New Roman" w:cs="Times New Roman"/>
                <w:b/>
                <w:bCs/>
                <w:color w:val="000000"/>
                <w:kern w:val="0"/>
                <w:sz w:val="22"/>
                <w:szCs w:val="22"/>
                <w14:ligatures w14:val="none"/>
              </w:rPr>
              <w:t>Hybrid combination</w:t>
            </w:r>
          </w:p>
        </w:tc>
        <w:tc>
          <w:tcPr>
            <w:tcW w:w="2380" w:type="dxa"/>
            <w:tcBorders>
              <w:top w:val="single" w:sz="4" w:space="0" w:color="auto"/>
              <w:left w:val="nil"/>
              <w:bottom w:val="single" w:sz="4" w:space="0" w:color="auto"/>
              <w:right w:val="single" w:sz="4" w:space="0" w:color="auto"/>
            </w:tcBorders>
            <w:vAlign w:val="center"/>
            <w:hideMark/>
          </w:tcPr>
          <w:p w14:paraId="182BF8E6" w14:textId="3FAB89C8" w:rsidR="002C0655" w:rsidRPr="00311474" w:rsidRDefault="005C4B69"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Fresh ear yield (t/ha)</w:t>
            </w:r>
          </w:p>
        </w:tc>
        <w:tc>
          <w:tcPr>
            <w:tcW w:w="2380" w:type="dxa"/>
            <w:tcBorders>
              <w:top w:val="single" w:sz="4" w:space="0" w:color="auto"/>
              <w:left w:val="nil"/>
              <w:bottom w:val="single" w:sz="4" w:space="0" w:color="auto"/>
              <w:right w:val="single" w:sz="4" w:space="0" w:color="auto"/>
            </w:tcBorders>
            <w:vAlign w:val="center"/>
            <w:hideMark/>
          </w:tcPr>
          <w:p w14:paraId="69F843ED" w14:textId="3178E883" w:rsidR="002C0655" w:rsidRPr="00311474" w:rsidRDefault="005C4B69"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Dry grain yield (t/ha)</w:t>
            </w:r>
          </w:p>
        </w:tc>
        <w:tc>
          <w:tcPr>
            <w:tcW w:w="2380" w:type="dxa"/>
            <w:tcBorders>
              <w:top w:val="single" w:sz="4" w:space="0" w:color="auto"/>
              <w:left w:val="nil"/>
              <w:bottom w:val="single" w:sz="4" w:space="0" w:color="auto"/>
              <w:right w:val="single" w:sz="4" w:space="0" w:color="auto"/>
            </w:tcBorders>
            <w:vAlign w:val="center"/>
            <w:hideMark/>
          </w:tcPr>
          <w:p w14:paraId="7452DA06" w14:textId="02CAF29B" w:rsidR="002C0655" w:rsidRPr="00311474" w:rsidRDefault="005C4B69" w:rsidP="00577DAF">
            <w:pPr>
              <w:spacing w:after="0" w:line="240" w:lineRule="auto"/>
              <w:jc w:val="center"/>
              <w:rPr>
                <w:rFonts w:ascii="Times New Roman" w:eastAsia="Times New Roman" w:hAnsi="Times New Roman" w:cs="Times New Roman"/>
                <w:b/>
                <w:bCs/>
                <w:color w:val="000000"/>
                <w:kern w:val="0"/>
                <w:sz w:val="22"/>
                <w:szCs w:val="22"/>
                <w14:ligatures w14:val="none"/>
              </w:rPr>
            </w:pPr>
            <w:r w:rsidRPr="005C4B69">
              <w:rPr>
                <w:rFonts w:ascii="Times New Roman" w:eastAsia="Times New Roman" w:hAnsi="Times New Roman" w:cs="Times New Roman"/>
                <w:b/>
                <w:bCs/>
                <w:color w:val="000000"/>
                <w:kern w:val="0"/>
                <w:sz w:val="22"/>
                <w:szCs w:val="22"/>
                <w14:ligatures w14:val="none"/>
              </w:rPr>
              <w:t>Mean sensory quality score</w:t>
            </w:r>
          </w:p>
        </w:tc>
      </w:tr>
      <w:tr w:rsidR="002C0655" w:rsidRPr="00311474" w14:paraId="702A75B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883886"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N7B</w:t>
            </w:r>
          </w:p>
        </w:tc>
        <w:tc>
          <w:tcPr>
            <w:tcW w:w="2380" w:type="dxa"/>
            <w:tcBorders>
              <w:top w:val="nil"/>
              <w:left w:val="nil"/>
              <w:bottom w:val="single" w:sz="4" w:space="0" w:color="auto"/>
              <w:right w:val="single" w:sz="4" w:space="0" w:color="auto"/>
            </w:tcBorders>
            <w:vAlign w:val="center"/>
            <w:hideMark/>
          </w:tcPr>
          <w:p w14:paraId="33ED702E"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11.7 ± 0.35</w:t>
            </w:r>
          </w:p>
        </w:tc>
        <w:tc>
          <w:tcPr>
            <w:tcW w:w="2380" w:type="dxa"/>
            <w:tcBorders>
              <w:top w:val="nil"/>
              <w:left w:val="nil"/>
              <w:bottom w:val="single" w:sz="4" w:space="0" w:color="auto"/>
              <w:right w:val="single" w:sz="4" w:space="0" w:color="auto"/>
            </w:tcBorders>
            <w:vAlign w:val="center"/>
            <w:hideMark/>
          </w:tcPr>
          <w:p w14:paraId="36F56629"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0.18</w:t>
            </w:r>
          </w:p>
        </w:tc>
        <w:tc>
          <w:tcPr>
            <w:tcW w:w="2380" w:type="dxa"/>
            <w:tcBorders>
              <w:top w:val="nil"/>
              <w:left w:val="nil"/>
              <w:bottom w:val="single" w:sz="4" w:space="0" w:color="auto"/>
              <w:right w:val="single" w:sz="4" w:space="0" w:color="auto"/>
            </w:tcBorders>
            <w:vAlign w:val="center"/>
            <w:hideMark/>
          </w:tcPr>
          <w:p w14:paraId="7F5CF760"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0.07</w:t>
            </w:r>
          </w:p>
        </w:tc>
      </w:tr>
      <w:tr w:rsidR="002C0655" w:rsidRPr="00311474" w14:paraId="1753526F"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7F2F15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commentRangeStart w:id="11"/>
            <w:r w:rsidRPr="00311474">
              <w:rPr>
                <w:rFonts w:ascii="Times New Roman" w:eastAsia="Times New Roman" w:hAnsi="Times New Roman" w:cs="Times New Roman"/>
                <w:color w:val="000000"/>
                <w:kern w:val="0"/>
                <w:sz w:val="22"/>
                <w:szCs w:val="22"/>
                <w14:ligatures w14:val="none"/>
              </w:rPr>
              <w:t>N</w:t>
            </w:r>
            <w:commentRangeEnd w:id="11"/>
            <w:r w:rsidR="00134CF2">
              <w:rPr>
                <w:rStyle w:val="ad"/>
              </w:rPr>
              <w:commentReference w:id="11"/>
            </w:r>
            <w:r w:rsidRPr="00311474">
              <w:rPr>
                <w:rFonts w:ascii="Times New Roman" w:eastAsia="Times New Roman" w:hAnsi="Times New Roman" w:cs="Times New Roman"/>
                <w:color w:val="000000"/>
                <w:kern w:val="0"/>
                <w:sz w:val="22"/>
                <w:szCs w:val="22"/>
                <w14:ligatures w14:val="none"/>
              </w:rPr>
              <w:t>59 × N15</w:t>
            </w:r>
          </w:p>
        </w:tc>
        <w:tc>
          <w:tcPr>
            <w:tcW w:w="2380" w:type="dxa"/>
            <w:tcBorders>
              <w:top w:val="nil"/>
              <w:left w:val="nil"/>
              <w:bottom w:val="single" w:sz="4" w:space="0" w:color="auto"/>
              <w:right w:val="single" w:sz="4" w:space="0" w:color="auto"/>
            </w:tcBorders>
            <w:vAlign w:val="center"/>
            <w:hideMark/>
          </w:tcPr>
          <w:p w14:paraId="2E21FDE9"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11.8 ± 0.38</w:t>
            </w:r>
          </w:p>
        </w:tc>
        <w:tc>
          <w:tcPr>
            <w:tcW w:w="2380" w:type="dxa"/>
            <w:tcBorders>
              <w:top w:val="nil"/>
              <w:left w:val="nil"/>
              <w:bottom w:val="single" w:sz="4" w:space="0" w:color="auto"/>
              <w:right w:val="single" w:sz="4" w:space="0" w:color="auto"/>
            </w:tcBorders>
            <w:vAlign w:val="center"/>
            <w:hideMark/>
          </w:tcPr>
          <w:p w14:paraId="6916A2E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5.1 ± 0.20</w:t>
            </w:r>
          </w:p>
        </w:tc>
        <w:tc>
          <w:tcPr>
            <w:tcW w:w="2380" w:type="dxa"/>
            <w:tcBorders>
              <w:top w:val="nil"/>
              <w:left w:val="nil"/>
              <w:bottom w:val="single" w:sz="4" w:space="0" w:color="auto"/>
              <w:right w:val="single" w:sz="4" w:space="0" w:color="auto"/>
            </w:tcBorders>
            <w:vAlign w:val="center"/>
            <w:hideMark/>
          </w:tcPr>
          <w:p w14:paraId="2474F1F5"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0.08</w:t>
            </w:r>
          </w:p>
        </w:tc>
      </w:tr>
      <w:tr w:rsidR="002C0655" w:rsidRPr="00311474" w14:paraId="65C37265"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28E35E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N59</w:t>
            </w:r>
          </w:p>
        </w:tc>
        <w:tc>
          <w:tcPr>
            <w:tcW w:w="2380" w:type="dxa"/>
            <w:tcBorders>
              <w:top w:val="nil"/>
              <w:left w:val="nil"/>
              <w:bottom w:val="single" w:sz="4" w:space="0" w:color="auto"/>
              <w:right w:val="single" w:sz="4" w:space="0" w:color="auto"/>
            </w:tcBorders>
            <w:vAlign w:val="center"/>
            <w:hideMark/>
          </w:tcPr>
          <w:p w14:paraId="54B6C6FE"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11.5 ± 0.32</w:t>
            </w:r>
          </w:p>
        </w:tc>
        <w:tc>
          <w:tcPr>
            <w:tcW w:w="2380" w:type="dxa"/>
            <w:tcBorders>
              <w:top w:val="nil"/>
              <w:left w:val="nil"/>
              <w:bottom w:val="single" w:sz="4" w:space="0" w:color="auto"/>
              <w:right w:val="single" w:sz="4" w:space="0" w:color="auto"/>
            </w:tcBorders>
            <w:vAlign w:val="center"/>
            <w:hideMark/>
          </w:tcPr>
          <w:p w14:paraId="02FCE3A8"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4.9 ± 0.17</w:t>
            </w:r>
          </w:p>
        </w:tc>
        <w:tc>
          <w:tcPr>
            <w:tcW w:w="2380" w:type="dxa"/>
            <w:tcBorders>
              <w:top w:val="nil"/>
              <w:left w:val="nil"/>
              <w:bottom w:val="single" w:sz="4" w:space="0" w:color="auto"/>
              <w:right w:val="single" w:sz="4" w:space="0" w:color="auto"/>
            </w:tcBorders>
            <w:vAlign w:val="center"/>
            <w:hideMark/>
          </w:tcPr>
          <w:p w14:paraId="3AB64E4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2.38 ± 0.06</w:t>
            </w:r>
          </w:p>
        </w:tc>
      </w:tr>
      <w:tr w:rsidR="002C0655" w:rsidRPr="00311474" w14:paraId="0C65C67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16087093"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N15</w:t>
            </w:r>
          </w:p>
        </w:tc>
        <w:tc>
          <w:tcPr>
            <w:tcW w:w="2380" w:type="dxa"/>
            <w:tcBorders>
              <w:top w:val="nil"/>
              <w:left w:val="nil"/>
              <w:bottom w:val="single" w:sz="4" w:space="0" w:color="auto"/>
              <w:right w:val="single" w:sz="4" w:space="0" w:color="auto"/>
            </w:tcBorders>
            <w:vAlign w:val="center"/>
            <w:hideMark/>
          </w:tcPr>
          <w:p w14:paraId="5CD36FBF"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11.4 ± 0.30</w:t>
            </w:r>
          </w:p>
        </w:tc>
        <w:tc>
          <w:tcPr>
            <w:tcW w:w="2380" w:type="dxa"/>
            <w:tcBorders>
              <w:top w:val="nil"/>
              <w:left w:val="nil"/>
              <w:bottom w:val="single" w:sz="4" w:space="0" w:color="auto"/>
              <w:right w:val="single" w:sz="4" w:space="0" w:color="auto"/>
            </w:tcBorders>
            <w:vAlign w:val="center"/>
            <w:hideMark/>
          </w:tcPr>
          <w:p w14:paraId="3672E301"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 ± 0.16</w:t>
            </w:r>
          </w:p>
        </w:tc>
        <w:tc>
          <w:tcPr>
            <w:tcW w:w="2380" w:type="dxa"/>
            <w:tcBorders>
              <w:top w:val="nil"/>
              <w:left w:val="nil"/>
              <w:bottom w:val="single" w:sz="4" w:space="0" w:color="auto"/>
              <w:right w:val="single" w:sz="4" w:space="0" w:color="auto"/>
            </w:tcBorders>
            <w:vAlign w:val="center"/>
            <w:hideMark/>
          </w:tcPr>
          <w:p w14:paraId="707B776D"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2.50 ± 0.07</w:t>
            </w:r>
          </w:p>
        </w:tc>
      </w:tr>
      <w:tr w:rsidR="002C0655" w:rsidRPr="00311474" w14:paraId="59840DA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77B0018"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N59</w:t>
            </w:r>
          </w:p>
        </w:tc>
        <w:tc>
          <w:tcPr>
            <w:tcW w:w="2380" w:type="dxa"/>
            <w:tcBorders>
              <w:top w:val="nil"/>
              <w:left w:val="nil"/>
              <w:bottom w:val="single" w:sz="4" w:space="0" w:color="auto"/>
              <w:right w:val="single" w:sz="4" w:space="0" w:color="auto"/>
            </w:tcBorders>
            <w:vAlign w:val="center"/>
            <w:hideMark/>
          </w:tcPr>
          <w:p w14:paraId="04BF7C2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11.1 ± 0.28</w:t>
            </w:r>
          </w:p>
        </w:tc>
        <w:tc>
          <w:tcPr>
            <w:tcW w:w="2380" w:type="dxa"/>
            <w:tcBorders>
              <w:top w:val="nil"/>
              <w:left w:val="nil"/>
              <w:bottom w:val="single" w:sz="4" w:space="0" w:color="auto"/>
              <w:right w:val="single" w:sz="4" w:space="0" w:color="auto"/>
            </w:tcBorders>
            <w:vAlign w:val="center"/>
            <w:hideMark/>
          </w:tcPr>
          <w:p w14:paraId="410A9911"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4.7 ± 0.15</w:t>
            </w:r>
          </w:p>
        </w:tc>
        <w:tc>
          <w:tcPr>
            <w:tcW w:w="2380" w:type="dxa"/>
            <w:tcBorders>
              <w:top w:val="nil"/>
              <w:left w:val="nil"/>
              <w:bottom w:val="single" w:sz="4" w:space="0" w:color="auto"/>
              <w:right w:val="single" w:sz="4" w:space="0" w:color="auto"/>
            </w:tcBorders>
            <w:vAlign w:val="center"/>
            <w:hideMark/>
          </w:tcPr>
          <w:p w14:paraId="4E9F0428"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607B8546"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D7B6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N02 × D666</w:t>
            </w:r>
          </w:p>
        </w:tc>
        <w:tc>
          <w:tcPr>
            <w:tcW w:w="2380" w:type="dxa"/>
            <w:tcBorders>
              <w:top w:val="nil"/>
              <w:left w:val="nil"/>
              <w:bottom w:val="single" w:sz="4" w:space="0" w:color="auto"/>
              <w:right w:val="single" w:sz="4" w:space="0" w:color="auto"/>
            </w:tcBorders>
            <w:vAlign w:val="center"/>
            <w:hideMark/>
          </w:tcPr>
          <w:p w14:paraId="32447BF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10.3 ± 0.27</w:t>
            </w:r>
          </w:p>
        </w:tc>
        <w:tc>
          <w:tcPr>
            <w:tcW w:w="2380" w:type="dxa"/>
            <w:tcBorders>
              <w:top w:val="nil"/>
              <w:left w:val="nil"/>
              <w:bottom w:val="single" w:sz="4" w:space="0" w:color="auto"/>
              <w:right w:val="single" w:sz="4" w:space="0" w:color="auto"/>
            </w:tcBorders>
            <w:vAlign w:val="center"/>
            <w:hideMark/>
          </w:tcPr>
          <w:p w14:paraId="08552A4C"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0.14</w:t>
            </w:r>
          </w:p>
        </w:tc>
        <w:tc>
          <w:tcPr>
            <w:tcW w:w="2380" w:type="dxa"/>
            <w:tcBorders>
              <w:top w:val="nil"/>
              <w:left w:val="nil"/>
              <w:bottom w:val="single" w:sz="4" w:space="0" w:color="auto"/>
              <w:right w:val="single" w:sz="4" w:space="0" w:color="auto"/>
            </w:tcBorders>
            <w:vAlign w:val="center"/>
            <w:hideMark/>
          </w:tcPr>
          <w:p w14:paraId="46445E7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0.09</w:t>
            </w:r>
          </w:p>
        </w:tc>
      </w:tr>
      <w:tr w:rsidR="002C0655" w:rsidRPr="00311474" w14:paraId="4A444CFB"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DB4B7A0"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N27 × N59</w:t>
            </w:r>
          </w:p>
        </w:tc>
        <w:tc>
          <w:tcPr>
            <w:tcW w:w="2380" w:type="dxa"/>
            <w:tcBorders>
              <w:top w:val="nil"/>
              <w:left w:val="nil"/>
              <w:bottom w:val="single" w:sz="4" w:space="0" w:color="auto"/>
              <w:right w:val="single" w:sz="4" w:space="0" w:color="auto"/>
            </w:tcBorders>
            <w:vAlign w:val="center"/>
            <w:hideMark/>
          </w:tcPr>
          <w:p w14:paraId="18F5763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10.1 ± 0.29</w:t>
            </w:r>
          </w:p>
        </w:tc>
        <w:tc>
          <w:tcPr>
            <w:tcW w:w="2380" w:type="dxa"/>
            <w:tcBorders>
              <w:top w:val="nil"/>
              <w:left w:val="nil"/>
              <w:bottom w:val="single" w:sz="4" w:space="0" w:color="auto"/>
              <w:right w:val="single" w:sz="4" w:space="0" w:color="auto"/>
            </w:tcBorders>
            <w:vAlign w:val="center"/>
            <w:hideMark/>
          </w:tcPr>
          <w:p w14:paraId="1BC567B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4.5 ± 0.15</w:t>
            </w:r>
          </w:p>
        </w:tc>
        <w:tc>
          <w:tcPr>
            <w:tcW w:w="2380" w:type="dxa"/>
            <w:tcBorders>
              <w:top w:val="nil"/>
              <w:left w:val="nil"/>
              <w:bottom w:val="single" w:sz="4" w:space="0" w:color="auto"/>
              <w:right w:val="single" w:sz="4" w:space="0" w:color="auto"/>
            </w:tcBorders>
            <w:vAlign w:val="center"/>
            <w:hideMark/>
          </w:tcPr>
          <w:p w14:paraId="7F288662"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0.10</w:t>
            </w:r>
          </w:p>
        </w:tc>
      </w:tr>
      <w:tr w:rsidR="002C0655" w:rsidRPr="00311474" w14:paraId="1F74B2C7"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94A1DE3"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N7B</w:t>
            </w:r>
          </w:p>
        </w:tc>
        <w:tc>
          <w:tcPr>
            <w:tcW w:w="2380" w:type="dxa"/>
            <w:tcBorders>
              <w:top w:val="nil"/>
              <w:left w:val="nil"/>
              <w:bottom w:val="single" w:sz="4" w:space="0" w:color="auto"/>
              <w:right w:val="single" w:sz="4" w:space="0" w:color="auto"/>
            </w:tcBorders>
            <w:vAlign w:val="center"/>
            <w:hideMark/>
          </w:tcPr>
          <w:p w14:paraId="6B696C19"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10.0 ± 0.26</w:t>
            </w:r>
          </w:p>
        </w:tc>
        <w:tc>
          <w:tcPr>
            <w:tcW w:w="2380" w:type="dxa"/>
            <w:tcBorders>
              <w:top w:val="nil"/>
              <w:left w:val="nil"/>
              <w:bottom w:val="single" w:sz="4" w:space="0" w:color="auto"/>
              <w:right w:val="single" w:sz="4" w:space="0" w:color="auto"/>
            </w:tcBorders>
            <w:vAlign w:val="center"/>
            <w:hideMark/>
          </w:tcPr>
          <w:p w14:paraId="4664E4B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0.14</w:t>
            </w:r>
          </w:p>
        </w:tc>
        <w:tc>
          <w:tcPr>
            <w:tcW w:w="2380" w:type="dxa"/>
            <w:tcBorders>
              <w:top w:val="nil"/>
              <w:left w:val="nil"/>
              <w:bottom w:val="single" w:sz="4" w:space="0" w:color="auto"/>
              <w:right w:val="single" w:sz="4" w:space="0" w:color="auto"/>
            </w:tcBorders>
            <w:vAlign w:val="center"/>
            <w:hideMark/>
          </w:tcPr>
          <w:p w14:paraId="27A7B845"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A5A9399"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5AFB3AA2"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D666 × N15</w:t>
            </w:r>
          </w:p>
        </w:tc>
        <w:tc>
          <w:tcPr>
            <w:tcW w:w="2380" w:type="dxa"/>
            <w:tcBorders>
              <w:top w:val="nil"/>
              <w:left w:val="nil"/>
              <w:bottom w:val="single" w:sz="4" w:space="0" w:color="auto"/>
              <w:right w:val="single" w:sz="4" w:space="0" w:color="auto"/>
            </w:tcBorders>
            <w:vAlign w:val="center"/>
            <w:hideMark/>
          </w:tcPr>
          <w:p w14:paraId="7305377C"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0.25</w:t>
            </w:r>
          </w:p>
        </w:tc>
        <w:tc>
          <w:tcPr>
            <w:tcW w:w="2380" w:type="dxa"/>
            <w:tcBorders>
              <w:top w:val="nil"/>
              <w:left w:val="nil"/>
              <w:bottom w:val="single" w:sz="4" w:space="0" w:color="auto"/>
              <w:right w:val="single" w:sz="4" w:space="0" w:color="auto"/>
            </w:tcBorders>
            <w:vAlign w:val="center"/>
            <w:hideMark/>
          </w:tcPr>
          <w:p w14:paraId="2A2E79B3"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53FF7FFF"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2.75 ± 0.08</w:t>
            </w:r>
          </w:p>
        </w:tc>
      </w:tr>
      <w:tr w:rsidR="002C0655" w:rsidRPr="00311474" w14:paraId="168B246D"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2FDD3949"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N51 × N02</w:t>
            </w:r>
          </w:p>
        </w:tc>
        <w:tc>
          <w:tcPr>
            <w:tcW w:w="2380" w:type="dxa"/>
            <w:tcBorders>
              <w:top w:val="nil"/>
              <w:left w:val="nil"/>
              <w:bottom w:val="single" w:sz="4" w:space="0" w:color="auto"/>
              <w:right w:val="single" w:sz="4" w:space="0" w:color="auto"/>
            </w:tcBorders>
            <w:vAlign w:val="center"/>
            <w:hideMark/>
          </w:tcPr>
          <w:p w14:paraId="54EB842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9.7 ± 0.24</w:t>
            </w:r>
          </w:p>
        </w:tc>
        <w:tc>
          <w:tcPr>
            <w:tcW w:w="2380" w:type="dxa"/>
            <w:tcBorders>
              <w:top w:val="nil"/>
              <w:left w:val="nil"/>
              <w:bottom w:val="single" w:sz="4" w:space="0" w:color="auto"/>
              <w:right w:val="single" w:sz="4" w:space="0" w:color="auto"/>
            </w:tcBorders>
            <w:vAlign w:val="center"/>
            <w:hideMark/>
          </w:tcPr>
          <w:p w14:paraId="6A39B5D1"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0.13</w:t>
            </w:r>
          </w:p>
        </w:tc>
        <w:tc>
          <w:tcPr>
            <w:tcW w:w="2380" w:type="dxa"/>
            <w:tcBorders>
              <w:top w:val="nil"/>
              <w:left w:val="nil"/>
              <w:bottom w:val="single" w:sz="4" w:space="0" w:color="auto"/>
              <w:right w:val="single" w:sz="4" w:space="0" w:color="auto"/>
            </w:tcBorders>
            <w:vAlign w:val="center"/>
            <w:hideMark/>
          </w:tcPr>
          <w:p w14:paraId="4300F11C"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2.88 ± 0.09</w:t>
            </w:r>
          </w:p>
        </w:tc>
      </w:tr>
      <w:tr w:rsidR="002C0655" w:rsidRPr="00311474" w14:paraId="6DE16C2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3012730"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N19 × N02</w:t>
            </w:r>
          </w:p>
        </w:tc>
        <w:tc>
          <w:tcPr>
            <w:tcW w:w="2380" w:type="dxa"/>
            <w:tcBorders>
              <w:top w:val="nil"/>
              <w:left w:val="nil"/>
              <w:bottom w:val="single" w:sz="4" w:space="0" w:color="auto"/>
              <w:right w:val="single" w:sz="4" w:space="0" w:color="auto"/>
            </w:tcBorders>
            <w:vAlign w:val="center"/>
            <w:hideMark/>
          </w:tcPr>
          <w:p w14:paraId="0E49421E"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9.9 ± 0.27</w:t>
            </w:r>
          </w:p>
        </w:tc>
        <w:tc>
          <w:tcPr>
            <w:tcW w:w="2380" w:type="dxa"/>
            <w:tcBorders>
              <w:top w:val="nil"/>
              <w:left w:val="nil"/>
              <w:bottom w:val="single" w:sz="4" w:space="0" w:color="auto"/>
              <w:right w:val="single" w:sz="4" w:space="0" w:color="auto"/>
            </w:tcBorders>
            <w:vAlign w:val="center"/>
            <w:hideMark/>
          </w:tcPr>
          <w:p w14:paraId="2B7A3F1C"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4.3 ± 0.14</w:t>
            </w:r>
          </w:p>
        </w:tc>
        <w:tc>
          <w:tcPr>
            <w:tcW w:w="2380" w:type="dxa"/>
            <w:tcBorders>
              <w:top w:val="nil"/>
              <w:left w:val="nil"/>
              <w:bottom w:val="single" w:sz="4" w:space="0" w:color="auto"/>
              <w:right w:val="single" w:sz="4" w:space="0" w:color="auto"/>
            </w:tcBorders>
            <w:vAlign w:val="center"/>
            <w:hideMark/>
          </w:tcPr>
          <w:p w14:paraId="0BD3D038"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0.08</w:t>
            </w:r>
          </w:p>
        </w:tc>
      </w:tr>
      <w:tr w:rsidR="002C0655" w:rsidRPr="00311474" w14:paraId="11D1D5FA"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BFF7B52" w14:textId="58F1153C" w:rsidR="002C0655" w:rsidRPr="00983568" w:rsidRDefault="002C0655" w:rsidP="00577DAF">
            <w:pPr>
              <w:spacing w:after="0" w:line="240" w:lineRule="auto"/>
              <w:jc w:val="center"/>
              <w:rPr>
                <w:rFonts w:ascii="Times New Roman" w:eastAsia="Times New Roman" w:hAnsi="Times New Roman" w:cs="Times New Roman"/>
                <w:color w:val="000000"/>
                <w:kern w:val="0"/>
                <w:sz w:val="20"/>
                <w:szCs w:val="20"/>
                <w14:ligatures w14:val="none"/>
              </w:rPr>
            </w:pPr>
            <w:r w:rsidRPr="00983568">
              <w:rPr>
                <w:rFonts w:ascii="Times New Roman" w:eastAsia="Times New Roman" w:hAnsi="Times New Roman" w:cs="Times New Roman"/>
                <w:color w:val="000000"/>
                <w:kern w:val="0"/>
                <w:sz w:val="20"/>
                <w:szCs w:val="20"/>
                <w14:ligatures w14:val="none"/>
              </w:rPr>
              <w:t>HN68 (control variety)</w:t>
            </w:r>
          </w:p>
        </w:tc>
        <w:tc>
          <w:tcPr>
            <w:tcW w:w="2380" w:type="dxa"/>
            <w:tcBorders>
              <w:top w:val="nil"/>
              <w:left w:val="nil"/>
              <w:bottom w:val="single" w:sz="4" w:space="0" w:color="auto"/>
              <w:right w:val="single" w:sz="4" w:space="0" w:color="auto"/>
            </w:tcBorders>
            <w:vAlign w:val="center"/>
            <w:hideMark/>
          </w:tcPr>
          <w:p w14:paraId="132AE091"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9.6 ± 0.26</w:t>
            </w:r>
          </w:p>
        </w:tc>
        <w:tc>
          <w:tcPr>
            <w:tcW w:w="2380" w:type="dxa"/>
            <w:tcBorders>
              <w:top w:val="nil"/>
              <w:left w:val="nil"/>
              <w:bottom w:val="single" w:sz="4" w:space="0" w:color="auto"/>
              <w:right w:val="single" w:sz="4" w:space="0" w:color="auto"/>
            </w:tcBorders>
            <w:vAlign w:val="center"/>
            <w:hideMark/>
          </w:tcPr>
          <w:p w14:paraId="6EF5E42E"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4.2 ± 0.13</w:t>
            </w:r>
          </w:p>
        </w:tc>
        <w:tc>
          <w:tcPr>
            <w:tcW w:w="2380" w:type="dxa"/>
            <w:tcBorders>
              <w:top w:val="nil"/>
              <w:left w:val="nil"/>
              <w:bottom w:val="single" w:sz="4" w:space="0" w:color="auto"/>
              <w:right w:val="single" w:sz="4" w:space="0" w:color="auto"/>
            </w:tcBorders>
            <w:vAlign w:val="center"/>
            <w:hideMark/>
          </w:tcPr>
          <w:p w14:paraId="6A3F99D1"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2.63 ± 0.07</w:t>
            </w:r>
          </w:p>
        </w:tc>
      </w:tr>
      <w:tr w:rsidR="002C0655" w:rsidRPr="00311474" w14:paraId="24E4F97E"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3A0AA406"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CV (%)</w:t>
            </w:r>
          </w:p>
        </w:tc>
        <w:tc>
          <w:tcPr>
            <w:tcW w:w="2380" w:type="dxa"/>
            <w:tcBorders>
              <w:top w:val="nil"/>
              <w:left w:val="nil"/>
              <w:bottom w:val="single" w:sz="4" w:space="0" w:color="auto"/>
              <w:right w:val="single" w:sz="4" w:space="0" w:color="auto"/>
            </w:tcBorders>
            <w:vAlign w:val="center"/>
            <w:hideMark/>
          </w:tcPr>
          <w:p w14:paraId="4543499B"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5.4</w:t>
            </w:r>
          </w:p>
        </w:tc>
        <w:tc>
          <w:tcPr>
            <w:tcW w:w="2380" w:type="dxa"/>
            <w:tcBorders>
              <w:top w:val="nil"/>
              <w:left w:val="nil"/>
              <w:bottom w:val="single" w:sz="4" w:space="0" w:color="auto"/>
              <w:right w:val="single" w:sz="4" w:space="0" w:color="auto"/>
            </w:tcBorders>
            <w:vAlign w:val="center"/>
            <w:hideMark/>
          </w:tcPr>
          <w:p w14:paraId="416B877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6.2</w:t>
            </w:r>
          </w:p>
        </w:tc>
        <w:tc>
          <w:tcPr>
            <w:tcW w:w="2380" w:type="dxa"/>
            <w:tcBorders>
              <w:top w:val="nil"/>
              <w:left w:val="nil"/>
              <w:bottom w:val="single" w:sz="4" w:space="0" w:color="auto"/>
              <w:right w:val="single" w:sz="4" w:space="0" w:color="auto"/>
            </w:tcBorders>
            <w:vAlign w:val="center"/>
            <w:hideMark/>
          </w:tcPr>
          <w:p w14:paraId="5538B6FF"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4.8</w:t>
            </w:r>
          </w:p>
        </w:tc>
      </w:tr>
      <w:tr w:rsidR="002C0655" w:rsidRPr="00311474" w14:paraId="4FF73654" w14:textId="77777777" w:rsidTr="002C0655">
        <w:trPr>
          <w:trHeight w:val="476"/>
        </w:trPr>
        <w:tc>
          <w:tcPr>
            <w:tcW w:w="2380" w:type="dxa"/>
            <w:tcBorders>
              <w:top w:val="nil"/>
              <w:left w:val="single" w:sz="4" w:space="0" w:color="auto"/>
              <w:bottom w:val="single" w:sz="4" w:space="0" w:color="auto"/>
              <w:right w:val="single" w:sz="4" w:space="0" w:color="auto"/>
            </w:tcBorders>
            <w:vAlign w:val="center"/>
            <w:hideMark/>
          </w:tcPr>
          <w:p w14:paraId="7F4415A2"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LSD₀.₀₅</w:t>
            </w:r>
          </w:p>
        </w:tc>
        <w:tc>
          <w:tcPr>
            <w:tcW w:w="2380" w:type="dxa"/>
            <w:tcBorders>
              <w:top w:val="nil"/>
              <w:left w:val="nil"/>
              <w:bottom w:val="single" w:sz="4" w:space="0" w:color="auto"/>
              <w:right w:val="single" w:sz="4" w:space="0" w:color="auto"/>
            </w:tcBorders>
            <w:vAlign w:val="center"/>
            <w:hideMark/>
          </w:tcPr>
          <w:p w14:paraId="71FEF743"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0.75</w:t>
            </w:r>
          </w:p>
        </w:tc>
        <w:tc>
          <w:tcPr>
            <w:tcW w:w="2380" w:type="dxa"/>
            <w:tcBorders>
              <w:top w:val="nil"/>
              <w:left w:val="nil"/>
              <w:bottom w:val="single" w:sz="4" w:space="0" w:color="auto"/>
              <w:right w:val="single" w:sz="4" w:space="0" w:color="auto"/>
            </w:tcBorders>
            <w:vAlign w:val="center"/>
            <w:hideMark/>
          </w:tcPr>
          <w:p w14:paraId="5D60B8A7"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0.35</w:t>
            </w:r>
          </w:p>
        </w:tc>
        <w:tc>
          <w:tcPr>
            <w:tcW w:w="2380" w:type="dxa"/>
            <w:tcBorders>
              <w:top w:val="nil"/>
              <w:left w:val="nil"/>
              <w:bottom w:val="single" w:sz="4" w:space="0" w:color="auto"/>
              <w:right w:val="single" w:sz="4" w:space="0" w:color="auto"/>
            </w:tcBorders>
            <w:vAlign w:val="center"/>
            <w:hideMark/>
          </w:tcPr>
          <w:p w14:paraId="6298CD7C" w14:textId="77777777" w:rsidR="002C0655" w:rsidRPr="00311474" w:rsidRDefault="002C0655" w:rsidP="00577DAF">
            <w:pPr>
              <w:spacing w:after="0" w:line="240" w:lineRule="auto"/>
              <w:jc w:val="center"/>
              <w:rPr>
                <w:rFonts w:ascii="Times New Roman" w:eastAsia="Times New Roman" w:hAnsi="Times New Roman" w:cs="Times New Roman"/>
                <w:color w:val="000000"/>
                <w:kern w:val="0"/>
                <w:sz w:val="22"/>
                <w:szCs w:val="22"/>
                <w14:ligatures w14:val="none"/>
              </w:rPr>
            </w:pPr>
            <w:r w:rsidRPr="00311474">
              <w:rPr>
                <w:rFonts w:ascii="Times New Roman" w:eastAsia="Times New Roman" w:hAnsi="Times New Roman" w:cs="Times New Roman"/>
                <w:color w:val="000000"/>
                <w:kern w:val="0"/>
                <w:sz w:val="22"/>
                <w:szCs w:val="22"/>
                <w14:ligatures w14:val="none"/>
              </w:rPr>
              <w:t>0.22</w:t>
            </w:r>
          </w:p>
        </w:tc>
      </w:tr>
    </w:tbl>
    <w:p w14:paraId="45F81F74" w14:textId="77777777" w:rsidR="009F099A" w:rsidRPr="00311474" w:rsidRDefault="009F099A">
      <w:pPr>
        <w:rPr>
          <w:rFonts w:ascii="Times New Roman" w:hAnsi="Times New Roman" w:cs="Times New Roman"/>
        </w:rPr>
      </w:pPr>
    </w:p>
    <w:p w14:paraId="54ED5563"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combined results on yield and fresh-eating quality across two cropping seasons demonstrated that several hybrid combinations clearly outperformed the control variety HN68 in terms of fresh ear yield, dry grain yield, and sensory quality.</w:t>
      </w:r>
    </w:p>
    <w:p w14:paraId="2FF1923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Regarding fresh ear yield, the hybrids ranged from 9.7 to 11.8 t/ha, whereas the control produced only 9.6 t/ha. The highest yield was recorded in N59 × N15 (11.8 t/ha), followed by N02 × N7B (11.7 t/ha), N02 × N59 (11.5 t/ha), and N02 × N15 (11.4 t/ha). These top-performing hybrids exceeded the control by 1.8–2.2 t/ha, corresponding to an increase of approximately 18–23%, indicating a pronounced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advantage in marketable fresh yield.</w:t>
      </w:r>
    </w:p>
    <w:p w14:paraId="61839E0D"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For dry grain yield, the hybrids achieved 4.2–5.1 t/ha, while the control reached 4.2 t/ha. N02 × N7B and N59 × N15 produced the highest yield (5.1 t/ha), representing an increase of about 21% compared to the control. N02 × N59 and N02 × N15 also performed well (4.8–4.9 t/ha), suggesting strong potential not only for fresh consumption but also for grain production.</w:t>
      </w:r>
    </w:p>
    <w:p w14:paraId="1153308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In terms of fresh-eating quality (mean sensory score, where lower values indicate better quality), the hybrids ranged from 2.38 to 2.88 points. N02 × N7B and N02 × N59 achieved the best score (2.38), classified as high quality. N59 × N15 and N02 × N15 scored 2.50 and </w:t>
      </w:r>
      <w:proofErr w:type="gramStart"/>
      <w:r w:rsidRPr="009F099A">
        <w:rPr>
          <w:rFonts w:ascii="Times New Roman" w:hAnsi="Times New Roman" w:cs="Times New Roman"/>
        </w:rPr>
        <w:t>were also</w:t>
      </w:r>
      <w:proofErr w:type="gramEnd"/>
      <w:r w:rsidRPr="009F099A">
        <w:rPr>
          <w:rFonts w:ascii="Times New Roman" w:hAnsi="Times New Roman" w:cs="Times New Roman"/>
        </w:rPr>
        <w:t xml:space="preserve"> </w:t>
      </w:r>
      <w:r w:rsidRPr="009F099A">
        <w:rPr>
          <w:rFonts w:ascii="Times New Roman" w:hAnsi="Times New Roman" w:cs="Times New Roman"/>
        </w:rPr>
        <w:lastRenderedPageBreak/>
        <w:t>rated favorably. In contrast, hybrids such as N27 × N59, N19 × N7B, and N51 × N02 scored 2.88, reflecting acceptable but less outstanding quality. Compared with the control (2.63), many hybrids were equivalent or superior in eating quality.</w:t>
      </w:r>
    </w:p>
    <w:p w14:paraId="3F79F37A"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Considering all three criteria together, N59 × N15 was the most outstanding combination, combining the highest yield with good fresh-eating quality (2.50), and </w:t>
      </w:r>
      <w:proofErr w:type="gramStart"/>
      <w:r w:rsidRPr="009F099A">
        <w:rPr>
          <w:rFonts w:ascii="Times New Roman" w:hAnsi="Times New Roman" w:cs="Times New Roman"/>
        </w:rPr>
        <w:t>was therefore rated</w:t>
      </w:r>
      <w:proofErr w:type="gramEnd"/>
      <w:r w:rsidRPr="009F099A">
        <w:rPr>
          <w:rFonts w:ascii="Times New Roman" w:hAnsi="Times New Roman" w:cs="Times New Roman"/>
        </w:rPr>
        <w:t xml:space="preserve"> as the top-performing hybrid. N02 × N7B and N02 × N59 were also highly promising, integrating high yield with good quality. The moderate group included N02 × D666, N27 × N59, D666 × N15, and N19 × N02, due to less consistent superiority in either yield or quality.</w:t>
      </w:r>
    </w:p>
    <w:p w14:paraId="3FF142F0" w14:textId="42FBF4F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These findings are consistent with previous combining ability and yield component analyses, where hybrids involving parental lines N02 and N59 frequently exhibited strong </w:t>
      </w:r>
      <w:proofErr w:type="spellStart"/>
      <w:r w:rsidRPr="009F099A">
        <w:rPr>
          <w:rFonts w:ascii="Times New Roman" w:hAnsi="Times New Roman" w:cs="Times New Roman"/>
        </w:rPr>
        <w:t>heterotic</w:t>
      </w:r>
      <w:proofErr w:type="spellEnd"/>
      <w:r w:rsidRPr="009F099A">
        <w:rPr>
          <w:rFonts w:ascii="Times New Roman" w:hAnsi="Times New Roman" w:cs="Times New Roman"/>
        </w:rPr>
        <w:t xml:space="preserve"> effects. Therefore, based on integrated evaluation of yield and fresh-eating quality, N59 × N15, N02 × N7B, and N02 × N59 show strong potential for development as commercial waxy maize hybrids.</w:t>
      </w:r>
    </w:p>
    <w:p w14:paraId="25A1CF4D" w14:textId="77777777" w:rsidR="009F099A" w:rsidRPr="009F099A" w:rsidRDefault="009F099A" w:rsidP="00C93FEA">
      <w:pPr>
        <w:spacing w:after="0" w:line="288" w:lineRule="auto"/>
        <w:jc w:val="center"/>
        <w:rPr>
          <w:rFonts w:ascii="Times New Roman" w:hAnsi="Times New Roman" w:cs="Times New Roman"/>
          <w:b/>
          <w:bCs/>
        </w:rPr>
      </w:pPr>
      <w:r w:rsidRPr="009F099A">
        <w:rPr>
          <w:rFonts w:ascii="Times New Roman" w:hAnsi="Times New Roman" w:cs="Times New Roman"/>
          <w:b/>
          <w:bCs/>
        </w:rPr>
        <w:t>CONCLUSION</w:t>
      </w:r>
    </w:p>
    <w:p w14:paraId="4B9A75D8"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The evaluation of 11 waxy maize hybrid combinations alongside the control variety HN68 over two cropping seasons revealed significant differences in growth characteristics, yield performance, and fresh-eating quality.</w:t>
      </w:r>
    </w:p>
    <w:p w14:paraId="7FA7B422"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Harvest time ranged from 70 to 73 days, fitting well within the existing cropping structure and showing minimal deviation from the control. Some hybrids, such as N59 × N15 and N02 × N15, exhibited slightly longer growth duration but maintained good adaptability. In terms of vegetative growth, N59 × N15 demonstrated a clear advantage with greater plant height and ear placement height, suggesting strong biomass accumulation potential.</w:t>
      </w:r>
    </w:p>
    <w:p w14:paraId="5FB6864B"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Among yield components, differences were most evident in ear length and ear diameter. N59 × N15 recorded the greatest ear length, while N02 × N7B, N59 × N15, and N02 × N59 showed superior ear diameter. These traits contributed substantially to improved marketable yield.</w:t>
      </w:r>
    </w:p>
    <w:p w14:paraId="784AD484"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Fresh ear yield ranged from 9.6 to 11.8 t/ha and dry grain yield from 4.2 to 5.1 t/ha. N59 × N15 achieved the highest yield and showed clear superiority over the control. N02 × N7B, N02 × N59, and N02 × N15 also produced high and stable yields across both seasons. The low coefficients of variation indicated good experimental reliability.</w:t>
      </w:r>
    </w:p>
    <w:p w14:paraId="69C7D405" w14:textId="7777777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Regarding </w:t>
      </w:r>
      <w:commentRangeStart w:id="12"/>
      <w:r w:rsidRPr="009F099A">
        <w:rPr>
          <w:rFonts w:ascii="Times New Roman" w:hAnsi="Times New Roman" w:cs="Times New Roman"/>
        </w:rPr>
        <w:t>f</w:t>
      </w:r>
      <w:commentRangeEnd w:id="12"/>
      <w:r w:rsidR="00A057DD">
        <w:rPr>
          <w:rStyle w:val="ad"/>
        </w:rPr>
        <w:commentReference w:id="12"/>
      </w:r>
      <w:r w:rsidRPr="009F099A">
        <w:rPr>
          <w:rFonts w:ascii="Times New Roman" w:hAnsi="Times New Roman" w:cs="Times New Roman"/>
        </w:rPr>
        <w:t xml:space="preserve">resh-eating quality, sensory scores ranged from 2.38 to 2.88. Hybrids such as N19 × N7B and N51 × N02 exhibited good sensory quality, while N59 × N15 combined high yield with </w:t>
      </w:r>
      <w:proofErr w:type="gramStart"/>
      <w:r w:rsidRPr="009F099A">
        <w:rPr>
          <w:rFonts w:ascii="Times New Roman" w:hAnsi="Times New Roman" w:cs="Times New Roman"/>
        </w:rPr>
        <w:t>fairly good</w:t>
      </w:r>
      <w:proofErr w:type="gramEnd"/>
      <w:r w:rsidRPr="009F099A">
        <w:rPr>
          <w:rFonts w:ascii="Times New Roman" w:hAnsi="Times New Roman" w:cs="Times New Roman"/>
        </w:rPr>
        <w:t xml:space="preserve"> eating quality.</w:t>
      </w:r>
    </w:p>
    <w:p w14:paraId="3A26CECD" w14:textId="29404A27" w:rsidR="009F099A" w:rsidRPr="009F099A" w:rsidRDefault="009F099A" w:rsidP="0071689F">
      <w:pPr>
        <w:spacing w:after="0" w:line="288" w:lineRule="auto"/>
        <w:ind w:firstLine="720"/>
        <w:jc w:val="both"/>
        <w:rPr>
          <w:rFonts w:ascii="Times New Roman" w:hAnsi="Times New Roman" w:cs="Times New Roman"/>
        </w:rPr>
      </w:pPr>
      <w:r w:rsidRPr="009F099A">
        <w:rPr>
          <w:rFonts w:ascii="Times New Roman" w:hAnsi="Times New Roman" w:cs="Times New Roman"/>
        </w:rPr>
        <w:t xml:space="preserve">Overall, N59 × N15 emerged as the most promising hybrid and </w:t>
      </w:r>
      <w:proofErr w:type="gramStart"/>
      <w:r w:rsidRPr="009F099A">
        <w:rPr>
          <w:rFonts w:ascii="Times New Roman" w:hAnsi="Times New Roman" w:cs="Times New Roman"/>
        </w:rPr>
        <w:t>should be further evaluated</w:t>
      </w:r>
      <w:proofErr w:type="gramEnd"/>
      <w:r w:rsidRPr="009F099A">
        <w:rPr>
          <w:rFonts w:ascii="Times New Roman" w:hAnsi="Times New Roman" w:cs="Times New Roman"/>
        </w:rPr>
        <w:t xml:space="preserve"> in larger-scale production trials. In addition, N02 × N7B and N02 × N59 represent potential candidates that warrant further investigation before recommendation for commercial cultivation.</w:t>
      </w:r>
    </w:p>
    <w:p w14:paraId="7DD85DAB" w14:textId="77777777" w:rsidR="009F099A" w:rsidRPr="009F099A" w:rsidRDefault="009F099A" w:rsidP="00C93FEA">
      <w:pPr>
        <w:spacing w:after="0" w:line="288" w:lineRule="auto"/>
        <w:ind w:firstLine="720"/>
        <w:jc w:val="center"/>
        <w:rPr>
          <w:rFonts w:ascii="Times New Roman" w:hAnsi="Times New Roman" w:cs="Times New Roman"/>
          <w:b/>
          <w:bCs/>
        </w:rPr>
      </w:pPr>
      <w:r w:rsidRPr="009F099A">
        <w:rPr>
          <w:rFonts w:ascii="Times New Roman" w:hAnsi="Times New Roman" w:cs="Times New Roman"/>
          <w:b/>
          <w:bCs/>
        </w:rPr>
        <w:t>REFERENCES</w:t>
      </w:r>
    </w:p>
    <w:p w14:paraId="7D483F15" w14:textId="43F71329" w:rsidR="009F099A" w:rsidRPr="00115296" w:rsidRDefault="00D25A29"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 </w:t>
      </w:r>
      <w:commentRangeStart w:id="13"/>
      <w:proofErr w:type="spellStart"/>
      <w:r w:rsidRPr="00115296">
        <w:rPr>
          <w:rFonts w:ascii="Times New Roman" w:hAnsi="Times New Roman" w:cs="Times New Roman"/>
        </w:rPr>
        <w:t>K</w:t>
      </w:r>
      <w:commentRangeEnd w:id="13"/>
      <w:r w:rsidR="004B6A23">
        <w:rPr>
          <w:rStyle w:val="ad"/>
        </w:rPr>
        <w:commentReference w:id="13"/>
      </w:r>
      <w:r w:rsidRPr="00115296">
        <w:rPr>
          <w:rFonts w:ascii="Times New Roman" w:hAnsi="Times New Roman" w:cs="Times New Roman"/>
        </w:rPr>
        <w:t>limek-Kopyra</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Szmigiel</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Zajac</w:t>
      </w:r>
      <w:proofErr w:type="spellEnd"/>
      <w:r w:rsidRPr="00115296">
        <w:rPr>
          <w:rFonts w:ascii="Times New Roman" w:hAnsi="Times New Roman" w:cs="Times New Roman"/>
        </w:rPr>
        <w:t xml:space="preserve">, T., &amp; </w:t>
      </w:r>
      <w:proofErr w:type="spellStart"/>
      <w:r w:rsidRPr="00115296">
        <w:rPr>
          <w:rFonts w:ascii="Times New Roman" w:hAnsi="Times New Roman" w:cs="Times New Roman"/>
        </w:rPr>
        <w:t>Kidacka</w:t>
      </w:r>
      <w:proofErr w:type="spellEnd"/>
      <w:r w:rsidRPr="00115296">
        <w:rPr>
          <w:rFonts w:ascii="Times New Roman" w:hAnsi="Times New Roman" w:cs="Times New Roman"/>
        </w:rPr>
        <w:t>, A. (2012). Some aspects of cultivation and utilization of waxy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ssp. </w:t>
      </w:r>
      <w:proofErr w:type="spellStart"/>
      <w:r w:rsidRPr="00115296">
        <w:rPr>
          <w:rFonts w:ascii="Times New Roman" w:hAnsi="Times New Roman" w:cs="Times New Roman"/>
        </w:rPr>
        <w:t>ceratina</w:t>
      </w:r>
      <w:proofErr w:type="spellEnd"/>
      <w:r w:rsidRPr="00115296">
        <w:rPr>
          <w:rFonts w:ascii="Times New Roman" w:hAnsi="Times New Roman" w:cs="Times New Roman"/>
        </w:rPr>
        <w:t>). </w:t>
      </w:r>
      <w:proofErr w:type="spellStart"/>
      <w:r w:rsidRPr="00115296">
        <w:rPr>
          <w:rFonts w:ascii="Times New Roman" w:hAnsi="Times New Roman" w:cs="Times New Roman"/>
          <w:i/>
          <w:iCs/>
        </w:rPr>
        <w:t>Acta</w:t>
      </w:r>
      <w:proofErr w:type="spellEnd"/>
      <w:r w:rsidRPr="00115296">
        <w:rPr>
          <w:rFonts w:ascii="Times New Roman" w:hAnsi="Times New Roman" w:cs="Times New Roman"/>
          <w:i/>
          <w:iCs/>
        </w:rPr>
        <w:t xml:space="preserve"> </w:t>
      </w:r>
      <w:proofErr w:type="spellStart"/>
      <w:r w:rsidRPr="00115296">
        <w:rPr>
          <w:rFonts w:ascii="Times New Roman" w:hAnsi="Times New Roman" w:cs="Times New Roman"/>
          <w:i/>
          <w:iCs/>
        </w:rPr>
        <w:t>Agrobotanica</w:t>
      </w:r>
      <w:proofErr w:type="spellEnd"/>
      <w:r w:rsidRPr="00115296">
        <w:rPr>
          <w:rFonts w:ascii="Times New Roman" w:hAnsi="Times New Roman" w:cs="Times New Roman"/>
        </w:rPr>
        <w:t>, </w:t>
      </w:r>
      <w:r w:rsidRPr="00115296">
        <w:rPr>
          <w:rFonts w:ascii="Times New Roman" w:hAnsi="Times New Roman" w:cs="Times New Roman"/>
          <w:i/>
          <w:iCs/>
        </w:rPr>
        <w:t>6</w:t>
      </w:r>
      <w:bookmarkStart w:id="14" w:name="_GoBack"/>
      <w:bookmarkEnd w:id="14"/>
      <w:r w:rsidRPr="00115296">
        <w:rPr>
          <w:rFonts w:ascii="Times New Roman" w:hAnsi="Times New Roman" w:cs="Times New Roman"/>
          <w:i/>
          <w:iCs/>
        </w:rPr>
        <w:t>5</w:t>
      </w:r>
      <w:r w:rsidRPr="00115296">
        <w:rPr>
          <w:rFonts w:ascii="Times New Roman" w:hAnsi="Times New Roman" w:cs="Times New Roman"/>
        </w:rPr>
        <w:t>(3).</w:t>
      </w:r>
    </w:p>
    <w:p w14:paraId="1734A8C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2. Tracy, W. F. (2000). Sweet corn. In </w:t>
      </w:r>
      <w:r w:rsidRPr="00115296">
        <w:rPr>
          <w:rFonts w:ascii="Times New Roman" w:hAnsi="Times New Roman" w:cs="Times New Roman"/>
          <w:i/>
          <w:iCs/>
        </w:rPr>
        <w:t>Specialty corns</w:t>
      </w:r>
      <w:r w:rsidRPr="00115296">
        <w:rPr>
          <w:rFonts w:ascii="Times New Roman" w:hAnsi="Times New Roman" w:cs="Times New Roman"/>
        </w:rPr>
        <w:t> (pp. 167-210). CRC Press.</w:t>
      </w:r>
    </w:p>
    <w:p w14:paraId="5A3AE734" w14:textId="77777777" w:rsidR="00115296" w:rsidRPr="00E379D6" w:rsidRDefault="00115296" w:rsidP="00115296">
      <w:pPr>
        <w:spacing w:after="0" w:line="288" w:lineRule="auto"/>
        <w:jc w:val="both"/>
        <w:rPr>
          <w:rFonts w:ascii="Times New Roman" w:hAnsi="Times New Roman" w:cs="Times New Roman"/>
          <w:lang w:val="es-US"/>
        </w:rPr>
      </w:pPr>
      <w:r w:rsidRPr="00115296">
        <w:rPr>
          <w:rFonts w:ascii="Times New Roman" w:hAnsi="Times New Roman" w:cs="Times New Roman"/>
        </w:rPr>
        <w:t xml:space="preserve">3. </w:t>
      </w:r>
      <w:commentRangeStart w:id="15"/>
      <w:proofErr w:type="spellStart"/>
      <w:r w:rsidRPr="00115296">
        <w:rPr>
          <w:rFonts w:ascii="Times New Roman" w:hAnsi="Times New Roman" w:cs="Times New Roman"/>
        </w:rPr>
        <w:t>K</w:t>
      </w:r>
      <w:commentRangeEnd w:id="15"/>
      <w:r w:rsidR="004B6A23">
        <w:rPr>
          <w:rStyle w:val="ad"/>
        </w:rPr>
        <w:commentReference w:id="15"/>
      </w:r>
      <w:r w:rsidRPr="00115296">
        <w:rPr>
          <w:rFonts w:ascii="Times New Roman" w:hAnsi="Times New Roman" w:cs="Times New Roman"/>
        </w:rPr>
        <w:t>limek-Kopyra</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Szmigiel</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Zajac</w:t>
      </w:r>
      <w:proofErr w:type="spellEnd"/>
      <w:r w:rsidRPr="00115296">
        <w:rPr>
          <w:rFonts w:ascii="Times New Roman" w:hAnsi="Times New Roman" w:cs="Times New Roman"/>
        </w:rPr>
        <w:t xml:space="preserve">, T., &amp; </w:t>
      </w:r>
      <w:proofErr w:type="spellStart"/>
      <w:r w:rsidRPr="00115296">
        <w:rPr>
          <w:rFonts w:ascii="Times New Roman" w:hAnsi="Times New Roman" w:cs="Times New Roman"/>
        </w:rPr>
        <w:t>Kidacka</w:t>
      </w:r>
      <w:proofErr w:type="spellEnd"/>
      <w:r w:rsidRPr="00115296">
        <w:rPr>
          <w:rFonts w:ascii="Times New Roman" w:hAnsi="Times New Roman" w:cs="Times New Roman"/>
        </w:rPr>
        <w:t>, A. (2012). Some aspects of cultivation and utilization of waxy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ssp. </w:t>
      </w:r>
      <w:proofErr w:type="spellStart"/>
      <w:r w:rsidRPr="00115296">
        <w:rPr>
          <w:rFonts w:ascii="Times New Roman" w:hAnsi="Times New Roman" w:cs="Times New Roman"/>
        </w:rPr>
        <w:t>ceratina</w:t>
      </w:r>
      <w:proofErr w:type="spellEnd"/>
      <w:r w:rsidRPr="00115296">
        <w:rPr>
          <w:rFonts w:ascii="Times New Roman" w:hAnsi="Times New Roman" w:cs="Times New Roman"/>
        </w:rPr>
        <w:t>). </w:t>
      </w:r>
      <w:r w:rsidRPr="00E379D6">
        <w:rPr>
          <w:rFonts w:ascii="Times New Roman" w:hAnsi="Times New Roman" w:cs="Times New Roman"/>
          <w:i/>
          <w:iCs/>
          <w:lang w:val="es-US"/>
        </w:rPr>
        <w:t>Acta Agrobotanica</w:t>
      </w:r>
      <w:r w:rsidRPr="00E379D6">
        <w:rPr>
          <w:rFonts w:ascii="Times New Roman" w:hAnsi="Times New Roman" w:cs="Times New Roman"/>
          <w:lang w:val="es-US"/>
        </w:rPr>
        <w:t>, </w:t>
      </w:r>
      <w:r w:rsidRPr="00E379D6">
        <w:rPr>
          <w:rFonts w:ascii="Times New Roman" w:hAnsi="Times New Roman" w:cs="Times New Roman"/>
          <w:i/>
          <w:iCs/>
          <w:lang w:val="es-US"/>
        </w:rPr>
        <w:t>65</w:t>
      </w:r>
      <w:r w:rsidRPr="00E379D6">
        <w:rPr>
          <w:rFonts w:ascii="Times New Roman" w:hAnsi="Times New Roman" w:cs="Times New Roman"/>
          <w:lang w:val="es-US"/>
        </w:rPr>
        <w:t>(3).</w:t>
      </w:r>
    </w:p>
    <w:p w14:paraId="20C48FBB" w14:textId="77777777" w:rsidR="00115296" w:rsidRPr="00115296" w:rsidRDefault="00115296" w:rsidP="00115296">
      <w:pPr>
        <w:spacing w:after="0" w:line="288" w:lineRule="auto"/>
        <w:jc w:val="both"/>
        <w:rPr>
          <w:rFonts w:ascii="Times New Roman" w:hAnsi="Times New Roman" w:cs="Times New Roman"/>
        </w:rPr>
      </w:pPr>
      <w:r w:rsidRPr="00E379D6">
        <w:rPr>
          <w:rFonts w:ascii="Times New Roman" w:hAnsi="Times New Roman" w:cs="Times New Roman"/>
          <w:lang w:val="es-US"/>
        </w:rPr>
        <w:t xml:space="preserve">4. Dong, L., Qi, X., Zhu, J., Liu, C., Zhang, X., Cheng, B., ... &amp; Xie, C. (2019). </w:t>
      </w:r>
      <w:proofErr w:type="spellStart"/>
      <w:r w:rsidRPr="00115296">
        <w:rPr>
          <w:rFonts w:ascii="Times New Roman" w:hAnsi="Times New Roman" w:cs="Times New Roman"/>
        </w:rPr>
        <w:t>Supersweet</w:t>
      </w:r>
      <w:proofErr w:type="spellEnd"/>
      <w:r w:rsidRPr="00115296">
        <w:rPr>
          <w:rFonts w:ascii="Times New Roman" w:hAnsi="Times New Roman" w:cs="Times New Roman"/>
        </w:rPr>
        <w:t xml:space="preserve"> and waxy: meeting the diverse demands for specialty maize by genome editing. </w:t>
      </w:r>
      <w:r w:rsidRPr="00115296">
        <w:rPr>
          <w:rFonts w:ascii="Times New Roman" w:hAnsi="Times New Roman" w:cs="Times New Roman"/>
          <w:i/>
          <w:iCs/>
        </w:rPr>
        <w:t>Plant Biotechnology Journal</w:t>
      </w:r>
      <w:r w:rsidRPr="00115296">
        <w:rPr>
          <w:rFonts w:ascii="Times New Roman" w:hAnsi="Times New Roman" w:cs="Times New Roman"/>
        </w:rPr>
        <w:t>, </w:t>
      </w:r>
      <w:r w:rsidRPr="00115296">
        <w:rPr>
          <w:rFonts w:ascii="Times New Roman" w:hAnsi="Times New Roman" w:cs="Times New Roman"/>
          <w:i/>
          <w:iCs/>
        </w:rPr>
        <w:t>17</w:t>
      </w:r>
      <w:r w:rsidRPr="00115296">
        <w:rPr>
          <w:rFonts w:ascii="Times New Roman" w:hAnsi="Times New Roman" w:cs="Times New Roman"/>
        </w:rPr>
        <w:t>(10), 1853.</w:t>
      </w:r>
    </w:p>
    <w:p w14:paraId="2FCACA9B"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lastRenderedPageBreak/>
        <w:t>5. Badu-</w:t>
      </w:r>
      <w:proofErr w:type="spellStart"/>
      <w:r w:rsidRPr="00115296">
        <w:rPr>
          <w:rFonts w:ascii="Times New Roman" w:hAnsi="Times New Roman" w:cs="Times New Roman"/>
        </w:rPr>
        <w:t>Apraku</w:t>
      </w:r>
      <w:proofErr w:type="spellEnd"/>
      <w:r w:rsidRPr="00115296">
        <w:rPr>
          <w:rFonts w:ascii="Times New Roman" w:hAnsi="Times New Roman" w:cs="Times New Roman"/>
        </w:rPr>
        <w:t xml:space="preserve">, B., &amp; </w:t>
      </w:r>
      <w:proofErr w:type="spellStart"/>
      <w:r w:rsidRPr="00115296">
        <w:rPr>
          <w:rFonts w:ascii="Times New Roman" w:hAnsi="Times New Roman" w:cs="Times New Roman"/>
        </w:rPr>
        <w:t>Fakorede</w:t>
      </w:r>
      <w:proofErr w:type="spellEnd"/>
      <w:r w:rsidRPr="00115296">
        <w:rPr>
          <w:rFonts w:ascii="Times New Roman" w:hAnsi="Times New Roman" w:cs="Times New Roman"/>
        </w:rPr>
        <w:t>, M. A. B. (2017). Maize in Sub-Saharan Africa: importance and production constraints. In </w:t>
      </w:r>
      <w:r w:rsidRPr="00115296">
        <w:rPr>
          <w:rFonts w:ascii="Times New Roman" w:hAnsi="Times New Roman" w:cs="Times New Roman"/>
          <w:i/>
          <w:iCs/>
        </w:rPr>
        <w:t>Advances in genetic enhancement of early and extra-early maize for Sub-Saharan Africa</w:t>
      </w:r>
      <w:r w:rsidRPr="00115296">
        <w:rPr>
          <w:rFonts w:ascii="Times New Roman" w:hAnsi="Times New Roman" w:cs="Times New Roman"/>
        </w:rPr>
        <w:t> (pp. 3-10). Cham: Springer International Publishing.</w:t>
      </w:r>
    </w:p>
    <w:p w14:paraId="11CB75B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6. </w:t>
      </w:r>
      <w:proofErr w:type="spellStart"/>
      <w:r w:rsidRPr="00115296">
        <w:rPr>
          <w:rFonts w:ascii="Times New Roman" w:hAnsi="Times New Roman" w:cs="Times New Roman"/>
        </w:rPr>
        <w:t>Parihar</w:t>
      </w:r>
      <w:proofErr w:type="spellEnd"/>
      <w:r w:rsidRPr="00115296">
        <w:rPr>
          <w:rFonts w:ascii="Times New Roman" w:hAnsi="Times New Roman" w:cs="Times New Roman"/>
        </w:rPr>
        <w:t xml:space="preserve">, C. M., </w:t>
      </w:r>
      <w:proofErr w:type="spellStart"/>
      <w:r w:rsidRPr="00115296">
        <w:rPr>
          <w:rFonts w:ascii="Times New Roman" w:hAnsi="Times New Roman" w:cs="Times New Roman"/>
        </w:rPr>
        <w:t>Yadav</w:t>
      </w:r>
      <w:proofErr w:type="spellEnd"/>
      <w:r w:rsidRPr="00115296">
        <w:rPr>
          <w:rFonts w:ascii="Times New Roman" w:hAnsi="Times New Roman" w:cs="Times New Roman"/>
        </w:rPr>
        <w:t>, M. R., SINGH, A. K., KUMAR, B., POONIYA, V., PRADHAN, S</w:t>
      </w:r>
      <w:proofErr w:type="gramStart"/>
      <w:r w:rsidRPr="00115296">
        <w:rPr>
          <w:rFonts w:ascii="Times New Roman" w:hAnsi="Times New Roman" w:cs="Times New Roman"/>
        </w:rPr>
        <w:t>., ...</w:t>
      </w:r>
      <w:proofErr w:type="gramEnd"/>
      <w:r w:rsidRPr="00115296">
        <w:rPr>
          <w:rFonts w:ascii="Times New Roman" w:hAnsi="Times New Roman" w:cs="Times New Roman"/>
        </w:rPr>
        <w:t xml:space="preserve"> &amp; SAHARAWAT, Y. S. (2018). Long-term conservation agriculture and intensified cropping systems: Effects on growth, yield, water, and energy-use efficiency of maize in northwestern India. </w:t>
      </w:r>
      <w:proofErr w:type="spellStart"/>
      <w:r w:rsidRPr="00115296">
        <w:rPr>
          <w:rFonts w:ascii="Times New Roman" w:hAnsi="Times New Roman" w:cs="Times New Roman"/>
          <w:i/>
          <w:iCs/>
        </w:rPr>
        <w:t>Pedosphere</w:t>
      </w:r>
      <w:proofErr w:type="spellEnd"/>
      <w:r w:rsidRPr="00115296">
        <w:rPr>
          <w:rFonts w:ascii="Times New Roman" w:hAnsi="Times New Roman" w:cs="Times New Roman"/>
        </w:rPr>
        <w:t>, </w:t>
      </w:r>
      <w:r w:rsidRPr="00115296">
        <w:rPr>
          <w:rFonts w:ascii="Times New Roman" w:hAnsi="Times New Roman" w:cs="Times New Roman"/>
          <w:i/>
          <w:iCs/>
        </w:rPr>
        <w:t>28</w:t>
      </w:r>
      <w:r w:rsidRPr="00115296">
        <w:rPr>
          <w:rFonts w:ascii="Times New Roman" w:hAnsi="Times New Roman" w:cs="Times New Roman"/>
        </w:rPr>
        <w:t>(6), 952-963.</w:t>
      </w:r>
    </w:p>
    <w:p w14:paraId="456F224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7. Huang, C., Zhang, W., Wang, H., </w:t>
      </w:r>
      <w:proofErr w:type="spellStart"/>
      <w:r w:rsidRPr="00115296">
        <w:rPr>
          <w:rFonts w:ascii="Times New Roman" w:hAnsi="Times New Roman" w:cs="Times New Roman"/>
        </w:rPr>
        <w:t>Gao</w:t>
      </w:r>
      <w:proofErr w:type="spellEnd"/>
      <w:r w:rsidRPr="00115296">
        <w:rPr>
          <w:rFonts w:ascii="Times New Roman" w:hAnsi="Times New Roman" w:cs="Times New Roman"/>
        </w:rPr>
        <w:t>, Y., Ma, S., Qin, A</w:t>
      </w:r>
      <w:proofErr w:type="gramStart"/>
      <w:r w:rsidRPr="00115296">
        <w:rPr>
          <w:rFonts w:ascii="Times New Roman" w:hAnsi="Times New Roman" w:cs="Times New Roman"/>
        </w:rPr>
        <w:t>., ...</w:t>
      </w:r>
      <w:proofErr w:type="gramEnd"/>
      <w:r w:rsidRPr="00115296">
        <w:rPr>
          <w:rFonts w:ascii="Times New Roman" w:hAnsi="Times New Roman" w:cs="Times New Roman"/>
        </w:rPr>
        <w:t xml:space="preserve"> &amp; Liu, Z. (2022). Effects of waterlogging at different stages on growth and ear quality of waxy maize. </w:t>
      </w:r>
      <w:r w:rsidRPr="00115296">
        <w:rPr>
          <w:rFonts w:ascii="Times New Roman" w:hAnsi="Times New Roman" w:cs="Times New Roman"/>
          <w:i/>
          <w:iCs/>
        </w:rPr>
        <w:t>Agricultural Water Management</w:t>
      </w:r>
      <w:r w:rsidRPr="00115296">
        <w:rPr>
          <w:rFonts w:ascii="Times New Roman" w:hAnsi="Times New Roman" w:cs="Times New Roman"/>
        </w:rPr>
        <w:t>, </w:t>
      </w:r>
      <w:r w:rsidRPr="00115296">
        <w:rPr>
          <w:rFonts w:ascii="Times New Roman" w:hAnsi="Times New Roman" w:cs="Times New Roman"/>
          <w:i/>
          <w:iCs/>
        </w:rPr>
        <w:t>266</w:t>
      </w:r>
      <w:r w:rsidRPr="00115296">
        <w:rPr>
          <w:rFonts w:ascii="Times New Roman" w:hAnsi="Times New Roman" w:cs="Times New Roman"/>
        </w:rPr>
        <w:t>, 107603.</w:t>
      </w:r>
    </w:p>
    <w:p w14:paraId="5381E35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8. Rooney, L. W., McDonough, C. M., &amp; </w:t>
      </w:r>
      <w:proofErr w:type="spellStart"/>
      <w:r w:rsidRPr="00115296">
        <w:rPr>
          <w:rFonts w:ascii="Times New Roman" w:hAnsi="Times New Roman" w:cs="Times New Roman"/>
        </w:rPr>
        <w:t>Waniska</w:t>
      </w:r>
      <w:proofErr w:type="spellEnd"/>
      <w:r w:rsidRPr="00115296">
        <w:rPr>
          <w:rFonts w:ascii="Times New Roman" w:hAnsi="Times New Roman" w:cs="Times New Roman"/>
        </w:rPr>
        <w:t>, R. D. (2004). The corn kernel. </w:t>
      </w:r>
      <w:r w:rsidRPr="00115296">
        <w:rPr>
          <w:rFonts w:ascii="Times New Roman" w:hAnsi="Times New Roman" w:cs="Times New Roman"/>
          <w:i/>
          <w:iCs/>
        </w:rPr>
        <w:t xml:space="preserve">Corn. Eds. Smith CW, </w:t>
      </w:r>
      <w:proofErr w:type="spellStart"/>
      <w:r w:rsidRPr="00115296">
        <w:rPr>
          <w:rFonts w:ascii="Times New Roman" w:hAnsi="Times New Roman" w:cs="Times New Roman"/>
          <w:i/>
          <w:iCs/>
        </w:rPr>
        <w:t>Betran</w:t>
      </w:r>
      <w:proofErr w:type="spellEnd"/>
      <w:r w:rsidRPr="00115296">
        <w:rPr>
          <w:rFonts w:ascii="Times New Roman" w:hAnsi="Times New Roman" w:cs="Times New Roman"/>
          <w:i/>
          <w:iCs/>
        </w:rPr>
        <w:t xml:space="preserve"> J., </w:t>
      </w:r>
      <w:proofErr w:type="spellStart"/>
      <w:r w:rsidRPr="00115296">
        <w:rPr>
          <w:rFonts w:ascii="Times New Roman" w:hAnsi="Times New Roman" w:cs="Times New Roman"/>
          <w:i/>
          <w:iCs/>
        </w:rPr>
        <w:t>Runie</w:t>
      </w:r>
      <w:proofErr w:type="spellEnd"/>
      <w:r w:rsidRPr="00115296">
        <w:rPr>
          <w:rFonts w:ascii="Times New Roman" w:hAnsi="Times New Roman" w:cs="Times New Roman"/>
          <w:i/>
          <w:iCs/>
        </w:rPr>
        <w:t xml:space="preserve"> ECA, Willey &amp; Sons Inc., Hoboken, New Jersey</w:t>
      </w:r>
      <w:r w:rsidRPr="00115296">
        <w:rPr>
          <w:rFonts w:ascii="Times New Roman" w:hAnsi="Times New Roman" w:cs="Times New Roman"/>
        </w:rPr>
        <w:t>, 273-291.</w:t>
      </w:r>
    </w:p>
    <w:p w14:paraId="38FC592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9. </w:t>
      </w:r>
      <w:proofErr w:type="spellStart"/>
      <w:r w:rsidRPr="00115296">
        <w:rPr>
          <w:rFonts w:ascii="Times New Roman" w:hAnsi="Times New Roman" w:cs="Times New Roman"/>
        </w:rPr>
        <w:t>Gu</w:t>
      </w:r>
      <w:proofErr w:type="spellEnd"/>
      <w:r w:rsidRPr="00115296">
        <w:rPr>
          <w:rFonts w:ascii="Times New Roman" w:hAnsi="Times New Roman" w:cs="Times New Roman"/>
        </w:rPr>
        <w:t>, R., Chen, F., Liu, B., Wang, X., Liu, J., Li, P</w:t>
      </w:r>
      <w:proofErr w:type="gramStart"/>
      <w:r w:rsidRPr="00115296">
        <w:rPr>
          <w:rFonts w:ascii="Times New Roman" w:hAnsi="Times New Roman" w:cs="Times New Roman"/>
        </w:rPr>
        <w:t>., ...</w:t>
      </w:r>
      <w:proofErr w:type="gramEnd"/>
      <w:r w:rsidRPr="00115296">
        <w:rPr>
          <w:rFonts w:ascii="Times New Roman" w:hAnsi="Times New Roman" w:cs="Times New Roman"/>
        </w:rPr>
        <w:t xml:space="preserve"> &amp; Yuan, L. (2015). Comprehensive phenotypic analysis and quantitative trait locus identification for grain mineral concentration, content, and yield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w:t>
      </w:r>
      <w:r w:rsidRPr="00115296">
        <w:rPr>
          <w:rFonts w:ascii="Times New Roman" w:hAnsi="Times New Roman" w:cs="Times New Roman"/>
          <w:i/>
          <w:iCs/>
        </w:rPr>
        <w:t>Theoretical and applied genetics</w:t>
      </w:r>
      <w:r w:rsidRPr="00115296">
        <w:rPr>
          <w:rFonts w:ascii="Times New Roman" w:hAnsi="Times New Roman" w:cs="Times New Roman"/>
        </w:rPr>
        <w:t>, </w:t>
      </w:r>
      <w:r w:rsidRPr="00115296">
        <w:rPr>
          <w:rFonts w:ascii="Times New Roman" w:hAnsi="Times New Roman" w:cs="Times New Roman"/>
          <w:i/>
          <w:iCs/>
        </w:rPr>
        <w:t>128</w:t>
      </w:r>
      <w:r w:rsidRPr="00115296">
        <w:rPr>
          <w:rFonts w:ascii="Times New Roman" w:hAnsi="Times New Roman" w:cs="Times New Roman"/>
        </w:rPr>
        <w:t>(9), 1777-1789.</w:t>
      </w:r>
    </w:p>
    <w:p w14:paraId="43F40182"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10. </w:t>
      </w:r>
      <w:proofErr w:type="spellStart"/>
      <w:r w:rsidRPr="00115296">
        <w:rPr>
          <w:rFonts w:ascii="Times New Roman" w:hAnsi="Times New Roman" w:cs="Times New Roman"/>
        </w:rPr>
        <w:t>Suwa</w:t>
      </w:r>
      <w:proofErr w:type="spellEnd"/>
      <w:r w:rsidRPr="00115296">
        <w:rPr>
          <w:rFonts w:ascii="Times New Roman" w:hAnsi="Times New Roman" w:cs="Times New Roman"/>
        </w:rPr>
        <w:t>, R., Hakata, H., Hara, H., El-</w:t>
      </w:r>
      <w:proofErr w:type="spellStart"/>
      <w:r w:rsidRPr="00115296">
        <w:rPr>
          <w:rFonts w:ascii="Times New Roman" w:hAnsi="Times New Roman" w:cs="Times New Roman"/>
        </w:rPr>
        <w:t>Shemy</w:t>
      </w:r>
      <w:proofErr w:type="spellEnd"/>
      <w:r w:rsidRPr="00115296">
        <w:rPr>
          <w:rFonts w:ascii="Times New Roman" w:hAnsi="Times New Roman" w:cs="Times New Roman"/>
        </w:rPr>
        <w:t xml:space="preserve">, H. A., </w:t>
      </w:r>
      <w:proofErr w:type="spellStart"/>
      <w:r w:rsidRPr="00115296">
        <w:rPr>
          <w:rFonts w:ascii="Times New Roman" w:hAnsi="Times New Roman" w:cs="Times New Roman"/>
        </w:rPr>
        <w:t>Adu-Gyamfi</w:t>
      </w:r>
      <w:proofErr w:type="spellEnd"/>
      <w:r w:rsidRPr="00115296">
        <w:rPr>
          <w:rFonts w:ascii="Times New Roman" w:hAnsi="Times New Roman" w:cs="Times New Roman"/>
        </w:rPr>
        <w:t xml:space="preserve">, J. J., Nguyen, N. T., ... &amp; Fujita, K. (2010). High temperature effects on </w:t>
      </w:r>
      <w:proofErr w:type="spellStart"/>
      <w:r w:rsidRPr="00115296">
        <w:rPr>
          <w:rFonts w:ascii="Times New Roman" w:hAnsi="Times New Roman" w:cs="Times New Roman"/>
        </w:rPr>
        <w:t>photosynthate</w:t>
      </w:r>
      <w:proofErr w:type="spellEnd"/>
      <w:r w:rsidRPr="00115296">
        <w:rPr>
          <w:rFonts w:ascii="Times New Roman" w:hAnsi="Times New Roman" w:cs="Times New Roman"/>
        </w:rPr>
        <w:t xml:space="preserve"> partitioning and sugar metabolism during ear expansion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genotypes. </w:t>
      </w:r>
      <w:r w:rsidRPr="00115296">
        <w:rPr>
          <w:rFonts w:ascii="Times New Roman" w:hAnsi="Times New Roman" w:cs="Times New Roman"/>
          <w:i/>
          <w:iCs/>
        </w:rPr>
        <w:t>Plant Physiology and Biochemistry</w:t>
      </w:r>
      <w:r w:rsidRPr="00115296">
        <w:rPr>
          <w:rFonts w:ascii="Times New Roman" w:hAnsi="Times New Roman" w:cs="Times New Roman"/>
        </w:rPr>
        <w:t>, </w:t>
      </w:r>
      <w:r w:rsidRPr="00115296">
        <w:rPr>
          <w:rFonts w:ascii="Times New Roman" w:hAnsi="Times New Roman" w:cs="Times New Roman"/>
          <w:i/>
          <w:iCs/>
        </w:rPr>
        <w:t>48</w:t>
      </w:r>
      <w:r w:rsidRPr="00115296">
        <w:rPr>
          <w:rFonts w:ascii="Times New Roman" w:hAnsi="Times New Roman" w:cs="Times New Roman"/>
        </w:rPr>
        <w:t>(2-3), 124-130.</w:t>
      </w:r>
    </w:p>
    <w:p w14:paraId="02EAACC0"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11. </w:t>
      </w:r>
      <w:proofErr w:type="spellStart"/>
      <w:r w:rsidRPr="00115296">
        <w:rPr>
          <w:rFonts w:ascii="Times New Roman" w:hAnsi="Times New Roman" w:cs="Times New Roman"/>
        </w:rPr>
        <w:t>Otegui</w:t>
      </w:r>
      <w:proofErr w:type="spellEnd"/>
      <w:r w:rsidRPr="00115296">
        <w:rPr>
          <w:rFonts w:ascii="Times New Roman" w:hAnsi="Times New Roman" w:cs="Times New Roman"/>
        </w:rPr>
        <w:t xml:space="preserve">, M. E., &amp; </w:t>
      </w:r>
      <w:proofErr w:type="spellStart"/>
      <w:r w:rsidRPr="00115296">
        <w:rPr>
          <w:rFonts w:ascii="Times New Roman" w:hAnsi="Times New Roman" w:cs="Times New Roman"/>
        </w:rPr>
        <w:t>Bonhomme</w:t>
      </w:r>
      <w:proofErr w:type="spellEnd"/>
      <w:r w:rsidRPr="00115296">
        <w:rPr>
          <w:rFonts w:ascii="Times New Roman" w:hAnsi="Times New Roman" w:cs="Times New Roman"/>
        </w:rPr>
        <w:t>, R. (1998). Grain yield components in maize: I. Ear growth and kernel set.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56</w:t>
      </w:r>
      <w:r w:rsidRPr="00115296">
        <w:rPr>
          <w:rFonts w:ascii="Times New Roman" w:hAnsi="Times New Roman" w:cs="Times New Roman"/>
        </w:rPr>
        <w:t>(3), 247-256.</w:t>
      </w:r>
    </w:p>
    <w:p w14:paraId="7FF1F10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12. Zhao, Y., Zhang, S., </w:t>
      </w:r>
      <w:proofErr w:type="spellStart"/>
      <w:r w:rsidRPr="00115296">
        <w:rPr>
          <w:rFonts w:ascii="Times New Roman" w:hAnsi="Times New Roman" w:cs="Times New Roman"/>
        </w:rPr>
        <w:t>Lv</w:t>
      </w:r>
      <w:proofErr w:type="spellEnd"/>
      <w:r w:rsidRPr="00115296">
        <w:rPr>
          <w:rFonts w:ascii="Times New Roman" w:hAnsi="Times New Roman" w:cs="Times New Roman"/>
        </w:rPr>
        <w:t xml:space="preserve">, Y., </w:t>
      </w:r>
      <w:proofErr w:type="spellStart"/>
      <w:r w:rsidRPr="00115296">
        <w:rPr>
          <w:rFonts w:ascii="Times New Roman" w:hAnsi="Times New Roman" w:cs="Times New Roman"/>
        </w:rPr>
        <w:t>Ning</w:t>
      </w:r>
      <w:proofErr w:type="spellEnd"/>
      <w:r w:rsidRPr="00115296">
        <w:rPr>
          <w:rFonts w:ascii="Times New Roman" w:hAnsi="Times New Roman" w:cs="Times New Roman"/>
        </w:rPr>
        <w:t>, F., Cao, Y., Liao, S</w:t>
      </w:r>
      <w:proofErr w:type="gramStart"/>
      <w:r w:rsidRPr="00115296">
        <w:rPr>
          <w:rFonts w:ascii="Times New Roman" w:hAnsi="Times New Roman" w:cs="Times New Roman"/>
        </w:rPr>
        <w:t>., ...</w:t>
      </w:r>
      <w:proofErr w:type="gramEnd"/>
      <w:r w:rsidRPr="00115296">
        <w:rPr>
          <w:rFonts w:ascii="Times New Roman" w:hAnsi="Times New Roman" w:cs="Times New Roman"/>
        </w:rPr>
        <w:t xml:space="preserve"> &amp; Huang, S. (2022). Optimizing ear-plant height ratio to improve kernel number and lodging resistance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w:t>
      </w:r>
      <w:r w:rsidRPr="00115296">
        <w:rPr>
          <w:rFonts w:ascii="Times New Roman" w:hAnsi="Times New Roman" w:cs="Times New Roman"/>
          <w:i/>
          <w:iCs/>
        </w:rPr>
        <w:t>Field Crops Research</w:t>
      </w:r>
      <w:r w:rsidRPr="00115296">
        <w:rPr>
          <w:rFonts w:ascii="Times New Roman" w:hAnsi="Times New Roman" w:cs="Times New Roman"/>
        </w:rPr>
        <w:t>, </w:t>
      </w:r>
      <w:r w:rsidRPr="00115296">
        <w:rPr>
          <w:rFonts w:ascii="Times New Roman" w:hAnsi="Times New Roman" w:cs="Times New Roman"/>
          <w:i/>
          <w:iCs/>
        </w:rPr>
        <w:t>276</w:t>
      </w:r>
      <w:r w:rsidRPr="00115296">
        <w:rPr>
          <w:rFonts w:ascii="Times New Roman" w:hAnsi="Times New Roman" w:cs="Times New Roman"/>
        </w:rPr>
        <w:t>, 108376.</w:t>
      </w:r>
    </w:p>
    <w:p w14:paraId="7FB88AF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13. </w:t>
      </w:r>
      <w:proofErr w:type="spellStart"/>
      <w:r w:rsidRPr="00115296">
        <w:rPr>
          <w:rFonts w:ascii="Times New Roman" w:hAnsi="Times New Roman" w:cs="Times New Roman"/>
        </w:rPr>
        <w:t>Paikhomba</w:t>
      </w:r>
      <w:proofErr w:type="spellEnd"/>
      <w:r w:rsidRPr="00115296">
        <w:rPr>
          <w:rFonts w:ascii="Times New Roman" w:hAnsi="Times New Roman" w:cs="Times New Roman"/>
        </w:rPr>
        <w:t xml:space="preserve">, N., Kumar, A., </w:t>
      </w:r>
      <w:proofErr w:type="spellStart"/>
      <w:r w:rsidRPr="00115296">
        <w:rPr>
          <w:rFonts w:ascii="Times New Roman" w:hAnsi="Times New Roman" w:cs="Times New Roman"/>
        </w:rPr>
        <w:t>Chaurasia</w:t>
      </w:r>
      <w:proofErr w:type="spellEnd"/>
      <w:r w:rsidRPr="00115296">
        <w:rPr>
          <w:rFonts w:ascii="Times New Roman" w:hAnsi="Times New Roman" w:cs="Times New Roman"/>
        </w:rPr>
        <w:t xml:space="preserve">, A. K., &amp; </w:t>
      </w:r>
      <w:proofErr w:type="spellStart"/>
      <w:r w:rsidRPr="00115296">
        <w:rPr>
          <w:rFonts w:ascii="Times New Roman" w:hAnsi="Times New Roman" w:cs="Times New Roman"/>
        </w:rPr>
        <w:t>Rai</w:t>
      </w:r>
      <w:proofErr w:type="spellEnd"/>
      <w:r w:rsidRPr="00115296">
        <w:rPr>
          <w:rFonts w:ascii="Times New Roman" w:hAnsi="Times New Roman" w:cs="Times New Roman"/>
        </w:rPr>
        <w:t>, P. K. (2014). Assessment of genetic parameters for yield and yield components in hybrid rice and parents. </w:t>
      </w:r>
      <w:r w:rsidRPr="00115296">
        <w:rPr>
          <w:rFonts w:ascii="Times New Roman" w:hAnsi="Times New Roman" w:cs="Times New Roman"/>
          <w:i/>
          <w:iCs/>
        </w:rPr>
        <w:t>Journal of Rice Research</w:t>
      </w:r>
      <w:r w:rsidRPr="00115296">
        <w:rPr>
          <w:rFonts w:ascii="Times New Roman" w:hAnsi="Times New Roman" w:cs="Times New Roman"/>
        </w:rPr>
        <w:t>, </w:t>
      </w:r>
      <w:r w:rsidRPr="00115296">
        <w:rPr>
          <w:rFonts w:ascii="Times New Roman" w:hAnsi="Times New Roman" w:cs="Times New Roman"/>
          <w:i/>
          <w:iCs/>
        </w:rPr>
        <w:t>2</w:t>
      </w:r>
      <w:r w:rsidRPr="00115296">
        <w:rPr>
          <w:rFonts w:ascii="Times New Roman" w:hAnsi="Times New Roman" w:cs="Times New Roman"/>
        </w:rPr>
        <w:t>(1), 117.</w:t>
      </w:r>
    </w:p>
    <w:p w14:paraId="65B8D69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14. </w:t>
      </w:r>
      <w:proofErr w:type="spellStart"/>
      <w:r w:rsidRPr="00115296">
        <w:rPr>
          <w:rFonts w:ascii="Times New Roman" w:hAnsi="Times New Roman" w:cs="Times New Roman"/>
        </w:rPr>
        <w:t>Kalhoro</w:t>
      </w:r>
      <w:proofErr w:type="spellEnd"/>
      <w:r w:rsidRPr="00115296">
        <w:rPr>
          <w:rFonts w:ascii="Times New Roman" w:hAnsi="Times New Roman" w:cs="Times New Roman"/>
        </w:rPr>
        <w:t xml:space="preserve">, F. A., </w:t>
      </w:r>
      <w:proofErr w:type="spellStart"/>
      <w:r w:rsidRPr="00115296">
        <w:rPr>
          <w:rFonts w:ascii="Times New Roman" w:hAnsi="Times New Roman" w:cs="Times New Roman"/>
        </w:rPr>
        <w:t>Rajpar</w:t>
      </w:r>
      <w:proofErr w:type="spellEnd"/>
      <w:r w:rsidRPr="00115296">
        <w:rPr>
          <w:rFonts w:ascii="Times New Roman" w:hAnsi="Times New Roman" w:cs="Times New Roman"/>
        </w:rPr>
        <w:t xml:space="preserve">, A. A., </w:t>
      </w:r>
      <w:proofErr w:type="spellStart"/>
      <w:r w:rsidRPr="00115296">
        <w:rPr>
          <w:rFonts w:ascii="Times New Roman" w:hAnsi="Times New Roman" w:cs="Times New Roman"/>
        </w:rPr>
        <w:t>Kalhoro</w:t>
      </w:r>
      <w:proofErr w:type="spellEnd"/>
      <w:r w:rsidRPr="00115296">
        <w:rPr>
          <w:rFonts w:ascii="Times New Roman" w:hAnsi="Times New Roman" w:cs="Times New Roman"/>
        </w:rPr>
        <w:t xml:space="preserve">, S. A., </w:t>
      </w:r>
      <w:proofErr w:type="spellStart"/>
      <w:r w:rsidRPr="00115296">
        <w:rPr>
          <w:rFonts w:ascii="Times New Roman" w:hAnsi="Times New Roman" w:cs="Times New Roman"/>
        </w:rPr>
        <w:t>Mahar</w:t>
      </w:r>
      <w:proofErr w:type="spellEnd"/>
      <w:r w:rsidRPr="00115296">
        <w:rPr>
          <w:rFonts w:ascii="Times New Roman" w:hAnsi="Times New Roman" w:cs="Times New Roman"/>
        </w:rPr>
        <w:t xml:space="preserve">, A., Ali, A., </w:t>
      </w:r>
      <w:proofErr w:type="spellStart"/>
      <w:r w:rsidRPr="00115296">
        <w:rPr>
          <w:rFonts w:ascii="Times New Roman" w:hAnsi="Times New Roman" w:cs="Times New Roman"/>
        </w:rPr>
        <w:t>Otho</w:t>
      </w:r>
      <w:proofErr w:type="spellEnd"/>
      <w:r w:rsidRPr="00115296">
        <w:rPr>
          <w:rFonts w:ascii="Times New Roman" w:hAnsi="Times New Roman" w:cs="Times New Roman"/>
        </w:rPr>
        <w:t xml:space="preserve">, S. A., ... &amp; </w:t>
      </w:r>
      <w:proofErr w:type="spellStart"/>
      <w:r w:rsidRPr="00115296">
        <w:rPr>
          <w:rFonts w:ascii="Times New Roman" w:hAnsi="Times New Roman" w:cs="Times New Roman"/>
        </w:rPr>
        <w:t>Baloch</w:t>
      </w:r>
      <w:proofErr w:type="spellEnd"/>
      <w:r w:rsidRPr="00115296">
        <w:rPr>
          <w:rFonts w:ascii="Times New Roman" w:hAnsi="Times New Roman" w:cs="Times New Roman"/>
        </w:rPr>
        <w:t xml:space="preserve">, Z. A. (2015). </w:t>
      </w:r>
      <w:proofErr w:type="spellStart"/>
      <w:r w:rsidRPr="00115296">
        <w:rPr>
          <w:rFonts w:ascii="Times New Roman" w:hAnsi="Times New Roman" w:cs="Times New Roman"/>
        </w:rPr>
        <w:t>Heterosis</w:t>
      </w:r>
      <w:proofErr w:type="spellEnd"/>
      <w:r w:rsidRPr="00115296">
        <w:rPr>
          <w:rFonts w:ascii="Times New Roman" w:hAnsi="Times New Roman" w:cs="Times New Roman"/>
        </w:rPr>
        <w:t xml:space="preserve"> and combing ability in F1 population of </w:t>
      </w:r>
      <w:proofErr w:type="spellStart"/>
      <w:r w:rsidRPr="00115296">
        <w:rPr>
          <w:rFonts w:ascii="Times New Roman" w:hAnsi="Times New Roman" w:cs="Times New Roman"/>
        </w:rPr>
        <w:t>hexaploid</w:t>
      </w:r>
      <w:proofErr w:type="spellEnd"/>
      <w:r w:rsidRPr="00115296">
        <w:rPr>
          <w:rFonts w:ascii="Times New Roman" w:hAnsi="Times New Roman" w:cs="Times New Roman"/>
        </w:rPr>
        <w:t xml:space="preserve"> wheat (</w:t>
      </w:r>
      <w:proofErr w:type="spellStart"/>
      <w:r w:rsidRPr="00115296">
        <w:rPr>
          <w:rFonts w:ascii="Times New Roman" w:hAnsi="Times New Roman" w:cs="Times New Roman"/>
        </w:rPr>
        <w:t>Triticum</w:t>
      </w:r>
      <w:proofErr w:type="spellEnd"/>
      <w:r w:rsidRPr="00115296">
        <w:rPr>
          <w:rFonts w:ascii="Times New Roman" w:hAnsi="Times New Roman" w:cs="Times New Roman"/>
        </w:rPr>
        <w:t xml:space="preserve"> </w:t>
      </w:r>
      <w:proofErr w:type="spellStart"/>
      <w:r w:rsidRPr="00115296">
        <w:rPr>
          <w:rFonts w:ascii="Times New Roman" w:hAnsi="Times New Roman" w:cs="Times New Roman"/>
        </w:rPr>
        <w:t>aestivum</w:t>
      </w:r>
      <w:proofErr w:type="spellEnd"/>
      <w:r w:rsidRPr="00115296">
        <w:rPr>
          <w:rFonts w:ascii="Times New Roman" w:hAnsi="Times New Roman" w:cs="Times New Roman"/>
        </w:rPr>
        <w:t xml:space="preserve"> L.). </w:t>
      </w:r>
      <w:r w:rsidRPr="00115296">
        <w:rPr>
          <w:rFonts w:ascii="Times New Roman" w:hAnsi="Times New Roman" w:cs="Times New Roman"/>
          <w:i/>
          <w:iCs/>
        </w:rPr>
        <w:t>American Journal of Plant Sciences</w:t>
      </w:r>
      <w:r w:rsidRPr="00115296">
        <w:rPr>
          <w:rFonts w:ascii="Times New Roman" w:hAnsi="Times New Roman" w:cs="Times New Roman"/>
        </w:rPr>
        <w:t>, </w:t>
      </w:r>
      <w:r w:rsidRPr="00115296">
        <w:rPr>
          <w:rFonts w:ascii="Times New Roman" w:hAnsi="Times New Roman" w:cs="Times New Roman"/>
          <w:i/>
          <w:iCs/>
        </w:rPr>
        <w:t>6</w:t>
      </w:r>
      <w:r w:rsidRPr="00115296">
        <w:rPr>
          <w:rFonts w:ascii="Times New Roman" w:hAnsi="Times New Roman" w:cs="Times New Roman"/>
        </w:rPr>
        <w:t>(07), 1011.</w:t>
      </w:r>
    </w:p>
    <w:p w14:paraId="7F0E229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15. </w:t>
      </w:r>
      <w:proofErr w:type="spellStart"/>
      <w:r w:rsidRPr="00115296">
        <w:rPr>
          <w:rFonts w:ascii="Times New Roman" w:hAnsi="Times New Roman" w:cs="Times New Roman"/>
        </w:rPr>
        <w:t>Oettler</w:t>
      </w:r>
      <w:proofErr w:type="spellEnd"/>
      <w:r w:rsidRPr="00115296">
        <w:rPr>
          <w:rFonts w:ascii="Times New Roman" w:hAnsi="Times New Roman" w:cs="Times New Roman"/>
        </w:rPr>
        <w:t xml:space="preserve">, G., Tams, S. H., </w:t>
      </w:r>
      <w:proofErr w:type="spellStart"/>
      <w:r w:rsidRPr="00115296">
        <w:rPr>
          <w:rFonts w:ascii="Times New Roman" w:hAnsi="Times New Roman" w:cs="Times New Roman"/>
        </w:rPr>
        <w:t>Utz</w:t>
      </w:r>
      <w:proofErr w:type="spellEnd"/>
      <w:r w:rsidRPr="00115296">
        <w:rPr>
          <w:rFonts w:ascii="Times New Roman" w:hAnsi="Times New Roman" w:cs="Times New Roman"/>
        </w:rPr>
        <w:t xml:space="preserve">, H. F., Bauer, E., &amp; </w:t>
      </w:r>
      <w:proofErr w:type="spellStart"/>
      <w:r w:rsidRPr="00115296">
        <w:rPr>
          <w:rFonts w:ascii="Times New Roman" w:hAnsi="Times New Roman" w:cs="Times New Roman"/>
        </w:rPr>
        <w:t>Melchinger</w:t>
      </w:r>
      <w:proofErr w:type="spellEnd"/>
      <w:r w:rsidRPr="00115296">
        <w:rPr>
          <w:rFonts w:ascii="Times New Roman" w:hAnsi="Times New Roman" w:cs="Times New Roman"/>
        </w:rPr>
        <w:t xml:space="preserve">, A. E. (2005). Prospects for hybrid breeding in winter triticale: I. </w:t>
      </w:r>
      <w:proofErr w:type="spellStart"/>
      <w:r w:rsidRPr="00115296">
        <w:rPr>
          <w:rFonts w:ascii="Times New Roman" w:hAnsi="Times New Roman" w:cs="Times New Roman"/>
        </w:rPr>
        <w:t>Heterosis</w:t>
      </w:r>
      <w:proofErr w:type="spellEnd"/>
      <w:r w:rsidRPr="00115296">
        <w:rPr>
          <w:rFonts w:ascii="Times New Roman" w:hAnsi="Times New Roman" w:cs="Times New Roman"/>
        </w:rPr>
        <w:t xml:space="preserve"> and combining ability for agronomic traits in European elite </w:t>
      </w:r>
      <w:proofErr w:type="spellStart"/>
      <w:r w:rsidRPr="00115296">
        <w:rPr>
          <w:rFonts w:ascii="Times New Roman" w:hAnsi="Times New Roman" w:cs="Times New Roman"/>
        </w:rPr>
        <w:t>germplasm</w:t>
      </w:r>
      <w:proofErr w:type="spellEnd"/>
      <w:r w:rsidRPr="00115296">
        <w:rPr>
          <w:rFonts w:ascii="Times New Roman" w:hAnsi="Times New Roman" w:cs="Times New Roman"/>
        </w:rPr>
        <w:t>. </w:t>
      </w:r>
      <w:r w:rsidRPr="00115296">
        <w:rPr>
          <w:rFonts w:ascii="Times New Roman" w:hAnsi="Times New Roman" w:cs="Times New Roman"/>
          <w:i/>
          <w:iCs/>
        </w:rPr>
        <w:t>Crop science</w:t>
      </w:r>
      <w:r w:rsidRPr="00115296">
        <w:rPr>
          <w:rFonts w:ascii="Times New Roman" w:hAnsi="Times New Roman" w:cs="Times New Roman"/>
        </w:rPr>
        <w:t>, </w:t>
      </w:r>
      <w:r w:rsidRPr="00115296">
        <w:rPr>
          <w:rFonts w:ascii="Times New Roman" w:hAnsi="Times New Roman" w:cs="Times New Roman"/>
          <w:i/>
          <w:iCs/>
        </w:rPr>
        <w:t>45</w:t>
      </w:r>
      <w:r w:rsidRPr="00115296">
        <w:rPr>
          <w:rFonts w:ascii="Times New Roman" w:hAnsi="Times New Roman" w:cs="Times New Roman"/>
        </w:rPr>
        <w:t>(4), 1476-1482.</w:t>
      </w:r>
    </w:p>
    <w:p w14:paraId="5C53029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16. </w:t>
      </w:r>
      <w:proofErr w:type="spellStart"/>
      <w:r w:rsidRPr="00115296">
        <w:rPr>
          <w:rFonts w:ascii="Times New Roman" w:hAnsi="Times New Roman" w:cs="Times New Roman"/>
        </w:rPr>
        <w:t>Rayarao</w:t>
      </w:r>
      <w:proofErr w:type="spellEnd"/>
      <w:r w:rsidRPr="00115296">
        <w:rPr>
          <w:rFonts w:ascii="Times New Roman" w:hAnsi="Times New Roman" w:cs="Times New Roman"/>
        </w:rPr>
        <w:t>, S. R. (2025). ANOVA models: a comprehensive review of analysis of variance in statistical analysis and experimental design. </w:t>
      </w:r>
      <w:proofErr w:type="spellStart"/>
      <w:r w:rsidRPr="00115296">
        <w:rPr>
          <w:rFonts w:ascii="Times New Roman" w:hAnsi="Times New Roman" w:cs="Times New Roman"/>
          <w:i/>
          <w:iCs/>
        </w:rPr>
        <w:t>Authorea</w:t>
      </w:r>
      <w:proofErr w:type="spellEnd"/>
      <w:r w:rsidRPr="00115296">
        <w:rPr>
          <w:rFonts w:ascii="Times New Roman" w:hAnsi="Times New Roman" w:cs="Times New Roman"/>
          <w:i/>
          <w:iCs/>
        </w:rPr>
        <w:t xml:space="preserve"> Preprints</w:t>
      </w:r>
      <w:r w:rsidRPr="00115296">
        <w:rPr>
          <w:rFonts w:ascii="Times New Roman" w:hAnsi="Times New Roman" w:cs="Times New Roman"/>
        </w:rPr>
        <w:t>.</w:t>
      </w:r>
    </w:p>
    <w:p w14:paraId="7796D947"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17. </w:t>
      </w:r>
      <w:proofErr w:type="spellStart"/>
      <w:r w:rsidRPr="00115296">
        <w:rPr>
          <w:rFonts w:ascii="Times New Roman" w:hAnsi="Times New Roman" w:cs="Times New Roman"/>
        </w:rPr>
        <w:t>Nasrizal</w:t>
      </w:r>
      <w:proofErr w:type="spellEnd"/>
      <w:r w:rsidRPr="00115296">
        <w:rPr>
          <w:rFonts w:ascii="Times New Roman" w:hAnsi="Times New Roman" w:cs="Times New Roman"/>
        </w:rPr>
        <w:t xml:space="preserve">, A. A., Lowell, J. J., </w:t>
      </w:r>
      <w:proofErr w:type="spellStart"/>
      <w:r w:rsidRPr="00115296">
        <w:rPr>
          <w:rFonts w:ascii="Times New Roman" w:hAnsi="Times New Roman" w:cs="Times New Roman"/>
        </w:rPr>
        <w:t>Idris</w:t>
      </w:r>
      <w:proofErr w:type="spellEnd"/>
      <w:r w:rsidRPr="00115296">
        <w:rPr>
          <w:rFonts w:ascii="Times New Roman" w:hAnsi="Times New Roman" w:cs="Times New Roman"/>
        </w:rPr>
        <w:t xml:space="preserve">, J., </w:t>
      </w:r>
      <w:proofErr w:type="spellStart"/>
      <w:r w:rsidRPr="00115296">
        <w:rPr>
          <w:rFonts w:ascii="Times New Roman" w:hAnsi="Times New Roman" w:cs="Times New Roman"/>
        </w:rPr>
        <w:t>Nazaruddin</w:t>
      </w:r>
      <w:proofErr w:type="spellEnd"/>
      <w:r w:rsidRPr="00115296">
        <w:rPr>
          <w:rFonts w:ascii="Times New Roman" w:hAnsi="Times New Roman" w:cs="Times New Roman"/>
        </w:rPr>
        <w:t xml:space="preserve">, A. T., &amp; </w:t>
      </w:r>
      <w:proofErr w:type="spellStart"/>
      <w:r w:rsidRPr="00115296">
        <w:rPr>
          <w:rFonts w:ascii="Times New Roman" w:hAnsi="Times New Roman" w:cs="Times New Roman"/>
        </w:rPr>
        <w:t>Bolong</w:t>
      </w:r>
      <w:proofErr w:type="spellEnd"/>
      <w:r w:rsidRPr="00115296">
        <w:rPr>
          <w:rFonts w:ascii="Times New Roman" w:hAnsi="Times New Roman" w:cs="Times New Roman"/>
        </w:rPr>
        <w:t>, N. (2021, November). The application of statistical ANOVA, LSD and RSM to Agro-based filter design optimization. In </w:t>
      </w:r>
      <w:r w:rsidRPr="00115296">
        <w:rPr>
          <w:rFonts w:ascii="Times New Roman" w:hAnsi="Times New Roman" w:cs="Times New Roman"/>
          <w:i/>
          <w:iCs/>
        </w:rPr>
        <w:t>International Conference on Water Resources</w:t>
      </w:r>
      <w:r w:rsidRPr="00115296">
        <w:rPr>
          <w:rFonts w:ascii="Times New Roman" w:hAnsi="Times New Roman" w:cs="Times New Roman"/>
        </w:rPr>
        <w:t> (pp. 199-209). Singapore: Springer Nature Singapore.</w:t>
      </w:r>
    </w:p>
    <w:p w14:paraId="711A801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18. De Groote, H., </w:t>
      </w:r>
      <w:proofErr w:type="spellStart"/>
      <w:r w:rsidRPr="00115296">
        <w:rPr>
          <w:rFonts w:ascii="Times New Roman" w:hAnsi="Times New Roman" w:cs="Times New Roman"/>
        </w:rPr>
        <w:t>Gunaratna</w:t>
      </w:r>
      <w:proofErr w:type="spellEnd"/>
      <w:r w:rsidRPr="00115296">
        <w:rPr>
          <w:rFonts w:ascii="Times New Roman" w:hAnsi="Times New Roman" w:cs="Times New Roman"/>
        </w:rPr>
        <w:t xml:space="preserve">, N. S., </w:t>
      </w:r>
      <w:proofErr w:type="spellStart"/>
      <w:r w:rsidRPr="00115296">
        <w:rPr>
          <w:rFonts w:ascii="Times New Roman" w:hAnsi="Times New Roman" w:cs="Times New Roman"/>
        </w:rPr>
        <w:t>Okuro</w:t>
      </w:r>
      <w:proofErr w:type="spellEnd"/>
      <w:r w:rsidRPr="00115296">
        <w:rPr>
          <w:rFonts w:ascii="Times New Roman" w:hAnsi="Times New Roman" w:cs="Times New Roman"/>
        </w:rPr>
        <w:t xml:space="preserve">, J. O., </w:t>
      </w:r>
      <w:proofErr w:type="spellStart"/>
      <w:r w:rsidRPr="00115296">
        <w:rPr>
          <w:rFonts w:ascii="Times New Roman" w:hAnsi="Times New Roman" w:cs="Times New Roman"/>
        </w:rPr>
        <w:t>Wondimu</w:t>
      </w:r>
      <w:proofErr w:type="spellEnd"/>
      <w:r w:rsidRPr="00115296">
        <w:rPr>
          <w:rFonts w:ascii="Times New Roman" w:hAnsi="Times New Roman" w:cs="Times New Roman"/>
        </w:rPr>
        <w:t xml:space="preserve">, A., </w:t>
      </w:r>
      <w:proofErr w:type="spellStart"/>
      <w:r w:rsidRPr="00115296">
        <w:rPr>
          <w:rFonts w:ascii="Times New Roman" w:hAnsi="Times New Roman" w:cs="Times New Roman"/>
        </w:rPr>
        <w:t>Chege</w:t>
      </w:r>
      <w:proofErr w:type="spellEnd"/>
      <w:r w:rsidRPr="00115296">
        <w:rPr>
          <w:rFonts w:ascii="Times New Roman" w:hAnsi="Times New Roman" w:cs="Times New Roman"/>
        </w:rPr>
        <w:t xml:space="preserve">, C. K., &amp; </w:t>
      </w:r>
      <w:proofErr w:type="spellStart"/>
      <w:r w:rsidRPr="00115296">
        <w:rPr>
          <w:rFonts w:ascii="Times New Roman" w:hAnsi="Times New Roman" w:cs="Times New Roman"/>
        </w:rPr>
        <w:t>Tomlins</w:t>
      </w:r>
      <w:proofErr w:type="spellEnd"/>
      <w:r w:rsidRPr="00115296">
        <w:rPr>
          <w:rFonts w:ascii="Times New Roman" w:hAnsi="Times New Roman" w:cs="Times New Roman"/>
        </w:rPr>
        <w:t>, K. (2014). Consumer acceptance of quality protein maize (QPM) in East Africa. </w:t>
      </w:r>
      <w:r w:rsidRPr="00115296">
        <w:rPr>
          <w:rFonts w:ascii="Times New Roman" w:hAnsi="Times New Roman" w:cs="Times New Roman"/>
          <w:i/>
          <w:iCs/>
        </w:rPr>
        <w:t>Journal of the Science of Food and Agriculture</w:t>
      </w:r>
      <w:r w:rsidRPr="00115296">
        <w:rPr>
          <w:rFonts w:ascii="Times New Roman" w:hAnsi="Times New Roman" w:cs="Times New Roman"/>
        </w:rPr>
        <w:t>, </w:t>
      </w:r>
      <w:r w:rsidRPr="00115296">
        <w:rPr>
          <w:rFonts w:ascii="Times New Roman" w:hAnsi="Times New Roman" w:cs="Times New Roman"/>
          <w:i/>
          <w:iCs/>
        </w:rPr>
        <w:t>94</w:t>
      </w:r>
      <w:r w:rsidRPr="00115296">
        <w:rPr>
          <w:rFonts w:ascii="Times New Roman" w:hAnsi="Times New Roman" w:cs="Times New Roman"/>
        </w:rPr>
        <w:t>(15), 3201-3212.</w:t>
      </w:r>
    </w:p>
    <w:p w14:paraId="20B1B42D"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19. Sharif, M. K., Butt, M. S., Sharif, H. R., &amp; Nasir, M. (2017). Sensory evaluation and consumer acceptability. </w:t>
      </w:r>
      <w:r w:rsidRPr="00115296">
        <w:rPr>
          <w:rFonts w:ascii="Times New Roman" w:hAnsi="Times New Roman" w:cs="Times New Roman"/>
          <w:i/>
          <w:iCs/>
        </w:rPr>
        <w:t>Handbook of food science and technology</w:t>
      </w:r>
      <w:r w:rsidRPr="00115296">
        <w:rPr>
          <w:rFonts w:ascii="Times New Roman" w:hAnsi="Times New Roman" w:cs="Times New Roman"/>
        </w:rPr>
        <w:t>, </w:t>
      </w:r>
      <w:r w:rsidRPr="00115296">
        <w:rPr>
          <w:rFonts w:ascii="Times New Roman" w:hAnsi="Times New Roman" w:cs="Times New Roman"/>
          <w:i/>
          <w:iCs/>
        </w:rPr>
        <w:t>10</w:t>
      </w:r>
      <w:r w:rsidRPr="00115296">
        <w:rPr>
          <w:rFonts w:ascii="Times New Roman" w:hAnsi="Times New Roman" w:cs="Times New Roman"/>
        </w:rPr>
        <w:t>, 362-386.</w:t>
      </w:r>
    </w:p>
    <w:p w14:paraId="5C59DB8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lastRenderedPageBreak/>
        <w:t xml:space="preserve">20. </w:t>
      </w:r>
      <w:proofErr w:type="spellStart"/>
      <w:r w:rsidRPr="00115296">
        <w:rPr>
          <w:rFonts w:ascii="Times New Roman" w:hAnsi="Times New Roman" w:cs="Times New Roman"/>
        </w:rPr>
        <w:t>Ter</w:t>
      </w:r>
      <w:proofErr w:type="spellEnd"/>
      <w:r w:rsidRPr="00115296">
        <w:rPr>
          <w:rFonts w:ascii="Times New Roman" w:hAnsi="Times New Roman" w:cs="Times New Roman"/>
        </w:rPr>
        <w:t xml:space="preserve"> </w:t>
      </w:r>
      <w:proofErr w:type="spellStart"/>
      <w:r w:rsidRPr="00115296">
        <w:rPr>
          <w:rFonts w:ascii="Times New Roman" w:hAnsi="Times New Roman" w:cs="Times New Roman"/>
        </w:rPr>
        <w:t>Steeg</w:t>
      </w:r>
      <w:proofErr w:type="spellEnd"/>
      <w:r w:rsidRPr="00115296">
        <w:rPr>
          <w:rFonts w:ascii="Times New Roman" w:hAnsi="Times New Roman" w:cs="Times New Roman"/>
        </w:rPr>
        <w:t xml:space="preserve">, E. M., </w:t>
      </w:r>
      <w:proofErr w:type="spellStart"/>
      <w:r w:rsidRPr="00115296">
        <w:rPr>
          <w:rFonts w:ascii="Times New Roman" w:hAnsi="Times New Roman" w:cs="Times New Roman"/>
        </w:rPr>
        <w:t>Struik</w:t>
      </w:r>
      <w:proofErr w:type="spellEnd"/>
      <w:r w:rsidRPr="00115296">
        <w:rPr>
          <w:rFonts w:ascii="Times New Roman" w:hAnsi="Times New Roman" w:cs="Times New Roman"/>
        </w:rPr>
        <w:t xml:space="preserve">, P. C., </w:t>
      </w:r>
      <w:proofErr w:type="spellStart"/>
      <w:r w:rsidRPr="00115296">
        <w:rPr>
          <w:rFonts w:ascii="Times New Roman" w:hAnsi="Times New Roman" w:cs="Times New Roman"/>
        </w:rPr>
        <w:t>Visser</w:t>
      </w:r>
      <w:proofErr w:type="spellEnd"/>
      <w:r w:rsidRPr="00115296">
        <w:rPr>
          <w:rFonts w:ascii="Times New Roman" w:hAnsi="Times New Roman" w:cs="Times New Roman"/>
        </w:rPr>
        <w:t xml:space="preserve">, R. G., &amp; </w:t>
      </w:r>
      <w:proofErr w:type="spellStart"/>
      <w:r w:rsidRPr="00115296">
        <w:rPr>
          <w:rFonts w:ascii="Times New Roman" w:hAnsi="Times New Roman" w:cs="Times New Roman"/>
        </w:rPr>
        <w:t>Lindhout</w:t>
      </w:r>
      <w:proofErr w:type="spellEnd"/>
      <w:r w:rsidRPr="00115296">
        <w:rPr>
          <w:rFonts w:ascii="Times New Roman" w:hAnsi="Times New Roman" w:cs="Times New Roman"/>
        </w:rPr>
        <w:t>, P. (2022). Crucial factors for the feasibility of commercial hybrid breeding in food crops. </w:t>
      </w:r>
      <w:r w:rsidRPr="00115296">
        <w:rPr>
          <w:rFonts w:ascii="Times New Roman" w:hAnsi="Times New Roman" w:cs="Times New Roman"/>
          <w:i/>
          <w:iCs/>
        </w:rPr>
        <w:t>Nature Plants</w:t>
      </w:r>
      <w:r w:rsidRPr="00115296">
        <w:rPr>
          <w:rFonts w:ascii="Times New Roman" w:hAnsi="Times New Roman" w:cs="Times New Roman"/>
        </w:rPr>
        <w:t>, </w:t>
      </w:r>
      <w:r w:rsidRPr="00115296">
        <w:rPr>
          <w:rFonts w:ascii="Times New Roman" w:hAnsi="Times New Roman" w:cs="Times New Roman"/>
          <w:i/>
          <w:iCs/>
        </w:rPr>
        <w:t>8</w:t>
      </w:r>
      <w:r w:rsidRPr="00115296">
        <w:rPr>
          <w:rFonts w:ascii="Times New Roman" w:hAnsi="Times New Roman" w:cs="Times New Roman"/>
        </w:rPr>
        <w:t>(5), 463-473.</w:t>
      </w:r>
    </w:p>
    <w:p w14:paraId="7E47477E"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21. He, B., Pan, S., Zhao, J., </w:t>
      </w:r>
      <w:proofErr w:type="spellStart"/>
      <w:r w:rsidRPr="00115296">
        <w:rPr>
          <w:rFonts w:ascii="Times New Roman" w:hAnsi="Times New Roman" w:cs="Times New Roman"/>
        </w:rPr>
        <w:t>Zou</w:t>
      </w:r>
      <w:proofErr w:type="spellEnd"/>
      <w:r w:rsidRPr="00115296">
        <w:rPr>
          <w:rFonts w:ascii="Times New Roman" w:hAnsi="Times New Roman" w:cs="Times New Roman"/>
        </w:rPr>
        <w:t>, X., Liu, X., &amp; Wu, S. (2024). Maize improvement based on modern breeding strategies: progress and perspective. </w:t>
      </w:r>
      <w:r w:rsidRPr="00115296">
        <w:rPr>
          <w:rFonts w:ascii="Times New Roman" w:hAnsi="Times New Roman" w:cs="Times New Roman"/>
          <w:i/>
          <w:iCs/>
        </w:rPr>
        <w:t>ACS Agricultural Science &amp; Technology</w:t>
      </w:r>
      <w:r w:rsidRPr="00115296">
        <w:rPr>
          <w:rFonts w:ascii="Times New Roman" w:hAnsi="Times New Roman" w:cs="Times New Roman"/>
        </w:rPr>
        <w:t>, </w:t>
      </w:r>
      <w:r w:rsidRPr="00115296">
        <w:rPr>
          <w:rFonts w:ascii="Times New Roman" w:hAnsi="Times New Roman" w:cs="Times New Roman"/>
          <w:i/>
          <w:iCs/>
        </w:rPr>
        <w:t>4</w:t>
      </w:r>
      <w:r w:rsidRPr="00115296">
        <w:rPr>
          <w:rFonts w:ascii="Times New Roman" w:hAnsi="Times New Roman" w:cs="Times New Roman"/>
        </w:rPr>
        <w:t>(3), 274-282.</w:t>
      </w:r>
    </w:p>
    <w:p w14:paraId="0F8EA63C"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22. </w:t>
      </w:r>
      <w:proofErr w:type="spellStart"/>
      <w:r w:rsidRPr="00115296">
        <w:rPr>
          <w:rFonts w:ascii="Times New Roman" w:hAnsi="Times New Roman" w:cs="Times New Roman"/>
        </w:rPr>
        <w:t>Mugiyo</w:t>
      </w:r>
      <w:proofErr w:type="spellEnd"/>
      <w:r w:rsidRPr="00115296">
        <w:rPr>
          <w:rFonts w:ascii="Times New Roman" w:hAnsi="Times New Roman" w:cs="Times New Roman"/>
        </w:rPr>
        <w:t xml:space="preserve">, H., </w:t>
      </w:r>
      <w:proofErr w:type="spellStart"/>
      <w:r w:rsidRPr="00115296">
        <w:rPr>
          <w:rFonts w:ascii="Times New Roman" w:hAnsi="Times New Roman" w:cs="Times New Roman"/>
        </w:rPr>
        <w:t>Mhizha</w:t>
      </w:r>
      <w:proofErr w:type="spellEnd"/>
      <w:r w:rsidRPr="00115296">
        <w:rPr>
          <w:rFonts w:ascii="Times New Roman" w:hAnsi="Times New Roman" w:cs="Times New Roman"/>
        </w:rPr>
        <w:t xml:space="preserve">, T., </w:t>
      </w:r>
      <w:proofErr w:type="spellStart"/>
      <w:r w:rsidRPr="00115296">
        <w:rPr>
          <w:rFonts w:ascii="Times New Roman" w:hAnsi="Times New Roman" w:cs="Times New Roman"/>
        </w:rPr>
        <w:t>Chimonyo</w:t>
      </w:r>
      <w:proofErr w:type="spellEnd"/>
      <w:r w:rsidRPr="00115296">
        <w:rPr>
          <w:rFonts w:ascii="Times New Roman" w:hAnsi="Times New Roman" w:cs="Times New Roman"/>
        </w:rPr>
        <w:t xml:space="preserve">, V. G., &amp; </w:t>
      </w:r>
      <w:proofErr w:type="spellStart"/>
      <w:r w:rsidRPr="00115296">
        <w:rPr>
          <w:rFonts w:ascii="Times New Roman" w:hAnsi="Times New Roman" w:cs="Times New Roman"/>
        </w:rPr>
        <w:t>Mabhaudhi</w:t>
      </w:r>
      <w:proofErr w:type="spellEnd"/>
      <w:r w:rsidRPr="00115296">
        <w:rPr>
          <w:rFonts w:ascii="Times New Roman" w:hAnsi="Times New Roman" w:cs="Times New Roman"/>
        </w:rPr>
        <w:t xml:space="preserve">, T. (2021). Investigation of the optimum planting dates for maize varieties using a hybrid approach: A case of </w:t>
      </w:r>
      <w:proofErr w:type="spellStart"/>
      <w:r w:rsidRPr="00115296">
        <w:rPr>
          <w:rFonts w:ascii="Times New Roman" w:hAnsi="Times New Roman" w:cs="Times New Roman"/>
        </w:rPr>
        <w:t>Hwedza</w:t>
      </w:r>
      <w:proofErr w:type="spellEnd"/>
      <w:r w:rsidRPr="00115296">
        <w:rPr>
          <w:rFonts w:ascii="Times New Roman" w:hAnsi="Times New Roman" w:cs="Times New Roman"/>
        </w:rPr>
        <w:t>, Zimbabwe. </w:t>
      </w:r>
      <w:proofErr w:type="spellStart"/>
      <w:r w:rsidRPr="00115296">
        <w:rPr>
          <w:rFonts w:ascii="Times New Roman" w:hAnsi="Times New Roman" w:cs="Times New Roman"/>
          <w:i/>
          <w:iCs/>
        </w:rPr>
        <w:t>Heliyon</w:t>
      </w:r>
      <w:proofErr w:type="spellEnd"/>
      <w:r w:rsidRPr="00115296">
        <w:rPr>
          <w:rFonts w:ascii="Times New Roman" w:hAnsi="Times New Roman" w:cs="Times New Roman"/>
        </w:rPr>
        <w:t>, </w:t>
      </w:r>
      <w:r w:rsidRPr="00115296">
        <w:rPr>
          <w:rFonts w:ascii="Times New Roman" w:hAnsi="Times New Roman" w:cs="Times New Roman"/>
          <w:i/>
          <w:iCs/>
        </w:rPr>
        <w:t>7</w:t>
      </w:r>
      <w:r w:rsidRPr="00115296">
        <w:rPr>
          <w:rFonts w:ascii="Times New Roman" w:hAnsi="Times New Roman" w:cs="Times New Roman"/>
        </w:rPr>
        <w:t>(2).</w:t>
      </w:r>
    </w:p>
    <w:p w14:paraId="6E8C1034"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23. </w:t>
      </w:r>
      <w:proofErr w:type="spellStart"/>
      <w:r w:rsidRPr="00115296">
        <w:rPr>
          <w:rFonts w:ascii="Times New Roman" w:hAnsi="Times New Roman" w:cs="Times New Roman"/>
        </w:rPr>
        <w:t>Aliu</w:t>
      </w:r>
      <w:proofErr w:type="spellEnd"/>
      <w:r w:rsidRPr="00115296">
        <w:rPr>
          <w:rFonts w:ascii="Times New Roman" w:hAnsi="Times New Roman" w:cs="Times New Roman"/>
        </w:rPr>
        <w:t xml:space="preserve">, S., </w:t>
      </w:r>
      <w:proofErr w:type="spellStart"/>
      <w:r w:rsidRPr="00115296">
        <w:rPr>
          <w:rFonts w:ascii="Times New Roman" w:hAnsi="Times New Roman" w:cs="Times New Roman"/>
        </w:rPr>
        <w:t>Fetahu</w:t>
      </w:r>
      <w:proofErr w:type="spellEnd"/>
      <w:r w:rsidRPr="00115296">
        <w:rPr>
          <w:rFonts w:ascii="Times New Roman" w:hAnsi="Times New Roman" w:cs="Times New Roman"/>
        </w:rPr>
        <w:t xml:space="preserve">, S. H., &amp; </w:t>
      </w:r>
      <w:proofErr w:type="spellStart"/>
      <w:r w:rsidRPr="00115296">
        <w:rPr>
          <w:rFonts w:ascii="Times New Roman" w:hAnsi="Times New Roman" w:cs="Times New Roman"/>
        </w:rPr>
        <w:t>Salillari</w:t>
      </w:r>
      <w:proofErr w:type="spellEnd"/>
      <w:r w:rsidRPr="00115296">
        <w:rPr>
          <w:rFonts w:ascii="Times New Roman" w:hAnsi="Times New Roman" w:cs="Times New Roman"/>
        </w:rPr>
        <w:t xml:space="preserve">, A. (2008). Estimation of </w:t>
      </w:r>
      <w:proofErr w:type="spellStart"/>
      <w:r w:rsidRPr="00115296">
        <w:rPr>
          <w:rFonts w:ascii="Times New Roman" w:hAnsi="Times New Roman" w:cs="Times New Roman"/>
        </w:rPr>
        <w:t>heterosis</w:t>
      </w:r>
      <w:proofErr w:type="spellEnd"/>
      <w:r w:rsidRPr="00115296">
        <w:rPr>
          <w:rFonts w:ascii="Times New Roman" w:hAnsi="Times New Roman" w:cs="Times New Roman"/>
        </w:rPr>
        <w:t xml:space="preserve"> and combining ability in maize (</w:t>
      </w:r>
      <w:proofErr w:type="spellStart"/>
      <w:r w:rsidRPr="00115296">
        <w:rPr>
          <w:rFonts w:ascii="Times New Roman" w:hAnsi="Times New Roman" w:cs="Times New Roman"/>
        </w:rPr>
        <w:t>Zea</w:t>
      </w:r>
      <w:proofErr w:type="spellEnd"/>
      <w:r w:rsidRPr="00115296">
        <w:rPr>
          <w:rFonts w:ascii="Times New Roman" w:hAnsi="Times New Roman" w:cs="Times New Roman"/>
        </w:rPr>
        <w:t xml:space="preserve"> mays L.) for ear weight (EW) using the </w:t>
      </w:r>
      <w:proofErr w:type="spellStart"/>
      <w:r w:rsidRPr="00115296">
        <w:rPr>
          <w:rFonts w:ascii="Times New Roman" w:hAnsi="Times New Roman" w:cs="Times New Roman"/>
        </w:rPr>
        <w:t>diallel</w:t>
      </w:r>
      <w:proofErr w:type="spellEnd"/>
      <w:r w:rsidRPr="00115296">
        <w:rPr>
          <w:rFonts w:ascii="Times New Roman" w:hAnsi="Times New Roman" w:cs="Times New Roman"/>
        </w:rPr>
        <w:t xml:space="preserve"> crossing method.</w:t>
      </w:r>
    </w:p>
    <w:p w14:paraId="0E5694E1" w14:textId="77777777" w:rsidR="00115296" w:rsidRPr="00115296" w:rsidRDefault="00115296" w:rsidP="00115296">
      <w:pPr>
        <w:spacing w:after="0" w:line="288" w:lineRule="auto"/>
        <w:jc w:val="both"/>
        <w:rPr>
          <w:rFonts w:ascii="Times New Roman" w:hAnsi="Times New Roman" w:cs="Times New Roman"/>
        </w:rPr>
      </w:pPr>
      <w:r w:rsidRPr="00115296">
        <w:rPr>
          <w:rFonts w:ascii="Times New Roman" w:hAnsi="Times New Roman" w:cs="Times New Roman"/>
        </w:rPr>
        <w:t xml:space="preserve">24. Van </w:t>
      </w:r>
      <w:proofErr w:type="spellStart"/>
      <w:r w:rsidRPr="00115296">
        <w:rPr>
          <w:rFonts w:ascii="Times New Roman" w:hAnsi="Times New Roman" w:cs="Times New Roman"/>
        </w:rPr>
        <w:t>Dien</w:t>
      </w:r>
      <w:proofErr w:type="spellEnd"/>
      <w:r w:rsidRPr="00115296">
        <w:rPr>
          <w:rFonts w:ascii="Times New Roman" w:hAnsi="Times New Roman" w:cs="Times New Roman"/>
        </w:rPr>
        <w:t xml:space="preserve">, N., </w:t>
      </w:r>
      <w:proofErr w:type="spellStart"/>
      <w:r w:rsidRPr="00115296">
        <w:rPr>
          <w:rFonts w:ascii="Times New Roman" w:hAnsi="Times New Roman" w:cs="Times New Roman"/>
        </w:rPr>
        <w:t>Nhai</w:t>
      </w:r>
      <w:proofErr w:type="spellEnd"/>
      <w:r w:rsidRPr="00115296">
        <w:rPr>
          <w:rFonts w:ascii="Times New Roman" w:hAnsi="Times New Roman" w:cs="Times New Roman"/>
        </w:rPr>
        <w:t>, N. T., &amp; Ha, D. N. Evaluation of agro-biological characteristics and combining ability of sweet corn inbred lines.</w:t>
      </w:r>
    </w:p>
    <w:p w14:paraId="1994D516" w14:textId="2C74C84B" w:rsidR="00D25A29" w:rsidRPr="00311474" w:rsidRDefault="00D25A29" w:rsidP="00115296">
      <w:pPr>
        <w:rPr>
          <w:rFonts w:ascii="Times New Roman" w:hAnsi="Times New Roman" w:cs="Times New Roman"/>
        </w:rPr>
      </w:pPr>
    </w:p>
    <w:sectPr w:rsidR="00D25A29" w:rsidRPr="00311474" w:rsidSect="008D5E4D">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72C366E0" w14:textId="6BF74149" w:rsidR="00C05F58" w:rsidRDefault="00C05F58">
      <w:pPr>
        <w:pStyle w:val="ae"/>
      </w:pPr>
      <w:r>
        <w:rPr>
          <w:rStyle w:val="ad"/>
        </w:rPr>
        <w:annotationRef/>
      </w:r>
      <w:r w:rsidRPr="00C05F58">
        <w:t>Please arrange the keywords alphabetically.</w:t>
      </w:r>
    </w:p>
  </w:comment>
  <w:comment w:id="2" w:author="الكاتب" w:initials="ا">
    <w:p w14:paraId="6DDE1529" w14:textId="4DF6BD09" w:rsidR="00577DAF" w:rsidRDefault="00577DAF">
      <w:pPr>
        <w:pStyle w:val="ae"/>
      </w:pPr>
      <w:r>
        <w:rPr>
          <w:rStyle w:val="ad"/>
        </w:rPr>
        <w:annotationRef/>
      </w:r>
      <w:proofErr w:type="gramStart"/>
      <w:r w:rsidRPr="00A057DD">
        <w:t>enhancing</w:t>
      </w:r>
      <w:proofErr w:type="gramEnd"/>
    </w:p>
  </w:comment>
  <w:comment w:id="3" w:author="الكاتب" w:initials="ا">
    <w:p w14:paraId="025EF5B0" w14:textId="5EB6A39C" w:rsidR="00577DAF" w:rsidRDefault="00577DAF">
      <w:pPr>
        <w:pStyle w:val="ae"/>
      </w:pPr>
      <w:r>
        <w:rPr>
          <w:rStyle w:val="ad"/>
        </w:rPr>
        <w:annotationRef/>
      </w:r>
      <w:proofErr w:type="gramStart"/>
      <w:r w:rsidRPr="00A057DD">
        <w:t>a</w:t>
      </w:r>
      <w:proofErr w:type="gramEnd"/>
      <w:r w:rsidRPr="00A057DD">
        <w:t xml:space="preserve"> genotype</w:t>
      </w:r>
    </w:p>
  </w:comment>
  <w:comment w:id="4" w:author="الكاتب" w:initials="ا">
    <w:p w14:paraId="6E0C0FF8" w14:textId="12A1C00D" w:rsidR="00577DAF" w:rsidRDefault="00577DAF">
      <w:pPr>
        <w:pStyle w:val="ae"/>
      </w:pPr>
      <w:r>
        <w:rPr>
          <w:rStyle w:val="ad"/>
        </w:rPr>
        <w:annotationRef/>
      </w:r>
      <w:proofErr w:type="gramStart"/>
      <w:r w:rsidRPr="00A057DD">
        <w:t>fairly</w:t>
      </w:r>
      <w:proofErr w:type="gramEnd"/>
      <w:r w:rsidRPr="00A057DD">
        <w:t xml:space="preserve"> good</w:t>
      </w:r>
      <w:r>
        <w:t xml:space="preserve"> ?</w:t>
      </w:r>
    </w:p>
  </w:comment>
  <w:comment w:id="5" w:author="الكاتب" w:initials="ا">
    <w:p w14:paraId="62515FAE" w14:textId="16D6DA00" w:rsidR="00577DAF" w:rsidRDefault="00577DAF">
      <w:pPr>
        <w:pStyle w:val="ae"/>
      </w:pPr>
      <w:r>
        <w:rPr>
          <w:rStyle w:val="ad"/>
        </w:rPr>
        <w:annotationRef/>
      </w:r>
      <w:r w:rsidRPr="00A057DD">
        <w:t>1,556.508</w:t>
      </w:r>
    </w:p>
  </w:comment>
  <w:comment w:id="6" w:author="الكاتب" w:initials="ا">
    <w:p w14:paraId="578D9342" w14:textId="672715F8" w:rsidR="00134CF2" w:rsidRDefault="00134CF2">
      <w:pPr>
        <w:pStyle w:val="ae"/>
      </w:pPr>
      <w:r>
        <w:rPr>
          <w:rStyle w:val="ad"/>
        </w:rPr>
        <w:annotationRef/>
      </w:r>
      <w:r w:rsidRPr="00134CF2">
        <w:t xml:space="preserve">The experiment was conducted only in </w:t>
      </w:r>
      <w:proofErr w:type="spellStart"/>
      <w:r w:rsidRPr="00134CF2">
        <w:t>Thanh</w:t>
      </w:r>
      <w:proofErr w:type="spellEnd"/>
      <w:r w:rsidRPr="00134CF2">
        <w:t xml:space="preserve"> </w:t>
      </w:r>
      <w:proofErr w:type="spellStart"/>
      <w:r w:rsidRPr="00134CF2">
        <w:t>Hoa</w:t>
      </w:r>
      <w:proofErr w:type="spellEnd"/>
      <w:r w:rsidRPr="00134CF2">
        <w:t xml:space="preserve"> Province. Therefore, the claim that the hybrids are suitable for commercial production</w:t>
      </w:r>
      <w:r>
        <w:t xml:space="preserve"> needs reconsideration.</w:t>
      </w:r>
    </w:p>
  </w:comment>
  <w:comment w:id="7" w:author="الكاتب" w:initials="ا">
    <w:p w14:paraId="4B75FFA0" w14:textId="67E066F2" w:rsidR="00577DAF" w:rsidRDefault="00577DAF">
      <w:pPr>
        <w:pStyle w:val="ae"/>
      </w:pPr>
      <w:r>
        <w:rPr>
          <w:rStyle w:val="ad"/>
        </w:rPr>
        <w:annotationRef/>
      </w:r>
      <w:r w:rsidRPr="00A057DD">
        <w:t>Agro-morphological Characteristics of Hybrid Combinations</w:t>
      </w:r>
    </w:p>
  </w:comment>
  <w:comment w:id="8" w:author="الكاتب" w:initials="ا">
    <w:p w14:paraId="056E3643" w14:textId="08F9370C" w:rsidR="00577DAF" w:rsidRDefault="00577DAF">
      <w:pPr>
        <w:pStyle w:val="ae"/>
      </w:pPr>
      <w:r>
        <w:rPr>
          <w:rStyle w:val="ad"/>
        </w:rPr>
        <w:annotationRef/>
      </w:r>
      <w:proofErr w:type="gramStart"/>
      <w:r w:rsidRPr="00577DAF">
        <w:t>exhibited</w:t>
      </w:r>
      <w:proofErr w:type="gramEnd"/>
    </w:p>
  </w:comment>
  <w:comment w:id="9" w:author="الكاتب" w:initials="ا">
    <w:p w14:paraId="6D6CD006" w14:textId="2DF8334A" w:rsidR="007B1287" w:rsidRDefault="007B1287" w:rsidP="007B1287">
      <w:pPr>
        <w:pStyle w:val="ae"/>
      </w:pPr>
      <w:r>
        <w:rPr>
          <w:rStyle w:val="ad"/>
        </w:rPr>
        <w:annotationRef/>
      </w:r>
      <w:r>
        <w:t>Ratings include Very good, Good, Fair, Moderate, Poor, Very poor</w:t>
      </w:r>
    </w:p>
    <w:p w14:paraId="6A719737" w14:textId="77777777" w:rsidR="007B1287" w:rsidRDefault="007B1287" w:rsidP="007B1287">
      <w:pPr>
        <w:pStyle w:val="ae"/>
      </w:pPr>
      <w:r>
        <w:t>But the text sometimes describes them as:</w:t>
      </w:r>
    </w:p>
    <w:p w14:paraId="2F3A44D0" w14:textId="77777777" w:rsidR="007B1287" w:rsidRDefault="007B1287" w:rsidP="007B1287">
      <w:pPr>
        <w:pStyle w:val="ae"/>
      </w:pPr>
      <w:r>
        <w:t>“Fairly good”</w:t>
      </w:r>
    </w:p>
    <w:p w14:paraId="582771F3" w14:textId="77777777" w:rsidR="007B1287" w:rsidRDefault="007B1287" w:rsidP="007B1287">
      <w:pPr>
        <w:pStyle w:val="ae"/>
      </w:pPr>
      <w:r>
        <w:t>“Susceptible”</w:t>
      </w:r>
    </w:p>
    <w:p w14:paraId="750B108F" w14:textId="1CCD0899" w:rsidR="007B1287" w:rsidRDefault="007B1287" w:rsidP="007B1287">
      <w:pPr>
        <w:pStyle w:val="ae"/>
      </w:pPr>
      <w:r>
        <w:t>The terminology is not fully standardized between tables and discussion.</w:t>
      </w:r>
    </w:p>
  </w:comment>
  <w:comment w:id="10" w:author="الكاتب" w:initials="ا">
    <w:p w14:paraId="5BC18819" w14:textId="3530BF51" w:rsidR="00577DAF" w:rsidRDefault="00577DAF">
      <w:pPr>
        <w:pStyle w:val="ae"/>
      </w:pPr>
      <w:r>
        <w:rPr>
          <w:rStyle w:val="ad"/>
        </w:rPr>
        <w:annotationRef/>
      </w:r>
      <w:proofErr w:type="gramStart"/>
      <w:r w:rsidRPr="00577DAF">
        <w:t>pest</w:t>
      </w:r>
      <w:proofErr w:type="gramEnd"/>
      <w:r w:rsidRPr="00577DAF">
        <w:t>, disease, and root-lodging resistance</w:t>
      </w:r>
    </w:p>
  </w:comment>
  <w:comment w:id="11" w:author="الكاتب" w:initials="ا">
    <w:p w14:paraId="53D5FDCF" w14:textId="1DAC9DD0" w:rsidR="00E97BAC" w:rsidRDefault="00134CF2" w:rsidP="00134CF2">
      <w:pPr>
        <w:pStyle w:val="ae"/>
      </w:pPr>
      <w:r>
        <w:rPr>
          <w:rStyle w:val="ad"/>
        </w:rPr>
        <w:annotationRef/>
      </w:r>
      <w:r w:rsidR="00E97BAC" w:rsidRPr="00E97BAC">
        <w:t>Mean sensory quality score</w:t>
      </w:r>
    </w:p>
    <w:p w14:paraId="4ABD54F0" w14:textId="5376C4AA" w:rsidR="00134CF2" w:rsidRDefault="00134CF2" w:rsidP="00134CF2">
      <w:pPr>
        <w:pStyle w:val="ae"/>
      </w:pPr>
      <w:r>
        <w:t>N02 × N7B = 2.38</w:t>
      </w:r>
    </w:p>
    <w:p w14:paraId="5C7046B7" w14:textId="77777777" w:rsidR="00134CF2" w:rsidRDefault="00134CF2" w:rsidP="00134CF2">
      <w:pPr>
        <w:pStyle w:val="ae"/>
      </w:pPr>
      <w:r>
        <w:t>N02 × N59 = 2.38</w:t>
      </w:r>
    </w:p>
    <w:p w14:paraId="10758D9A" w14:textId="257D7941" w:rsidR="00134CF2" w:rsidRDefault="00134CF2" w:rsidP="00134CF2">
      <w:pPr>
        <w:pStyle w:val="ae"/>
      </w:pPr>
      <w:r>
        <w:t>N59 × N15 = 2.50</w:t>
      </w:r>
    </w:p>
    <w:p w14:paraId="60262FA9" w14:textId="07133210" w:rsidR="00E97BAC" w:rsidRDefault="00E97BAC" w:rsidP="00134CF2">
      <w:pPr>
        <w:pStyle w:val="ae"/>
      </w:pPr>
      <w:r w:rsidRPr="00E97BAC">
        <w:t>N59 × N15 did not have the best eating quality, although it had the highest yield.</w:t>
      </w:r>
    </w:p>
  </w:comment>
  <w:comment w:id="12" w:author="الكاتب" w:initials="ا">
    <w:p w14:paraId="0F30E6B8" w14:textId="0106F12D" w:rsidR="00577DAF" w:rsidRDefault="00577DAF">
      <w:pPr>
        <w:pStyle w:val="ae"/>
      </w:pPr>
      <w:r>
        <w:rPr>
          <w:rStyle w:val="ad"/>
        </w:rPr>
        <w:annotationRef/>
      </w:r>
      <w:r w:rsidRPr="00A057DD">
        <w:t>Fresh eating quality</w:t>
      </w:r>
    </w:p>
  </w:comment>
  <w:comment w:id="13" w:author="الكاتب" w:initials="ا">
    <w:p w14:paraId="5EC1C311" w14:textId="5A846D24" w:rsidR="004B6A23" w:rsidRDefault="004B6A23">
      <w:pPr>
        <w:pStyle w:val="ae"/>
      </w:pPr>
      <w:r>
        <w:rPr>
          <w:rStyle w:val="ad"/>
        </w:rPr>
        <w:annotationRef/>
      </w:r>
      <w:r w:rsidRPr="004B6A23">
        <w:t>Duplicate reference</w:t>
      </w:r>
    </w:p>
  </w:comment>
  <w:comment w:id="15" w:author="الكاتب" w:initials="ا">
    <w:p w14:paraId="255BF032" w14:textId="58E5A5EB" w:rsidR="004B6A23" w:rsidRDefault="004B6A23">
      <w:pPr>
        <w:pStyle w:val="ae"/>
      </w:pPr>
      <w:r>
        <w:rPr>
          <w:rStyle w:val="ad"/>
        </w:rPr>
        <w:annotationRef/>
      </w:r>
      <w:r w:rsidRPr="004B6A23">
        <w:t>Duplicate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66E0" w15:done="0"/>
  <w15:commentEx w15:paraId="6DDE1529" w15:done="0"/>
  <w15:commentEx w15:paraId="025EF5B0" w15:done="0"/>
  <w15:commentEx w15:paraId="6E0C0FF8" w15:done="0"/>
  <w15:commentEx w15:paraId="62515FAE" w15:done="0"/>
  <w15:commentEx w15:paraId="578D9342" w15:done="0"/>
  <w15:commentEx w15:paraId="4B75FFA0" w15:done="0"/>
  <w15:commentEx w15:paraId="056E3643" w15:done="0"/>
  <w15:commentEx w15:paraId="750B108F" w15:done="0"/>
  <w15:commentEx w15:paraId="5BC18819" w15:done="0"/>
  <w15:commentEx w15:paraId="60262FA9" w15:done="0"/>
  <w15:commentEx w15:paraId="0F30E6B8" w15:done="0"/>
  <w15:commentEx w15:paraId="5EC1C311" w15:done="0"/>
  <w15:commentEx w15:paraId="255BF0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386EC" w14:textId="77777777" w:rsidR="00665776" w:rsidRDefault="00665776" w:rsidP="003F66A2">
      <w:pPr>
        <w:spacing w:after="0" w:line="240" w:lineRule="auto"/>
      </w:pPr>
      <w:r>
        <w:separator/>
      </w:r>
    </w:p>
  </w:endnote>
  <w:endnote w:type="continuationSeparator" w:id="0">
    <w:p w14:paraId="498C369E" w14:textId="77777777" w:rsidR="00665776" w:rsidRDefault="00665776" w:rsidP="003F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6A1BC" w14:textId="77777777" w:rsidR="00577DAF" w:rsidRDefault="00577DA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FA37" w14:textId="77777777" w:rsidR="00577DAF" w:rsidRDefault="00577DA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5A2D" w14:textId="77777777" w:rsidR="00577DAF" w:rsidRDefault="00577DA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B5DDE" w14:textId="77777777" w:rsidR="00665776" w:rsidRDefault="00665776" w:rsidP="003F66A2">
      <w:pPr>
        <w:spacing w:after="0" w:line="240" w:lineRule="auto"/>
      </w:pPr>
      <w:r>
        <w:separator/>
      </w:r>
    </w:p>
  </w:footnote>
  <w:footnote w:type="continuationSeparator" w:id="0">
    <w:p w14:paraId="349D4C76" w14:textId="77777777" w:rsidR="00665776" w:rsidRDefault="00665776" w:rsidP="003F6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64BD" w14:textId="7948E1B0" w:rsidR="00577DAF" w:rsidRDefault="00577DAF">
    <w:pPr>
      <w:pStyle w:val="ab"/>
    </w:pPr>
    <w:r>
      <w:rPr>
        <w:noProof/>
      </w:rPr>
      <w:pict w14:anchorId="72386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7"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12810" w14:textId="61D4C1A6" w:rsidR="00577DAF" w:rsidRDefault="00577DAF">
    <w:pPr>
      <w:pStyle w:val="ab"/>
    </w:pPr>
    <w:r>
      <w:rPr>
        <w:noProof/>
      </w:rPr>
      <w:pict w14:anchorId="016A3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8"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80399" w14:textId="77635CC6" w:rsidR="00577DAF" w:rsidRDefault="00577DAF">
    <w:pPr>
      <w:pStyle w:val="ab"/>
    </w:pPr>
    <w:r>
      <w:rPr>
        <w:noProof/>
      </w:rPr>
      <w:pict w14:anchorId="41807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303516"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219C"/>
    <w:multiLevelType w:val="multilevel"/>
    <w:tmpl w:val="3834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B2646"/>
    <w:multiLevelType w:val="multilevel"/>
    <w:tmpl w:val="008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3318E"/>
    <w:multiLevelType w:val="multilevel"/>
    <w:tmpl w:val="9C5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62838"/>
    <w:multiLevelType w:val="multilevel"/>
    <w:tmpl w:val="69AA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D55540"/>
    <w:multiLevelType w:val="multilevel"/>
    <w:tmpl w:val="89E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46953"/>
    <w:multiLevelType w:val="multilevel"/>
    <w:tmpl w:val="E07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3NTY3NrUwNLQ0NzVU0lEKTi0uzszPAykwrAUA2f+hHywAAAA="/>
  </w:docVars>
  <w:rsids>
    <w:rsidRoot w:val="009A2A7C"/>
    <w:rsid w:val="00010BF6"/>
    <w:rsid w:val="00023D90"/>
    <w:rsid w:val="00026179"/>
    <w:rsid w:val="000828CB"/>
    <w:rsid w:val="00097DB6"/>
    <w:rsid w:val="000A3D38"/>
    <w:rsid w:val="000A4B96"/>
    <w:rsid w:val="0010462F"/>
    <w:rsid w:val="00115296"/>
    <w:rsid w:val="00134CF2"/>
    <w:rsid w:val="00192207"/>
    <w:rsid w:val="00263DE0"/>
    <w:rsid w:val="002C0655"/>
    <w:rsid w:val="002D1927"/>
    <w:rsid w:val="00307D76"/>
    <w:rsid w:val="00307FCF"/>
    <w:rsid w:val="00311474"/>
    <w:rsid w:val="00313999"/>
    <w:rsid w:val="00322110"/>
    <w:rsid w:val="0036465E"/>
    <w:rsid w:val="003C47FD"/>
    <w:rsid w:val="003C5522"/>
    <w:rsid w:val="003F66A2"/>
    <w:rsid w:val="00413A51"/>
    <w:rsid w:val="00440BE2"/>
    <w:rsid w:val="00440DD4"/>
    <w:rsid w:val="004B6A23"/>
    <w:rsid w:val="004D5B20"/>
    <w:rsid w:val="004E6BAD"/>
    <w:rsid w:val="00553A80"/>
    <w:rsid w:val="00577DAF"/>
    <w:rsid w:val="005C4B69"/>
    <w:rsid w:val="005D797A"/>
    <w:rsid w:val="00662F78"/>
    <w:rsid w:val="00665776"/>
    <w:rsid w:val="0069577D"/>
    <w:rsid w:val="006C1F4B"/>
    <w:rsid w:val="0071689F"/>
    <w:rsid w:val="0076130A"/>
    <w:rsid w:val="00774250"/>
    <w:rsid w:val="007B1287"/>
    <w:rsid w:val="00803ACF"/>
    <w:rsid w:val="00820337"/>
    <w:rsid w:val="0084406C"/>
    <w:rsid w:val="008468D0"/>
    <w:rsid w:val="008C0AA8"/>
    <w:rsid w:val="008D5E4D"/>
    <w:rsid w:val="008D67D6"/>
    <w:rsid w:val="008E40AC"/>
    <w:rsid w:val="008F00BF"/>
    <w:rsid w:val="00976FE9"/>
    <w:rsid w:val="00983568"/>
    <w:rsid w:val="009A2A7C"/>
    <w:rsid w:val="009D7FB8"/>
    <w:rsid w:val="009F099A"/>
    <w:rsid w:val="00A057DD"/>
    <w:rsid w:val="00A70733"/>
    <w:rsid w:val="00B3395A"/>
    <w:rsid w:val="00B34EBF"/>
    <w:rsid w:val="00B52E90"/>
    <w:rsid w:val="00C05F58"/>
    <w:rsid w:val="00C93FEA"/>
    <w:rsid w:val="00CB2DB3"/>
    <w:rsid w:val="00CC3F06"/>
    <w:rsid w:val="00CD05FA"/>
    <w:rsid w:val="00D25A29"/>
    <w:rsid w:val="00DB7A96"/>
    <w:rsid w:val="00DC784A"/>
    <w:rsid w:val="00DE67D2"/>
    <w:rsid w:val="00DE70B6"/>
    <w:rsid w:val="00E10EF5"/>
    <w:rsid w:val="00E379D6"/>
    <w:rsid w:val="00E46BF4"/>
    <w:rsid w:val="00E94214"/>
    <w:rsid w:val="00E94CFD"/>
    <w:rsid w:val="00E97BAC"/>
    <w:rsid w:val="00EC3751"/>
    <w:rsid w:val="00EE3550"/>
    <w:rsid w:val="00F72B69"/>
    <w:rsid w:val="00F965F4"/>
    <w:rsid w:val="00FC5C12"/>
    <w:rsid w:val="00FD0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C0D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A7C"/>
  </w:style>
  <w:style w:type="paragraph" w:styleId="1">
    <w:name w:val="heading 1"/>
    <w:basedOn w:val="a"/>
    <w:next w:val="a"/>
    <w:link w:val="1Char"/>
    <w:uiPriority w:val="9"/>
    <w:qFormat/>
    <w:rsid w:val="009A2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A2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A2A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A2A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A2A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A2A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2A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2A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2A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A2A7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A2A7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A2A7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A2A7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A2A7C"/>
    <w:rPr>
      <w:rFonts w:eastAsiaTheme="majorEastAsia" w:cstheme="majorBidi"/>
      <w:color w:val="2F5496" w:themeColor="accent1" w:themeShade="BF"/>
    </w:rPr>
  </w:style>
  <w:style w:type="character" w:customStyle="1" w:styleId="6Char">
    <w:name w:val="عنوان 6 Char"/>
    <w:basedOn w:val="a0"/>
    <w:link w:val="6"/>
    <w:uiPriority w:val="9"/>
    <w:semiHidden/>
    <w:rsid w:val="009A2A7C"/>
    <w:rPr>
      <w:rFonts w:eastAsiaTheme="majorEastAsia" w:cstheme="majorBidi"/>
      <w:i/>
      <w:iCs/>
      <w:color w:val="595959" w:themeColor="text1" w:themeTint="A6"/>
    </w:rPr>
  </w:style>
  <w:style w:type="character" w:customStyle="1" w:styleId="7Char">
    <w:name w:val="عنوان 7 Char"/>
    <w:basedOn w:val="a0"/>
    <w:link w:val="7"/>
    <w:uiPriority w:val="9"/>
    <w:semiHidden/>
    <w:rsid w:val="009A2A7C"/>
    <w:rPr>
      <w:rFonts w:eastAsiaTheme="majorEastAsia" w:cstheme="majorBidi"/>
      <w:color w:val="595959" w:themeColor="text1" w:themeTint="A6"/>
    </w:rPr>
  </w:style>
  <w:style w:type="character" w:customStyle="1" w:styleId="8Char">
    <w:name w:val="عنوان 8 Char"/>
    <w:basedOn w:val="a0"/>
    <w:link w:val="8"/>
    <w:uiPriority w:val="9"/>
    <w:semiHidden/>
    <w:rsid w:val="009A2A7C"/>
    <w:rPr>
      <w:rFonts w:eastAsiaTheme="majorEastAsia" w:cstheme="majorBidi"/>
      <w:i/>
      <w:iCs/>
      <w:color w:val="272727" w:themeColor="text1" w:themeTint="D8"/>
    </w:rPr>
  </w:style>
  <w:style w:type="character" w:customStyle="1" w:styleId="9Char">
    <w:name w:val="عنوان 9 Char"/>
    <w:basedOn w:val="a0"/>
    <w:link w:val="9"/>
    <w:uiPriority w:val="9"/>
    <w:semiHidden/>
    <w:rsid w:val="009A2A7C"/>
    <w:rPr>
      <w:rFonts w:eastAsiaTheme="majorEastAsia" w:cstheme="majorBidi"/>
      <w:color w:val="272727" w:themeColor="text1" w:themeTint="D8"/>
    </w:rPr>
  </w:style>
  <w:style w:type="paragraph" w:styleId="a3">
    <w:name w:val="Title"/>
    <w:basedOn w:val="a"/>
    <w:next w:val="a"/>
    <w:link w:val="Char"/>
    <w:uiPriority w:val="10"/>
    <w:qFormat/>
    <w:rsid w:val="009A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A2A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2A7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A2A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2A7C"/>
    <w:pPr>
      <w:spacing w:before="160"/>
      <w:jc w:val="center"/>
    </w:pPr>
    <w:rPr>
      <w:i/>
      <w:iCs/>
      <w:color w:val="404040" w:themeColor="text1" w:themeTint="BF"/>
    </w:rPr>
  </w:style>
  <w:style w:type="character" w:customStyle="1" w:styleId="Char1">
    <w:name w:val="اقتباس Char"/>
    <w:basedOn w:val="a0"/>
    <w:link w:val="a5"/>
    <w:uiPriority w:val="29"/>
    <w:rsid w:val="009A2A7C"/>
    <w:rPr>
      <w:i/>
      <w:iCs/>
      <w:color w:val="404040" w:themeColor="text1" w:themeTint="BF"/>
    </w:rPr>
  </w:style>
  <w:style w:type="paragraph" w:styleId="a6">
    <w:name w:val="List Paragraph"/>
    <w:basedOn w:val="a"/>
    <w:uiPriority w:val="34"/>
    <w:qFormat/>
    <w:rsid w:val="009A2A7C"/>
    <w:pPr>
      <w:ind w:left="720"/>
      <w:contextualSpacing/>
    </w:pPr>
  </w:style>
  <w:style w:type="character" w:styleId="a7">
    <w:name w:val="Intense Emphasis"/>
    <w:basedOn w:val="a0"/>
    <w:uiPriority w:val="21"/>
    <w:qFormat/>
    <w:rsid w:val="009A2A7C"/>
    <w:rPr>
      <w:i/>
      <w:iCs/>
      <w:color w:val="2F5496" w:themeColor="accent1" w:themeShade="BF"/>
    </w:rPr>
  </w:style>
  <w:style w:type="paragraph" w:styleId="a8">
    <w:name w:val="Intense Quote"/>
    <w:basedOn w:val="a"/>
    <w:next w:val="a"/>
    <w:link w:val="Char2"/>
    <w:uiPriority w:val="30"/>
    <w:qFormat/>
    <w:rsid w:val="009A2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A2A7C"/>
    <w:rPr>
      <w:i/>
      <w:iCs/>
      <w:color w:val="2F5496" w:themeColor="accent1" w:themeShade="BF"/>
    </w:rPr>
  </w:style>
  <w:style w:type="character" w:styleId="a9">
    <w:name w:val="Intense Reference"/>
    <w:basedOn w:val="a0"/>
    <w:uiPriority w:val="32"/>
    <w:qFormat/>
    <w:rsid w:val="009A2A7C"/>
    <w:rPr>
      <w:b/>
      <w:bCs/>
      <w:smallCaps/>
      <w:color w:val="2F5496" w:themeColor="accent1" w:themeShade="BF"/>
      <w:spacing w:val="5"/>
    </w:rPr>
  </w:style>
  <w:style w:type="character" w:styleId="aa">
    <w:name w:val="Strong"/>
    <w:basedOn w:val="a0"/>
    <w:uiPriority w:val="22"/>
    <w:qFormat/>
    <w:rsid w:val="005D797A"/>
    <w:rPr>
      <w:b/>
      <w:bCs/>
    </w:rPr>
  </w:style>
  <w:style w:type="character" w:styleId="Hyperlink">
    <w:name w:val="Hyperlink"/>
    <w:basedOn w:val="a0"/>
    <w:uiPriority w:val="99"/>
    <w:unhideWhenUsed/>
    <w:rsid w:val="00CD05FA"/>
    <w:rPr>
      <w:color w:val="0563C1" w:themeColor="hyperlink"/>
      <w:u w:val="single"/>
    </w:rPr>
  </w:style>
  <w:style w:type="character" w:customStyle="1" w:styleId="UnresolvedMention">
    <w:name w:val="Unresolved Mention"/>
    <w:basedOn w:val="a0"/>
    <w:uiPriority w:val="99"/>
    <w:semiHidden/>
    <w:unhideWhenUsed/>
    <w:rsid w:val="00CD05FA"/>
    <w:rPr>
      <w:color w:val="605E5C"/>
      <w:shd w:val="clear" w:color="auto" w:fill="E1DFDD"/>
    </w:rPr>
  </w:style>
  <w:style w:type="paragraph" w:styleId="ab">
    <w:name w:val="header"/>
    <w:basedOn w:val="a"/>
    <w:link w:val="Char3"/>
    <w:uiPriority w:val="99"/>
    <w:unhideWhenUsed/>
    <w:rsid w:val="003F66A2"/>
    <w:pPr>
      <w:tabs>
        <w:tab w:val="center" w:pos="4680"/>
        <w:tab w:val="right" w:pos="9360"/>
      </w:tabs>
      <w:spacing w:after="0" w:line="240" w:lineRule="auto"/>
    </w:pPr>
  </w:style>
  <w:style w:type="character" w:customStyle="1" w:styleId="Char3">
    <w:name w:val="رأس الصفحة Char"/>
    <w:basedOn w:val="a0"/>
    <w:link w:val="ab"/>
    <w:uiPriority w:val="99"/>
    <w:rsid w:val="003F66A2"/>
  </w:style>
  <w:style w:type="paragraph" w:styleId="ac">
    <w:name w:val="footer"/>
    <w:basedOn w:val="a"/>
    <w:link w:val="Char4"/>
    <w:uiPriority w:val="99"/>
    <w:unhideWhenUsed/>
    <w:rsid w:val="003F66A2"/>
    <w:pPr>
      <w:tabs>
        <w:tab w:val="center" w:pos="4680"/>
        <w:tab w:val="right" w:pos="9360"/>
      </w:tabs>
      <w:spacing w:after="0" w:line="240" w:lineRule="auto"/>
    </w:pPr>
  </w:style>
  <w:style w:type="character" w:customStyle="1" w:styleId="Char4">
    <w:name w:val="تذييل الصفحة Char"/>
    <w:basedOn w:val="a0"/>
    <w:link w:val="ac"/>
    <w:uiPriority w:val="99"/>
    <w:rsid w:val="003F66A2"/>
  </w:style>
  <w:style w:type="character" w:styleId="ad">
    <w:name w:val="annotation reference"/>
    <w:basedOn w:val="a0"/>
    <w:uiPriority w:val="99"/>
    <w:semiHidden/>
    <w:unhideWhenUsed/>
    <w:rsid w:val="00A057DD"/>
    <w:rPr>
      <w:sz w:val="16"/>
      <w:szCs w:val="16"/>
    </w:rPr>
  </w:style>
  <w:style w:type="paragraph" w:styleId="ae">
    <w:name w:val="annotation text"/>
    <w:basedOn w:val="a"/>
    <w:link w:val="Char5"/>
    <w:uiPriority w:val="99"/>
    <w:semiHidden/>
    <w:unhideWhenUsed/>
    <w:rsid w:val="00A057DD"/>
    <w:pPr>
      <w:spacing w:line="240" w:lineRule="auto"/>
    </w:pPr>
    <w:rPr>
      <w:sz w:val="20"/>
      <w:szCs w:val="20"/>
    </w:rPr>
  </w:style>
  <w:style w:type="character" w:customStyle="1" w:styleId="Char5">
    <w:name w:val="نص تعليق Char"/>
    <w:basedOn w:val="a0"/>
    <w:link w:val="ae"/>
    <w:uiPriority w:val="99"/>
    <w:semiHidden/>
    <w:rsid w:val="00A057DD"/>
    <w:rPr>
      <w:sz w:val="20"/>
      <w:szCs w:val="20"/>
    </w:rPr>
  </w:style>
  <w:style w:type="paragraph" w:styleId="af">
    <w:name w:val="annotation subject"/>
    <w:basedOn w:val="ae"/>
    <w:next w:val="ae"/>
    <w:link w:val="Char6"/>
    <w:uiPriority w:val="99"/>
    <w:semiHidden/>
    <w:unhideWhenUsed/>
    <w:rsid w:val="00A057DD"/>
    <w:rPr>
      <w:b/>
      <w:bCs/>
    </w:rPr>
  </w:style>
  <w:style w:type="character" w:customStyle="1" w:styleId="Char6">
    <w:name w:val="موضوع تعليق Char"/>
    <w:basedOn w:val="Char5"/>
    <w:link w:val="af"/>
    <w:uiPriority w:val="99"/>
    <w:semiHidden/>
    <w:rsid w:val="00A057DD"/>
    <w:rPr>
      <w:b/>
      <w:bCs/>
      <w:sz w:val="20"/>
      <w:szCs w:val="20"/>
    </w:rPr>
  </w:style>
  <w:style w:type="paragraph" w:styleId="af0">
    <w:name w:val="Balloon Text"/>
    <w:basedOn w:val="a"/>
    <w:link w:val="Char7"/>
    <w:uiPriority w:val="99"/>
    <w:semiHidden/>
    <w:unhideWhenUsed/>
    <w:rsid w:val="00A057DD"/>
    <w:pPr>
      <w:spacing w:after="0" w:line="240" w:lineRule="auto"/>
    </w:pPr>
    <w:rPr>
      <w:rFonts w:ascii="Tahoma" w:hAnsi="Tahoma" w:cs="Tahoma"/>
      <w:sz w:val="18"/>
      <w:szCs w:val="18"/>
    </w:rPr>
  </w:style>
  <w:style w:type="character" w:customStyle="1" w:styleId="Char7">
    <w:name w:val="نص في بالون Char"/>
    <w:basedOn w:val="a0"/>
    <w:link w:val="af0"/>
    <w:uiPriority w:val="99"/>
    <w:semiHidden/>
    <w:rsid w:val="00A057D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6303</Words>
  <Characters>35933</Characters>
  <Application>Microsoft Office Word</Application>
  <DocSecurity>0</DocSecurity>
  <Lines>299</Lines>
  <Paragraphs>84</Paragraphs>
  <ScaleCrop>false</ScaleCrop>
  <Company/>
  <LinksUpToDate>false</LinksUpToDate>
  <CharactersWithSpaces>42152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2026-03-07T04:13:00Z</dcterms:created>
  <dcterms:modified xsi:type="dcterms:W3CDTF">2026-03-07T04:13:00Z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d5d9dbcc-040e-4ef4-941c-d6cb9a3391d8</vt:lpwstr>
  </property>
</Properties>
</file>