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F980B" w14:textId="77777777" w:rsidR="00E80655" w:rsidRPr="00E80655" w:rsidRDefault="00E80655" w:rsidP="00E80655">
      <w:pPr>
        <w:pStyle w:val="NoSpacing"/>
        <w:jc w:val="right"/>
        <w:rPr>
          <w:rFonts w:ascii="Arial" w:hAnsi="Arial" w:cs="Arial"/>
          <w:b/>
          <w:bCs/>
          <w:i/>
          <w:iCs/>
          <w:sz w:val="32"/>
          <w:szCs w:val="32"/>
          <w:u w:val="single"/>
        </w:rPr>
      </w:pPr>
      <w:r w:rsidRPr="00E80655">
        <w:rPr>
          <w:rFonts w:ascii="Arial" w:hAnsi="Arial" w:cs="Arial"/>
          <w:b/>
          <w:bCs/>
          <w:i/>
          <w:iCs/>
          <w:sz w:val="32"/>
          <w:szCs w:val="32"/>
          <w:u w:val="single"/>
        </w:rPr>
        <w:t>Review Article</w:t>
      </w:r>
    </w:p>
    <w:p w14:paraId="28004546" w14:textId="099B0D08" w:rsidR="00314137" w:rsidRDefault="00314137" w:rsidP="00E80655">
      <w:pPr>
        <w:pStyle w:val="NoSpacing"/>
        <w:jc w:val="right"/>
        <w:rPr>
          <w:rFonts w:ascii="Arial" w:hAnsi="Arial" w:cs="Arial"/>
          <w:b/>
          <w:bCs/>
          <w:sz w:val="32"/>
          <w:szCs w:val="32"/>
        </w:rPr>
      </w:pPr>
      <w:r w:rsidRPr="00E80655">
        <w:rPr>
          <w:rFonts w:ascii="Arial" w:hAnsi="Arial" w:cs="Arial"/>
          <w:b/>
          <w:bCs/>
          <w:sz w:val="32"/>
          <w:szCs w:val="32"/>
        </w:rPr>
        <w:t>Biotechnology and its Applications in Agriculture: GMOs and Gene Editing</w:t>
      </w:r>
    </w:p>
    <w:p w14:paraId="624DF515" w14:textId="77777777" w:rsidR="00E80655" w:rsidRPr="00E80655" w:rsidRDefault="00E80655" w:rsidP="00E80655">
      <w:pPr>
        <w:pStyle w:val="NoSpacing"/>
      </w:pPr>
    </w:p>
    <w:p w14:paraId="2AFFFC18" w14:textId="77777777" w:rsidR="006F0AB9" w:rsidRDefault="006F0AB9" w:rsidP="00037F99">
      <w:pPr>
        <w:spacing w:line="240" w:lineRule="auto"/>
        <w:jc w:val="center"/>
        <w:rPr>
          <w:rFonts w:ascii="Arial" w:hAnsi="Arial" w:cs="Arial"/>
          <w:b/>
          <w:bCs/>
          <w:sz w:val="24"/>
          <w:szCs w:val="24"/>
        </w:rPr>
      </w:pPr>
    </w:p>
    <w:p w14:paraId="2D6E43C8" w14:textId="6E86232A" w:rsidR="00DB60C7" w:rsidRPr="00037F99" w:rsidRDefault="00037F99" w:rsidP="00037F99">
      <w:pPr>
        <w:spacing w:line="240" w:lineRule="auto"/>
        <w:jc w:val="center"/>
        <w:rPr>
          <w:rFonts w:ascii="Arial" w:hAnsi="Arial" w:cs="Arial"/>
          <w:b/>
          <w:bCs/>
          <w:sz w:val="24"/>
          <w:szCs w:val="24"/>
        </w:rPr>
      </w:pPr>
      <w:bookmarkStart w:id="0" w:name="_GoBack"/>
      <w:bookmarkEnd w:id="0"/>
      <w:r w:rsidRPr="00037F99">
        <w:rPr>
          <w:rFonts w:ascii="Arial" w:hAnsi="Arial" w:cs="Arial"/>
          <w:b/>
          <w:bCs/>
          <w:sz w:val="24"/>
          <w:szCs w:val="24"/>
        </w:rPr>
        <w:t>ABSTRACT</w:t>
      </w:r>
    </w:p>
    <w:p w14:paraId="4D03C24B" w14:textId="285D3217" w:rsidR="00C15350" w:rsidRPr="00C15350" w:rsidRDefault="00C15350" w:rsidP="00C15350">
      <w:pPr>
        <w:spacing w:line="240" w:lineRule="auto"/>
        <w:jc w:val="both"/>
        <w:rPr>
          <w:rFonts w:ascii="Arial" w:hAnsi="Arial" w:cs="Arial"/>
          <w:sz w:val="20"/>
          <w:szCs w:val="20"/>
          <w:lang w:val="en-IN"/>
        </w:rPr>
      </w:pPr>
      <w:r w:rsidRPr="00C15350">
        <w:rPr>
          <w:rFonts w:ascii="Arial" w:hAnsi="Arial" w:cs="Arial"/>
          <w:sz w:val="20"/>
          <w:szCs w:val="20"/>
          <w:lang w:val="en-IN"/>
        </w:rPr>
        <w:t>Agricultural biotechnology has emerged as a transformative force in addressing the dual challenges of global food security and environmental sustainability. The transition from conventional breeding to advanced molecular approaches, including genetically modified organisms (GMOs) and genome editing technologies such as CRISPR-Cas systems, has significantly enhanced the precision, efficiency, and scope of crop improvement. GMOs have contributed to increased productivity, improved resistance to biotic and abiotic stresses, and reduced reliance on chemical inputs, although their deployment remains contested due to biosafety, ecological, and socio-economic concerns. In contrast, genome editing technologies offer targeted and transgene-free modifications, enabling rapid development of improved crop varieties with potentially fewer regulatory constraints.</w:t>
      </w:r>
      <w:r>
        <w:rPr>
          <w:rFonts w:ascii="Arial" w:hAnsi="Arial" w:cs="Arial"/>
          <w:sz w:val="20"/>
          <w:szCs w:val="20"/>
          <w:lang w:val="en-IN"/>
        </w:rPr>
        <w:t xml:space="preserve"> </w:t>
      </w:r>
      <w:r w:rsidRPr="00C15350">
        <w:rPr>
          <w:rFonts w:ascii="Arial" w:hAnsi="Arial" w:cs="Arial"/>
          <w:sz w:val="20"/>
          <w:szCs w:val="20"/>
          <w:lang w:val="en-IN"/>
        </w:rPr>
        <w:t>Beyond these approaches, emerging biotechnologies such as synthetic biology, nanotechnology, and bioinformatics are redefining agricultural innovation through system-level interventions, precision input management, and data-driven decision-making. These technologies collectively enhance resource use efficiency, enable real-time crop monitoring, and support the development of climate-resilient agricultural systems. However, their integration into mainstream agriculture requires careful consideration of environmental risks, ethical implications, and regulatory uncertainties.</w:t>
      </w:r>
      <w:r>
        <w:rPr>
          <w:rFonts w:ascii="Arial" w:hAnsi="Arial" w:cs="Arial"/>
          <w:sz w:val="20"/>
          <w:szCs w:val="20"/>
          <w:lang w:val="en-IN"/>
        </w:rPr>
        <w:t xml:space="preserve"> </w:t>
      </w:r>
      <w:r w:rsidRPr="00C15350">
        <w:rPr>
          <w:rFonts w:ascii="Arial" w:hAnsi="Arial" w:cs="Arial"/>
          <w:sz w:val="20"/>
          <w:szCs w:val="20"/>
          <w:lang w:val="en-IN"/>
        </w:rPr>
        <w:t>This review critically examines the evolution, applications, and impacts of biotechnology in agriculture, with a focus on GMOs, genome editing, and emerging technological platforms. It further evaluates environmental implications, including biodiversity effects and ecological risks, alongside economic and societal dimensions such as market dynamics, public perception, and policy frameworks. The synthesis highlights the need for balanced innovation that integrates technological advancement with sustainability principles, regulatory transparency, and equitable access.</w:t>
      </w:r>
      <w:r>
        <w:rPr>
          <w:rFonts w:ascii="Arial" w:hAnsi="Arial" w:cs="Arial"/>
          <w:sz w:val="20"/>
          <w:szCs w:val="20"/>
          <w:lang w:val="en-IN"/>
        </w:rPr>
        <w:t xml:space="preserve"> </w:t>
      </w:r>
      <w:r w:rsidRPr="00C15350">
        <w:rPr>
          <w:rFonts w:ascii="Arial" w:hAnsi="Arial" w:cs="Arial"/>
          <w:sz w:val="20"/>
          <w:szCs w:val="20"/>
          <w:lang w:val="en-IN"/>
        </w:rPr>
        <w:t>Ultimately, the convergence of biotechnology with digital agriculture and interdisciplinary research holds significant potential to drive sustainable intensification and resilient food systems. Strategic policy support, stakeholder engagement, and responsible innovation will be essential to harness the full benefits of biotechnology while addressing its associated challenges.</w:t>
      </w:r>
    </w:p>
    <w:p w14:paraId="0FAD3895" w14:textId="194FD25E" w:rsidR="00C15350" w:rsidRPr="00C15350" w:rsidRDefault="00C15350" w:rsidP="00C15350">
      <w:pPr>
        <w:spacing w:line="240" w:lineRule="auto"/>
        <w:jc w:val="both"/>
        <w:rPr>
          <w:rFonts w:ascii="Arial" w:hAnsi="Arial" w:cs="Arial"/>
          <w:i/>
          <w:iCs/>
          <w:sz w:val="20"/>
          <w:szCs w:val="20"/>
          <w:lang w:val="en-IN"/>
        </w:rPr>
      </w:pPr>
      <w:r w:rsidRPr="00C15350">
        <w:rPr>
          <w:rFonts w:ascii="Arial" w:hAnsi="Arial" w:cs="Arial"/>
          <w:b/>
          <w:bCs/>
          <w:i/>
          <w:iCs/>
          <w:sz w:val="20"/>
          <w:szCs w:val="20"/>
          <w:lang w:val="en-IN"/>
        </w:rPr>
        <w:t xml:space="preserve">Keywords: </w:t>
      </w:r>
      <w:r w:rsidRPr="00C15350">
        <w:rPr>
          <w:rFonts w:ascii="Arial" w:hAnsi="Arial" w:cs="Arial"/>
          <w:i/>
          <w:iCs/>
          <w:sz w:val="20"/>
          <w:szCs w:val="20"/>
          <w:lang w:val="en-IN"/>
        </w:rPr>
        <w:t>Biotechnology; Genetically Modified Organisms (GMOs); Genome Editing; CRISPR-Cas9; Sustainable Agriculture; Food Security</w:t>
      </w:r>
    </w:p>
    <w:p w14:paraId="5A4B5C2B" w14:textId="59F04138" w:rsidR="00DB60C7" w:rsidRPr="00037F99" w:rsidRDefault="00037F99" w:rsidP="00E80655">
      <w:pPr>
        <w:spacing w:line="240" w:lineRule="auto"/>
        <w:jc w:val="both"/>
        <w:rPr>
          <w:rFonts w:ascii="Arial" w:hAnsi="Arial" w:cs="Arial"/>
          <w:b/>
          <w:bCs/>
          <w:sz w:val="24"/>
          <w:szCs w:val="24"/>
        </w:rPr>
      </w:pPr>
      <w:r w:rsidRPr="00037F99">
        <w:rPr>
          <w:rFonts w:ascii="Arial" w:hAnsi="Arial" w:cs="Arial"/>
          <w:b/>
          <w:bCs/>
          <w:sz w:val="24"/>
          <w:szCs w:val="24"/>
        </w:rPr>
        <w:t>1. INTRODUCTION</w:t>
      </w:r>
    </w:p>
    <w:p w14:paraId="4BF860D2" w14:textId="76705F74"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Biotechnology has emerged as a cornerstone of modern agricultural innovation, fundamentally transforming approaches to crop improvement, resource management, and global food security. The convergence of biotechnology and agriculture has </w:t>
      </w:r>
      <w:proofErr w:type="spellStart"/>
      <w:r w:rsidRPr="00037F99">
        <w:rPr>
          <w:rFonts w:ascii="Arial" w:hAnsi="Arial" w:cs="Arial"/>
          <w:sz w:val="20"/>
          <w:szCs w:val="20"/>
          <w:lang w:val="en-IN"/>
        </w:rPr>
        <w:t>catalyzed</w:t>
      </w:r>
      <w:proofErr w:type="spellEnd"/>
      <w:r w:rsidRPr="00037F99">
        <w:rPr>
          <w:rFonts w:ascii="Arial" w:hAnsi="Arial" w:cs="Arial"/>
          <w:sz w:val="20"/>
          <w:szCs w:val="20"/>
          <w:lang w:val="en-IN"/>
        </w:rPr>
        <w:t xml:space="preserve"> a paradigm shift from conventional breeding methods toward precision-based and data-driven crop enhancement strategies</w:t>
      </w:r>
      <w:r w:rsidR="001F1535">
        <w:rPr>
          <w:rFonts w:ascii="Arial" w:hAnsi="Arial" w:cs="Arial"/>
          <w:sz w:val="20"/>
          <w:szCs w:val="20"/>
          <w:lang w:val="en-IN"/>
        </w:rPr>
        <w:t xml:space="preserve"> (Das et al., 2025)</w:t>
      </w:r>
      <w:r w:rsidRPr="00037F99">
        <w:rPr>
          <w:rFonts w:ascii="Arial" w:hAnsi="Arial" w:cs="Arial"/>
          <w:sz w:val="20"/>
          <w:szCs w:val="20"/>
          <w:lang w:val="en-IN"/>
        </w:rPr>
        <w:t>. This transformation is particularly significant in the context of increasing global population, climate variability, shrinking arable land, and the urgent need for sustainable intensification of agricultural systems. Over the past few decades, agricultural biotechnology has evolved from the development of genetically modified organisms (GMOs) to sophisticated genome editing technologies and integrative multi-disciplinary approaches, reflecting both technological progress and shifting societal expectations</w:t>
      </w:r>
      <w:r w:rsidR="001F1535">
        <w:rPr>
          <w:rFonts w:ascii="Arial" w:hAnsi="Arial" w:cs="Arial"/>
          <w:sz w:val="20"/>
          <w:szCs w:val="20"/>
          <w:lang w:val="en-IN"/>
        </w:rPr>
        <w:t xml:space="preserve"> (Lowe et al., 2024)</w:t>
      </w:r>
      <w:r w:rsidRPr="00037F99">
        <w:rPr>
          <w:rFonts w:ascii="Arial" w:hAnsi="Arial" w:cs="Arial"/>
          <w:sz w:val="20"/>
          <w:szCs w:val="20"/>
          <w:lang w:val="en-IN"/>
        </w:rPr>
        <w:t>.</w:t>
      </w:r>
    </w:p>
    <w:p w14:paraId="12A72B50" w14:textId="7806A13B" w:rsidR="00037F99" w:rsidRPr="00037F99" w:rsidRDefault="00037F99" w:rsidP="00037F99">
      <w:pPr>
        <w:spacing w:line="240" w:lineRule="auto"/>
        <w:ind w:firstLine="720"/>
        <w:jc w:val="both"/>
        <w:rPr>
          <w:rFonts w:ascii="Arial" w:hAnsi="Arial" w:cs="Arial"/>
          <w:sz w:val="20"/>
          <w:szCs w:val="20"/>
          <w:lang w:val="en-IN"/>
        </w:rPr>
      </w:pPr>
      <w:r w:rsidRPr="00037F99">
        <w:rPr>
          <w:rFonts w:ascii="Arial" w:hAnsi="Arial" w:cs="Arial"/>
          <w:sz w:val="20"/>
          <w:szCs w:val="20"/>
          <w:lang w:val="en-IN"/>
        </w:rPr>
        <w:t>At its core, agricultural biotechnology encompasses a diverse array of tools and methodologies aimed at modifying plant genomes, improving phenotypic traits, and enhancing resilience against biotic and abiotic stresses</w:t>
      </w:r>
      <w:r w:rsidR="001F1535">
        <w:rPr>
          <w:rFonts w:ascii="Arial" w:hAnsi="Arial" w:cs="Arial"/>
          <w:sz w:val="20"/>
          <w:szCs w:val="20"/>
          <w:lang w:val="en-IN"/>
        </w:rPr>
        <w:t xml:space="preserve"> (Dey et al., 2025)</w:t>
      </w:r>
      <w:r w:rsidRPr="00037F99">
        <w:rPr>
          <w:rFonts w:ascii="Arial" w:hAnsi="Arial" w:cs="Arial"/>
          <w:sz w:val="20"/>
          <w:szCs w:val="20"/>
          <w:lang w:val="en-IN"/>
        </w:rPr>
        <w:t xml:space="preserve">. Among these, GMOs represent one of the earliest and most widely adopted applications, wherein specific genes are introduced or modified to confer desirable traits such as insect resistance, herbicide tolerance, and drought adaptability. These innovations have significantly contributed to increased agricultural productivity, reduced reliance on chemical inputs, and improved crop stability under stress conditions (Mannion and Morse, 2012). However, despite their </w:t>
      </w:r>
      <w:r w:rsidRPr="00037F99">
        <w:rPr>
          <w:rFonts w:ascii="Arial" w:hAnsi="Arial" w:cs="Arial"/>
          <w:sz w:val="20"/>
          <w:szCs w:val="20"/>
          <w:lang w:val="en-IN"/>
        </w:rPr>
        <w:lastRenderedPageBreak/>
        <w:t>agronomic benefits, GMOs have been subject to extensive scrutiny due to concerns related to biosafety, gene flow to wild relatives, potential ecological disruptions, and ethical issues surrounding genetic manipulation and corporate control over seed systems. These concerns have led to divergent regulatory frameworks and varying levels of public acceptance across different regions of the world.</w:t>
      </w:r>
    </w:p>
    <w:p w14:paraId="3235596E" w14:textId="0779A03C" w:rsidR="00037F99" w:rsidRPr="00037F99" w:rsidRDefault="00037F99" w:rsidP="00037F99">
      <w:pPr>
        <w:spacing w:line="240" w:lineRule="auto"/>
        <w:ind w:firstLine="720"/>
        <w:jc w:val="both"/>
        <w:rPr>
          <w:rFonts w:ascii="Arial" w:hAnsi="Arial" w:cs="Arial"/>
          <w:sz w:val="20"/>
          <w:szCs w:val="20"/>
          <w:lang w:val="en-IN"/>
        </w:rPr>
      </w:pPr>
      <w:r w:rsidRPr="00037F99">
        <w:rPr>
          <w:rFonts w:ascii="Arial" w:hAnsi="Arial" w:cs="Arial"/>
          <w:sz w:val="20"/>
          <w:szCs w:val="20"/>
          <w:lang w:val="en-IN"/>
        </w:rPr>
        <w:t>The advent of genome editing technologies, particularly CRISPR-Cas9, has marked a new phase in agricultural biotechnology characterized by unprecedented precision, efficiency, and versatility. Unlike traditional transgenic approaches, gene editing enables targeted modifications within the plant genome without necessarily introducing foreign DNA, thereby offering opportunities for developing improved crop varieties with reduced regulatory complexity. CRISPR-based systems facilitate precise gene knockouts, insertions, or base modifications, allowing for rapid trait development including enhanced disease resistance, improved nutritional quality, and tolerance to environmental stresses</w:t>
      </w:r>
      <w:r w:rsidR="001F1535">
        <w:rPr>
          <w:rFonts w:ascii="Arial" w:hAnsi="Arial" w:cs="Arial"/>
          <w:sz w:val="20"/>
          <w:szCs w:val="20"/>
          <w:lang w:val="en-IN"/>
        </w:rPr>
        <w:t xml:space="preserve"> (Chen et al., 2024)</w:t>
      </w:r>
      <w:r w:rsidRPr="00037F99">
        <w:rPr>
          <w:rFonts w:ascii="Arial" w:hAnsi="Arial" w:cs="Arial"/>
          <w:sz w:val="20"/>
          <w:szCs w:val="20"/>
          <w:lang w:val="en-IN"/>
        </w:rPr>
        <w:t>. This technological advancement has accelerated breeding programs and expanded the scope of genetic improvement beyond the limitations of conventional and transgenic methods. Nevertheless, the deployment of gene editing in agriculture is accompanied by critical challenges, including uncertainties in regulatory classification, potential off-target effects, intellectual property constraints, and issues of equitable access, particularly in developing countries.</w:t>
      </w:r>
    </w:p>
    <w:p w14:paraId="43B4A1BC" w14:textId="4B3ED6EF" w:rsidR="00037F99" w:rsidRPr="00037F99" w:rsidRDefault="00037F99" w:rsidP="00037F99">
      <w:pPr>
        <w:spacing w:line="240" w:lineRule="auto"/>
        <w:ind w:firstLine="720"/>
        <w:jc w:val="both"/>
        <w:rPr>
          <w:rFonts w:ascii="Arial" w:hAnsi="Arial" w:cs="Arial"/>
          <w:sz w:val="20"/>
          <w:szCs w:val="20"/>
          <w:lang w:val="en-IN"/>
        </w:rPr>
      </w:pPr>
      <w:r w:rsidRPr="00037F99">
        <w:rPr>
          <w:rFonts w:ascii="Arial" w:hAnsi="Arial" w:cs="Arial"/>
          <w:sz w:val="20"/>
          <w:szCs w:val="20"/>
          <w:lang w:val="en-IN"/>
        </w:rPr>
        <w:t>Beyond GMOs and genome editing, the agricultural biotechnology landscape is increasingly being shaped by emerging and convergent technologies such as synthetic biology, nanotechnology, and bioinformatics</w:t>
      </w:r>
      <w:r w:rsidR="001F1535">
        <w:rPr>
          <w:rFonts w:ascii="Arial" w:hAnsi="Arial" w:cs="Arial"/>
          <w:sz w:val="20"/>
          <w:szCs w:val="20"/>
          <w:lang w:val="en-IN"/>
        </w:rPr>
        <w:t xml:space="preserve"> (Riaz et al., 2025)</w:t>
      </w:r>
      <w:r w:rsidRPr="00037F99">
        <w:rPr>
          <w:rFonts w:ascii="Arial" w:hAnsi="Arial" w:cs="Arial"/>
          <w:sz w:val="20"/>
          <w:szCs w:val="20"/>
          <w:lang w:val="en-IN"/>
        </w:rPr>
        <w:t xml:space="preserve">. Synthetic biology enables the rational design and engineering of biological systems, facilitating the construction of novel metabolic pathways and regulatory networks tailored for enhanced crop performance. Nanotechnology offers innovative solutions for targeted delivery of agrochemicals, </w:t>
      </w:r>
      <w:proofErr w:type="spellStart"/>
      <w:r w:rsidRPr="00037F99">
        <w:rPr>
          <w:rFonts w:ascii="Arial" w:hAnsi="Arial" w:cs="Arial"/>
          <w:sz w:val="20"/>
          <w:szCs w:val="20"/>
          <w:lang w:val="en-IN"/>
        </w:rPr>
        <w:t>nanosensors</w:t>
      </w:r>
      <w:proofErr w:type="spellEnd"/>
      <w:r w:rsidRPr="00037F99">
        <w:rPr>
          <w:rFonts w:ascii="Arial" w:hAnsi="Arial" w:cs="Arial"/>
          <w:sz w:val="20"/>
          <w:szCs w:val="20"/>
          <w:lang w:val="en-IN"/>
        </w:rPr>
        <w:t xml:space="preserve"> for real-time monitoring of plant health, and improved nutrient use efficiency through nano-enabled fertilizers</w:t>
      </w:r>
      <w:r w:rsidR="00A31886">
        <w:rPr>
          <w:rFonts w:ascii="Arial" w:hAnsi="Arial" w:cs="Arial"/>
          <w:sz w:val="20"/>
          <w:szCs w:val="20"/>
          <w:lang w:val="en-IN"/>
        </w:rPr>
        <w:t xml:space="preserve"> (Kaur et al., 2025)</w:t>
      </w:r>
      <w:r w:rsidRPr="00037F99">
        <w:rPr>
          <w:rFonts w:ascii="Arial" w:hAnsi="Arial" w:cs="Arial"/>
          <w:sz w:val="20"/>
          <w:szCs w:val="20"/>
          <w:lang w:val="en-IN"/>
        </w:rPr>
        <w:t xml:space="preserve">. Concurrently, advances in bioinformatics and big data analytics are revolutionizing plant breeding by integrating genomic, phenotypic, and environmental datasets to enable predictive </w:t>
      </w:r>
      <w:proofErr w:type="spellStart"/>
      <w:r w:rsidRPr="00037F99">
        <w:rPr>
          <w:rFonts w:ascii="Arial" w:hAnsi="Arial" w:cs="Arial"/>
          <w:sz w:val="20"/>
          <w:szCs w:val="20"/>
          <w:lang w:val="en-IN"/>
        </w:rPr>
        <w:t>modeling</w:t>
      </w:r>
      <w:proofErr w:type="spellEnd"/>
      <w:r w:rsidRPr="00037F99">
        <w:rPr>
          <w:rFonts w:ascii="Arial" w:hAnsi="Arial" w:cs="Arial"/>
          <w:sz w:val="20"/>
          <w:szCs w:val="20"/>
          <w:lang w:val="en-IN"/>
        </w:rPr>
        <w:t xml:space="preserve"> and precision agriculture. These interdisciplinary approaches are collectively redefining agricultural systems by enhancing productivity, reducing environmental footprints, and enabling adaptive responses to climate change (Eskandar, 2023).</w:t>
      </w:r>
    </w:p>
    <w:p w14:paraId="03AD7BCC" w14:textId="1A1264F4" w:rsidR="00037F99" w:rsidRPr="00037F99" w:rsidRDefault="00037F99" w:rsidP="00037F99">
      <w:pPr>
        <w:spacing w:line="240" w:lineRule="auto"/>
        <w:ind w:firstLine="720"/>
        <w:jc w:val="both"/>
        <w:rPr>
          <w:rFonts w:ascii="Arial" w:hAnsi="Arial" w:cs="Arial"/>
          <w:sz w:val="20"/>
          <w:szCs w:val="20"/>
          <w:lang w:val="en-IN"/>
        </w:rPr>
      </w:pPr>
      <w:r w:rsidRPr="00037F99">
        <w:rPr>
          <w:rFonts w:ascii="Arial" w:hAnsi="Arial" w:cs="Arial"/>
          <w:sz w:val="20"/>
          <w:szCs w:val="20"/>
          <w:lang w:val="en-IN"/>
        </w:rPr>
        <w:t>Despite these remarkable advancements, the application of biotechnology in agriculture must be critically evaluated within a broader framework that encompasses environmental sustainability, socio-economic equity, and ethical responsibility. Biotechnological interventions have the potential to influence biodiversity, ecosystem dynamics, and natural resource utilization, necessitating robust risk assessment and management strategies</w:t>
      </w:r>
      <w:r w:rsidR="001F1535">
        <w:rPr>
          <w:rFonts w:ascii="Arial" w:hAnsi="Arial" w:cs="Arial"/>
          <w:sz w:val="20"/>
          <w:szCs w:val="20"/>
          <w:lang w:val="en-IN"/>
        </w:rPr>
        <w:t xml:space="preserve"> (</w:t>
      </w:r>
      <w:proofErr w:type="spellStart"/>
      <w:r w:rsidR="001F1535" w:rsidRPr="00364075">
        <w:rPr>
          <w:rFonts w:ascii="Arial" w:hAnsi="Arial" w:cs="Arial"/>
          <w:sz w:val="20"/>
          <w:szCs w:val="20"/>
        </w:rPr>
        <w:t>Salgotra</w:t>
      </w:r>
      <w:proofErr w:type="spellEnd"/>
      <w:r w:rsidR="001F1535">
        <w:rPr>
          <w:rFonts w:ascii="Arial" w:hAnsi="Arial" w:cs="Arial"/>
          <w:sz w:val="20"/>
          <w:szCs w:val="20"/>
        </w:rPr>
        <w:t xml:space="preserve"> et al., 2019</w:t>
      </w:r>
      <w:r w:rsidR="001F1535">
        <w:rPr>
          <w:rFonts w:ascii="Arial" w:hAnsi="Arial" w:cs="Arial"/>
          <w:sz w:val="20"/>
          <w:szCs w:val="20"/>
          <w:lang w:val="en-IN"/>
        </w:rPr>
        <w:t>)</w:t>
      </w:r>
      <w:r w:rsidRPr="00037F99">
        <w:rPr>
          <w:rFonts w:ascii="Arial" w:hAnsi="Arial" w:cs="Arial"/>
          <w:sz w:val="20"/>
          <w:szCs w:val="20"/>
          <w:lang w:val="en-IN"/>
        </w:rPr>
        <w:t>. Furthermore, issues related to technology accessibility, intellectual property rights, farmer autonomy, and consumer perception play a pivotal role in determining the adoption and impact of these innovations. Ensuring transparency, fostering stakeholder engagement, and promoting science-based regulatory policies are essential for building public trust and facilitating responsible innovation.</w:t>
      </w:r>
    </w:p>
    <w:p w14:paraId="3172F410" w14:textId="77777777" w:rsidR="00037F99" w:rsidRPr="00037F99" w:rsidRDefault="00037F99" w:rsidP="00037F99">
      <w:pPr>
        <w:spacing w:line="240" w:lineRule="auto"/>
        <w:ind w:firstLine="720"/>
        <w:jc w:val="both"/>
        <w:rPr>
          <w:rFonts w:ascii="Arial" w:hAnsi="Arial" w:cs="Arial"/>
          <w:sz w:val="20"/>
          <w:szCs w:val="20"/>
          <w:lang w:val="en-IN"/>
        </w:rPr>
      </w:pPr>
      <w:r w:rsidRPr="00037F99">
        <w:rPr>
          <w:rFonts w:ascii="Arial" w:hAnsi="Arial" w:cs="Arial"/>
          <w:sz w:val="20"/>
          <w:szCs w:val="20"/>
          <w:lang w:val="en-IN"/>
        </w:rPr>
        <w:t>In this context, the present review aims to provide a comprehensive and critical analysis of the role of biotechnology in agriculture, focusing on the evolution and applications of GMOs, gene editing technologies, and emerging biotechnological tools. It further examines the environmental, economic, and social implications associated with these technologies, alongside the regulatory and policy frameworks governing their deployment. By adopting a multidimensional perspective, this review seeks to elucidate the opportunities and challenges inherent in agricultural biotechnology and to highlight future directions for developing resilient, sustainable, and inclusive food production systems.</w:t>
      </w:r>
    </w:p>
    <w:p w14:paraId="75BD73B3" w14:textId="2AD44440" w:rsidR="00037F99" w:rsidRPr="00037F99" w:rsidRDefault="00037F99" w:rsidP="00037F99">
      <w:pPr>
        <w:spacing w:line="240" w:lineRule="auto"/>
        <w:jc w:val="both"/>
        <w:rPr>
          <w:rFonts w:ascii="Arial" w:hAnsi="Arial" w:cs="Arial"/>
          <w:b/>
          <w:bCs/>
          <w:sz w:val="24"/>
          <w:szCs w:val="24"/>
          <w:lang w:val="en-IN"/>
        </w:rPr>
      </w:pPr>
      <w:r w:rsidRPr="00037F99">
        <w:rPr>
          <w:rFonts w:ascii="Arial" w:hAnsi="Arial" w:cs="Arial"/>
          <w:b/>
          <w:bCs/>
          <w:sz w:val="24"/>
          <w:szCs w:val="24"/>
          <w:lang w:val="en-IN"/>
        </w:rPr>
        <w:t>2. Genetically Modified Crops in Modern Agriculture</w:t>
      </w:r>
    </w:p>
    <w:p w14:paraId="7B0A8345" w14:textId="2589CE6E"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Genetically modified organisms (GMOs) represent one of the earliest and most influential applications of biotechnology in agriculture, forming the foundation for subsequent advances in genome engineering and precision breeding. These crops are developed through targeted genetic manipulation, either by introducing exogenous genes or modifying endogenous genetic sequences, to confer desirable agronomic traits such as pest resistance, herbicide tolerance, abiotic stress resilience, and enhanced nutritional composition (Kumar et al., 2020).</w:t>
      </w:r>
      <w:r w:rsidR="00C15350">
        <w:rPr>
          <w:rFonts w:ascii="Arial" w:hAnsi="Arial" w:cs="Arial"/>
          <w:sz w:val="20"/>
          <w:szCs w:val="20"/>
          <w:lang w:val="en-IN"/>
        </w:rPr>
        <w:t xml:space="preserve"> </w:t>
      </w:r>
      <w:r w:rsidRPr="00037F99">
        <w:rPr>
          <w:rFonts w:ascii="Arial" w:hAnsi="Arial" w:cs="Arial"/>
          <w:sz w:val="20"/>
          <w:szCs w:val="20"/>
          <w:lang w:val="en-IN"/>
        </w:rPr>
        <w:t xml:space="preserve">The deployment of GMO technology has significantly altered global agricultural systems by enabling higher productivity, reducing crop losses, and facilitating </w:t>
      </w:r>
      <w:r w:rsidRPr="00037F99">
        <w:rPr>
          <w:rFonts w:ascii="Arial" w:hAnsi="Arial" w:cs="Arial"/>
          <w:sz w:val="20"/>
          <w:szCs w:val="20"/>
          <w:lang w:val="en-IN"/>
        </w:rPr>
        <w:lastRenderedPageBreak/>
        <w:t xml:space="preserve">cultivation under suboptimal environmental conditions. However, despite these advancements, GMOs remain at the </w:t>
      </w:r>
      <w:proofErr w:type="spellStart"/>
      <w:r w:rsidRPr="00037F99">
        <w:rPr>
          <w:rFonts w:ascii="Arial" w:hAnsi="Arial" w:cs="Arial"/>
          <w:sz w:val="20"/>
          <w:szCs w:val="20"/>
          <w:lang w:val="en-IN"/>
        </w:rPr>
        <w:t>center</w:t>
      </w:r>
      <w:proofErr w:type="spellEnd"/>
      <w:r w:rsidRPr="00037F99">
        <w:rPr>
          <w:rFonts w:ascii="Arial" w:hAnsi="Arial" w:cs="Arial"/>
          <w:sz w:val="20"/>
          <w:szCs w:val="20"/>
          <w:lang w:val="en-IN"/>
        </w:rPr>
        <w:t xml:space="preserve"> of scientific, regulatory, and societal discourse due to their multifaceted implications.</w:t>
      </w:r>
    </w:p>
    <w:p w14:paraId="0168AF94"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2.1 Functional Advantages and Agronomic Contributions of GM Crops</w:t>
      </w:r>
    </w:p>
    <w:p w14:paraId="282461E3"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2.1.1 Biotic Stress Resistance and Reduced Chemical Dependency</w:t>
      </w:r>
    </w:p>
    <w:p w14:paraId="16CBFFE2"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One of the most prominent achievements of GMO technology lies in the development of crops with inherent resistance to pests and pathogens. Transgenic expression of insecticidal proteins, such as </w:t>
      </w:r>
      <w:r w:rsidRPr="00037F99">
        <w:rPr>
          <w:rFonts w:ascii="Arial" w:hAnsi="Arial" w:cs="Arial"/>
          <w:i/>
          <w:iCs/>
          <w:sz w:val="20"/>
          <w:szCs w:val="20"/>
          <w:lang w:val="en-IN"/>
        </w:rPr>
        <w:t>Bacillus thuringiensis</w:t>
      </w:r>
      <w:r w:rsidRPr="00037F99">
        <w:rPr>
          <w:rFonts w:ascii="Arial" w:hAnsi="Arial" w:cs="Arial"/>
          <w:sz w:val="20"/>
          <w:szCs w:val="20"/>
          <w:lang w:val="en-IN"/>
        </w:rPr>
        <w:t xml:space="preserve"> (</w:t>
      </w:r>
      <w:proofErr w:type="spellStart"/>
      <w:r w:rsidRPr="00037F99">
        <w:rPr>
          <w:rFonts w:ascii="Arial" w:hAnsi="Arial" w:cs="Arial"/>
          <w:sz w:val="20"/>
          <w:szCs w:val="20"/>
          <w:lang w:val="en-IN"/>
        </w:rPr>
        <w:t>Bt</w:t>
      </w:r>
      <w:proofErr w:type="spellEnd"/>
      <w:r w:rsidRPr="00037F99">
        <w:rPr>
          <w:rFonts w:ascii="Arial" w:hAnsi="Arial" w:cs="Arial"/>
          <w:sz w:val="20"/>
          <w:szCs w:val="20"/>
          <w:lang w:val="en-IN"/>
        </w:rPr>
        <w:t>) toxins, has substantially reduced reliance on synthetic pesticides. This not only lowers production costs but also mitigates environmental contamination and preserves beneficial arthropod populations. Such traits contribute to integrated pest management strategies and promote more sustainable crop protection systems.</w:t>
      </w:r>
    </w:p>
    <w:p w14:paraId="2B244BD8"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2.1.2 Nutritional Enhancement and Biofortification Strategies</w:t>
      </w:r>
    </w:p>
    <w:p w14:paraId="2A7E6B49"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Genetic engineering has enabled the development of nutritionally enhanced crops aimed at addressing micronutrient deficiencies, particularly in developing regions. Biofortified varieties enriched with essential vitamins, minerals, and amino acids demonstrate the potential of GMOs in combating malnutrition and improving public health outcomes. These interventions extend the role of agriculture beyond productivity toward nutritional security.</w:t>
      </w:r>
    </w:p>
    <w:p w14:paraId="4EE68821"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2.1.3 Yield Stability, Stress Tolerance, and Quality Improvement</w:t>
      </w:r>
    </w:p>
    <w:p w14:paraId="7D012972"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GMO crops have been engineered to exhibit improved tolerance to abiotic stresses such as drought, salinity, and temperature extremes, thereby enhancing yield stability under climate variability. Additionally, modifications targeting post-harvest physiology, shelf life, and processing quality contribute to reduced food losses and improved marketability. These attributes collectively strengthen the resilience and efficiency of agricultural production systems (Uslu, 2021).</w:t>
      </w:r>
    </w:p>
    <w:p w14:paraId="051EE88F"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2.2 Biosafety, Ecological Risks, and Socioeconomic Concerns</w:t>
      </w:r>
    </w:p>
    <w:p w14:paraId="0DCC6F59"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2.2.1 Human and Environmental Safety Considerations</w:t>
      </w:r>
    </w:p>
    <w:p w14:paraId="76D8620D"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Despite extensive scientific evaluation supporting the safety of approved GMO crops, concerns persist regarding potential long-term health effects and ecological consequences. The complexity of gene-environment interactions necessitates continuous monitoring and rigorous risk assessment frameworks to ensure biosafety and maintain public confidence.</w:t>
      </w:r>
    </w:p>
    <w:p w14:paraId="663679D1"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2.2.2 Ecological Implications and Gene Flow Dynamics</w:t>
      </w:r>
    </w:p>
    <w:p w14:paraId="52EC32BF"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large-scale cultivation of GM crops has raised concerns related to ecological sustainability, particularly the evolution of herbicide-resistant weeds and the unintended transfer of transgenes to wild relatives through gene flow (</w:t>
      </w:r>
      <w:proofErr w:type="spellStart"/>
      <w:r w:rsidRPr="00037F99">
        <w:rPr>
          <w:rFonts w:ascii="Arial" w:hAnsi="Arial" w:cs="Arial"/>
          <w:sz w:val="20"/>
          <w:szCs w:val="20"/>
          <w:lang w:val="en-IN"/>
        </w:rPr>
        <w:t>Vrbničanin</w:t>
      </w:r>
      <w:proofErr w:type="spellEnd"/>
      <w:r w:rsidRPr="00037F99">
        <w:rPr>
          <w:rFonts w:ascii="Arial" w:hAnsi="Arial" w:cs="Arial"/>
          <w:sz w:val="20"/>
          <w:szCs w:val="20"/>
          <w:lang w:val="en-IN"/>
        </w:rPr>
        <w:t xml:space="preserve"> et al., 2017). Such phenomena may disrupt natural ecosystems, alter species composition, and complicate weed management strategies. Addressing these risks requires the implementation of resistance management practices and ecological monitoring systems.</w:t>
      </w:r>
    </w:p>
    <w:p w14:paraId="4A63B1D6"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2.2.3 Socioeconomic and Ethical Dimensions</w:t>
      </w:r>
    </w:p>
    <w:p w14:paraId="6DAA4085"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adoption of GMO technology is intrinsically linked to broader socioeconomic issues, including intellectual property rights, corporate control over seed systems, and disparities in access to technology. The concentration of biotechnology ownership among a limited number of multinational corporations has raised concerns about farmer autonomy, seed sovereignty, and equitable benefit distribution. These challenges highlight the need for inclusive innovation models and policy interventions that safeguard the interests of smallholder farmers.</w:t>
      </w:r>
    </w:p>
    <w:p w14:paraId="6593D345"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2.3 Regulatory Governance, Risk Assessment, and Public Perception</w:t>
      </w:r>
    </w:p>
    <w:p w14:paraId="38C9A075" w14:textId="2AC95E1E"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The regulatory landscape governing GMOs is highly heterogeneous, reflecting differences in scientific, political, and societal priorities across countries. While some nations adopt science-based, product-oriented regulatory frameworks, others implement precautionary approaches characterized by stringent </w:t>
      </w:r>
      <w:r w:rsidRPr="00037F99">
        <w:rPr>
          <w:rFonts w:ascii="Arial" w:hAnsi="Arial" w:cs="Arial"/>
          <w:sz w:val="20"/>
          <w:szCs w:val="20"/>
          <w:lang w:val="en-IN"/>
        </w:rPr>
        <w:lastRenderedPageBreak/>
        <w:t xml:space="preserve">approval processes, mandatory </w:t>
      </w:r>
      <w:proofErr w:type="spellStart"/>
      <w:r w:rsidRPr="00037F99">
        <w:rPr>
          <w:rFonts w:ascii="Arial" w:hAnsi="Arial" w:cs="Arial"/>
          <w:sz w:val="20"/>
          <w:szCs w:val="20"/>
          <w:lang w:val="en-IN"/>
        </w:rPr>
        <w:t>labeling</w:t>
      </w:r>
      <w:proofErr w:type="spellEnd"/>
      <w:r w:rsidRPr="00037F99">
        <w:rPr>
          <w:rFonts w:ascii="Arial" w:hAnsi="Arial" w:cs="Arial"/>
          <w:sz w:val="20"/>
          <w:szCs w:val="20"/>
          <w:lang w:val="en-IN"/>
        </w:rPr>
        <w:t>, and post-release monitoring.</w:t>
      </w:r>
      <w:r w:rsidR="00BA7B2F">
        <w:rPr>
          <w:rFonts w:ascii="Arial" w:hAnsi="Arial" w:cs="Arial"/>
          <w:sz w:val="20"/>
          <w:szCs w:val="20"/>
          <w:lang w:val="en-IN"/>
        </w:rPr>
        <w:t xml:space="preserve"> </w:t>
      </w:r>
      <w:r w:rsidRPr="00037F99">
        <w:rPr>
          <w:rFonts w:ascii="Arial" w:hAnsi="Arial" w:cs="Arial"/>
          <w:sz w:val="20"/>
          <w:szCs w:val="20"/>
          <w:lang w:val="en-IN"/>
        </w:rPr>
        <w:t>Effective governance of GMO technology requires a balance between facilitating innovation and ensuring biosafety, transparency, and consumer choice. Public perception plays a critical role in shaping regulatory policies, with societal acceptance often influenced by risk communication, ethical considerations, and trust in regulatory institutions. Consequently, harmonization of international regulatory standards and evidence-based policymaking remain key challenges in the global deployment of GM crops.</w:t>
      </w:r>
    </w:p>
    <w:p w14:paraId="476F0F0A"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2.4 Strategic Outlook: GMOs in the Era of Advanced Biotechnology</w:t>
      </w:r>
    </w:p>
    <w:p w14:paraId="369EEF31" w14:textId="78DA61DD"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future trajectory of GMOs in agriculture is closely intertwined with advances in genome editing, synthetic biology, and digital agriculture. Emerging technologies such as CRISPR-based systems offer opportunities to refine genetic modifications with greater precision and potentially reduced regulatory constraints.</w:t>
      </w:r>
      <w:r w:rsidR="00C15350">
        <w:rPr>
          <w:rFonts w:ascii="Arial" w:hAnsi="Arial" w:cs="Arial"/>
          <w:sz w:val="20"/>
          <w:szCs w:val="20"/>
          <w:lang w:val="en-IN"/>
        </w:rPr>
        <w:t xml:space="preserve"> </w:t>
      </w:r>
      <w:r w:rsidRPr="00037F99">
        <w:rPr>
          <w:rFonts w:ascii="Arial" w:hAnsi="Arial" w:cs="Arial"/>
          <w:sz w:val="20"/>
          <w:szCs w:val="20"/>
          <w:lang w:val="en-IN"/>
        </w:rPr>
        <w:t>However, the continued relevance of GMOs will depend on their ability to address pressing agricultural challenges, including climate resilience, resource use efficiency, and sustainable intensification. Integrating GMO technology within broader agroecological and biotechnological frameworks will be essential for maximizing its benefits while minimizing associated risks.</w:t>
      </w:r>
      <w:r w:rsidR="001F1535">
        <w:rPr>
          <w:rFonts w:ascii="Arial" w:hAnsi="Arial" w:cs="Arial"/>
          <w:sz w:val="20"/>
          <w:szCs w:val="20"/>
          <w:lang w:val="en-IN"/>
        </w:rPr>
        <w:t xml:space="preserve"> </w:t>
      </w:r>
      <w:r w:rsidRPr="00037F99">
        <w:rPr>
          <w:rFonts w:ascii="Arial" w:hAnsi="Arial" w:cs="Arial"/>
          <w:sz w:val="20"/>
          <w:szCs w:val="20"/>
          <w:lang w:val="en-IN"/>
        </w:rPr>
        <w:t>In this evolving landscape, the role of GMOs must be re-evaluated not merely as a standalone technology but as a component of an integrated innovation continuum aimed at achieving sustainable, resilient, and equitable food systems.</w:t>
      </w:r>
    </w:p>
    <w:p w14:paraId="18E3D4EF" w14:textId="77777777" w:rsidR="00037F99" w:rsidRPr="00037F99" w:rsidRDefault="00037F99" w:rsidP="00037F99">
      <w:pPr>
        <w:spacing w:line="240" w:lineRule="auto"/>
        <w:jc w:val="both"/>
        <w:rPr>
          <w:rFonts w:ascii="Arial" w:hAnsi="Arial" w:cs="Arial"/>
          <w:b/>
          <w:bCs/>
          <w:sz w:val="24"/>
          <w:szCs w:val="24"/>
          <w:lang w:val="en-IN"/>
        </w:rPr>
      </w:pPr>
      <w:r w:rsidRPr="00037F99">
        <w:rPr>
          <w:rFonts w:ascii="Arial" w:hAnsi="Arial" w:cs="Arial"/>
          <w:b/>
          <w:bCs/>
          <w:sz w:val="24"/>
          <w:szCs w:val="24"/>
          <w:lang w:val="en-IN"/>
        </w:rPr>
        <w:t>3. Genome Editing in Agriculture: Precision Engineering for Next-Generation Crop Improvement</w:t>
      </w:r>
    </w:p>
    <w:p w14:paraId="776CA49F"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Genome editing has emerged as one of the most consequential advances in contemporary agricultural biotechnology, offering unprecedented precision in the manipulation of plant genomes. In contrast to conventional transgenic approaches, which often involve the stable integration of foreign DNA into the host genome, genome editing enables targeted modifications at specific loci within endogenous genetic sequences. Among the available platforms, CRISPR-Cas9 has become the most widely adopted system due to its simplicity, versatility, cost-effectiveness, and high editing efficiency (Soda et al., 2018). The development of genome editing technologies has fundamentally altered the trajectory of crop improvement by enabling faster, more accurate, and more predictable modification of agronomically important traits.</w:t>
      </w:r>
    </w:p>
    <w:p w14:paraId="231157CA" w14:textId="49CDD58C" w:rsidR="00041D42"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significance of genome editing in agriculture lies not only in its technical precision but also in its capacity to accelerate breeding cycles, reduce dependence on lengthy backcrossing procedures, and facilitate the improvement of complex traits. By enabling direct manipulation of genes associated with disease resistance, abiotic stress tolerance, yield determinants, and nutritional quality, genome editing has expanded the toolbox available to plant breeders and molecular geneticists. Consequently, it represents a critical bridge between classical breeding and advanced molecular crop design.</w:t>
      </w:r>
      <w:r w:rsidR="00041D42">
        <w:rPr>
          <w:rFonts w:ascii="Arial" w:hAnsi="Arial" w:cs="Arial"/>
          <w:sz w:val="20"/>
          <w:szCs w:val="20"/>
          <w:lang w:val="en-IN"/>
        </w:rPr>
        <w:t xml:space="preserve"> </w:t>
      </w:r>
      <w:r w:rsidR="00041D42" w:rsidRPr="00041D42">
        <w:rPr>
          <w:rFonts w:ascii="Arial" w:hAnsi="Arial" w:cs="Arial"/>
          <w:sz w:val="20"/>
          <w:szCs w:val="20"/>
          <w:lang w:val="en-IN"/>
        </w:rPr>
        <w:t>The workflow and applications of genome editing technologies in crop improvement are illustrated in Fig</w:t>
      </w:r>
      <w:r w:rsidR="00041D42">
        <w:rPr>
          <w:rFonts w:ascii="Arial" w:hAnsi="Arial" w:cs="Arial"/>
          <w:sz w:val="20"/>
          <w:szCs w:val="20"/>
          <w:lang w:val="en-IN"/>
        </w:rPr>
        <w:t>.</w:t>
      </w:r>
      <w:r w:rsidR="00041D42" w:rsidRPr="00041D42">
        <w:rPr>
          <w:rFonts w:ascii="Arial" w:hAnsi="Arial" w:cs="Arial"/>
          <w:sz w:val="20"/>
          <w:szCs w:val="20"/>
          <w:lang w:val="en-IN"/>
        </w:rPr>
        <w:t xml:space="preserve"> 1.</w:t>
      </w:r>
    </w:p>
    <w:p w14:paraId="4F372C2A" w14:textId="7A34B852" w:rsidR="00041D42" w:rsidRDefault="00041D42" w:rsidP="00041D42">
      <w:pPr>
        <w:pStyle w:val="NoSpacing"/>
        <w:jc w:val="center"/>
      </w:pPr>
      <w:r>
        <w:rPr>
          <w:noProof/>
        </w:rPr>
        <w:lastRenderedPageBreak/>
        <w:drawing>
          <wp:inline distT="0" distB="0" distL="0" distR="0" wp14:anchorId="61D40D67" wp14:editId="198A8821">
            <wp:extent cx="5480050" cy="5207000"/>
            <wp:effectExtent l="19050" t="19050" r="6350" b="0"/>
            <wp:docPr id="7503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rotWithShape="1">
                    <a:blip r:embed="rId8">
                      <a:extLst>
                        <a:ext uri="{28A0092B-C50C-407E-A947-70E740481C1C}">
                          <a14:useLocalDpi xmlns:a14="http://schemas.microsoft.com/office/drawing/2010/main" val="0"/>
                        </a:ext>
                      </a:extLst>
                    </a:blip>
                    <a:srcRect t="8032" b="10579"/>
                    <a:stretch>
                      <a:fillRect/>
                    </a:stretch>
                  </pic:blipFill>
                  <pic:spPr bwMode="auto">
                    <a:xfrm>
                      <a:off x="0" y="0"/>
                      <a:ext cx="5480050" cy="5207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18D71E8" w14:textId="0132C5CC" w:rsidR="00041D42" w:rsidRPr="00037F99" w:rsidRDefault="00041D42" w:rsidP="00041D42">
      <w:pPr>
        <w:spacing w:line="240" w:lineRule="auto"/>
        <w:jc w:val="center"/>
        <w:rPr>
          <w:rFonts w:ascii="Arial" w:hAnsi="Arial" w:cs="Arial"/>
          <w:b/>
          <w:bCs/>
          <w:sz w:val="20"/>
          <w:szCs w:val="20"/>
          <w:lang w:val="en-IN"/>
        </w:rPr>
      </w:pPr>
      <w:r w:rsidRPr="00041D42">
        <w:rPr>
          <w:rFonts w:ascii="Arial" w:hAnsi="Arial" w:cs="Arial"/>
          <w:b/>
          <w:bCs/>
          <w:sz w:val="20"/>
          <w:szCs w:val="20"/>
          <w:lang w:val="en-IN"/>
        </w:rPr>
        <w:t>Fig. 1: Schematic Representation of Genome Editing Workflow and Applications in Crop Improvement</w:t>
      </w:r>
    </w:p>
    <w:p w14:paraId="4117C500"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3.1 Technological Basis of Genome Editing</w:t>
      </w:r>
    </w:p>
    <w:p w14:paraId="47ED79C0"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3.1.1 Concept and Molecular Principle</w:t>
      </w:r>
    </w:p>
    <w:p w14:paraId="7C64920A"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Genome editing refers to the deliberate induction of site-specific changes in the DNA sequence of an organism through engineered nucleases. These nucleases generate double-strand breaks or targeted base changes at predefined genomic locations, after which endogenous cellular repair mechanisms mediate sequence modification. In plants, the two principal repair pathways involved are non-homologous end joining (NHEJ), which often introduces insertions or deletions leading to gene disruption, and homology-directed repair (HDR), which allows more precise sequence replacement or insertion when a repair template is available.</w:t>
      </w:r>
    </w:p>
    <w:p w14:paraId="39437AED"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Among the available editing platforms, CRISPR-Cas9 has become dominant because it uses a programmable guide RNA to direct the Cas nuclease to a complementary target sequence, thereby allowing high specificity and relative ease of redesign for different genomic targets (Soda et al., 2018). This programmable nature has made CRISPR-based editing substantially more accessible than earlier nuclease systems and has accelerated its adoption across major crop species.</w:t>
      </w:r>
    </w:p>
    <w:p w14:paraId="6CCFA226"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3.1.2 Distinction from Conventional Genetic Engineering</w:t>
      </w:r>
    </w:p>
    <w:p w14:paraId="748C73A7"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lastRenderedPageBreak/>
        <w:t>A defining advantage of genome editing is that it does not necessarily require the integration of foreign genes. Traditional genetic engineering commonly introduces exogenous DNA to confer novel traits, whereas genome editing can create targeted mutations, deletions, insertions, or allele replacements within the native genome itself. This distinction is scientifically important because it allows the generation of crop variants that may mimic naturally occurring mutations or conventionally induced variants, but with much greater precision and efficiency. As a result, genome editing is increasingly regarded as a refined form of molecular breeding rather than merely an extension of transgenic technology.</w:t>
      </w:r>
    </w:p>
    <w:p w14:paraId="4B3DC494"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3.2 Strategic Advantages of Genome Editing for Crop Improvement</w:t>
      </w:r>
    </w:p>
    <w:p w14:paraId="1BAB45CC"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3.2.1 Precision and Reduced Genomic Disruption</w:t>
      </w:r>
    </w:p>
    <w:p w14:paraId="14A16965"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One of the principal strengths of genome editing lies in its ability to alter defined genomic regions with minimal unintended modification of unrelated loci. This feature is particularly important in crop improvement, where the introduction of beneficial variation without extensive background genomic disturbance is essential for maintaining elite agronomic performance. Compared with conventional mutagenesis, which generates large numbers of random mutations, genome editing provides a highly targeted means of trait manipulation and thereby improves the efficiency of selection and validation.</w:t>
      </w:r>
    </w:p>
    <w:p w14:paraId="0F5509B5"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3.2.2 Acceleration of Breeding Programs</w:t>
      </w:r>
    </w:p>
    <w:p w14:paraId="4C621934"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Genome editing has substantially reduced the time required to develop improved crop varieties. Conventional breeding often depends on repeated cycles of hybridization and phenotypic selection, followed by extensive backcrossing to recover elite genetic backgrounds. Genome editing allows direct alteration of candidate genes in high-performing cultivars, thereby bypassing many of these steps. This accelerated breeding timeline is especially valuable in the context of climate change, emerging pathogens, and rapidly shifting agricultural demands.</w:t>
      </w:r>
    </w:p>
    <w:p w14:paraId="6A6DBF6C"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3.2.3 Capacity to Modify Complex and Multiple Traits</w:t>
      </w:r>
    </w:p>
    <w:p w14:paraId="0F5582C8"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Modern CRISPR-based systems can be designed to edit multiple genes simultaneously, a strategy commonly referred to as multiplex editing. This capacity is especially important for crop improvement because many economically important traits, including yield stability, stress adaptation, and nutrient use efficiency, are controlled by complex genetic networks rather than single genes. By targeting several loci in a coordinated manner, genome editing offers new possibilities for pyramiding beneficial alleles and reconstructing regulatory pathways with greater precision than was previously feasible.</w:t>
      </w:r>
    </w:p>
    <w:p w14:paraId="5E86DF63"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3.3 Major Agricultural Applications of Genome Editing</w:t>
      </w:r>
    </w:p>
    <w:p w14:paraId="7734C3A9"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3.3.1 Improvement of Resistance to Biotic Stress</w:t>
      </w:r>
    </w:p>
    <w:p w14:paraId="3E431D69"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Genome editing has created new opportunities for enhancing resistance against fungal, bacterial, and viral pathogens by modifying susceptibility genes or strengthening host </w:t>
      </w:r>
      <w:proofErr w:type="spellStart"/>
      <w:r w:rsidRPr="00037F99">
        <w:rPr>
          <w:rFonts w:ascii="Arial" w:hAnsi="Arial" w:cs="Arial"/>
          <w:sz w:val="20"/>
          <w:szCs w:val="20"/>
          <w:lang w:val="en-IN"/>
        </w:rPr>
        <w:t>defense</w:t>
      </w:r>
      <w:proofErr w:type="spellEnd"/>
      <w:r w:rsidRPr="00037F99">
        <w:rPr>
          <w:rFonts w:ascii="Arial" w:hAnsi="Arial" w:cs="Arial"/>
          <w:sz w:val="20"/>
          <w:szCs w:val="20"/>
          <w:lang w:val="en-IN"/>
        </w:rPr>
        <w:t xml:space="preserve"> pathways. Rather than relying solely on the transfer of resistance genes from external sources, gene editing allows the direct reconfiguration of plant-pathogen interaction pathways within the crop genome. This approach may generate more durable and specific resistance while reducing dependence on chemical plant protection measures. The capacity to engineer resistance against biotic constraints has broad implications for sustainable crop production and for minimizing post-harvest and field-level losses.</w:t>
      </w:r>
    </w:p>
    <w:p w14:paraId="2FCC1817"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3.3.2 Enhancement of Tolerance to Abiotic Stress</w:t>
      </w:r>
    </w:p>
    <w:p w14:paraId="43C5071E"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Abiotic stresses such as drought, salinity, heat, and nutrient limitation are major determinants of yield instability in agricultural systems. Genome editing facilitates direct modification of genes involved in osmotic regulation, hormonal </w:t>
      </w:r>
      <w:proofErr w:type="spellStart"/>
      <w:r w:rsidRPr="00037F99">
        <w:rPr>
          <w:rFonts w:ascii="Arial" w:hAnsi="Arial" w:cs="Arial"/>
          <w:sz w:val="20"/>
          <w:szCs w:val="20"/>
          <w:lang w:val="en-IN"/>
        </w:rPr>
        <w:t>signaling</w:t>
      </w:r>
      <w:proofErr w:type="spellEnd"/>
      <w:r w:rsidRPr="00037F99">
        <w:rPr>
          <w:rFonts w:ascii="Arial" w:hAnsi="Arial" w:cs="Arial"/>
          <w:sz w:val="20"/>
          <w:szCs w:val="20"/>
          <w:lang w:val="en-IN"/>
        </w:rPr>
        <w:t>, antioxidant metabolism, and stress-responsive transcriptional control. Through such targeted interventions, crop varieties can be developed with improved tolerance to fluctuating and adverse environmental conditions. This application is particularly relevant in the current era of climate variability, where the resilience of production systems has become a central priority in agricultural research.</w:t>
      </w:r>
    </w:p>
    <w:p w14:paraId="78AEDECA"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3.3.3 Quality Improvement and Nutritional Enhancement</w:t>
      </w:r>
    </w:p>
    <w:p w14:paraId="67A5E3DE"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lastRenderedPageBreak/>
        <w:t>Beyond stress tolerance, genome editing has shown considerable promise in improving crop quality traits, including grain composition, oil quality, shelf life, texture, and nutritional value. By modifying genes associated with biosynthetic pathways or post-harvest physiology, researchers can produce crop varieties better suited to consumer expectations, nutritional goals, and industrial requirements. In this way, genome editing contributes not only to productivity enhancement but also to food quality, food safety, and nutritional security.</w:t>
      </w:r>
    </w:p>
    <w:p w14:paraId="6223987C"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3.3.4 Functional Validation and Trait Discovery</w:t>
      </w:r>
    </w:p>
    <w:p w14:paraId="0A9DA8EA"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Genome editing is not merely a breeding tool; it is also an essential platform for functional genomics. Targeted gene knockout or allele modification enables precise validation of gene function, thereby accelerating the discovery of candidate loci relevant to agronomic performance. This dual role in both knowledge generation and trait deployment makes genome editing particularly valuable in translational plant science.</w:t>
      </w:r>
    </w:p>
    <w:p w14:paraId="294DFC36" w14:textId="77777777" w:rsidR="00037F99" w:rsidRPr="00037F99" w:rsidRDefault="00037F99" w:rsidP="00037F99">
      <w:pPr>
        <w:spacing w:line="240" w:lineRule="auto"/>
        <w:jc w:val="both"/>
        <w:rPr>
          <w:rFonts w:ascii="Arial" w:hAnsi="Arial" w:cs="Arial"/>
          <w:b/>
          <w:bCs/>
          <w:sz w:val="24"/>
          <w:szCs w:val="24"/>
          <w:lang w:val="en-IN"/>
        </w:rPr>
      </w:pPr>
      <w:r w:rsidRPr="00037F99">
        <w:rPr>
          <w:rFonts w:ascii="Arial" w:hAnsi="Arial" w:cs="Arial"/>
          <w:b/>
          <w:bCs/>
          <w:sz w:val="24"/>
          <w:szCs w:val="24"/>
          <w:lang w:val="en-IN"/>
        </w:rPr>
        <w:t>4. Emerging Biotechnological Frontiers Beyond GMOs and Genome Editing: Integrative Approaches for Sustainable Agriculture</w:t>
      </w:r>
    </w:p>
    <w:p w14:paraId="2FD16AA7" w14:textId="543398C1"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rapid evolution of agricultural biotechnology has extended far beyond conventional transgenic approaches and genome editing technologies, giving rise to a new generation of integrative and interdisciplinary innovations. These emerging biotechnologies</w:t>
      </w:r>
      <w:r w:rsidR="00086E35">
        <w:rPr>
          <w:rFonts w:ascii="Arial" w:hAnsi="Arial" w:cs="Arial"/>
          <w:sz w:val="20"/>
          <w:szCs w:val="20"/>
          <w:lang w:val="en-IN"/>
        </w:rPr>
        <w:t xml:space="preserve"> </w:t>
      </w:r>
      <w:r w:rsidRPr="00037F99">
        <w:rPr>
          <w:rFonts w:ascii="Arial" w:hAnsi="Arial" w:cs="Arial"/>
          <w:sz w:val="20"/>
          <w:szCs w:val="20"/>
          <w:lang w:val="en-IN"/>
        </w:rPr>
        <w:t>encompassing synthetic biology, nanotechnology, and bioinformatics</w:t>
      </w:r>
      <w:r w:rsidR="00086E35">
        <w:rPr>
          <w:rFonts w:ascii="Arial" w:hAnsi="Arial" w:cs="Arial"/>
          <w:sz w:val="20"/>
          <w:szCs w:val="20"/>
          <w:lang w:val="en-IN"/>
        </w:rPr>
        <w:t xml:space="preserve"> </w:t>
      </w:r>
      <w:r w:rsidRPr="00037F99">
        <w:rPr>
          <w:rFonts w:ascii="Arial" w:hAnsi="Arial" w:cs="Arial"/>
          <w:sz w:val="20"/>
          <w:szCs w:val="20"/>
          <w:lang w:val="en-IN"/>
        </w:rPr>
        <w:t>are redefining the conceptual framework of crop improvement by enabling system-level interventions, real-time decision-making, and precision input management. Unlike earlier technologies that primarily focused on genetic modification at the organismal level, these approaches operate across molecular, cellular, and ecosystem scales, thereby offering holistic solutions to complex agricultural challenges (Giudice et al., 2021).</w:t>
      </w:r>
    </w:p>
    <w:p w14:paraId="513B1304" w14:textId="239649BC" w:rsidR="00086E35" w:rsidRDefault="00037F99" w:rsidP="00BA7B2F">
      <w:pPr>
        <w:spacing w:line="240" w:lineRule="auto"/>
        <w:ind w:firstLine="720"/>
        <w:jc w:val="both"/>
      </w:pPr>
      <w:r w:rsidRPr="00037F99">
        <w:rPr>
          <w:rFonts w:ascii="Arial" w:hAnsi="Arial" w:cs="Arial"/>
          <w:sz w:val="20"/>
          <w:szCs w:val="20"/>
          <w:lang w:val="en-IN"/>
        </w:rPr>
        <w:t>The integration of these advanced tools is particularly critical in addressing the multifaceted demands of modern agriculture, including climate resilience, resource efficiency, sustainable intensification, and environmental conservation. As agricultural systems become increasingly data-driven and technology-intensive, these emerging domains are expected to complement and enhance existing biotechnological interventions.</w:t>
      </w:r>
      <w:r w:rsidR="00086E35" w:rsidRPr="00086E35">
        <w:rPr>
          <w:rFonts w:ascii="Arial" w:hAnsi="Arial" w:cs="Arial"/>
          <w:sz w:val="20"/>
          <w:szCs w:val="20"/>
        </w:rPr>
        <w:t xml:space="preserve"> The integration of advanced biotechnological approaches in sustainable agriculture is depicted in Fig. 2.</w:t>
      </w:r>
    </w:p>
    <w:p w14:paraId="005BB693" w14:textId="0312B631" w:rsidR="00086E35" w:rsidRDefault="00086E35" w:rsidP="00086E35">
      <w:pPr>
        <w:pStyle w:val="NoSpacing"/>
        <w:jc w:val="center"/>
      </w:pPr>
      <w:r>
        <w:rPr>
          <w:noProof/>
        </w:rPr>
        <w:drawing>
          <wp:inline distT="0" distB="0" distL="0" distR="0" wp14:anchorId="6F69676A" wp14:editId="70C825B9">
            <wp:extent cx="5334000" cy="2489200"/>
            <wp:effectExtent l="19050" t="19050" r="0" b="6350"/>
            <wp:docPr id="468435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45" t="58075" r="3316"/>
                    <a:stretch>
                      <a:fillRect/>
                    </a:stretch>
                  </pic:blipFill>
                  <pic:spPr bwMode="auto">
                    <a:xfrm>
                      <a:off x="0" y="0"/>
                      <a:ext cx="5334000" cy="24892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FF543A4" w14:textId="2D43075E" w:rsidR="00037F99" w:rsidRPr="00037F99" w:rsidRDefault="00086E35" w:rsidP="00086E35">
      <w:pPr>
        <w:spacing w:line="240" w:lineRule="auto"/>
        <w:jc w:val="center"/>
        <w:rPr>
          <w:rFonts w:ascii="Arial" w:hAnsi="Arial" w:cs="Arial"/>
          <w:b/>
          <w:bCs/>
          <w:sz w:val="20"/>
          <w:szCs w:val="20"/>
          <w:lang w:val="en-IN"/>
        </w:rPr>
      </w:pPr>
      <w:r w:rsidRPr="00086E35">
        <w:rPr>
          <w:rFonts w:ascii="Arial" w:hAnsi="Arial" w:cs="Arial"/>
          <w:b/>
          <w:bCs/>
          <w:sz w:val="20"/>
          <w:szCs w:val="20"/>
          <w:lang w:val="en-IN"/>
        </w:rPr>
        <w:t>Fig. 2: Integrated Framework of Emerging Biotechnologies for Sustainable and Precision Agriculture</w:t>
      </w:r>
    </w:p>
    <w:p w14:paraId="16E473FE"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4.1 Synthetic Biology: Engineering Biological Systems for Agricultural Innovation</w:t>
      </w:r>
    </w:p>
    <w:p w14:paraId="5542A499"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4.1.1 Conceptual Framework and Technological Basis</w:t>
      </w:r>
    </w:p>
    <w:p w14:paraId="78B16CCD"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lastRenderedPageBreak/>
        <w:t>Synthetic biology represents a paradigm shift from traditional genetic modification toward the rational design and construction of biological systems. By combining principles of molecular biology, systems biology, and engineering, synthetic biology enables the assembly of novel genetic circuits, metabolic pathways, and regulatory networks tailored for specific agricultural functions. This approach facilitates the redesign of plant systems at a modular level, allowing precise control over gene expression and metabolic flux.</w:t>
      </w:r>
    </w:p>
    <w:p w14:paraId="49A7F1E7"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4.1.2 Applications in Crop Improvement and Agroecosystems</w:t>
      </w:r>
    </w:p>
    <w:p w14:paraId="4AF80774"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In agriculture, synthetic biology holds significant promise for enhancing photosynthetic efficiency, improving nutrient acquisition, and engineering plants with novel stress-response mechanisms. Additionally, it enables the development of biosensors capable of detecting environmental signals such as nutrient deficiencies, pathogen presence, or abiotic stress conditions. These innovations contribute to the development of “smart crops” that can dynamically respond to environmental stimuli, thereby improving productivity and resilience.</w:t>
      </w:r>
    </w:p>
    <w:p w14:paraId="2842D37F"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4.1.3 Challenges and Biosafety Considerations</w:t>
      </w:r>
    </w:p>
    <w:p w14:paraId="26B86743"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Despite its transformative potential, synthetic biology raises critical concerns regarding biosafety, ecological stability, and unintended interactions within complex biological systems. The release of engineered organisms into natural environments necessitates rigorous containment strategies, risk assessments, and regulatory oversight to prevent unintended ecological consequences.</w:t>
      </w:r>
    </w:p>
    <w:p w14:paraId="3698885E"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4.2 Nanobiotechnology in Agriculture: Precision Delivery and Smart Monitoring Systems</w:t>
      </w:r>
    </w:p>
    <w:p w14:paraId="14B43D3E"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4.2.1 Nanotechnology-Driven Input Optimization</w:t>
      </w:r>
    </w:p>
    <w:p w14:paraId="619E24C0"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Nanotechnology introduces a new dimension of precision in agricultural input management through the manipulation of materials at the nanoscale. </w:t>
      </w:r>
      <w:proofErr w:type="spellStart"/>
      <w:r w:rsidRPr="00037F99">
        <w:rPr>
          <w:rFonts w:ascii="Arial" w:hAnsi="Arial" w:cs="Arial"/>
          <w:sz w:val="20"/>
          <w:szCs w:val="20"/>
          <w:lang w:val="en-IN"/>
        </w:rPr>
        <w:t>Nanoformulations</w:t>
      </w:r>
      <w:proofErr w:type="spellEnd"/>
      <w:r w:rsidRPr="00037F99">
        <w:rPr>
          <w:rFonts w:ascii="Arial" w:hAnsi="Arial" w:cs="Arial"/>
          <w:sz w:val="20"/>
          <w:szCs w:val="20"/>
          <w:lang w:val="en-IN"/>
        </w:rPr>
        <w:t xml:space="preserve"> of fertilizers, pesticides, and growth regulators enable controlled and targeted delivery, thereby improving input use efficiency and reducing environmental losses. These nano-enabled systems enhance the bioavailability of nutrients and active compounds while minimizing leaching, volatilization, and off-target effects (Ahmar et al., 2021).</w:t>
      </w:r>
    </w:p>
    <w:p w14:paraId="0AF4C08E"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 xml:space="preserve">4.2.2 </w:t>
      </w:r>
      <w:proofErr w:type="spellStart"/>
      <w:r w:rsidRPr="00037F99">
        <w:rPr>
          <w:rFonts w:ascii="Arial" w:hAnsi="Arial" w:cs="Arial"/>
          <w:b/>
          <w:bCs/>
          <w:sz w:val="20"/>
          <w:szCs w:val="20"/>
          <w:lang w:val="en-IN"/>
        </w:rPr>
        <w:t>Nanosensors</w:t>
      </w:r>
      <w:proofErr w:type="spellEnd"/>
      <w:r w:rsidRPr="00037F99">
        <w:rPr>
          <w:rFonts w:ascii="Arial" w:hAnsi="Arial" w:cs="Arial"/>
          <w:b/>
          <w:bCs/>
          <w:sz w:val="20"/>
          <w:szCs w:val="20"/>
          <w:lang w:val="en-IN"/>
        </w:rPr>
        <w:t xml:space="preserve"> and Real-Time Crop Monitoring</w:t>
      </w:r>
    </w:p>
    <w:p w14:paraId="6A8BC327"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 xml:space="preserve">The integration of </w:t>
      </w:r>
      <w:proofErr w:type="spellStart"/>
      <w:r w:rsidRPr="00037F99">
        <w:rPr>
          <w:rFonts w:ascii="Arial" w:hAnsi="Arial" w:cs="Arial"/>
          <w:sz w:val="20"/>
          <w:szCs w:val="20"/>
          <w:lang w:val="en-IN"/>
        </w:rPr>
        <w:t>nanosensors</w:t>
      </w:r>
      <w:proofErr w:type="spellEnd"/>
      <w:r w:rsidRPr="00037F99">
        <w:rPr>
          <w:rFonts w:ascii="Arial" w:hAnsi="Arial" w:cs="Arial"/>
          <w:sz w:val="20"/>
          <w:szCs w:val="20"/>
          <w:lang w:val="en-IN"/>
        </w:rPr>
        <w:t xml:space="preserve"> into agricultural systems facilitates real-time monitoring of plant physiological status, soil conditions, and environmental parameters. These sensors can detect early signs of stress, pathogen infection, or nutrient imbalance, enabling timely intervention and precision management. Such advancements are integral to the development of smart farming systems and contribute to improved decision-making and resource optimization.</w:t>
      </w:r>
    </w:p>
    <w:p w14:paraId="0ECA9885"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4.2.3 Environmental and Toxicological Considerations</w:t>
      </w:r>
    </w:p>
    <w:p w14:paraId="0D49E8A2"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While nanotechnology offers substantial agronomic benefits, concerns regarding nanoparticle accumulation, toxicity, and long-term environmental impacts remain areas of active investigation. The interaction of nanomaterials with soil microbiota, plant tissues, and food systems necessitates comprehensive evaluation to ensure safe and sustainable application.</w:t>
      </w:r>
    </w:p>
    <w:p w14:paraId="0A86529E"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4.3 Bioinformatics and Big Data Analytics: Driving Data-Enabled Agricultural Innovation</w:t>
      </w:r>
    </w:p>
    <w:p w14:paraId="5E1C1CB6"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4.3.1 Integration of Omics Data and Computational Tools</w:t>
      </w:r>
    </w:p>
    <w:p w14:paraId="77865D7D"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Bioinformatics has become an indispensable component of modern agricultural biotechnology, enabling the analysis and interpretation of large-scale genomic, transcriptomic, proteomic, and metabolomic datasets. Advanced computational tools facilitate gene discovery, functional annotation, and the identification of molecular markers associated with key agronomic traits. These capabilities have significantly enhanced the efficiency and precision of crop breeding programs.</w:t>
      </w:r>
    </w:p>
    <w:p w14:paraId="78BD6969"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 xml:space="preserve">4.3.2 Predictive </w:t>
      </w:r>
      <w:proofErr w:type="spellStart"/>
      <w:r w:rsidRPr="00037F99">
        <w:rPr>
          <w:rFonts w:ascii="Arial" w:hAnsi="Arial" w:cs="Arial"/>
          <w:b/>
          <w:bCs/>
          <w:sz w:val="20"/>
          <w:szCs w:val="20"/>
          <w:lang w:val="en-IN"/>
        </w:rPr>
        <w:t>Modeling</w:t>
      </w:r>
      <w:proofErr w:type="spellEnd"/>
      <w:r w:rsidRPr="00037F99">
        <w:rPr>
          <w:rFonts w:ascii="Arial" w:hAnsi="Arial" w:cs="Arial"/>
          <w:b/>
          <w:bCs/>
          <w:sz w:val="20"/>
          <w:szCs w:val="20"/>
          <w:lang w:val="en-IN"/>
        </w:rPr>
        <w:t xml:space="preserve"> and Machine Learning Applications</w:t>
      </w:r>
    </w:p>
    <w:p w14:paraId="1581DBA8"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lastRenderedPageBreak/>
        <w:t xml:space="preserve">The application of machine learning and artificial intelligence in agriculture has enabled predictive </w:t>
      </w:r>
      <w:proofErr w:type="spellStart"/>
      <w:r w:rsidRPr="00037F99">
        <w:rPr>
          <w:rFonts w:ascii="Arial" w:hAnsi="Arial" w:cs="Arial"/>
          <w:sz w:val="20"/>
          <w:szCs w:val="20"/>
          <w:lang w:val="en-IN"/>
        </w:rPr>
        <w:t>modeling</w:t>
      </w:r>
      <w:proofErr w:type="spellEnd"/>
      <w:r w:rsidRPr="00037F99">
        <w:rPr>
          <w:rFonts w:ascii="Arial" w:hAnsi="Arial" w:cs="Arial"/>
          <w:sz w:val="20"/>
          <w:szCs w:val="20"/>
          <w:lang w:val="en-IN"/>
        </w:rPr>
        <w:t xml:space="preserve"> of genotype–phenotype interactions, disease outbreaks, and environmental responses. By integrating multi-dimensional datasets, bioinformatics tools support the development of predictive breeding strategies and precision agriculture systems, thereby improving productivity and sustainability (Tuteja et al., 2020).</w:t>
      </w:r>
    </w:p>
    <w:p w14:paraId="31D46EE9"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4.3.3 Role in Precision Agriculture and Decision Support Systems</w:t>
      </w:r>
    </w:p>
    <w:p w14:paraId="3DAFA0EF"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Bioinformatics-driven platforms contribute to the development of decision support systems that guide farmers and researchers in optimizing crop management practices. These systems integrate climatic data, soil characteristics, and crop performance metrics to recommend site-specific interventions, ultimately enhancing efficiency and reducing resource wastage.</w:t>
      </w:r>
    </w:p>
    <w:p w14:paraId="2C347785"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4.4 Integrated Impacts of Emerging Biotechnologies on Agricultural Systems</w:t>
      </w:r>
    </w:p>
    <w:p w14:paraId="73D9EAE0"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4.4.1 Enhancing Precision, Efficiency, and Productivity</w:t>
      </w:r>
    </w:p>
    <w:p w14:paraId="0A14911C" w14:textId="68E09476"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convergence of synthetic biology, nanotechnology, and bioinformatics has significantly enhanced the precision and efficiency of agricultural interventions. These technologies enable targeted manipulation at multiple levels</w:t>
      </w:r>
      <w:r w:rsidR="00C15350">
        <w:rPr>
          <w:rFonts w:ascii="Arial" w:hAnsi="Arial" w:cs="Arial"/>
          <w:sz w:val="20"/>
          <w:szCs w:val="20"/>
          <w:lang w:val="en-IN"/>
        </w:rPr>
        <w:t xml:space="preserve"> </w:t>
      </w:r>
      <w:r w:rsidRPr="00037F99">
        <w:rPr>
          <w:rFonts w:ascii="Arial" w:hAnsi="Arial" w:cs="Arial"/>
          <w:sz w:val="20"/>
          <w:szCs w:val="20"/>
          <w:lang w:val="en-IN"/>
        </w:rPr>
        <w:t>genetic, biochemical, and environmental</w:t>
      </w:r>
      <w:r w:rsidR="00C15350">
        <w:rPr>
          <w:rFonts w:ascii="Arial" w:hAnsi="Arial" w:cs="Arial"/>
          <w:sz w:val="20"/>
          <w:szCs w:val="20"/>
          <w:lang w:val="en-IN"/>
        </w:rPr>
        <w:t xml:space="preserve"> </w:t>
      </w:r>
      <w:r w:rsidRPr="00037F99">
        <w:rPr>
          <w:rFonts w:ascii="Arial" w:hAnsi="Arial" w:cs="Arial"/>
          <w:sz w:val="20"/>
          <w:szCs w:val="20"/>
          <w:lang w:val="en-IN"/>
        </w:rPr>
        <w:t>thereby maximizing productivity while minimizing input requirements (Tuteja et al., 2020).</w:t>
      </w:r>
    </w:p>
    <w:p w14:paraId="520F8ADB"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4.4.2 Promoting Sustainability and Resource Conservation</w:t>
      </w:r>
    </w:p>
    <w:p w14:paraId="394EC96D"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Emerging biotechnologies contribute to sustainable agriculture by reducing dependence on chemical inputs, improving nutrient use efficiency, and enhancing resilience to environmental stresses. By enabling optimized resource utilization, these technologies support long-term agricultural sustainability and environmental conservation.</w:t>
      </w:r>
    </w:p>
    <w:p w14:paraId="1E923A95" w14:textId="77777777"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4.4.3 Enabling Adaptive and Climate-Resilient Agriculture</w:t>
      </w:r>
    </w:p>
    <w:p w14:paraId="6ADE33C1"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ability to integrate real-time data, predictive analytics, and engineered biological systems allows agricultural systems to adapt dynamically to changing climatic conditions. This adaptability is critical for maintaining productivity and stability in the face of increasing environmental variability and climate change.</w:t>
      </w:r>
    </w:p>
    <w:p w14:paraId="0E6F295B" w14:textId="2AD4AF61"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w:t>
      </w:r>
      <w:r w:rsidR="00FE0A06">
        <w:rPr>
          <w:rFonts w:ascii="Arial" w:hAnsi="Arial" w:cs="Arial"/>
          <w:b/>
          <w:bCs/>
          <w:sz w:val="20"/>
          <w:szCs w:val="20"/>
          <w:lang w:val="en-IN"/>
        </w:rPr>
        <w:t>5</w:t>
      </w:r>
      <w:r w:rsidRPr="00037F99">
        <w:rPr>
          <w:rFonts w:ascii="Arial" w:hAnsi="Arial" w:cs="Arial"/>
          <w:b/>
          <w:bCs/>
          <w:sz w:val="20"/>
          <w:szCs w:val="20"/>
          <w:lang w:val="en-IN"/>
        </w:rPr>
        <w:t xml:space="preserve"> Strategic Outlook: Toward Integrated and Intelligent Agricultural Systems</w:t>
      </w:r>
    </w:p>
    <w:p w14:paraId="59923FF4" w14:textId="30344FB5"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The future of agricultural biotechnology lies in the integration of emerging technologies into cohesive, intelligent systems that combine biological innovation with digital agriculture. The convergence of synthetic biology, nanotechnology, and bioinformatics with genome editing and precision farming tools will enable the development of highly efficient, adaptive, and sustainable agricultural systems</w:t>
      </w:r>
      <w:r w:rsidR="00A31886">
        <w:rPr>
          <w:rFonts w:ascii="Arial" w:hAnsi="Arial" w:cs="Arial"/>
          <w:sz w:val="20"/>
          <w:szCs w:val="20"/>
          <w:lang w:val="en-IN"/>
        </w:rPr>
        <w:t xml:space="preserve"> (Singh et al., 2025)</w:t>
      </w:r>
      <w:r w:rsidRPr="00037F99">
        <w:rPr>
          <w:rFonts w:ascii="Arial" w:hAnsi="Arial" w:cs="Arial"/>
          <w:sz w:val="20"/>
          <w:szCs w:val="20"/>
          <w:lang w:val="en-IN"/>
        </w:rPr>
        <w:t>.</w:t>
      </w:r>
    </w:p>
    <w:p w14:paraId="5AAC60CF" w14:textId="77777777" w:rsidR="00037F99" w:rsidRP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Such integrative approaches are expected to drive the transition from input-intensive agriculture toward knowledge-intensive systems, where decision-making is guided by real-time data and engineered biological responses. In this context, emerging biotechnologies should be viewed not as isolated innovations but as interconnected components of a broader technological ecosystem aimed at achieving global food security and environmental sustainability.</w:t>
      </w:r>
    </w:p>
    <w:p w14:paraId="150CE93E" w14:textId="3BEAEEAE" w:rsidR="00037F99" w:rsidRPr="00037F99" w:rsidRDefault="00037F99" w:rsidP="00037F99">
      <w:pPr>
        <w:spacing w:line="240" w:lineRule="auto"/>
        <w:jc w:val="both"/>
        <w:rPr>
          <w:rFonts w:ascii="Arial" w:hAnsi="Arial" w:cs="Arial"/>
          <w:b/>
          <w:bCs/>
          <w:sz w:val="20"/>
          <w:szCs w:val="20"/>
          <w:lang w:val="en-IN"/>
        </w:rPr>
      </w:pPr>
      <w:r w:rsidRPr="00037F99">
        <w:rPr>
          <w:rFonts w:ascii="Arial" w:hAnsi="Arial" w:cs="Arial"/>
          <w:b/>
          <w:bCs/>
          <w:sz w:val="20"/>
          <w:szCs w:val="20"/>
          <w:lang w:val="en-IN"/>
        </w:rPr>
        <w:t>4.</w:t>
      </w:r>
      <w:r w:rsidR="00FE0A06">
        <w:rPr>
          <w:rFonts w:ascii="Arial" w:hAnsi="Arial" w:cs="Arial"/>
          <w:b/>
          <w:bCs/>
          <w:sz w:val="20"/>
          <w:szCs w:val="20"/>
          <w:lang w:val="en-IN"/>
        </w:rPr>
        <w:t>6</w:t>
      </w:r>
      <w:r w:rsidRPr="00037F99">
        <w:rPr>
          <w:rFonts w:ascii="Arial" w:hAnsi="Arial" w:cs="Arial"/>
          <w:b/>
          <w:bCs/>
          <w:sz w:val="20"/>
          <w:szCs w:val="20"/>
          <w:lang w:val="en-IN"/>
        </w:rPr>
        <w:t xml:space="preserve"> Synthesis</w:t>
      </w:r>
    </w:p>
    <w:p w14:paraId="2B5CAB51" w14:textId="716AB370" w:rsidR="00037F99" w:rsidRDefault="00037F99" w:rsidP="00037F99">
      <w:pPr>
        <w:spacing w:line="240" w:lineRule="auto"/>
        <w:jc w:val="both"/>
        <w:rPr>
          <w:rFonts w:ascii="Arial" w:hAnsi="Arial" w:cs="Arial"/>
          <w:sz w:val="20"/>
          <w:szCs w:val="20"/>
          <w:lang w:val="en-IN"/>
        </w:rPr>
      </w:pPr>
      <w:r w:rsidRPr="00037F99">
        <w:rPr>
          <w:rFonts w:ascii="Arial" w:hAnsi="Arial" w:cs="Arial"/>
          <w:sz w:val="20"/>
          <w:szCs w:val="20"/>
          <w:lang w:val="en-IN"/>
        </w:rPr>
        <w:t>Emerging biotechnologies represent a critical expansion of the agricultural innovation landscape, complementing and extending the capabilities of GMOs and genome editing. Through system-level interventions, data-driven insights, and precision input management, these technologies offer transformative potential for addressing the complex challenges of modern agriculture (Giudice et al., 2021; Ahmar et al., 2021; Tuteja et al., 2020). However, their successful deployment will depend on balanced integration of technological advancement with regulatory oversight, ethical responsibility, and equitable access.</w:t>
      </w:r>
      <w:r w:rsidR="008F080A" w:rsidRPr="008F080A">
        <w:t xml:space="preserve"> </w:t>
      </w:r>
      <w:r w:rsidR="008F080A" w:rsidRPr="008F080A">
        <w:rPr>
          <w:rFonts w:ascii="Arial" w:hAnsi="Arial" w:cs="Arial"/>
          <w:sz w:val="20"/>
          <w:szCs w:val="20"/>
          <w:lang w:val="en-IN"/>
        </w:rPr>
        <w:t xml:space="preserve">A comparative synthesis of major agricultural biotechnological approaches, including </w:t>
      </w:r>
      <w:r w:rsidR="008F080A" w:rsidRPr="008F080A">
        <w:rPr>
          <w:rFonts w:ascii="Arial" w:hAnsi="Arial" w:cs="Arial"/>
          <w:sz w:val="20"/>
          <w:szCs w:val="20"/>
          <w:lang w:val="en-IN"/>
        </w:rPr>
        <w:lastRenderedPageBreak/>
        <w:t>GMOs, genome editing, and emerging technologies, is presented in Table 1, highlighting their relative advantages, limitations, and sustainability potential.</w:t>
      </w:r>
    </w:p>
    <w:p w14:paraId="22978E1A" w14:textId="77777777"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Table 1. Comparative Analysis of Major Biotechnological Approaches in Agriculture: GMOs, Genome Editing, and Emerging Technologies</w:t>
      </w:r>
    </w:p>
    <w:tbl>
      <w:tblPr>
        <w:tblStyle w:val="TableGrid"/>
        <w:tblW w:w="0" w:type="auto"/>
        <w:tblLook w:val="04A0" w:firstRow="1" w:lastRow="0" w:firstColumn="1" w:lastColumn="0" w:noHBand="0" w:noVBand="1"/>
      </w:tblPr>
      <w:tblGrid>
        <w:gridCol w:w="1736"/>
        <w:gridCol w:w="2633"/>
        <w:gridCol w:w="2407"/>
        <w:gridCol w:w="2800"/>
      </w:tblGrid>
      <w:tr w:rsidR="008F080A" w14:paraId="655E6C37" w14:textId="77777777" w:rsidTr="008F080A">
        <w:tc>
          <w:tcPr>
            <w:tcW w:w="0" w:type="auto"/>
            <w:vAlign w:val="center"/>
          </w:tcPr>
          <w:p w14:paraId="386D0932" w14:textId="69736237"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Aspect</w:t>
            </w:r>
          </w:p>
        </w:tc>
        <w:tc>
          <w:tcPr>
            <w:tcW w:w="0" w:type="auto"/>
            <w:vAlign w:val="center"/>
          </w:tcPr>
          <w:p w14:paraId="4A06A5B2" w14:textId="0A8BC0E2"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Genetically Modified Organisms (GMOs)</w:t>
            </w:r>
          </w:p>
        </w:tc>
        <w:tc>
          <w:tcPr>
            <w:tcW w:w="0" w:type="auto"/>
            <w:vAlign w:val="center"/>
          </w:tcPr>
          <w:p w14:paraId="7C0F7208" w14:textId="2E735CF8"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Genome Editing (CRISPR-Cas Systems)</w:t>
            </w:r>
          </w:p>
        </w:tc>
        <w:tc>
          <w:tcPr>
            <w:tcW w:w="0" w:type="auto"/>
            <w:vAlign w:val="center"/>
          </w:tcPr>
          <w:p w14:paraId="77968AF9" w14:textId="1AC258C8"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Emerging Biotechnologies (Synthetic Biology, Nanotechnology, Bioinformatics)</w:t>
            </w:r>
          </w:p>
        </w:tc>
      </w:tr>
      <w:tr w:rsidR="008F080A" w14:paraId="1E2774C0" w14:textId="77777777" w:rsidTr="008F080A">
        <w:tc>
          <w:tcPr>
            <w:tcW w:w="0" w:type="auto"/>
            <w:vAlign w:val="center"/>
          </w:tcPr>
          <w:p w14:paraId="726A5A43" w14:textId="2CD4BD76"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Technological Basis</w:t>
            </w:r>
          </w:p>
        </w:tc>
        <w:tc>
          <w:tcPr>
            <w:tcW w:w="0" w:type="auto"/>
            <w:vAlign w:val="center"/>
          </w:tcPr>
          <w:p w14:paraId="7515A5D6" w14:textId="7875124F"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Introduction or modification of genes, often involving transgenes</w:t>
            </w:r>
          </w:p>
        </w:tc>
        <w:tc>
          <w:tcPr>
            <w:tcW w:w="0" w:type="auto"/>
            <w:vAlign w:val="center"/>
          </w:tcPr>
          <w:p w14:paraId="5A87F95A" w14:textId="3E4C549D"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Site-specific modification of endogenous DNA using programmable nucleases</w:t>
            </w:r>
          </w:p>
        </w:tc>
        <w:tc>
          <w:tcPr>
            <w:tcW w:w="0" w:type="auto"/>
            <w:vAlign w:val="center"/>
          </w:tcPr>
          <w:p w14:paraId="2D75E037" w14:textId="1156E4E1"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System-level engineering, nanoscale interventions, and data-driven analytics</w:t>
            </w:r>
          </w:p>
        </w:tc>
      </w:tr>
      <w:tr w:rsidR="008F080A" w14:paraId="6E42431F" w14:textId="77777777" w:rsidTr="008F080A">
        <w:tc>
          <w:tcPr>
            <w:tcW w:w="0" w:type="auto"/>
            <w:vAlign w:val="center"/>
          </w:tcPr>
          <w:p w14:paraId="6AB6AA43" w14:textId="4D97370C"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Precision Level</w:t>
            </w:r>
          </w:p>
        </w:tc>
        <w:tc>
          <w:tcPr>
            <w:tcW w:w="0" w:type="auto"/>
            <w:vAlign w:val="center"/>
          </w:tcPr>
          <w:p w14:paraId="7CAEB53C" w14:textId="3D27A0C0"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Moderate (random insertion possible)</w:t>
            </w:r>
          </w:p>
        </w:tc>
        <w:tc>
          <w:tcPr>
            <w:tcW w:w="0" w:type="auto"/>
            <w:vAlign w:val="center"/>
          </w:tcPr>
          <w:p w14:paraId="556BCA63" w14:textId="344EB3FA"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High (targeted, sequence-specific editing)</w:t>
            </w:r>
          </w:p>
        </w:tc>
        <w:tc>
          <w:tcPr>
            <w:tcW w:w="0" w:type="auto"/>
            <w:vAlign w:val="center"/>
          </w:tcPr>
          <w:p w14:paraId="23402117" w14:textId="4A5B4993"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Very high (multi-level precision: molecular, cellular, and system-level)</w:t>
            </w:r>
          </w:p>
        </w:tc>
      </w:tr>
      <w:tr w:rsidR="008F080A" w14:paraId="19ADFEF8" w14:textId="77777777" w:rsidTr="008F080A">
        <w:tc>
          <w:tcPr>
            <w:tcW w:w="0" w:type="auto"/>
            <w:vAlign w:val="center"/>
          </w:tcPr>
          <w:p w14:paraId="7F15FF4F" w14:textId="2B225862"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Time for Development</w:t>
            </w:r>
          </w:p>
        </w:tc>
        <w:tc>
          <w:tcPr>
            <w:tcW w:w="0" w:type="auto"/>
            <w:vAlign w:val="center"/>
          </w:tcPr>
          <w:p w14:paraId="09F06E11" w14:textId="5FA5621E"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Relatively long due to regulatory and breeding steps</w:t>
            </w:r>
          </w:p>
        </w:tc>
        <w:tc>
          <w:tcPr>
            <w:tcW w:w="0" w:type="auto"/>
            <w:vAlign w:val="center"/>
          </w:tcPr>
          <w:p w14:paraId="67BB3919" w14:textId="66B213C7"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Faster due to direct genome modification</w:t>
            </w:r>
          </w:p>
        </w:tc>
        <w:tc>
          <w:tcPr>
            <w:tcW w:w="0" w:type="auto"/>
            <w:vAlign w:val="center"/>
          </w:tcPr>
          <w:p w14:paraId="148A5365" w14:textId="58ADB54C"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Variable; often integrated with computational and engineering tools</w:t>
            </w:r>
          </w:p>
        </w:tc>
      </w:tr>
      <w:tr w:rsidR="008F080A" w14:paraId="312B2F92" w14:textId="77777777" w:rsidTr="008F080A">
        <w:tc>
          <w:tcPr>
            <w:tcW w:w="0" w:type="auto"/>
            <w:vAlign w:val="center"/>
          </w:tcPr>
          <w:p w14:paraId="431B2930" w14:textId="1B11160E"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Key Applications</w:t>
            </w:r>
          </w:p>
        </w:tc>
        <w:tc>
          <w:tcPr>
            <w:tcW w:w="0" w:type="auto"/>
            <w:vAlign w:val="center"/>
          </w:tcPr>
          <w:p w14:paraId="04080004" w14:textId="7987CAB5"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Pest resistance, herbicide tolerance, biofortification</w:t>
            </w:r>
          </w:p>
        </w:tc>
        <w:tc>
          <w:tcPr>
            <w:tcW w:w="0" w:type="auto"/>
            <w:vAlign w:val="center"/>
          </w:tcPr>
          <w:p w14:paraId="41F54A4E" w14:textId="697887B9"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Trait improvement, stress tolerance, yield enhancement</w:t>
            </w:r>
          </w:p>
        </w:tc>
        <w:tc>
          <w:tcPr>
            <w:tcW w:w="0" w:type="auto"/>
            <w:vAlign w:val="center"/>
          </w:tcPr>
          <w:p w14:paraId="7A307CA8" w14:textId="4FFBBBB8"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Smart delivery systems, biosensors, predictive breeding, precision agriculture</w:t>
            </w:r>
          </w:p>
        </w:tc>
      </w:tr>
      <w:tr w:rsidR="008F080A" w14:paraId="54E9F95C" w14:textId="77777777" w:rsidTr="008F080A">
        <w:tc>
          <w:tcPr>
            <w:tcW w:w="0" w:type="auto"/>
            <w:vAlign w:val="center"/>
          </w:tcPr>
          <w:p w14:paraId="60CCB54D" w14:textId="075D50D2"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Environmental Impact</w:t>
            </w:r>
          </w:p>
        </w:tc>
        <w:tc>
          <w:tcPr>
            <w:tcW w:w="0" w:type="auto"/>
            <w:vAlign w:val="center"/>
          </w:tcPr>
          <w:p w14:paraId="28542CD5" w14:textId="21F24D00"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 xml:space="preserve">Reduced pesticide </w:t>
            </w:r>
            <w:proofErr w:type="gramStart"/>
            <w:r w:rsidRPr="008F080A">
              <w:rPr>
                <w:rFonts w:ascii="Arial" w:hAnsi="Arial" w:cs="Arial"/>
                <w:sz w:val="20"/>
                <w:szCs w:val="20"/>
              </w:rPr>
              <w:t>use</w:t>
            </w:r>
            <w:proofErr w:type="gramEnd"/>
            <w:r w:rsidRPr="008F080A">
              <w:rPr>
                <w:rFonts w:ascii="Arial" w:hAnsi="Arial" w:cs="Arial"/>
                <w:sz w:val="20"/>
                <w:szCs w:val="20"/>
              </w:rPr>
              <w:t xml:space="preserve"> but risk of gene flow and resistance development (</w:t>
            </w:r>
            <w:proofErr w:type="spellStart"/>
            <w:r w:rsidRPr="008F080A">
              <w:rPr>
                <w:rFonts w:ascii="Arial" w:hAnsi="Arial" w:cs="Arial"/>
                <w:sz w:val="20"/>
                <w:szCs w:val="20"/>
              </w:rPr>
              <w:t>Vrbničanin</w:t>
            </w:r>
            <w:proofErr w:type="spellEnd"/>
            <w:r w:rsidRPr="008F080A">
              <w:rPr>
                <w:rFonts w:ascii="Arial" w:hAnsi="Arial" w:cs="Arial"/>
                <w:sz w:val="20"/>
                <w:szCs w:val="20"/>
              </w:rPr>
              <w:t xml:space="preserve"> et al., 2017)</w:t>
            </w:r>
          </w:p>
        </w:tc>
        <w:tc>
          <w:tcPr>
            <w:tcW w:w="0" w:type="auto"/>
            <w:vAlign w:val="center"/>
          </w:tcPr>
          <w:p w14:paraId="4048A366" w14:textId="6780C221"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Lower chemical dependency; potential off-target risks</w:t>
            </w:r>
          </w:p>
        </w:tc>
        <w:tc>
          <w:tcPr>
            <w:tcW w:w="0" w:type="auto"/>
            <w:vAlign w:val="center"/>
          </w:tcPr>
          <w:p w14:paraId="3DB1467D" w14:textId="51A4509E"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Enhanced resource efficiency; concerns on nanoparticle toxicity (Ahmar et al., 2021)</w:t>
            </w:r>
          </w:p>
        </w:tc>
      </w:tr>
      <w:tr w:rsidR="008F080A" w14:paraId="7529779A" w14:textId="77777777" w:rsidTr="008F080A">
        <w:tc>
          <w:tcPr>
            <w:tcW w:w="0" w:type="auto"/>
            <w:vAlign w:val="center"/>
          </w:tcPr>
          <w:p w14:paraId="2F1010FF" w14:textId="27B59511"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Regulatory Status</w:t>
            </w:r>
          </w:p>
        </w:tc>
        <w:tc>
          <w:tcPr>
            <w:tcW w:w="0" w:type="auto"/>
            <w:vAlign w:val="center"/>
          </w:tcPr>
          <w:p w14:paraId="1668C08F" w14:textId="7C247494"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Strict and well-defined in most countries</w:t>
            </w:r>
          </w:p>
        </w:tc>
        <w:tc>
          <w:tcPr>
            <w:tcW w:w="0" w:type="auto"/>
            <w:vAlign w:val="center"/>
          </w:tcPr>
          <w:p w14:paraId="4BAFF116" w14:textId="1D9955F1"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Evolving; less stringent in some regions if no foreign DNA</w:t>
            </w:r>
          </w:p>
        </w:tc>
        <w:tc>
          <w:tcPr>
            <w:tcW w:w="0" w:type="auto"/>
            <w:vAlign w:val="center"/>
          </w:tcPr>
          <w:p w14:paraId="37C0A93E" w14:textId="1E82C1EA"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Largely undefined or emerging regulatory frameworks (Giudice et al., 2021)</w:t>
            </w:r>
          </w:p>
        </w:tc>
      </w:tr>
      <w:tr w:rsidR="008F080A" w14:paraId="4C86CB7A" w14:textId="77777777" w:rsidTr="008F080A">
        <w:tc>
          <w:tcPr>
            <w:tcW w:w="0" w:type="auto"/>
            <w:vAlign w:val="center"/>
          </w:tcPr>
          <w:p w14:paraId="52DE451B" w14:textId="1955ECCD"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Societal Acceptance</w:t>
            </w:r>
          </w:p>
        </w:tc>
        <w:tc>
          <w:tcPr>
            <w:tcW w:w="0" w:type="auto"/>
            <w:vAlign w:val="center"/>
          </w:tcPr>
          <w:p w14:paraId="340E07E2" w14:textId="106A3032"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Controversial due to ethical and safety concerns</w:t>
            </w:r>
          </w:p>
        </w:tc>
        <w:tc>
          <w:tcPr>
            <w:tcW w:w="0" w:type="auto"/>
            <w:vAlign w:val="center"/>
          </w:tcPr>
          <w:p w14:paraId="1951323C" w14:textId="54C798B9"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Relatively higher acceptance compared to GMOs</w:t>
            </w:r>
          </w:p>
        </w:tc>
        <w:tc>
          <w:tcPr>
            <w:tcW w:w="0" w:type="auto"/>
            <w:vAlign w:val="center"/>
          </w:tcPr>
          <w:p w14:paraId="5B00E610" w14:textId="083AD1A5"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Limited awareness; acceptance depends on perceived risks and benefits</w:t>
            </w:r>
          </w:p>
        </w:tc>
      </w:tr>
      <w:tr w:rsidR="008F080A" w14:paraId="301B6853" w14:textId="77777777" w:rsidTr="008F080A">
        <w:tc>
          <w:tcPr>
            <w:tcW w:w="0" w:type="auto"/>
            <w:vAlign w:val="center"/>
          </w:tcPr>
          <w:p w14:paraId="6A38F517" w14:textId="538951A6"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Economic Implications</w:t>
            </w:r>
          </w:p>
        </w:tc>
        <w:tc>
          <w:tcPr>
            <w:tcW w:w="0" w:type="auto"/>
            <w:vAlign w:val="center"/>
          </w:tcPr>
          <w:p w14:paraId="261F512B" w14:textId="560E3BAC"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High investment; corporate dominance concerns</w:t>
            </w:r>
          </w:p>
        </w:tc>
        <w:tc>
          <w:tcPr>
            <w:tcW w:w="0" w:type="auto"/>
            <w:vAlign w:val="center"/>
          </w:tcPr>
          <w:p w14:paraId="1A79A1FC" w14:textId="7B1424AD"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Cost-effective and accessible for research and breeding</w:t>
            </w:r>
          </w:p>
        </w:tc>
        <w:tc>
          <w:tcPr>
            <w:tcW w:w="0" w:type="auto"/>
            <w:vAlign w:val="center"/>
          </w:tcPr>
          <w:p w14:paraId="4747FF56" w14:textId="4ECFEFF7"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Requires advanced infrastructure and interdisciplinary expertise</w:t>
            </w:r>
          </w:p>
        </w:tc>
      </w:tr>
      <w:tr w:rsidR="008F080A" w14:paraId="407A1428" w14:textId="77777777" w:rsidTr="008F080A">
        <w:tc>
          <w:tcPr>
            <w:tcW w:w="0" w:type="auto"/>
            <w:vAlign w:val="center"/>
          </w:tcPr>
          <w:p w14:paraId="267E0914" w14:textId="1A35BEF5" w:rsidR="008F080A" w:rsidRDefault="008F080A" w:rsidP="008F080A">
            <w:pPr>
              <w:pStyle w:val="NoSpacing"/>
              <w:jc w:val="center"/>
              <w:rPr>
                <w:rFonts w:ascii="Arial" w:hAnsi="Arial" w:cs="Arial"/>
                <w:b/>
                <w:bCs/>
                <w:sz w:val="20"/>
                <w:szCs w:val="20"/>
              </w:rPr>
            </w:pPr>
            <w:r w:rsidRPr="008F080A">
              <w:rPr>
                <w:rFonts w:ascii="Arial" w:hAnsi="Arial" w:cs="Arial"/>
                <w:b/>
                <w:bCs/>
                <w:sz w:val="20"/>
                <w:szCs w:val="20"/>
              </w:rPr>
              <w:t>Sustainability Potential</w:t>
            </w:r>
          </w:p>
        </w:tc>
        <w:tc>
          <w:tcPr>
            <w:tcW w:w="0" w:type="auto"/>
            <w:vAlign w:val="center"/>
          </w:tcPr>
          <w:p w14:paraId="4C2EFE56" w14:textId="1AEB89E2"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Moderate to high</w:t>
            </w:r>
          </w:p>
        </w:tc>
        <w:tc>
          <w:tcPr>
            <w:tcW w:w="0" w:type="auto"/>
            <w:vAlign w:val="center"/>
          </w:tcPr>
          <w:p w14:paraId="41DFFA51" w14:textId="59156483"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High</w:t>
            </w:r>
          </w:p>
        </w:tc>
        <w:tc>
          <w:tcPr>
            <w:tcW w:w="0" w:type="auto"/>
            <w:vAlign w:val="center"/>
          </w:tcPr>
          <w:p w14:paraId="4892BD6F" w14:textId="24BDE563" w:rsidR="008F080A" w:rsidRDefault="008F080A" w:rsidP="008F080A">
            <w:pPr>
              <w:pStyle w:val="NoSpacing"/>
              <w:jc w:val="center"/>
              <w:rPr>
                <w:rFonts w:ascii="Arial" w:hAnsi="Arial" w:cs="Arial"/>
                <w:b/>
                <w:bCs/>
                <w:sz w:val="20"/>
                <w:szCs w:val="20"/>
              </w:rPr>
            </w:pPr>
            <w:r w:rsidRPr="008F080A">
              <w:rPr>
                <w:rFonts w:ascii="Arial" w:hAnsi="Arial" w:cs="Arial"/>
                <w:sz w:val="20"/>
                <w:szCs w:val="20"/>
              </w:rPr>
              <w:t>Very high (integrated and adaptive systems)</w:t>
            </w:r>
          </w:p>
        </w:tc>
      </w:tr>
    </w:tbl>
    <w:p w14:paraId="4189E4F8" w14:textId="77777777" w:rsidR="008F080A" w:rsidRPr="00037F99" w:rsidRDefault="008F080A" w:rsidP="00037F99">
      <w:pPr>
        <w:spacing w:line="240" w:lineRule="auto"/>
        <w:jc w:val="both"/>
        <w:rPr>
          <w:rFonts w:ascii="Arial" w:hAnsi="Arial" w:cs="Arial"/>
          <w:sz w:val="20"/>
          <w:szCs w:val="20"/>
          <w:lang w:val="en-IN"/>
        </w:rPr>
      </w:pPr>
    </w:p>
    <w:p w14:paraId="6D32E961" w14:textId="77777777" w:rsidR="003E47D8" w:rsidRPr="003E47D8" w:rsidRDefault="003E47D8" w:rsidP="003E47D8">
      <w:pPr>
        <w:spacing w:line="240" w:lineRule="auto"/>
        <w:jc w:val="both"/>
        <w:rPr>
          <w:rFonts w:ascii="Arial" w:hAnsi="Arial" w:cs="Arial"/>
          <w:b/>
          <w:bCs/>
          <w:sz w:val="24"/>
          <w:szCs w:val="24"/>
          <w:lang w:val="en-IN"/>
        </w:rPr>
      </w:pPr>
      <w:r w:rsidRPr="003E47D8">
        <w:rPr>
          <w:rFonts w:ascii="Arial" w:hAnsi="Arial" w:cs="Arial"/>
          <w:b/>
          <w:bCs/>
          <w:sz w:val="24"/>
          <w:szCs w:val="24"/>
          <w:lang w:val="en-IN"/>
        </w:rPr>
        <w:t>5. Environmental Implications of Agricultural Biotechnology: Ecological Risks, Benefits, and Sustainability Pathways</w:t>
      </w:r>
    </w:p>
    <w:p w14:paraId="2F8A4F64" w14:textId="06D90C99"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The deployment of biotechnology in agriculture has profound implications for environmental sustainability, influencing ecosystem structure, biodiversity dynamics, and resource utilization patterns</w:t>
      </w:r>
      <w:r w:rsidR="00A31886">
        <w:rPr>
          <w:rFonts w:ascii="Arial" w:hAnsi="Arial" w:cs="Arial"/>
          <w:sz w:val="20"/>
          <w:szCs w:val="20"/>
          <w:lang w:val="en-IN"/>
        </w:rPr>
        <w:t xml:space="preserve"> (Kusuma et al., 2024)</w:t>
      </w:r>
      <w:r w:rsidRPr="003E47D8">
        <w:rPr>
          <w:rFonts w:ascii="Arial" w:hAnsi="Arial" w:cs="Arial"/>
          <w:sz w:val="20"/>
          <w:szCs w:val="20"/>
          <w:lang w:val="en-IN"/>
        </w:rPr>
        <w:t>. While biotechnological interventions offer significant opportunities to reduce environmental degradation and enhance resource efficiency, they also introduce ecological uncertainties that require careful evaluation. The environmental dimension of agricultural biotechnology is therefore characterized by a duality of benefits and risks, necessitating a balanced and evidence-based assessment to ensure sustainable integration into agroecosystems.</w:t>
      </w:r>
      <w:r w:rsidR="00C15350">
        <w:rPr>
          <w:rFonts w:ascii="Arial" w:hAnsi="Arial" w:cs="Arial"/>
          <w:sz w:val="20"/>
          <w:szCs w:val="20"/>
          <w:lang w:val="en-IN"/>
        </w:rPr>
        <w:t xml:space="preserve"> </w:t>
      </w:r>
      <w:r w:rsidRPr="003E47D8">
        <w:rPr>
          <w:rFonts w:ascii="Arial" w:hAnsi="Arial" w:cs="Arial"/>
          <w:sz w:val="20"/>
          <w:szCs w:val="20"/>
          <w:lang w:val="en-IN"/>
        </w:rPr>
        <w:t>Understanding these impacts is critical in the context of global challenges such as climate change, biodiversity loss, and land degradation, where agricultural systems play both contributory and mitigative roles.</w:t>
      </w:r>
    </w:p>
    <w:p w14:paraId="72D156FA" w14:textId="77777777"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5.1 Impacts on Biodiversity and Ecosystem Functioning</w:t>
      </w:r>
    </w:p>
    <w:p w14:paraId="6402AC1B" w14:textId="77777777"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lastRenderedPageBreak/>
        <w:t>5.1.1 Genetic Diversity and Gene Flow Dynamics</w:t>
      </w:r>
    </w:p>
    <w:p w14:paraId="5591683E" w14:textId="77777777"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The introduction of genetically modified and gene-edited crops has the potential to alter genetic diversity within agricultural and adjacent natural ecosystems. Gene flow from cultivated varieties to wild relatives may lead to the introgression of transgenes into non-target populations, thereby influencing evolutionary trajectories and genetic integrity of native species (Amini et al., 2014). This is particularly relevant in centers of origin and diversity, where wild relatives play a crucial role in maintaining genetic reservoirs for future crop improvement.</w:t>
      </w:r>
    </w:p>
    <w:p w14:paraId="4658E399" w14:textId="77777777"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5.1.2 Alteration of Species Interactions and Trophic Dynamics</w:t>
      </w:r>
    </w:p>
    <w:p w14:paraId="5B202C96" w14:textId="77777777"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Biotechnological modifications, such as pest-resistant traits, can influence ecological interactions across trophic levels. For instance, reduced pest populations may affect predator–prey dynamics and alter the abundance of non-target organisms, including beneficial insects and soil biota. Such cascading effects highlight the need to evaluate ecological interactions beyond the target trait to ensure ecosystem stability.</w:t>
      </w:r>
    </w:p>
    <w:p w14:paraId="7C5B65AF" w14:textId="77777777"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5.1.3 Habitat Modification and Agroecosystem Simplification</w:t>
      </w:r>
    </w:p>
    <w:p w14:paraId="5958D9B1" w14:textId="77777777"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The widespread adoption of uniform, high-performing biotechnological crop varieties may contribute to agricultural intensification and monoculture practices. This can lead to habitat simplification, reduced on-farm biodiversity, and increased vulnerability to pest outbreaks and environmental stresses. Integrating biotechnological approaches with agroecological practices is therefore essential to maintain ecological balance.</w:t>
      </w:r>
    </w:p>
    <w:p w14:paraId="4553C2B0" w14:textId="1AFA0D9A"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w:t>
      </w:r>
      <w:r w:rsidR="00BA7B2F">
        <w:rPr>
          <w:rFonts w:ascii="Arial" w:hAnsi="Arial" w:cs="Arial"/>
          <w:b/>
          <w:bCs/>
          <w:sz w:val="20"/>
          <w:szCs w:val="20"/>
          <w:lang w:val="en-IN"/>
        </w:rPr>
        <w:t>2</w:t>
      </w:r>
      <w:r w:rsidRPr="003E47D8">
        <w:rPr>
          <w:rFonts w:ascii="Arial" w:hAnsi="Arial" w:cs="Arial"/>
          <w:b/>
          <w:bCs/>
          <w:sz w:val="20"/>
          <w:szCs w:val="20"/>
          <w:lang w:val="en-IN"/>
        </w:rPr>
        <w:t xml:space="preserve"> Environmental Benefits and Ecosystem Services Enhancement</w:t>
      </w:r>
    </w:p>
    <w:p w14:paraId="3960B0B5" w14:textId="42BECA7A"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w:t>
      </w:r>
      <w:r w:rsidR="00BA7B2F">
        <w:rPr>
          <w:rFonts w:ascii="Arial" w:hAnsi="Arial" w:cs="Arial"/>
          <w:b/>
          <w:bCs/>
          <w:sz w:val="20"/>
          <w:szCs w:val="20"/>
          <w:lang w:val="en-IN"/>
        </w:rPr>
        <w:t>2</w:t>
      </w:r>
      <w:r w:rsidRPr="003E47D8">
        <w:rPr>
          <w:rFonts w:ascii="Arial" w:hAnsi="Arial" w:cs="Arial"/>
          <w:b/>
          <w:bCs/>
          <w:sz w:val="20"/>
          <w:szCs w:val="20"/>
          <w:lang w:val="en-IN"/>
        </w:rPr>
        <w:t>.1 Reduction in Chemical Inputs and Environmental Pollution</w:t>
      </w:r>
    </w:p>
    <w:p w14:paraId="4D67D044" w14:textId="77777777"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One of the most widely recognized environmental benefits of biotechnology is the reduction in pesticide and herbicide usage, particularly in crops engineered for pest resistance. Lower chemical input requirements contribute to decreased soil and water contamination, reduced greenhouse gas emissions associated with agrochemical production, and improved safety for farm workers and surrounding ecosystems (</w:t>
      </w:r>
      <w:proofErr w:type="spellStart"/>
      <w:r w:rsidRPr="003E47D8">
        <w:rPr>
          <w:rFonts w:ascii="Arial" w:hAnsi="Arial" w:cs="Arial"/>
          <w:sz w:val="20"/>
          <w:szCs w:val="20"/>
          <w:lang w:val="en-IN"/>
        </w:rPr>
        <w:t>Kershen</w:t>
      </w:r>
      <w:proofErr w:type="spellEnd"/>
      <w:r w:rsidRPr="003E47D8">
        <w:rPr>
          <w:rFonts w:ascii="Arial" w:hAnsi="Arial" w:cs="Arial"/>
          <w:sz w:val="20"/>
          <w:szCs w:val="20"/>
          <w:lang w:val="en-IN"/>
        </w:rPr>
        <w:t>, 2002).</w:t>
      </w:r>
    </w:p>
    <w:p w14:paraId="22ADA99B" w14:textId="0D00EEB5"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w:t>
      </w:r>
      <w:r w:rsidR="00BA7B2F">
        <w:rPr>
          <w:rFonts w:ascii="Arial" w:hAnsi="Arial" w:cs="Arial"/>
          <w:b/>
          <w:bCs/>
          <w:sz w:val="20"/>
          <w:szCs w:val="20"/>
          <w:lang w:val="en-IN"/>
        </w:rPr>
        <w:t>2</w:t>
      </w:r>
      <w:r w:rsidRPr="003E47D8">
        <w:rPr>
          <w:rFonts w:ascii="Arial" w:hAnsi="Arial" w:cs="Arial"/>
          <w:b/>
          <w:bCs/>
          <w:sz w:val="20"/>
          <w:szCs w:val="20"/>
          <w:lang w:val="en-IN"/>
        </w:rPr>
        <w:t>.2 Improved Resource Use Efficiency</w:t>
      </w:r>
    </w:p>
    <w:p w14:paraId="7B505E2C" w14:textId="77777777" w:rsidR="003E47D8" w:rsidRP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Biotechnological innovations have enabled the development of crop varieties with enhanced nutrient use efficiency and water-use efficiency. Such traits are particularly important in regions facing resource scarcity, as they allow for sustained productivity with reduced input requirements. Improved efficiency contributes to the conservation of water resources, reduction of fertilizer runoff, and mitigation of environmental degradation.</w:t>
      </w:r>
    </w:p>
    <w:p w14:paraId="5539A708" w14:textId="5BC2D1E9" w:rsidR="003E47D8" w:rsidRPr="003E47D8" w:rsidRDefault="003E47D8" w:rsidP="003E47D8">
      <w:pPr>
        <w:spacing w:line="240" w:lineRule="auto"/>
        <w:jc w:val="both"/>
        <w:rPr>
          <w:rFonts w:ascii="Arial" w:hAnsi="Arial" w:cs="Arial"/>
          <w:b/>
          <w:bCs/>
          <w:sz w:val="20"/>
          <w:szCs w:val="20"/>
          <w:lang w:val="en-IN"/>
        </w:rPr>
      </w:pPr>
      <w:r w:rsidRPr="003E47D8">
        <w:rPr>
          <w:rFonts w:ascii="Arial" w:hAnsi="Arial" w:cs="Arial"/>
          <w:b/>
          <w:bCs/>
          <w:sz w:val="20"/>
          <w:szCs w:val="20"/>
          <w:lang w:val="en-IN"/>
        </w:rPr>
        <w:t>5.</w:t>
      </w:r>
      <w:r w:rsidR="00BA7B2F">
        <w:rPr>
          <w:rFonts w:ascii="Arial" w:hAnsi="Arial" w:cs="Arial"/>
          <w:b/>
          <w:bCs/>
          <w:sz w:val="20"/>
          <w:szCs w:val="20"/>
          <w:lang w:val="en-IN"/>
        </w:rPr>
        <w:t>2</w:t>
      </w:r>
      <w:r w:rsidRPr="003E47D8">
        <w:rPr>
          <w:rFonts w:ascii="Arial" w:hAnsi="Arial" w:cs="Arial"/>
          <w:b/>
          <w:bCs/>
          <w:sz w:val="20"/>
          <w:szCs w:val="20"/>
          <w:lang w:val="en-IN"/>
        </w:rPr>
        <w:t>.3 Contribution to Climate Change Mitigation and Adaptation</w:t>
      </w:r>
    </w:p>
    <w:p w14:paraId="1FC9D139" w14:textId="102B071A" w:rsidR="003E47D8" w:rsidRDefault="003E47D8" w:rsidP="003E47D8">
      <w:pPr>
        <w:spacing w:line="240" w:lineRule="auto"/>
        <w:jc w:val="both"/>
        <w:rPr>
          <w:rFonts w:ascii="Arial" w:hAnsi="Arial" w:cs="Arial"/>
          <w:sz w:val="20"/>
          <w:szCs w:val="20"/>
          <w:lang w:val="en-IN"/>
        </w:rPr>
      </w:pPr>
      <w:r w:rsidRPr="003E47D8">
        <w:rPr>
          <w:rFonts w:ascii="Arial" w:hAnsi="Arial" w:cs="Arial"/>
          <w:sz w:val="20"/>
          <w:szCs w:val="20"/>
          <w:lang w:val="en-IN"/>
        </w:rPr>
        <w:t>Biotechnology plays a significant role in developing climate-resilient crops capable of withstanding extreme environmental conditions such as drought, heat, and salinity</w:t>
      </w:r>
      <w:r w:rsidR="00A31886">
        <w:rPr>
          <w:rFonts w:ascii="Arial" w:hAnsi="Arial" w:cs="Arial"/>
          <w:sz w:val="20"/>
          <w:szCs w:val="20"/>
          <w:lang w:val="en-IN"/>
        </w:rPr>
        <w:t xml:space="preserve"> (</w:t>
      </w:r>
      <w:proofErr w:type="spellStart"/>
      <w:r w:rsidR="00A31886">
        <w:rPr>
          <w:rFonts w:ascii="Arial" w:hAnsi="Arial" w:cs="Arial"/>
          <w:sz w:val="20"/>
          <w:szCs w:val="20"/>
          <w:lang w:val="en-IN"/>
        </w:rPr>
        <w:t>Tutlani</w:t>
      </w:r>
      <w:proofErr w:type="spellEnd"/>
      <w:r w:rsidR="00A31886">
        <w:rPr>
          <w:rFonts w:ascii="Arial" w:hAnsi="Arial" w:cs="Arial"/>
          <w:sz w:val="20"/>
          <w:szCs w:val="20"/>
          <w:lang w:val="en-IN"/>
        </w:rPr>
        <w:t xml:space="preserve"> et al., 2023)</w:t>
      </w:r>
      <w:r w:rsidRPr="003E47D8">
        <w:rPr>
          <w:rFonts w:ascii="Arial" w:hAnsi="Arial" w:cs="Arial"/>
          <w:sz w:val="20"/>
          <w:szCs w:val="20"/>
          <w:lang w:val="en-IN"/>
        </w:rPr>
        <w:t>. Additionally, improved crop productivity and resource efficiency can reduce the need for agricultural expansion, thereby limiting deforestation and associated carbon emissions. These contributions position biotechnology as a key tool in climate-smart agriculture.</w:t>
      </w:r>
      <w:r w:rsidR="008F080A" w:rsidRPr="008F080A">
        <w:t xml:space="preserve"> </w:t>
      </w:r>
      <w:r w:rsidR="008F080A" w:rsidRPr="008F080A">
        <w:rPr>
          <w:rFonts w:ascii="Arial" w:hAnsi="Arial" w:cs="Arial"/>
          <w:sz w:val="20"/>
          <w:szCs w:val="20"/>
          <w:lang w:val="en-IN"/>
        </w:rPr>
        <w:t>The major environmental risks, benefits, and mitigation strategies associated with agricultural biotechnology are summarized in Table 2</w:t>
      </w:r>
      <w:r w:rsidR="008F080A">
        <w:rPr>
          <w:rFonts w:ascii="Arial" w:hAnsi="Arial" w:cs="Arial"/>
          <w:sz w:val="20"/>
          <w:szCs w:val="20"/>
          <w:lang w:val="en-IN"/>
        </w:rPr>
        <w:t>.</w:t>
      </w:r>
    </w:p>
    <w:p w14:paraId="4D0C0121" w14:textId="77777777" w:rsidR="008F080A" w:rsidRDefault="008F080A" w:rsidP="008F080A">
      <w:pPr>
        <w:spacing w:line="240" w:lineRule="auto"/>
        <w:jc w:val="center"/>
        <w:rPr>
          <w:rFonts w:ascii="Arial" w:hAnsi="Arial" w:cs="Arial"/>
          <w:b/>
          <w:bCs/>
          <w:sz w:val="20"/>
          <w:szCs w:val="20"/>
          <w:lang w:val="en-IN"/>
        </w:rPr>
        <w:sectPr w:rsidR="008F080A" w:rsidSect="00E44B7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4A77B9D2" w14:textId="77777777" w:rsidR="008F080A" w:rsidRDefault="008F080A" w:rsidP="008F080A">
      <w:pPr>
        <w:spacing w:line="240" w:lineRule="auto"/>
        <w:jc w:val="center"/>
        <w:rPr>
          <w:rFonts w:ascii="Arial" w:hAnsi="Arial" w:cs="Arial"/>
          <w:b/>
          <w:bCs/>
          <w:sz w:val="20"/>
          <w:szCs w:val="20"/>
          <w:lang w:val="en-IN"/>
        </w:rPr>
      </w:pPr>
      <w:r w:rsidRPr="008F080A">
        <w:rPr>
          <w:rFonts w:ascii="Arial" w:hAnsi="Arial" w:cs="Arial"/>
          <w:b/>
          <w:bCs/>
          <w:sz w:val="20"/>
          <w:szCs w:val="20"/>
          <w:lang w:val="en-IN"/>
        </w:rPr>
        <w:lastRenderedPageBreak/>
        <w:t>Table 2. Environmental Risk–Benefit Matrix and Mitigation Strategies for Agricultural Biotechnology</w:t>
      </w:r>
    </w:p>
    <w:tbl>
      <w:tblPr>
        <w:tblStyle w:val="TableGrid"/>
        <w:tblW w:w="0" w:type="auto"/>
        <w:tblLook w:val="04A0" w:firstRow="1" w:lastRow="0" w:firstColumn="1" w:lastColumn="0" w:noHBand="0" w:noVBand="1"/>
      </w:tblPr>
      <w:tblGrid>
        <w:gridCol w:w="1808"/>
        <w:gridCol w:w="1750"/>
        <w:gridCol w:w="1836"/>
        <w:gridCol w:w="2138"/>
        <w:gridCol w:w="1932"/>
        <w:gridCol w:w="2321"/>
        <w:gridCol w:w="1391"/>
      </w:tblGrid>
      <w:tr w:rsidR="008F080A" w14:paraId="6133F7D1" w14:textId="77777777" w:rsidTr="008F080A">
        <w:tc>
          <w:tcPr>
            <w:tcW w:w="1808" w:type="dxa"/>
            <w:vAlign w:val="center"/>
          </w:tcPr>
          <w:p w14:paraId="019880E4" w14:textId="0B6AD9D0"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Category</w:t>
            </w:r>
          </w:p>
        </w:tc>
        <w:tc>
          <w:tcPr>
            <w:tcW w:w="1750" w:type="dxa"/>
            <w:vAlign w:val="center"/>
          </w:tcPr>
          <w:p w14:paraId="52954FFE" w14:textId="1D32C93F"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Specific Impact</w:t>
            </w:r>
          </w:p>
        </w:tc>
        <w:tc>
          <w:tcPr>
            <w:tcW w:w="0" w:type="auto"/>
            <w:vAlign w:val="center"/>
          </w:tcPr>
          <w:p w14:paraId="452AA0B6" w14:textId="405F30B5"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Mechanism / Underlying Process</w:t>
            </w:r>
          </w:p>
        </w:tc>
        <w:tc>
          <w:tcPr>
            <w:tcW w:w="0" w:type="auto"/>
            <w:vAlign w:val="center"/>
          </w:tcPr>
          <w:p w14:paraId="0F643877" w14:textId="1EDC59C9"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Potential Risks</w:t>
            </w:r>
          </w:p>
        </w:tc>
        <w:tc>
          <w:tcPr>
            <w:tcW w:w="1932" w:type="dxa"/>
            <w:vAlign w:val="center"/>
          </w:tcPr>
          <w:p w14:paraId="12D6F89D" w14:textId="066D392F"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Environmental Benefits</w:t>
            </w:r>
          </w:p>
        </w:tc>
        <w:tc>
          <w:tcPr>
            <w:tcW w:w="2321" w:type="dxa"/>
            <w:vAlign w:val="center"/>
          </w:tcPr>
          <w:p w14:paraId="5C0C482B" w14:textId="2737664A"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Mitigation / Management Strategies</w:t>
            </w:r>
          </w:p>
        </w:tc>
        <w:tc>
          <w:tcPr>
            <w:tcW w:w="0" w:type="auto"/>
            <w:vAlign w:val="center"/>
          </w:tcPr>
          <w:p w14:paraId="5E398F1B" w14:textId="135BF0CA"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References</w:t>
            </w:r>
          </w:p>
        </w:tc>
      </w:tr>
      <w:tr w:rsidR="008F080A" w14:paraId="45A1AEF8" w14:textId="77777777" w:rsidTr="008F080A">
        <w:tc>
          <w:tcPr>
            <w:tcW w:w="1808" w:type="dxa"/>
            <w:vAlign w:val="center"/>
          </w:tcPr>
          <w:p w14:paraId="21B6F42E" w14:textId="493128EF"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Genetic Interactions</w:t>
            </w:r>
          </w:p>
        </w:tc>
        <w:tc>
          <w:tcPr>
            <w:tcW w:w="1750" w:type="dxa"/>
            <w:vAlign w:val="center"/>
          </w:tcPr>
          <w:p w14:paraId="02C247BB" w14:textId="7DFC3176"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Gene flow to wild relatives</w:t>
            </w:r>
          </w:p>
        </w:tc>
        <w:tc>
          <w:tcPr>
            <w:tcW w:w="0" w:type="auto"/>
            <w:vAlign w:val="center"/>
          </w:tcPr>
          <w:p w14:paraId="72467B31" w14:textId="4F027780"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Pollen-mediated transfer of transgenes or edited alleles</w:t>
            </w:r>
          </w:p>
        </w:tc>
        <w:tc>
          <w:tcPr>
            <w:tcW w:w="0" w:type="auto"/>
            <w:vAlign w:val="center"/>
          </w:tcPr>
          <w:p w14:paraId="14F0F1BB" w14:textId="2CAF3840"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Genetic contamination; loss of native diversity</w:t>
            </w:r>
          </w:p>
        </w:tc>
        <w:tc>
          <w:tcPr>
            <w:tcW w:w="1932" w:type="dxa"/>
            <w:vAlign w:val="center"/>
          </w:tcPr>
          <w:p w14:paraId="7A763EC3" w14:textId="590DC56B"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Potential introgression of beneficial traits</w:t>
            </w:r>
          </w:p>
        </w:tc>
        <w:tc>
          <w:tcPr>
            <w:tcW w:w="2321" w:type="dxa"/>
            <w:vAlign w:val="center"/>
          </w:tcPr>
          <w:p w14:paraId="2552C902" w14:textId="005B6F5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Buffer zones, biological containment, sterility systems</w:t>
            </w:r>
          </w:p>
        </w:tc>
        <w:tc>
          <w:tcPr>
            <w:tcW w:w="0" w:type="auto"/>
            <w:vAlign w:val="center"/>
          </w:tcPr>
          <w:p w14:paraId="73F62977" w14:textId="4ECC264A"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Amini et al., 2014</w:t>
            </w:r>
          </w:p>
        </w:tc>
      </w:tr>
      <w:tr w:rsidR="008F080A" w14:paraId="763FAF02" w14:textId="77777777" w:rsidTr="008F080A">
        <w:tc>
          <w:tcPr>
            <w:tcW w:w="1808" w:type="dxa"/>
            <w:vAlign w:val="center"/>
          </w:tcPr>
          <w:p w14:paraId="66C239EE" w14:textId="08E5C71E"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Biodiversity Dynamics</w:t>
            </w:r>
          </w:p>
        </w:tc>
        <w:tc>
          <w:tcPr>
            <w:tcW w:w="1750" w:type="dxa"/>
            <w:vAlign w:val="center"/>
          </w:tcPr>
          <w:p w14:paraId="4435577F" w14:textId="721490C7"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Alteration of species composition</w:t>
            </w:r>
          </w:p>
        </w:tc>
        <w:tc>
          <w:tcPr>
            <w:tcW w:w="0" w:type="auto"/>
            <w:vAlign w:val="center"/>
          </w:tcPr>
          <w:p w14:paraId="4D6A7C87" w14:textId="1A031C0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Selective pressure from engineered traits (e.g., pest resistance)</w:t>
            </w:r>
          </w:p>
        </w:tc>
        <w:tc>
          <w:tcPr>
            <w:tcW w:w="0" w:type="auto"/>
            <w:vAlign w:val="center"/>
          </w:tcPr>
          <w:p w14:paraId="09381546" w14:textId="0457FF02"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Reduction in non-target species; ecosystem imbalance</w:t>
            </w:r>
          </w:p>
        </w:tc>
        <w:tc>
          <w:tcPr>
            <w:tcW w:w="1932" w:type="dxa"/>
            <w:vAlign w:val="center"/>
          </w:tcPr>
          <w:p w14:paraId="4794C3D2" w14:textId="3EDEB2DD"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Reduced pest outbreaks; enhanced crop survival</w:t>
            </w:r>
          </w:p>
        </w:tc>
        <w:tc>
          <w:tcPr>
            <w:tcW w:w="2321" w:type="dxa"/>
            <w:vAlign w:val="center"/>
          </w:tcPr>
          <w:p w14:paraId="31291B45" w14:textId="0080988A"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Crop diversification, refugia strategies, ecological monitoring</w:t>
            </w:r>
          </w:p>
        </w:tc>
        <w:tc>
          <w:tcPr>
            <w:tcW w:w="0" w:type="auto"/>
            <w:vAlign w:val="center"/>
          </w:tcPr>
          <w:p w14:paraId="1107E097" w14:textId="606887D9"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Amini et al., 2014</w:t>
            </w:r>
          </w:p>
        </w:tc>
      </w:tr>
      <w:tr w:rsidR="008F080A" w14:paraId="4220EA64" w14:textId="77777777" w:rsidTr="008F080A">
        <w:tc>
          <w:tcPr>
            <w:tcW w:w="1808" w:type="dxa"/>
            <w:vAlign w:val="center"/>
          </w:tcPr>
          <w:p w14:paraId="0429DBBD" w14:textId="253085FF"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Pest and Weed Evolution</w:t>
            </w:r>
          </w:p>
        </w:tc>
        <w:tc>
          <w:tcPr>
            <w:tcW w:w="1750" w:type="dxa"/>
            <w:vAlign w:val="center"/>
          </w:tcPr>
          <w:p w14:paraId="54DF8673" w14:textId="519157BC"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Resistance development</w:t>
            </w:r>
          </w:p>
        </w:tc>
        <w:tc>
          <w:tcPr>
            <w:tcW w:w="0" w:type="auto"/>
            <w:vAlign w:val="center"/>
          </w:tcPr>
          <w:p w14:paraId="1E35CABD" w14:textId="4FDFA7C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 xml:space="preserve">Continuous exposure to </w:t>
            </w:r>
            <w:proofErr w:type="spellStart"/>
            <w:r w:rsidRPr="008F080A">
              <w:rPr>
                <w:rFonts w:ascii="Arial" w:hAnsi="Arial" w:cs="Arial"/>
                <w:sz w:val="20"/>
                <w:szCs w:val="20"/>
                <w:lang w:val="en-IN"/>
              </w:rPr>
              <w:t>Bt</w:t>
            </w:r>
            <w:proofErr w:type="spellEnd"/>
            <w:r w:rsidRPr="008F080A">
              <w:rPr>
                <w:rFonts w:ascii="Arial" w:hAnsi="Arial" w:cs="Arial"/>
                <w:sz w:val="20"/>
                <w:szCs w:val="20"/>
                <w:lang w:val="en-IN"/>
              </w:rPr>
              <w:t xml:space="preserve"> toxins or herbicides</w:t>
            </w:r>
          </w:p>
        </w:tc>
        <w:tc>
          <w:tcPr>
            <w:tcW w:w="0" w:type="auto"/>
            <w:vAlign w:val="center"/>
          </w:tcPr>
          <w:p w14:paraId="10AF69CA" w14:textId="523561E0"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Emergence of resistant pests/weeds</w:t>
            </w:r>
          </w:p>
        </w:tc>
        <w:tc>
          <w:tcPr>
            <w:tcW w:w="1932" w:type="dxa"/>
            <w:vAlign w:val="center"/>
          </w:tcPr>
          <w:p w14:paraId="347A158B" w14:textId="64F8B89F"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Reduced initial pesticide/herbicide application</w:t>
            </w:r>
          </w:p>
        </w:tc>
        <w:tc>
          <w:tcPr>
            <w:tcW w:w="2321" w:type="dxa"/>
            <w:vAlign w:val="center"/>
          </w:tcPr>
          <w:p w14:paraId="4A9940F3" w14:textId="34CF9B55"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Gene stacking, rotation strategies, integrated pest management (IPM)</w:t>
            </w:r>
          </w:p>
        </w:tc>
        <w:tc>
          <w:tcPr>
            <w:tcW w:w="0" w:type="auto"/>
            <w:vAlign w:val="center"/>
          </w:tcPr>
          <w:p w14:paraId="745D80BE" w14:textId="1B86D11D" w:rsidR="008F080A" w:rsidRDefault="008F080A" w:rsidP="008F080A">
            <w:pPr>
              <w:jc w:val="center"/>
              <w:rPr>
                <w:rFonts w:ascii="Arial" w:hAnsi="Arial" w:cs="Arial"/>
                <w:b/>
                <w:bCs/>
                <w:sz w:val="20"/>
                <w:szCs w:val="20"/>
                <w:lang w:val="en-IN"/>
              </w:rPr>
            </w:pPr>
            <w:proofErr w:type="spellStart"/>
            <w:r w:rsidRPr="008F080A">
              <w:rPr>
                <w:rFonts w:ascii="Arial" w:hAnsi="Arial" w:cs="Arial"/>
                <w:sz w:val="20"/>
                <w:szCs w:val="20"/>
                <w:lang w:val="en-IN"/>
              </w:rPr>
              <w:t>Vrbničanin</w:t>
            </w:r>
            <w:proofErr w:type="spellEnd"/>
            <w:r w:rsidRPr="008F080A">
              <w:rPr>
                <w:rFonts w:ascii="Arial" w:hAnsi="Arial" w:cs="Arial"/>
                <w:sz w:val="20"/>
                <w:szCs w:val="20"/>
                <w:lang w:val="en-IN"/>
              </w:rPr>
              <w:t xml:space="preserve"> et al., 2017</w:t>
            </w:r>
          </w:p>
        </w:tc>
      </w:tr>
      <w:tr w:rsidR="008F080A" w14:paraId="63B9AC9D" w14:textId="77777777" w:rsidTr="008F080A">
        <w:tc>
          <w:tcPr>
            <w:tcW w:w="1808" w:type="dxa"/>
            <w:vAlign w:val="center"/>
          </w:tcPr>
          <w:p w14:paraId="03CCD16D" w14:textId="1E111915"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Non-target Effects</w:t>
            </w:r>
          </w:p>
        </w:tc>
        <w:tc>
          <w:tcPr>
            <w:tcW w:w="1750" w:type="dxa"/>
            <w:vAlign w:val="center"/>
          </w:tcPr>
          <w:p w14:paraId="638B06EE" w14:textId="10FC026A"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Impact on beneficial organisms</w:t>
            </w:r>
          </w:p>
        </w:tc>
        <w:tc>
          <w:tcPr>
            <w:tcW w:w="0" w:type="auto"/>
            <w:vAlign w:val="center"/>
          </w:tcPr>
          <w:p w14:paraId="6795CB79" w14:textId="2EF5506F"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Exposure to expressed proteins or altered plant chemistry</w:t>
            </w:r>
          </w:p>
        </w:tc>
        <w:tc>
          <w:tcPr>
            <w:tcW w:w="0" w:type="auto"/>
            <w:vAlign w:val="center"/>
          </w:tcPr>
          <w:p w14:paraId="78ABDA30" w14:textId="141B8772"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Effects on pollinators, soil microbiota, predators</w:t>
            </w:r>
          </w:p>
        </w:tc>
        <w:tc>
          <w:tcPr>
            <w:tcW w:w="1932" w:type="dxa"/>
            <w:vAlign w:val="center"/>
          </w:tcPr>
          <w:p w14:paraId="73DE5F97" w14:textId="7F27E113"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Reduced broad-spectrum pesticide toxicity</w:t>
            </w:r>
          </w:p>
        </w:tc>
        <w:tc>
          <w:tcPr>
            <w:tcW w:w="2321" w:type="dxa"/>
            <w:vAlign w:val="center"/>
          </w:tcPr>
          <w:p w14:paraId="3506234F" w14:textId="37F28CBD"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Long-term ecological risk assessment, targeted trait deployment</w:t>
            </w:r>
          </w:p>
        </w:tc>
        <w:tc>
          <w:tcPr>
            <w:tcW w:w="0" w:type="auto"/>
            <w:vAlign w:val="center"/>
          </w:tcPr>
          <w:p w14:paraId="4785667D" w14:textId="6F0E0BCB"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Amini et al., 2014</w:t>
            </w:r>
          </w:p>
        </w:tc>
      </w:tr>
      <w:tr w:rsidR="008F080A" w14:paraId="304BD3A0" w14:textId="77777777" w:rsidTr="008F080A">
        <w:tc>
          <w:tcPr>
            <w:tcW w:w="1808" w:type="dxa"/>
            <w:vAlign w:val="center"/>
          </w:tcPr>
          <w:p w14:paraId="651FEFC1" w14:textId="08E7627C"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Soil and Water Systems</w:t>
            </w:r>
          </w:p>
        </w:tc>
        <w:tc>
          <w:tcPr>
            <w:tcW w:w="1750" w:type="dxa"/>
            <w:vAlign w:val="center"/>
          </w:tcPr>
          <w:p w14:paraId="153DAE76" w14:textId="2FB9ECB7"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Agrochemical load reduction</w:t>
            </w:r>
          </w:p>
        </w:tc>
        <w:tc>
          <w:tcPr>
            <w:tcW w:w="0" w:type="auto"/>
            <w:vAlign w:val="center"/>
          </w:tcPr>
          <w:p w14:paraId="7A5A9531" w14:textId="0ABAEEC4"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Lower pesticide and fertilizer input</w:t>
            </w:r>
          </w:p>
        </w:tc>
        <w:tc>
          <w:tcPr>
            <w:tcW w:w="0" w:type="auto"/>
            <w:vAlign w:val="center"/>
          </w:tcPr>
          <w:p w14:paraId="001A7F14" w14:textId="40669737"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Potential accumulation of novel compounds (limited evidence)</w:t>
            </w:r>
          </w:p>
        </w:tc>
        <w:tc>
          <w:tcPr>
            <w:tcW w:w="1932" w:type="dxa"/>
            <w:vAlign w:val="center"/>
          </w:tcPr>
          <w:p w14:paraId="1389C290" w14:textId="3AC3F3CB"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Reduced soil and water contamination</w:t>
            </w:r>
          </w:p>
        </w:tc>
        <w:tc>
          <w:tcPr>
            <w:tcW w:w="2321" w:type="dxa"/>
            <w:vAlign w:val="center"/>
          </w:tcPr>
          <w:p w14:paraId="26F9CCCE" w14:textId="0A6C9249"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Monitoring of soil health, sustainable input integration</w:t>
            </w:r>
          </w:p>
        </w:tc>
        <w:tc>
          <w:tcPr>
            <w:tcW w:w="0" w:type="auto"/>
            <w:vAlign w:val="center"/>
          </w:tcPr>
          <w:p w14:paraId="5832CF69" w14:textId="02349E57" w:rsidR="008F080A" w:rsidRDefault="008F080A" w:rsidP="008F080A">
            <w:pPr>
              <w:jc w:val="center"/>
              <w:rPr>
                <w:rFonts w:ascii="Arial" w:hAnsi="Arial" w:cs="Arial"/>
                <w:b/>
                <w:bCs/>
                <w:sz w:val="20"/>
                <w:szCs w:val="20"/>
                <w:lang w:val="en-IN"/>
              </w:rPr>
            </w:pPr>
            <w:proofErr w:type="spellStart"/>
            <w:r w:rsidRPr="008F080A">
              <w:rPr>
                <w:rFonts w:ascii="Arial" w:hAnsi="Arial" w:cs="Arial"/>
                <w:sz w:val="20"/>
                <w:szCs w:val="20"/>
                <w:lang w:val="en-IN"/>
              </w:rPr>
              <w:t>Kershen</w:t>
            </w:r>
            <w:proofErr w:type="spellEnd"/>
            <w:r w:rsidRPr="008F080A">
              <w:rPr>
                <w:rFonts w:ascii="Arial" w:hAnsi="Arial" w:cs="Arial"/>
                <w:sz w:val="20"/>
                <w:szCs w:val="20"/>
                <w:lang w:val="en-IN"/>
              </w:rPr>
              <w:t>, 2002</w:t>
            </w:r>
          </w:p>
        </w:tc>
      </w:tr>
      <w:tr w:rsidR="008F080A" w14:paraId="266F2226" w14:textId="77777777" w:rsidTr="008F080A">
        <w:tc>
          <w:tcPr>
            <w:tcW w:w="1808" w:type="dxa"/>
            <w:vAlign w:val="center"/>
          </w:tcPr>
          <w:p w14:paraId="68026ADA" w14:textId="37AB1C57"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Resource Use Efficiency</w:t>
            </w:r>
          </w:p>
        </w:tc>
        <w:tc>
          <w:tcPr>
            <w:tcW w:w="1750" w:type="dxa"/>
            <w:vAlign w:val="center"/>
          </w:tcPr>
          <w:p w14:paraId="3FCA2335" w14:textId="3A6AF9F1"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Water and nutrient utilization</w:t>
            </w:r>
          </w:p>
        </w:tc>
        <w:tc>
          <w:tcPr>
            <w:tcW w:w="0" w:type="auto"/>
            <w:vAlign w:val="center"/>
          </w:tcPr>
          <w:p w14:paraId="48B58551" w14:textId="35037635"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Enhanced physiological efficiency via genetic modification</w:t>
            </w:r>
          </w:p>
        </w:tc>
        <w:tc>
          <w:tcPr>
            <w:tcW w:w="0" w:type="auto"/>
            <w:vAlign w:val="center"/>
          </w:tcPr>
          <w:p w14:paraId="76C83ED4" w14:textId="60DA990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Over-reliance on specific varieties</w:t>
            </w:r>
          </w:p>
        </w:tc>
        <w:tc>
          <w:tcPr>
            <w:tcW w:w="1932" w:type="dxa"/>
            <w:vAlign w:val="center"/>
          </w:tcPr>
          <w:p w14:paraId="7B1F3303" w14:textId="3D2EAB11"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Reduced resource depletion and environmental stress</w:t>
            </w:r>
          </w:p>
        </w:tc>
        <w:tc>
          <w:tcPr>
            <w:tcW w:w="2321" w:type="dxa"/>
            <w:vAlign w:val="center"/>
          </w:tcPr>
          <w:p w14:paraId="76F4FEC9" w14:textId="4265841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Integrated nutrient management, climate-smart agriculture</w:t>
            </w:r>
          </w:p>
        </w:tc>
        <w:tc>
          <w:tcPr>
            <w:tcW w:w="0" w:type="auto"/>
            <w:vAlign w:val="center"/>
          </w:tcPr>
          <w:p w14:paraId="2FDF593C" w14:textId="4B8A3DAD" w:rsidR="008F080A" w:rsidRDefault="008F080A" w:rsidP="008F080A">
            <w:pPr>
              <w:jc w:val="center"/>
              <w:rPr>
                <w:rFonts w:ascii="Arial" w:hAnsi="Arial" w:cs="Arial"/>
                <w:b/>
                <w:bCs/>
                <w:sz w:val="20"/>
                <w:szCs w:val="20"/>
                <w:lang w:val="en-IN"/>
              </w:rPr>
            </w:pPr>
            <w:proofErr w:type="spellStart"/>
            <w:r w:rsidRPr="008F080A">
              <w:rPr>
                <w:rFonts w:ascii="Arial" w:hAnsi="Arial" w:cs="Arial"/>
                <w:sz w:val="20"/>
                <w:szCs w:val="20"/>
                <w:lang w:val="en-IN"/>
              </w:rPr>
              <w:t>Kershen</w:t>
            </w:r>
            <w:proofErr w:type="spellEnd"/>
            <w:r w:rsidRPr="008F080A">
              <w:rPr>
                <w:rFonts w:ascii="Arial" w:hAnsi="Arial" w:cs="Arial"/>
                <w:sz w:val="20"/>
                <w:szCs w:val="20"/>
                <w:lang w:val="en-IN"/>
              </w:rPr>
              <w:t>, 2002</w:t>
            </w:r>
          </w:p>
        </w:tc>
      </w:tr>
      <w:tr w:rsidR="008F080A" w14:paraId="567CB33D" w14:textId="77777777" w:rsidTr="008F080A">
        <w:tc>
          <w:tcPr>
            <w:tcW w:w="1808" w:type="dxa"/>
            <w:vAlign w:val="center"/>
          </w:tcPr>
          <w:p w14:paraId="107DCCFF" w14:textId="116CFA54"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Ecosystem Stability</w:t>
            </w:r>
          </w:p>
        </w:tc>
        <w:tc>
          <w:tcPr>
            <w:tcW w:w="1750" w:type="dxa"/>
            <w:vAlign w:val="center"/>
          </w:tcPr>
          <w:p w14:paraId="452E0729" w14:textId="1CCC323F"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Habitat modification</w:t>
            </w:r>
          </w:p>
        </w:tc>
        <w:tc>
          <w:tcPr>
            <w:tcW w:w="0" w:type="auto"/>
            <w:vAlign w:val="center"/>
          </w:tcPr>
          <w:p w14:paraId="11D59666" w14:textId="60B06A89"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Monoculture expansion and intensive farming</w:t>
            </w:r>
          </w:p>
        </w:tc>
        <w:tc>
          <w:tcPr>
            <w:tcW w:w="0" w:type="auto"/>
            <w:vAlign w:val="center"/>
          </w:tcPr>
          <w:p w14:paraId="49F78D1D" w14:textId="6AF3E6D4"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Loss of habitat heterogeneity</w:t>
            </w:r>
          </w:p>
        </w:tc>
        <w:tc>
          <w:tcPr>
            <w:tcW w:w="1932" w:type="dxa"/>
            <w:vAlign w:val="center"/>
          </w:tcPr>
          <w:p w14:paraId="38ED6502" w14:textId="29EB43C9"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Increased productivity per unit area (land sparing)</w:t>
            </w:r>
          </w:p>
        </w:tc>
        <w:tc>
          <w:tcPr>
            <w:tcW w:w="2321" w:type="dxa"/>
            <w:vAlign w:val="center"/>
          </w:tcPr>
          <w:p w14:paraId="0648BE8B" w14:textId="419437BB"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Agroecological integration, landscape-level planning</w:t>
            </w:r>
          </w:p>
        </w:tc>
        <w:tc>
          <w:tcPr>
            <w:tcW w:w="0" w:type="auto"/>
            <w:vAlign w:val="center"/>
          </w:tcPr>
          <w:p w14:paraId="2FC2928B" w14:textId="6E2AE63C"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Amini et al., 2014</w:t>
            </w:r>
          </w:p>
        </w:tc>
      </w:tr>
      <w:tr w:rsidR="008F080A" w14:paraId="71CBEBE8" w14:textId="77777777" w:rsidTr="008F080A">
        <w:tc>
          <w:tcPr>
            <w:tcW w:w="1808" w:type="dxa"/>
            <w:vAlign w:val="center"/>
          </w:tcPr>
          <w:p w14:paraId="08F515B6" w14:textId="7ECF7BD0" w:rsidR="008F080A" w:rsidRDefault="008F080A" w:rsidP="008F080A">
            <w:pPr>
              <w:jc w:val="center"/>
              <w:rPr>
                <w:rFonts w:ascii="Arial" w:hAnsi="Arial" w:cs="Arial"/>
                <w:b/>
                <w:bCs/>
                <w:sz w:val="20"/>
                <w:szCs w:val="20"/>
                <w:lang w:val="en-IN"/>
              </w:rPr>
            </w:pPr>
            <w:r w:rsidRPr="008F080A">
              <w:rPr>
                <w:rFonts w:ascii="Arial" w:hAnsi="Arial" w:cs="Arial"/>
                <w:b/>
                <w:bCs/>
                <w:sz w:val="20"/>
                <w:szCs w:val="20"/>
                <w:lang w:val="en-IN"/>
              </w:rPr>
              <w:t>Nanotechnology Interface</w:t>
            </w:r>
          </w:p>
        </w:tc>
        <w:tc>
          <w:tcPr>
            <w:tcW w:w="1750" w:type="dxa"/>
            <w:vAlign w:val="center"/>
          </w:tcPr>
          <w:p w14:paraId="3D4EA5D5" w14:textId="78CDC9AE"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Nanoparticle interaction with ecosystems</w:t>
            </w:r>
          </w:p>
        </w:tc>
        <w:tc>
          <w:tcPr>
            <w:tcW w:w="0" w:type="auto"/>
            <w:vAlign w:val="center"/>
          </w:tcPr>
          <w:p w14:paraId="0D3CB77F" w14:textId="09BF0071"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Nano-delivery systems in soil–plant interface</w:t>
            </w:r>
          </w:p>
        </w:tc>
        <w:tc>
          <w:tcPr>
            <w:tcW w:w="0" w:type="auto"/>
            <w:vAlign w:val="center"/>
          </w:tcPr>
          <w:p w14:paraId="6D5831D1" w14:textId="7F8095A3"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Toxicity, bioaccumulation, unknown long-term effects</w:t>
            </w:r>
          </w:p>
        </w:tc>
        <w:tc>
          <w:tcPr>
            <w:tcW w:w="1932" w:type="dxa"/>
            <w:vAlign w:val="center"/>
          </w:tcPr>
          <w:p w14:paraId="6B7BFEFB" w14:textId="02F97CF7"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Improved input efficiency and reduced chemical losses</w:t>
            </w:r>
          </w:p>
        </w:tc>
        <w:tc>
          <w:tcPr>
            <w:tcW w:w="2321" w:type="dxa"/>
            <w:vAlign w:val="center"/>
          </w:tcPr>
          <w:p w14:paraId="0EF1DE4B" w14:textId="383BAED4"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Nano-risk assessment, regulatory guidelines, safe dosage protocols</w:t>
            </w:r>
          </w:p>
        </w:tc>
        <w:tc>
          <w:tcPr>
            <w:tcW w:w="0" w:type="auto"/>
            <w:vAlign w:val="center"/>
          </w:tcPr>
          <w:p w14:paraId="6FE9A781" w14:textId="64AEBD1A" w:rsidR="008F080A" w:rsidRDefault="008F080A" w:rsidP="008F080A">
            <w:pPr>
              <w:jc w:val="center"/>
              <w:rPr>
                <w:rFonts w:ascii="Arial" w:hAnsi="Arial" w:cs="Arial"/>
                <w:b/>
                <w:bCs/>
                <w:sz w:val="20"/>
                <w:szCs w:val="20"/>
                <w:lang w:val="en-IN"/>
              </w:rPr>
            </w:pPr>
            <w:r w:rsidRPr="008F080A">
              <w:rPr>
                <w:rFonts w:ascii="Arial" w:hAnsi="Arial" w:cs="Arial"/>
                <w:sz w:val="20"/>
                <w:szCs w:val="20"/>
                <w:lang w:val="en-IN"/>
              </w:rPr>
              <w:t>Ahmar et al., 2021</w:t>
            </w:r>
          </w:p>
        </w:tc>
      </w:tr>
    </w:tbl>
    <w:p w14:paraId="60942621" w14:textId="77777777" w:rsidR="008F080A" w:rsidRDefault="008F080A" w:rsidP="008F080A">
      <w:pPr>
        <w:spacing w:line="240" w:lineRule="auto"/>
        <w:jc w:val="center"/>
        <w:rPr>
          <w:rFonts w:ascii="Arial" w:hAnsi="Arial" w:cs="Arial"/>
          <w:b/>
          <w:bCs/>
          <w:sz w:val="20"/>
          <w:szCs w:val="20"/>
          <w:lang w:val="en-IN"/>
        </w:rPr>
        <w:sectPr w:rsidR="008F080A" w:rsidSect="008F080A">
          <w:pgSz w:w="15840" w:h="12240" w:orient="landscape"/>
          <w:pgMar w:top="1440" w:right="1440" w:bottom="1440" w:left="1440" w:header="720" w:footer="720" w:gutter="0"/>
          <w:cols w:space="720"/>
          <w:docGrid w:linePitch="360"/>
        </w:sectPr>
      </w:pPr>
    </w:p>
    <w:p w14:paraId="774F26CC" w14:textId="77777777" w:rsidR="00236E09" w:rsidRPr="00236E09" w:rsidRDefault="00236E09" w:rsidP="00236E09">
      <w:pPr>
        <w:spacing w:line="240" w:lineRule="auto"/>
        <w:jc w:val="both"/>
        <w:rPr>
          <w:rFonts w:ascii="Arial" w:hAnsi="Arial" w:cs="Arial"/>
          <w:b/>
          <w:bCs/>
          <w:sz w:val="24"/>
          <w:szCs w:val="24"/>
          <w:lang w:val="en-IN"/>
        </w:rPr>
      </w:pPr>
      <w:r w:rsidRPr="00236E09">
        <w:rPr>
          <w:rFonts w:ascii="Arial" w:hAnsi="Arial" w:cs="Arial"/>
          <w:b/>
          <w:bCs/>
          <w:sz w:val="24"/>
          <w:szCs w:val="24"/>
          <w:lang w:val="en-IN"/>
        </w:rPr>
        <w:lastRenderedPageBreak/>
        <w:t>6. Economic and Societal Dimensions of Agricultural Biotechnology: Market Dynamics, Equity, and Policy Implications</w:t>
      </w:r>
    </w:p>
    <w:p w14:paraId="65FCE3B4" w14:textId="3AFB44CD"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The advancement of agricultural biotechnology extends beyond scientific innovation, exerting profound influence on economic structures, market systems, and societal perceptions. The adoption of technologies such as genetically modified crops, genome editing, and emerging biotechnological tools has reconfigured value chains, altered input–output relationships, and introduced new paradigms in agricultural production and governance</w:t>
      </w:r>
      <w:r w:rsidR="00A31886">
        <w:rPr>
          <w:rFonts w:ascii="Arial" w:hAnsi="Arial" w:cs="Arial"/>
          <w:sz w:val="20"/>
          <w:szCs w:val="20"/>
          <w:lang w:val="en-IN"/>
        </w:rPr>
        <w:t xml:space="preserve"> (Kumar et al., 2024)</w:t>
      </w:r>
      <w:r w:rsidRPr="00236E09">
        <w:rPr>
          <w:rFonts w:ascii="Arial" w:hAnsi="Arial" w:cs="Arial"/>
          <w:sz w:val="20"/>
          <w:szCs w:val="20"/>
          <w:lang w:val="en-IN"/>
        </w:rPr>
        <w:t>. However, these transformations are accompanied by complex socio-economic trade-offs, necessitating a critical evaluation of their implications for equity, accessibility, and long-term sustainability.</w:t>
      </w:r>
      <w:r w:rsidR="00C15350">
        <w:rPr>
          <w:rFonts w:ascii="Arial" w:hAnsi="Arial" w:cs="Arial"/>
          <w:sz w:val="20"/>
          <w:szCs w:val="20"/>
          <w:lang w:val="en-IN"/>
        </w:rPr>
        <w:t xml:space="preserve"> </w:t>
      </w:r>
      <w:r w:rsidRPr="00236E09">
        <w:rPr>
          <w:rFonts w:ascii="Arial" w:hAnsi="Arial" w:cs="Arial"/>
          <w:sz w:val="20"/>
          <w:szCs w:val="20"/>
          <w:lang w:val="en-IN"/>
        </w:rPr>
        <w:t>Understanding the economic and societal dimensions of biotechnology is essential for ensuring that technological progress translates into inclusive agricultural development and contributes meaningfully to global food security.</w:t>
      </w:r>
    </w:p>
    <w:p w14:paraId="09BC004D"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6.1 Economic Implications of Biotechnology Adoption in Agriculture</w:t>
      </w:r>
    </w:p>
    <w:p w14:paraId="0C644E03"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6.1.1 Productivity Gains and Farm-Level Profitability</w:t>
      </w:r>
    </w:p>
    <w:p w14:paraId="7F1179DD"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 xml:space="preserve">Biotechnological innovations have demonstrated significant potential to enhance agricultural productivity through yield improvement, reduced crop losses, and increased resilience to biotic and abiotic stresses. These gains often translate into improved farm-level profitability by lowering production costs associated with pesticides, herbicides, and </w:t>
      </w:r>
      <w:proofErr w:type="spellStart"/>
      <w:r w:rsidRPr="00236E09">
        <w:rPr>
          <w:rFonts w:ascii="Arial" w:hAnsi="Arial" w:cs="Arial"/>
          <w:sz w:val="20"/>
          <w:szCs w:val="20"/>
          <w:lang w:val="en-IN"/>
        </w:rPr>
        <w:t>labor</w:t>
      </w:r>
      <w:proofErr w:type="spellEnd"/>
      <w:r w:rsidRPr="00236E09">
        <w:rPr>
          <w:rFonts w:ascii="Arial" w:hAnsi="Arial" w:cs="Arial"/>
          <w:sz w:val="20"/>
          <w:szCs w:val="20"/>
          <w:lang w:val="en-IN"/>
        </w:rPr>
        <w:t xml:space="preserve"> inputs. Additionally, improved crop performance under stress conditions contributes to yield stability, which is particularly critical in risk-prone agricultural environments.</w:t>
      </w:r>
    </w:p>
    <w:p w14:paraId="5C7D1D01"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6.1.2 Investment, Innovation, and Agribusiness Expansion</w:t>
      </w:r>
    </w:p>
    <w:p w14:paraId="46CE83CF"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The biotechnology sector has attracted substantial investment in research and development, leading to rapid technological advancement and commercialization of novel crop varieties. Private-sector participation has played a pivotal role in driving innovation, resulting in the expansion of agribusiness industries and the emergence of biotechnology-driven value chains. However, this concentration of innovation within a limited number of firms raises concerns regarding market dominance and competitive equity.</w:t>
      </w:r>
    </w:p>
    <w:p w14:paraId="7BA36ADF"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6.1.3 Trade Dynamics and Global Market Integration</w:t>
      </w:r>
    </w:p>
    <w:p w14:paraId="4747E293"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Biotechnological products, including genetically modified crops and value-added agricultural commodities, have reshaped global trade patterns. Differences in regulatory frameworks and consumer acceptance across countries influence market access, trade flows, and price competitiveness. As a result, biotechnology has introduced both opportunities and barriers in international agricultural trade, necessitating harmonization of standards and policies (Kalter and Tauer, 1987).</w:t>
      </w:r>
    </w:p>
    <w:p w14:paraId="2BCBFB18"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6.1.4 Supply Chain Efficiency and Value Addition</w:t>
      </w:r>
    </w:p>
    <w:p w14:paraId="4B6C8B74"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The integration of biotechnology into agricultural supply chains enhances traceability, quality control, and product standardization. Improved shelf life, processing quality, and uniformity of biotech-derived products contribute to reduced post-harvest losses and increased value addition. These advancements strengthen supply chain efficiency and support the development of modern agri-food systems.</w:t>
      </w:r>
    </w:p>
    <w:p w14:paraId="02F2F369"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 xml:space="preserve">6.2 Societal Perception, Consumer </w:t>
      </w:r>
      <w:proofErr w:type="spellStart"/>
      <w:r w:rsidRPr="00236E09">
        <w:rPr>
          <w:rFonts w:ascii="Arial" w:hAnsi="Arial" w:cs="Arial"/>
          <w:b/>
          <w:bCs/>
          <w:sz w:val="20"/>
          <w:szCs w:val="20"/>
          <w:lang w:val="en-IN"/>
        </w:rPr>
        <w:t>Behavior</w:t>
      </w:r>
      <w:proofErr w:type="spellEnd"/>
      <w:r w:rsidRPr="00236E09">
        <w:rPr>
          <w:rFonts w:ascii="Arial" w:hAnsi="Arial" w:cs="Arial"/>
          <w:b/>
          <w:bCs/>
          <w:sz w:val="20"/>
          <w:szCs w:val="20"/>
          <w:lang w:val="en-IN"/>
        </w:rPr>
        <w:t>, and Ethical Considerations</w:t>
      </w:r>
    </w:p>
    <w:p w14:paraId="3D70AF94"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6.2.1 Public Awareness and Knowledge Gaps</w:t>
      </w:r>
    </w:p>
    <w:p w14:paraId="270C8F98"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 xml:space="preserve">Public perception of biotechnology is often shaped by varying levels of awareness, scientific literacy, and access to reliable information. Misinformation or lack of understanding regarding biotechnological processes can lead to </w:t>
      </w:r>
      <w:proofErr w:type="spellStart"/>
      <w:r w:rsidRPr="00236E09">
        <w:rPr>
          <w:rFonts w:ascii="Arial" w:hAnsi="Arial" w:cs="Arial"/>
          <w:sz w:val="20"/>
          <w:szCs w:val="20"/>
          <w:lang w:val="en-IN"/>
        </w:rPr>
        <w:t>skepticism</w:t>
      </w:r>
      <w:proofErr w:type="spellEnd"/>
      <w:r w:rsidRPr="00236E09">
        <w:rPr>
          <w:rFonts w:ascii="Arial" w:hAnsi="Arial" w:cs="Arial"/>
          <w:sz w:val="20"/>
          <w:szCs w:val="20"/>
          <w:lang w:val="en-IN"/>
        </w:rPr>
        <w:t xml:space="preserve"> and resistance, even in the presence of scientific evidence supporting safety and benefits. Enhancing science communication and public engagement is therefore essential for informed decision-making.</w:t>
      </w:r>
    </w:p>
    <w:p w14:paraId="27ED87FF"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6.2.2 Consumer Preferences and Market Acceptance</w:t>
      </w:r>
    </w:p>
    <w:p w14:paraId="5E8709F1"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lastRenderedPageBreak/>
        <w:t xml:space="preserve">Consumer acceptance of biotechnological products is influenced by multiple factors, including perceived health risks, environmental concerns, ethical considerations, and cultural values. Preferences for non-GMO or organically produced foods in certain markets highlight the importance of </w:t>
      </w:r>
      <w:proofErr w:type="spellStart"/>
      <w:r w:rsidRPr="00236E09">
        <w:rPr>
          <w:rFonts w:ascii="Arial" w:hAnsi="Arial" w:cs="Arial"/>
          <w:sz w:val="20"/>
          <w:szCs w:val="20"/>
          <w:lang w:val="en-IN"/>
        </w:rPr>
        <w:t>labeling</w:t>
      </w:r>
      <w:proofErr w:type="spellEnd"/>
      <w:r w:rsidRPr="00236E09">
        <w:rPr>
          <w:rFonts w:ascii="Arial" w:hAnsi="Arial" w:cs="Arial"/>
          <w:sz w:val="20"/>
          <w:szCs w:val="20"/>
          <w:lang w:val="en-IN"/>
        </w:rPr>
        <w:t>, transparency, and consumer choice. These factors significantly impact market demand and the adoption trajectory of biotechnology.</w:t>
      </w:r>
    </w:p>
    <w:p w14:paraId="7D954740"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6.2.3 Ethical Dimensions and Social Responsibility</w:t>
      </w:r>
    </w:p>
    <w:p w14:paraId="62DB673F" w14:textId="7B49ADB4"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The application of biotechnology raises important ethical questions related to genetic modification, biodiversity conservation, ownership of biological resources, and equitable distribution of benefits. Concerns regarding corporate control, patenting of genetic material, and farmer dependency on proprietary technologies underscore the need for ethical governance frameworks</w:t>
      </w:r>
      <w:r w:rsidR="00707075">
        <w:rPr>
          <w:rFonts w:ascii="Arial" w:hAnsi="Arial" w:cs="Arial"/>
          <w:sz w:val="20"/>
          <w:szCs w:val="20"/>
          <w:lang w:val="en-IN"/>
        </w:rPr>
        <w:t xml:space="preserve"> (</w:t>
      </w:r>
      <w:proofErr w:type="spellStart"/>
      <w:r w:rsidR="00707075" w:rsidRPr="00364075">
        <w:rPr>
          <w:rFonts w:ascii="Arial" w:hAnsi="Arial" w:cs="Arial"/>
          <w:sz w:val="20"/>
          <w:szCs w:val="20"/>
        </w:rPr>
        <w:t>Jarial</w:t>
      </w:r>
      <w:proofErr w:type="spellEnd"/>
      <w:r w:rsidR="00707075">
        <w:rPr>
          <w:rFonts w:ascii="Arial" w:hAnsi="Arial" w:cs="Arial"/>
          <w:sz w:val="20"/>
          <w:szCs w:val="20"/>
        </w:rPr>
        <w:t xml:space="preserve"> et al., 2026)</w:t>
      </w:r>
      <w:r w:rsidRPr="00236E09">
        <w:rPr>
          <w:rFonts w:ascii="Arial" w:hAnsi="Arial" w:cs="Arial"/>
          <w:sz w:val="20"/>
          <w:szCs w:val="20"/>
          <w:lang w:val="en-IN"/>
        </w:rPr>
        <w:t>. Addressing these issues is critical for ensuring that biotechnological advancements align with societal values and contribute to inclusive development.</w:t>
      </w:r>
    </w:p>
    <w:p w14:paraId="35EDD6D3"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6.3 Policy Frameworks, Governance, and Institutional Roles</w:t>
      </w:r>
    </w:p>
    <w:p w14:paraId="00573EBD"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6.3.1 Regulatory Systems and Risk Governance</w:t>
      </w:r>
    </w:p>
    <w:p w14:paraId="2E0E8339"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Effective governance of agricultural biotechnology requires robust regulatory frameworks that ensure biosafety, environmental protection, and consumer safety while facilitating innovation. Regulatory approaches vary globally, ranging from precautionary to product-based systems, reflecting differences in political, economic, and societal priorities. Transparent and science-based regulatory processes are essential for building public trust and enabling responsible deployment of biotechnology.</w:t>
      </w:r>
    </w:p>
    <w:p w14:paraId="7DCCDBC6"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6.3.2 Intellectual Property Rights and Technology Access</w:t>
      </w:r>
    </w:p>
    <w:p w14:paraId="371840C1"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Intellectual property rights (IPR) play a central role in shaping access to biotechnological innovations. While patents incentivize research and innovation, they may also limit accessibility, particularly for smallholder farmers and public-sector breeding programs. Balancing innovation incentives with equitable access is a key policy challenge in the biotechnology landscape.</w:t>
      </w:r>
    </w:p>
    <w:p w14:paraId="3878EF79"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6.3.3 Technology Transfer and Capacity Building</w:t>
      </w:r>
    </w:p>
    <w:p w14:paraId="1287DA1D"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The dissemination of biotechnological innovations depends on effective technology transfer mechanisms, capacity building, and institutional support. Strengthening research infrastructure, training human resources, and fostering collaboration between public and private sectors are essential for ensuring widespread adoption and impact. Such efforts are particularly important in developing regions, where agricultural productivity gains are most urgently needed.</w:t>
      </w:r>
    </w:p>
    <w:p w14:paraId="00C74642" w14:textId="77777777" w:rsidR="00236E09" w:rsidRPr="00236E09" w:rsidRDefault="00236E09" w:rsidP="00236E09">
      <w:pPr>
        <w:spacing w:line="240" w:lineRule="auto"/>
        <w:jc w:val="both"/>
        <w:rPr>
          <w:rFonts w:ascii="Arial" w:hAnsi="Arial" w:cs="Arial"/>
          <w:b/>
          <w:bCs/>
          <w:sz w:val="20"/>
          <w:szCs w:val="20"/>
          <w:lang w:val="en-IN"/>
        </w:rPr>
      </w:pPr>
      <w:r w:rsidRPr="00236E09">
        <w:rPr>
          <w:rFonts w:ascii="Arial" w:hAnsi="Arial" w:cs="Arial"/>
          <w:b/>
          <w:bCs/>
          <w:sz w:val="20"/>
          <w:szCs w:val="20"/>
          <w:lang w:val="en-IN"/>
        </w:rPr>
        <w:t>6.3.4 Stakeholder Engagement and Participatory Governance</w:t>
      </w:r>
    </w:p>
    <w:p w14:paraId="77DEFC88" w14:textId="77777777" w:rsidR="00236E09" w:rsidRPr="00236E09" w:rsidRDefault="00236E09" w:rsidP="00236E09">
      <w:pPr>
        <w:spacing w:line="240" w:lineRule="auto"/>
        <w:jc w:val="both"/>
        <w:rPr>
          <w:rFonts w:ascii="Arial" w:hAnsi="Arial" w:cs="Arial"/>
          <w:sz w:val="20"/>
          <w:szCs w:val="20"/>
          <w:lang w:val="en-IN"/>
        </w:rPr>
      </w:pPr>
      <w:r w:rsidRPr="00236E09">
        <w:rPr>
          <w:rFonts w:ascii="Arial" w:hAnsi="Arial" w:cs="Arial"/>
          <w:sz w:val="20"/>
          <w:szCs w:val="20"/>
          <w:lang w:val="en-IN"/>
        </w:rPr>
        <w:t>Inclusive decision-making processes involving farmers, researchers, policymakers, industry stakeholders, and civil society organizations are critical for the successful adoption of biotechnology. Participatory governance enhances transparency, addresses stakeholder concerns, and promotes social acceptance of technological innovations.</w:t>
      </w:r>
    </w:p>
    <w:p w14:paraId="513984C2" w14:textId="211B5548" w:rsidR="00DB60C7" w:rsidRPr="00C15350" w:rsidRDefault="00236E09" w:rsidP="00E80655">
      <w:pPr>
        <w:spacing w:line="240" w:lineRule="auto"/>
        <w:jc w:val="both"/>
        <w:rPr>
          <w:rFonts w:ascii="Arial" w:hAnsi="Arial" w:cs="Arial"/>
          <w:b/>
          <w:bCs/>
          <w:sz w:val="24"/>
          <w:szCs w:val="24"/>
        </w:rPr>
      </w:pPr>
      <w:r w:rsidRPr="00C15350">
        <w:rPr>
          <w:rFonts w:ascii="Arial" w:hAnsi="Arial" w:cs="Arial"/>
          <w:b/>
          <w:bCs/>
          <w:sz w:val="24"/>
          <w:szCs w:val="24"/>
        </w:rPr>
        <w:t>7</w:t>
      </w:r>
      <w:r w:rsidR="00DB60C7" w:rsidRPr="00C15350">
        <w:rPr>
          <w:rFonts w:ascii="Arial" w:hAnsi="Arial" w:cs="Arial"/>
          <w:b/>
          <w:bCs/>
          <w:sz w:val="24"/>
          <w:szCs w:val="24"/>
        </w:rPr>
        <w:t>. Conclusion</w:t>
      </w:r>
    </w:p>
    <w:p w14:paraId="26A6F5BF" w14:textId="77777777" w:rsidR="00DB60C7" w:rsidRPr="00E80655" w:rsidRDefault="00DB60C7" w:rsidP="00E80655">
      <w:pPr>
        <w:spacing w:line="240" w:lineRule="auto"/>
        <w:jc w:val="both"/>
        <w:rPr>
          <w:rFonts w:ascii="Arial" w:hAnsi="Arial" w:cs="Arial"/>
          <w:sz w:val="20"/>
          <w:szCs w:val="20"/>
        </w:rPr>
      </w:pPr>
      <w:r w:rsidRPr="00E80655">
        <w:rPr>
          <w:rFonts w:ascii="Arial" w:hAnsi="Arial" w:cs="Arial"/>
          <w:sz w:val="20"/>
          <w:szCs w:val="20"/>
        </w:rPr>
        <w:t>The convergence of biotechnology and agriculture represents a paradigm shift in how we approach food production, environmental sustainability, and societal well-being. From the early stages of genetically modified organisms (GMOs) to the revolutionary potentials of gene editing, synthetic biology, and digital agriculture, biotechnological innovations continue to reshape the agricultural landscape.</w:t>
      </w:r>
      <w:r w:rsidR="00062C75" w:rsidRPr="00E80655">
        <w:rPr>
          <w:rFonts w:ascii="Arial" w:hAnsi="Arial" w:cs="Arial"/>
          <w:sz w:val="20"/>
          <w:szCs w:val="20"/>
        </w:rPr>
        <w:t xml:space="preserve"> T</w:t>
      </w:r>
      <w:r w:rsidRPr="00E80655">
        <w:rPr>
          <w:rFonts w:ascii="Arial" w:hAnsi="Arial" w:cs="Arial"/>
          <w:sz w:val="20"/>
          <w:szCs w:val="20"/>
        </w:rPr>
        <w:t>he multifaceted dimensions of biotechnology in agriculture, from its economic implications and environmental impacts to social acceptance, regulatory frameworks, and future research directions. The journey has highlighted both the immense opportunities and complex challenges inherent in harnessing biotechnology for sustainable food systems.</w:t>
      </w:r>
      <w:r w:rsidR="00062C75" w:rsidRPr="00E80655">
        <w:rPr>
          <w:rFonts w:ascii="Arial" w:hAnsi="Arial" w:cs="Arial"/>
          <w:sz w:val="20"/>
          <w:szCs w:val="20"/>
        </w:rPr>
        <w:t xml:space="preserve"> </w:t>
      </w:r>
      <w:r w:rsidRPr="00E80655">
        <w:rPr>
          <w:rFonts w:ascii="Arial" w:hAnsi="Arial" w:cs="Arial"/>
          <w:sz w:val="20"/>
          <w:szCs w:val="20"/>
        </w:rPr>
        <w:t xml:space="preserve">Biotechnological interventions offer remarkable advantages, including enhanced crop traits, reduced environmental footprints, improved resource management, and economic prosperity for farmers and industry stakeholders. These innovations pave the way for climate-resilient crops, precision farming technologies, and bio-based solutions that contribute to global food security and </w:t>
      </w:r>
      <w:r w:rsidRPr="00E80655">
        <w:rPr>
          <w:rFonts w:ascii="Arial" w:hAnsi="Arial" w:cs="Arial"/>
          <w:sz w:val="20"/>
          <w:szCs w:val="20"/>
        </w:rPr>
        <w:lastRenderedPageBreak/>
        <w:t>resilience in the face of climate change and other challenges.</w:t>
      </w:r>
      <w:r w:rsidR="00062C75" w:rsidRPr="00E80655">
        <w:rPr>
          <w:rFonts w:ascii="Arial" w:hAnsi="Arial" w:cs="Arial"/>
          <w:sz w:val="20"/>
          <w:szCs w:val="20"/>
        </w:rPr>
        <w:t xml:space="preserve"> </w:t>
      </w:r>
      <w:r w:rsidRPr="00E80655">
        <w:rPr>
          <w:rFonts w:ascii="Arial" w:hAnsi="Arial" w:cs="Arial"/>
          <w:sz w:val="20"/>
          <w:szCs w:val="20"/>
        </w:rPr>
        <w:t>However, alongside these benefits come ethical considerations, environmental risks, and societal implications that require careful deliberation, stakeholder engagement, and regulatory vigilance. Balancing innovation with responsibility, promoting transparency, and ensuring equitable access to biotechnological advancements are essential principles guiding the ethical deployment of biotechnology in agriculture.</w:t>
      </w:r>
      <w:r w:rsidR="00105323" w:rsidRPr="00E80655">
        <w:rPr>
          <w:rFonts w:ascii="Arial" w:hAnsi="Arial" w:cs="Arial"/>
          <w:sz w:val="20"/>
          <w:szCs w:val="20"/>
        </w:rPr>
        <w:t xml:space="preserve"> </w:t>
      </w:r>
      <w:r w:rsidR="00062C75" w:rsidRPr="00E80655">
        <w:rPr>
          <w:rFonts w:ascii="Arial" w:hAnsi="Arial" w:cs="Arial"/>
          <w:sz w:val="20"/>
          <w:szCs w:val="20"/>
        </w:rPr>
        <w:t xml:space="preserve"> T</w:t>
      </w:r>
      <w:r w:rsidRPr="00E80655">
        <w:rPr>
          <w:rFonts w:ascii="Arial" w:hAnsi="Arial" w:cs="Arial"/>
          <w:sz w:val="20"/>
          <w:szCs w:val="20"/>
        </w:rPr>
        <w:t>he future, collaboration, interdisciplinary research, and knowledge sharing will be paramount in driving sustainable agricultural development. Embracing a holistic approach that integrates biotechnological solutions with agroecological principles, digital innovations, and social equity considerations holds the key to unlocking the full potential of biotechnology in creating resilient, inclusive, and thriving food systems.</w:t>
      </w:r>
    </w:p>
    <w:p w14:paraId="5B5EBD3A" w14:textId="77777777" w:rsidR="00C15350" w:rsidRPr="00C15350" w:rsidRDefault="00C15350" w:rsidP="00C15350">
      <w:pPr>
        <w:pStyle w:val="Default"/>
        <w:jc w:val="both"/>
        <w:rPr>
          <w:rFonts w:ascii="Arial" w:hAnsi="Arial" w:cs="Arial"/>
          <w:szCs w:val="20"/>
        </w:rPr>
      </w:pPr>
      <w:r w:rsidRPr="00C15350">
        <w:rPr>
          <w:rFonts w:ascii="Arial" w:hAnsi="Arial" w:cs="Arial"/>
          <w:b/>
          <w:bCs/>
          <w:szCs w:val="20"/>
        </w:rPr>
        <w:t xml:space="preserve">Disclaimer (Artificial Intelligence) </w:t>
      </w:r>
    </w:p>
    <w:p w14:paraId="5C8E2DFD" w14:textId="77777777" w:rsidR="00C15350" w:rsidRPr="00C15350" w:rsidRDefault="00C15350" w:rsidP="00C15350">
      <w:pPr>
        <w:pStyle w:val="Default"/>
        <w:jc w:val="both"/>
        <w:rPr>
          <w:rFonts w:ascii="Arial" w:hAnsi="Arial" w:cs="Arial"/>
          <w:sz w:val="20"/>
          <w:szCs w:val="20"/>
        </w:rPr>
      </w:pPr>
      <w:r w:rsidRPr="00C15350">
        <w:rPr>
          <w:rFonts w:ascii="Arial" w:hAnsi="Arial" w:cs="Arial"/>
          <w:sz w:val="20"/>
          <w:szCs w:val="20"/>
        </w:rPr>
        <w:t xml:space="preserve">Author(s) hereby declare that (ChatGPT 5.2) used in grammar check and text-to-image generators during the writing or editing of this manuscript. </w:t>
      </w:r>
    </w:p>
    <w:p w14:paraId="55872D88" w14:textId="77777777" w:rsidR="00C15350" w:rsidRPr="00C15350" w:rsidRDefault="00C15350" w:rsidP="00C15350">
      <w:pPr>
        <w:pStyle w:val="Default"/>
        <w:jc w:val="both"/>
        <w:rPr>
          <w:rFonts w:ascii="Arial" w:hAnsi="Arial" w:cs="Arial"/>
          <w:sz w:val="20"/>
          <w:szCs w:val="20"/>
        </w:rPr>
      </w:pPr>
    </w:p>
    <w:p w14:paraId="3DEAA674" w14:textId="77777777" w:rsidR="00C15350" w:rsidRPr="00C15350" w:rsidRDefault="00C15350" w:rsidP="00C15350">
      <w:pPr>
        <w:pStyle w:val="Default"/>
        <w:jc w:val="both"/>
        <w:rPr>
          <w:rFonts w:ascii="Arial" w:hAnsi="Arial" w:cs="Arial"/>
          <w:szCs w:val="20"/>
        </w:rPr>
      </w:pPr>
      <w:r w:rsidRPr="00C15350">
        <w:rPr>
          <w:rFonts w:ascii="Arial" w:hAnsi="Arial" w:cs="Arial"/>
          <w:b/>
          <w:bCs/>
          <w:szCs w:val="20"/>
        </w:rPr>
        <w:t xml:space="preserve">Competing Interests </w:t>
      </w:r>
    </w:p>
    <w:p w14:paraId="6E008721" w14:textId="77777777" w:rsidR="00C15350" w:rsidRPr="00C15350" w:rsidRDefault="00C15350" w:rsidP="00C15350">
      <w:pPr>
        <w:pStyle w:val="NoSpacing"/>
        <w:jc w:val="both"/>
        <w:rPr>
          <w:rFonts w:ascii="Arial" w:hAnsi="Arial" w:cs="Arial"/>
          <w:sz w:val="20"/>
          <w:szCs w:val="20"/>
        </w:rPr>
      </w:pPr>
      <w:r w:rsidRPr="00C15350">
        <w:rPr>
          <w:rFonts w:ascii="Arial" w:hAnsi="Arial" w:cs="Arial"/>
          <w:sz w:val="20"/>
          <w:szCs w:val="20"/>
        </w:rPr>
        <w:t>Authors have declared that no competing interests exist.</w:t>
      </w:r>
    </w:p>
    <w:p w14:paraId="6E2E701C" w14:textId="77777777" w:rsidR="008852AA" w:rsidRPr="00E80655" w:rsidRDefault="008852AA" w:rsidP="00E80655">
      <w:pPr>
        <w:spacing w:line="240" w:lineRule="auto"/>
        <w:jc w:val="both"/>
        <w:rPr>
          <w:rFonts w:ascii="Arial" w:hAnsi="Arial" w:cs="Arial"/>
          <w:sz w:val="20"/>
          <w:szCs w:val="20"/>
        </w:rPr>
      </w:pPr>
    </w:p>
    <w:p w14:paraId="068FC634" w14:textId="6C822594" w:rsidR="00D345AD" w:rsidRPr="00236E09" w:rsidRDefault="00236E09" w:rsidP="00E80655">
      <w:pPr>
        <w:spacing w:line="240" w:lineRule="auto"/>
        <w:jc w:val="both"/>
        <w:rPr>
          <w:rFonts w:ascii="Arial" w:hAnsi="Arial" w:cs="Arial"/>
          <w:b/>
          <w:bCs/>
          <w:sz w:val="24"/>
          <w:szCs w:val="24"/>
        </w:rPr>
      </w:pPr>
      <w:r w:rsidRPr="00236E09">
        <w:rPr>
          <w:rFonts w:ascii="Arial" w:hAnsi="Arial" w:cs="Arial"/>
          <w:b/>
          <w:bCs/>
          <w:sz w:val="24"/>
          <w:szCs w:val="24"/>
        </w:rPr>
        <w:t>REFERENCES</w:t>
      </w:r>
    </w:p>
    <w:p w14:paraId="229A6279"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Ahmar, S., Mahmood, T., Fiaz, S., Mora-Poblete, F., Shafique, M. S., Chattha, M. S., &amp; Jung, K. H. (2021). Advantage of nanotechnology-based genome editing system and its application in crop improvement. </w:t>
      </w:r>
      <w:r w:rsidRPr="00BA7B2F">
        <w:rPr>
          <w:rFonts w:ascii="Arial" w:hAnsi="Arial" w:cs="Arial"/>
          <w:i/>
          <w:sz w:val="20"/>
          <w:szCs w:val="20"/>
        </w:rPr>
        <w:t>Frontiers in Plant Science, 12,</w:t>
      </w:r>
      <w:r w:rsidRPr="00BA7B2F">
        <w:rPr>
          <w:rFonts w:ascii="Arial" w:hAnsi="Arial" w:cs="Arial"/>
          <w:sz w:val="20"/>
          <w:szCs w:val="20"/>
        </w:rPr>
        <w:t xml:space="preserve"> 663849. </w:t>
      </w:r>
    </w:p>
    <w:p w14:paraId="17C070B6"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Amini, S., Sharaf, S., </w:t>
      </w:r>
      <w:proofErr w:type="spellStart"/>
      <w:r w:rsidRPr="00BA7B2F">
        <w:rPr>
          <w:rFonts w:ascii="Arial" w:hAnsi="Arial" w:cs="Arial"/>
          <w:sz w:val="20"/>
          <w:szCs w:val="20"/>
        </w:rPr>
        <w:t>Komeili</w:t>
      </w:r>
      <w:proofErr w:type="spellEnd"/>
      <w:r w:rsidRPr="00BA7B2F">
        <w:rPr>
          <w:rFonts w:ascii="Arial" w:hAnsi="Arial" w:cs="Arial"/>
          <w:sz w:val="20"/>
          <w:szCs w:val="20"/>
        </w:rPr>
        <w:t xml:space="preserve">, H. R., &amp; </w:t>
      </w:r>
      <w:proofErr w:type="spellStart"/>
      <w:r w:rsidRPr="00BA7B2F">
        <w:rPr>
          <w:rFonts w:ascii="Arial" w:hAnsi="Arial" w:cs="Arial"/>
          <w:sz w:val="20"/>
          <w:szCs w:val="20"/>
        </w:rPr>
        <w:t>Tabaee</w:t>
      </w:r>
      <w:proofErr w:type="spellEnd"/>
      <w:r w:rsidRPr="00BA7B2F">
        <w:rPr>
          <w:rFonts w:ascii="Arial" w:hAnsi="Arial" w:cs="Arial"/>
          <w:sz w:val="20"/>
          <w:szCs w:val="20"/>
        </w:rPr>
        <w:t xml:space="preserve">, N. A. (2014). Effect of biotechnology on biodiversity. </w:t>
      </w:r>
      <w:r w:rsidRPr="00BA7B2F">
        <w:rPr>
          <w:rFonts w:ascii="Arial" w:hAnsi="Arial" w:cs="Arial"/>
          <w:i/>
          <w:sz w:val="20"/>
          <w:szCs w:val="20"/>
        </w:rPr>
        <w:t>Int. J. Farm. Allied Sci, 3,</w:t>
      </w:r>
      <w:r w:rsidRPr="00BA7B2F">
        <w:rPr>
          <w:rFonts w:ascii="Arial" w:hAnsi="Arial" w:cs="Arial"/>
          <w:sz w:val="20"/>
          <w:szCs w:val="20"/>
        </w:rPr>
        <w:t xml:space="preserve"> 910-915. </w:t>
      </w:r>
    </w:p>
    <w:p w14:paraId="4CB0B04C" w14:textId="77777777" w:rsidR="00844182" w:rsidRDefault="00844182" w:rsidP="00844182">
      <w:pPr>
        <w:pStyle w:val="NoSpacing"/>
        <w:ind w:left="851" w:hanging="851"/>
        <w:jc w:val="both"/>
        <w:rPr>
          <w:rFonts w:ascii="Arial" w:hAnsi="Arial" w:cs="Arial"/>
          <w:sz w:val="20"/>
          <w:szCs w:val="20"/>
        </w:rPr>
      </w:pPr>
      <w:r w:rsidRPr="00364075">
        <w:rPr>
          <w:rFonts w:ascii="Arial" w:hAnsi="Arial" w:cs="Arial"/>
          <w:sz w:val="20"/>
          <w:szCs w:val="20"/>
        </w:rPr>
        <w:t>Chen, F., Chen, L., Yan, Z., Xu, J., Feng, L., He, N., ... &amp; Liu, C. (2024). Recent advances of CRISPR-based genome editing for enhancing staple crops. </w:t>
      </w:r>
      <w:r w:rsidRPr="00364075">
        <w:rPr>
          <w:rFonts w:ascii="Arial" w:hAnsi="Arial" w:cs="Arial"/>
          <w:i/>
          <w:iCs/>
          <w:sz w:val="20"/>
          <w:szCs w:val="20"/>
        </w:rPr>
        <w:t>Frontiers in plant science</w:t>
      </w:r>
      <w:r w:rsidRPr="00364075">
        <w:rPr>
          <w:rFonts w:ascii="Arial" w:hAnsi="Arial" w:cs="Arial"/>
          <w:sz w:val="20"/>
          <w:szCs w:val="20"/>
        </w:rPr>
        <w:t>, </w:t>
      </w:r>
      <w:r w:rsidRPr="00364075">
        <w:rPr>
          <w:rFonts w:ascii="Arial" w:hAnsi="Arial" w:cs="Arial"/>
          <w:i/>
          <w:iCs/>
          <w:sz w:val="20"/>
          <w:szCs w:val="20"/>
        </w:rPr>
        <w:t>15</w:t>
      </w:r>
      <w:r w:rsidRPr="00364075">
        <w:rPr>
          <w:rFonts w:ascii="Arial" w:hAnsi="Arial" w:cs="Arial"/>
          <w:sz w:val="20"/>
          <w:szCs w:val="20"/>
        </w:rPr>
        <w:t>, 1478398.</w:t>
      </w:r>
    </w:p>
    <w:p w14:paraId="31684251"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Clapp, J., &amp; Ruder, S. L. (2020). Precision technologies for agriculture: Digital farming, gene-edited crops, and the politics of sustainability. </w:t>
      </w:r>
      <w:r w:rsidRPr="00BA7B2F">
        <w:rPr>
          <w:rFonts w:ascii="Arial" w:hAnsi="Arial" w:cs="Arial"/>
          <w:i/>
          <w:sz w:val="20"/>
          <w:szCs w:val="20"/>
        </w:rPr>
        <w:t>Global Environmental Politics, 20(3),</w:t>
      </w:r>
      <w:r w:rsidRPr="00BA7B2F">
        <w:rPr>
          <w:rFonts w:ascii="Arial" w:hAnsi="Arial" w:cs="Arial"/>
          <w:sz w:val="20"/>
          <w:szCs w:val="20"/>
        </w:rPr>
        <w:t xml:space="preserve"> 49-69.</w:t>
      </w:r>
    </w:p>
    <w:p w14:paraId="07C4F266" w14:textId="77777777" w:rsidR="00844182" w:rsidRDefault="00844182" w:rsidP="00844182">
      <w:pPr>
        <w:pStyle w:val="NoSpacing"/>
        <w:ind w:left="851" w:hanging="851"/>
        <w:jc w:val="both"/>
        <w:rPr>
          <w:rFonts w:ascii="Arial" w:hAnsi="Arial" w:cs="Arial"/>
          <w:sz w:val="20"/>
          <w:szCs w:val="20"/>
        </w:rPr>
      </w:pPr>
      <w:r w:rsidRPr="00364075">
        <w:rPr>
          <w:rFonts w:ascii="Arial" w:hAnsi="Arial" w:cs="Arial"/>
          <w:sz w:val="20"/>
          <w:szCs w:val="20"/>
        </w:rPr>
        <w:t xml:space="preserve">Das, A., Debnath, S., Pramanik, S., </w:t>
      </w:r>
      <w:proofErr w:type="spellStart"/>
      <w:r w:rsidRPr="00364075">
        <w:rPr>
          <w:rFonts w:ascii="Arial" w:hAnsi="Arial" w:cs="Arial"/>
          <w:sz w:val="20"/>
          <w:szCs w:val="20"/>
        </w:rPr>
        <w:t>Monshi</w:t>
      </w:r>
      <w:proofErr w:type="spellEnd"/>
      <w:r w:rsidRPr="00364075">
        <w:rPr>
          <w:rFonts w:ascii="Arial" w:hAnsi="Arial" w:cs="Arial"/>
          <w:sz w:val="20"/>
          <w:szCs w:val="20"/>
        </w:rPr>
        <w:t xml:space="preserve">, F. I., &amp; Rahimi, M. (2025). Bio-digital feedback loop systems: a synergistic integration of predictive genomics, genome editing, and AI-driven </w:t>
      </w:r>
      <w:proofErr w:type="spellStart"/>
      <w:r w:rsidRPr="00364075">
        <w:rPr>
          <w:rFonts w:ascii="Arial" w:hAnsi="Arial" w:cs="Arial"/>
          <w:sz w:val="20"/>
          <w:szCs w:val="20"/>
        </w:rPr>
        <w:t>phenomic</w:t>
      </w:r>
      <w:proofErr w:type="spellEnd"/>
      <w:r w:rsidRPr="00364075">
        <w:rPr>
          <w:rFonts w:ascii="Arial" w:hAnsi="Arial" w:cs="Arial"/>
          <w:sz w:val="20"/>
          <w:szCs w:val="20"/>
        </w:rPr>
        <w:t xml:space="preserve"> synthesis for next-generation edible and medicinal mushroom breeding. </w:t>
      </w:r>
      <w:r w:rsidRPr="00364075">
        <w:rPr>
          <w:rFonts w:ascii="Arial" w:hAnsi="Arial" w:cs="Arial"/>
          <w:i/>
          <w:iCs/>
          <w:sz w:val="20"/>
          <w:szCs w:val="20"/>
        </w:rPr>
        <w:t>Antonie van Leeuwenhoek</w:t>
      </w:r>
      <w:r w:rsidRPr="00364075">
        <w:rPr>
          <w:rFonts w:ascii="Arial" w:hAnsi="Arial" w:cs="Arial"/>
          <w:sz w:val="20"/>
          <w:szCs w:val="20"/>
        </w:rPr>
        <w:t>, </w:t>
      </w:r>
      <w:r w:rsidRPr="00364075">
        <w:rPr>
          <w:rFonts w:ascii="Arial" w:hAnsi="Arial" w:cs="Arial"/>
          <w:i/>
          <w:iCs/>
          <w:sz w:val="20"/>
          <w:szCs w:val="20"/>
        </w:rPr>
        <w:t>118</w:t>
      </w:r>
      <w:r w:rsidRPr="00364075">
        <w:rPr>
          <w:rFonts w:ascii="Arial" w:hAnsi="Arial" w:cs="Arial"/>
          <w:sz w:val="20"/>
          <w:szCs w:val="20"/>
        </w:rPr>
        <w:t>(11), 168.</w:t>
      </w:r>
    </w:p>
    <w:p w14:paraId="2993E5C8" w14:textId="77777777" w:rsidR="00844182" w:rsidRPr="00364075" w:rsidRDefault="00844182" w:rsidP="00844182">
      <w:pPr>
        <w:pStyle w:val="NoSpacing"/>
        <w:ind w:left="851" w:hanging="851"/>
        <w:jc w:val="both"/>
        <w:rPr>
          <w:rFonts w:ascii="Arial" w:hAnsi="Arial" w:cs="Arial"/>
          <w:sz w:val="20"/>
          <w:szCs w:val="20"/>
        </w:rPr>
      </w:pPr>
      <w:r w:rsidRPr="00364075">
        <w:rPr>
          <w:rFonts w:ascii="Arial" w:hAnsi="Arial" w:cs="Arial"/>
          <w:sz w:val="20"/>
          <w:szCs w:val="20"/>
        </w:rPr>
        <w:t>Dey, P., Pattanaik, D., Dash, D., Singhal, R. K., Gaikwad, D. J., Baig, M. J., ... &amp; Rahimi, M. (2025). Mechanisms of low light stress in rice: current insights and future directions. </w:t>
      </w:r>
      <w:r w:rsidRPr="00364075">
        <w:rPr>
          <w:rFonts w:ascii="Arial" w:hAnsi="Arial" w:cs="Arial"/>
          <w:i/>
          <w:iCs/>
          <w:sz w:val="20"/>
          <w:szCs w:val="20"/>
        </w:rPr>
        <w:t>Plant Growth Regulation</w:t>
      </w:r>
      <w:r w:rsidRPr="00364075">
        <w:rPr>
          <w:rFonts w:ascii="Arial" w:hAnsi="Arial" w:cs="Arial"/>
          <w:sz w:val="20"/>
          <w:szCs w:val="20"/>
        </w:rPr>
        <w:t>, 1-20.</w:t>
      </w:r>
    </w:p>
    <w:p w14:paraId="29E3025F" w14:textId="77777777" w:rsidR="00844182" w:rsidRPr="00BA7B2F" w:rsidRDefault="00844182" w:rsidP="00844182">
      <w:pPr>
        <w:spacing w:line="240" w:lineRule="auto"/>
        <w:ind w:left="851" w:hanging="851"/>
        <w:jc w:val="both"/>
        <w:rPr>
          <w:rFonts w:ascii="Arial" w:hAnsi="Arial" w:cs="Arial"/>
          <w:sz w:val="20"/>
          <w:szCs w:val="20"/>
        </w:rPr>
      </w:pPr>
      <w:proofErr w:type="spellStart"/>
      <w:r w:rsidRPr="00BA7B2F">
        <w:rPr>
          <w:rFonts w:ascii="Arial" w:hAnsi="Arial" w:cs="Arial"/>
          <w:sz w:val="20"/>
          <w:szCs w:val="20"/>
        </w:rPr>
        <w:t>Eş</w:t>
      </w:r>
      <w:proofErr w:type="spellEnd"/>
      <w:r w:rsidRPr="00BA7B2F">
        <w:rPr>
          <w:rFonts w:ascii="Arial" w:hAnsi="Arial" w:cs="Arial"/>
          <w:sz w:val="20"/>
          <w:szCs w:val="20"/>
        </w:rPr>
        <w:t xml:space="preserve">, I., </w:t>
      </w:r>
      <w:proofErr w:type="spellStart"/>
      <w:r w:rsidRPr="00BA7B2F">
        <w:rPr>
          <w:rFonts w:ascii="Arial" w:hAnsi="Arial" w:cs="Arial"/>
          <w:sz w:val="20"/>
          <w:szCs w:val="20"/>
        </w:rPr>
        <w:t>Gavahian</w:t>
      </w:r>
      <w:proofErr w:type="spellEnd"/>
      <w:r w:rsidRPr="00BA7B2F">
        <w:rPr>
          <w:rFonts w:ascii="Arial" w:hAnsi="Arial" w:cs="Arial"/>
          <w:sz w:val="20"/>
          <w:szCs w:val="20"/>
        </w:rPr>
        <w:t xml:space="preserve">, M., Marti-Quijal, F. J., Lorenzo, J. M., </w:t>
      </w:r>
      <w:proofErr w:type="spellStart"/>
      <w:r w:rsidRPr="00BA7B2F">
        <w:rPr>
          <w:rFonts w:ascii="Arial" w:hAnsi="Arial" w:cs="Arial"/>
          <w:sz w:val="20"/>
          <w:szCs w:val="20"/>
        </w:rPr>
        <w:t>Khaneghah</w:t>
      </w:r>
      <w:proofErr w:type="spellEnd"/>
      <w:r w:rsidRPr="00BA7B2F">
        <w:rPr>
          <w:rFonts w:ascii="Arial" w:hAnsi="Arial" w:cs="Arial"/>
          <w:sz w:val="20"/>
          <w:szCs w:val="20"/>
        </w:rPr>
        <w:t xml:space="preserve">, A. M., </w:t>
      </w:r>
      <w:proofErr w:type="spellStart"/>
      <w:r w:rsidRPr="00BA7B2F">
        <w:rPr>
          <w:rFonts w:ascii="Arial" w:hAnsi="Arial" w:cs="Arial"/>
          <w:sz w:val="20"/>
          <w:szCs w:val="20"/>
        </w:rPr>
        <w:t>Tsatsanis</w:t>
      </w:r>
      <w:proofErr w:type="spellEnd"/>
      <w:r w:rsidRPr="00BA7B2F">
        <w:rPr>
          <w:rFonts w:ascii="Arial" w:hAnsi="Arial" w:cs="Arial"/>
          <w:sz w:val="20"/>
          <w:szCs w:val="20"/>
        </w:rPr>
        <w:t xml:space="preserve">, C., ... &amp; Barba, F. J. (2019). The application of the CRISPR-Cas9 genome editing machinery in food and agricultural science: Current status, future perspectives, and associated challenges. </w:t>
      </w:r>
      <w:r w:rsidRPr="00BA7B2F">
        <w:rPr>
          <w:rFonts w:ascii="Arial" w:hAnsi="Arial" w:cs="Arial"/>
          <w:i/>
          <w:sz w:val="20"/>
          <w:szCs w:val="20"/>
        </w:rPr>
        <w:t>Biotechnology advances, 37(3),</w:t>
      </w:r>
      <w:r w:rsidRPr="00BA7B2F">
        <w:rPr>
          <w:rFonts w:ascii="Arial" w:hAnsi="Arial" w:cs="Arial"/>
          <w:sz w:val="20"/>
          <w:szCs w:val="20"/>
        </w:rPr>
        <w:t xml:space="preserve"> 410-421. </w:t>
      </w:r>
    </w:p>
    <w:p w14:paraId="04DED2C1"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Eskandar, K. (2023). Revolutionizing biotechnology and bioengineering: unleashing the power of innovation. </w:t>
      </w:r>
      <w:r w:rsidRPr="00BA7B2F">
        <w:rPr>
          <w:rFonts w:ascii="Arial" w:hAnsi="Arial" w:cs="Arial"/>
          <w:i/>
          <w:sz w:val="20"/>
          <w:szCs w:val="20"/>
        </w:rPr>
        <w:t xml:space="preserve">J Appl </w:t>
      </w:r>
      <w:proofErr w:type="spellStart"/>
      <w:r w:rsidRPr="00BA7B2F">
        <w:rPr>
          <w:rFonts w:ascii="Arial" w:hAnsi="Arial" w:cs="Arial"/>
          <w:i/>
          <w:sz w:val="20"/>
          <w:szCs w:val="20"/>
        </w:rPr>
        <w:t>Biotechnol</w:t>
      </w:r>
      <w:proofErr w:type="spellEnd"/>
      <w:r w:rsidRPr="00BA7B2F">
        <w:rPr>
          <w:rFonts w:ascii="Arial" w:hAnsi="Arial" w:cs="Arial"/>
          <w:i/>
          <w:sz w:val="20"/>
          <w:szCs w:val="20"/>
        </w:rPr>
        <w:t xml:space="preserve"> </w:t>
      </w:r>
      <w:proofErr w:type="spellStart"/>
      <w:r w:rsidRPr="00BA7B2F">
        <w:rPr>
          <w:rFonts w:ascii="Arial" w:hAnsi="Arial" w:cs="Arial"/>
          <w:i/>
          <w:sz w:val="20"/>
          <w:szCs w:val="20"/>
        </w:rPr>
        <w:t>Bioeng</w:t>
      </w:r>
      <w:proofErr w:type="spellEnd"/>
      <w:r w:rsidRPr="00BA7B2F">
        <w:rPr>
          <w:rFonts w:ascii="Arial" w:hAnsi="Arial" w:cs="Arial"/>
          <w:i/>
          <w:sz w:val="20"/>
          <w:szCs w:val="20"/>
        </w:rPr>
        <w:t>, 10(3),</w:t>
      </w:r>
      <w:r w:rsidRPr="00BA7B2F">
        <w:rPr>
          <w:rFonts w:ascii="Arial" w:hAnsi="Arial" w:cs="Arial"/>
          <w:sz w:val="20"/>
          <w:szCs w:val="20"/>
        </w:rPr>
        <w:t xml:space="preserve"> 81-88. </w:t>
      </w:r>
    </w:p>
    <w:p w14:paraId="7347DA3A"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Giudice, G., Moffa, L., </w:t>
      </w:r>
      <w:proofErr w:type="spellStart"/>
      <w:r w:rsidRPr="00BA7B2F">
        <w:rPr>
          <w:rFonts w:ascii="Arial" w:hAnsi="Arial" w:cs="Arial"/>
          <w:sz w:val="20"/>
          <w:szCs w:val="20"/>
        </w:rPr>
        <w:t>Varotto</w:t>
      </w:r>
      <w:proofErr w:type="spellEnd"/>
      <w:r w:rsidRPr="00BA7B2F">
        <w:rPr>
          <w:rFonts w:ascii="Arial" w:hAnsi="Arial" w:cs="Arial"/>
          <w:sz w:val="20"/>
          <w:szCs w:val="20"/>
        </w:rPr>
        <w:t xml:space="preserve">, S., Cardone, M. F., Bergamini, C., De Lorenzis, G., ... &amp; Chitarra, W. (2021). Novel and emerging biotechnological crop protection approaches. </w:t>
      </w:r>
      <w:r w:rsidRPr="00BA7B2F">
        <w:rPr>
          <w:rFonts w:ascii="Arial" w:hAnsi="Arial" w:cs="Arial"/>
          <w:i/>
          <w:sz w:val="20"/>
          <w:szCs w:val="20"/>
        </w:rPr>
        <w:t>Plant biotechnology journal, 19(8),</w:t>
      </w:r>
      <w:r w:rsidRPr="00BA7B2F">
        <w:rPr>
          <w:rFonts w:ascii="Arial" w:hAnsi="Arial" w:cs="Arial"/>
          <w:sz w:val="20"/>
          <w:szCs w:val="20"/>
        </w:rPr>
        <w:t xml:space="preserve"> 1495-1510. </w:t>
      </w:r>
    </w:p>
    <w:p w14:paraId="268BD20A" w14:textId="77777777" w:rsidR="00844182" w:rsidRPr="00364075" w:rsidRDefault="00844182" w:rsidP="00844182">
      <w:pPr>
        <w:pStyle w:val="NoSpacing"/>
        <w:ind w:left="720" w:hanging="720"/>
        <w:jc w:val="both"/>
        <w:rPr>
          <w:rFonts w:ascii="Arial" w:hAnsi="Arial" w:cs="Arial"/>
          <w:sz w:val="20"/>
          <w:szCs w:val="20"/>
        </w:rPr>
      </w:pPr>
      <w:proofErr w:type="spellStart"/>
      <w:r w:rsidRPr="00364075">
        <w:rPr>
          <w:rFonts w:ascii="Arial" w:hAnsi="Arial" w:cs="Arial"/>
          <w:sz w:val="20"/>
          <w:szCs w:val="20"/>
        </w:rPr>
        <w:t>Jarial</w:t>
      </w:r>
      <w:proofErr w:type="spellEnd"/>
      <w:r w:rsidRPr="00364075">
        <w:rPr>
          <w:rFonts w:ascii="Arial" w:hAnsi="Arial" w:cs="Arial"/>
          <w:sz w:val="20"/>
          <w:szCs w:val="20"/>
        </w:rPr>
        <w:t>, S., Kumar, P., Kaushik, R., Singh, J., &amp; Singh, H. (2026). Dehumanizing Extension Advisory Services in Horticulture through the Application of Internet of Things. In </w:t>
      </w:r>
      <w:r w:rsidRPr="00364075">
        <w:rPr>
          <w:rFonts w:ascii="Arial" w:hAnsi="Arial" w:cs="Arial"/>
          <w:i/>
          <w:iCs/>
          <w:sz w:val="20"/>
          <w:szCs w:val="20"/>
        </w:rPr>
        <w:t>Smart Horticulture Production</w:t>
      </w:r>
      <w:r w:rsidRPr="00364075">
        <w:rPr>
          <w:rFonts w:ascii="Arial" w:hAnsi="Arial" w:cs="Arial"/>
          <w:sz w:val="20"/>
          <w:szCs w:val="20"/>
        </w:rPr>
        <w:t> (pp. 325-354). Apple Academic Press.</w:t>
      </w:r>
    </w:p>
    <w:p w14:paraId="5D05A3EC"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Kalter, R. J., &amp; Tauer, L. W. (1987). Potential economic impacts of agricultural biotechnology. </w:t>
      </w:r>
      <w:r w:rsidRPr="00BA7B2F">
        <w:rPr>
          <w:rFonts w:ascii="Arial" w:hAnsi="Arial" w:cs="Arial"/>
          <w:i/>
          <w:sz w:val="20"/>
          <w:szCs w:val="20"/>
        </w:rPr>
        <w:t>American Journal of Agricultural Economics, 69(2),</w:t>
      </w:r>
      <w:r w:rsidRPr="00BA7B2F">
        <w:rPr>
          <w:rFonts w:ascii="Arial" w:hAnsi="Arial" w:cs="Arial"/>
          <w:sz w:val="20"/>
          <w:szCs w:val="20"/>
        </w:rPr>
        <w:t xml:space="preserve"> 420-425.</w:t>
      </w:r>
    </w:p>
    <w:p w14:paraId="3C6E69DA" w14:textId="77777777" w:rsidR="00844182" w:rsidRDefault="00844182" w:rsidP="00844182">
      <w:pPr>
        <w:pStyle w:val="NoSpacing"/>
        <w:ind w:left="720" w:hanging="720"/>
        <w:jc w:val="both"/>
        <w:rPr>
          <w:rFonts w:ascii="Arial" w:hAnsi="Arial" w:cs="Arial"/>
          <w:sz w:val="20"/>
          <w:szCs w:val="20"/>
        </w:rPr>
      </w:pPr>
      <w:r w:rsidRPr="00364075">
        <w:rPr>
          <w:rFonts w:ascii="Arial" w:hAnsi="Arial" w:cs="Arial"/>
          <w:sz w:val="20"/>
          <w:szCs w:val="20"/>
        </w:rPr>
        <w:lastRenderedPageBreak/>
        <w:t>Kaur, H., Kaushik, R., Ravi, K., Ali, S., Wani, A. W., Kumar, S., ... &amp; Khursheed, A. (2025). Nanoparticles and Fenugreek. In </w:t>
      </w:r>
      <w:r w:rsidRPr="00364075">
        <w:rPr>
          <w:rFonts w:ascii="Arial" w:hAnsi="Arial" w:cs="Arial"/>
          <w:i/>
          <w:iCs/>
          <w:sz w:val="20"/>
          <w:szCs w:val="20"/>
        </w:rPr>
        <w:t>Fenugreek</w:t>
      </w:r>
      <w:r w:rsidRPr="00364075">
        <w:rPr>
          <w:rFonts w:ascii="Arial" w:hAnsi="Arial" w:cs="Arial"/>
          <w:sz w:val="20"/>
          <w:szCs w:val="20"/>
        </w:rPr>
        <w:t> (pp. 207-229). Apple Academic Press.</w:t>
      </w:r>
    </w:p>
    <w:p w14:paraId="72DFB738" w14:textId="77777777" w:rsidR="00844182" w:rsidRPr="00BA7B2F" w:rsidRDefault="00844182" w:rsidP="00844182">
      <w:pPr>
        <w:spacing w:line="240" w:lineRule="auto"/>
        <w:ind w:left="851" w:hanging="851"/>
        <w:jc w:val="both"/>
        <w:rPr>
          <w:rFonts w:ascii="Arial" w:hAnsi="Arial" w:cs="Arial"/>
          <w:sz w:val="20"/>
          <w:szCs w:val="20"/>
        </w:rPr>
      </w:pPr>
      <w:proofErr w:type="spellStart"/>
      <w:r w:rsidRPr="00BA7B2F">
        <w:rPr>
          <w:rFonts w:ascii="Arial" w:hAnsi="Arial" w:cs="Arial"/>
          <w:sz w:val="20"/>
          <w:szCs w:val="20"/>
        </w:rPr>
        <w:t>Kershen</w:t>
      </w:r>
      <w:proofErr w:type="spellEnd"/>
      <w:r w:rsidRPr="00BA7B2F">
        <w:rPr>
          <w:rFonts w:ascii="Arial" w:hAnsi="Arial" w:cs="Arial"/>
          <w:sz w:val="20"/>
          <w:szCs w:val="20"/>
        </w:rPr>
        <w:t xml:space="preserve">, D. L. (2002). Agricultural biotechnology: environmental benefits for identifiable environmental problems. </w:t>
      </w:r>
      <w:proofErr w:type="spellStart"/>
      <w:r w:rsidRPr="00BA7B2F">
        <w:rPr>
          <w:rFonts w:ascii="Arial" w:hAnsi="Arial" w:cs="Arial"/>
          <w:i/>
          <w:sz w:val="20"/>
          <w:szCs w:val="20"/>
        </w:rPr>
        <w:t>Envtl</w:t>
      </w:r>
      <w:proofErr w:type="spellEnd"/>
      <w:r w:rsidRPr="00BA7B2F">
        <w:rPr>
          <w:rFonts w:ascii="Arial" w:hAnsi="Arial" w:cs="Arial"/>
          <w:i/>
          <w:sz w:val="20"/>
          <w:szCs w:val="20"/>
        </w:rPr>
        <w:t>. L. Rep. News &amp; Analysis, 32,</w:t>
      </w:r>
      <w:r w:rsidRPr="00BA7B2F">
        <w:rPr>
          <w:rFonts w:ascii="Arial" w:hAnsi="Arial" w:cs="Arial"/>
          <w:sz w:val="20"/>
          <w:szCs w:val="20"/>
        </w:rPr>
        <w:t xml:space="preserve"> 11312.</w:t>
      </w:r>
    </w:p>
    <w:p w14:paraId="0B84D62F"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Kumar, K., Gambhir, G., Dass, A., Tripathi, A. K., Singh, A., Jha, A. K., ... &amp; Rakshit, S. (2020). Genetically modified crops: current status and future prospects. </w:t>
      </w:r>
      <w:r w:rsidRPr="00BA7B2F">
        <w:rPr>
          <w:rFonts w:ascii="Arial" w:hAnsi="Arial" w:cs="Arial"/>
          <w:i/>
          <w:sz w:val="20"/>
          <w:szCs w:val="20"/>
        </w:rPr>
        <w:t>Planta, 251(4),</w:t>
      </w:r>
      <w:r w:rsidRPr="00BA7B2F">
        <w:rPr>
          <w:rFonts w:ascii="Arial" w:hAnsi="Arial" w:cs="Arial"/>
          <w:sz w:val="20"/>
          <w:szCs w:val="20"/>
        </w:rPr>
        <w:t xml:space="preserve"> 91.</w:t>
      </w:r>
    </w:p>
    <w:p w14:paraId="02197FDA" w14:textId="77777777" w:rsidR="00844182" w:rsidRDefault="00844182" w:rsidP="00844182">
      <w:pPr>
        <w:pStyle w:val="NoSpacing"/>
        <w:ind w:left="720" w:hanging="720"/>
        <w:jc w:val="both"/>
        <w:rPr>
          <w:rFonts w:ascii="Arial" w:hAnsi="Arial" w:cs="Arial"/>
          <w:sz w:val="20"/>
          <w:szCs w:val="20"/>
        </w:rPr>
      </w:pPr>
      <w:r w:rsidRPr="00364075">
        <w:rPr>
          <w:rFonts w:ascii="Arial" w:hAnsi="Arial" w:cs="Arial"/>
          <w:sz w:val="20"/>
          <w:szCs w:val="20"/>
        </w:rPr>
        <w:t xml:space="preserve">Kumar, R. K., </w:t>
      </w:r>
      <w:proofErr w:type="spellStart"/>
      <w:r w:rsidRPr="00364075">
        <w:rPr>
          <w:rFonts w:ascii="Arial" w:hAnsi="Arial" w:cs="Arial"/>
          <w:sz w:val="20"/>
          <w:szCs w:val="20"/>
        </w:rPr>
        <w:t>Senthamizhkumaran</w:t>
      </w:r>
      <w:proofErr w:type="spellEnd"/>
      <w:r w:rsidRPr="00364075">
        <w:rPr>
          <w:rFonts w:ascii="Arial" w:hAnsi="Arial" w:cs="Arial"/>
          <w:sz w:val="20"/>
          <w:szCs w:val="20"/>
        </w:rPr>
        <w:t xml:space="preserve">, V. R., </w:t>
      </w:r>
      <w:proofErr w:type="spellStart"/>
      <w:r w:rsidRPr="00364075">
        <w:rPr>
          <w:rFonts w:ascii="Arial" w:hAnsi="Arial" w:cs="Arial"/>
          <w:sz w:val="20"/>
          <w:szCs w:val="20"/>
        </w:rPr>
        <w:t>Alagendran</w:t>
      </w:r>
      <w:proofErr w:type="spellEnd"/>
      <w:r w:rsidRPr="00364075">
        <w:rPr>
          <w:rFonts w:ascii="Arial" w:hAnsi="Arial" w:cs="Arial"/>
          <w:sz w:val="20"/>
          <w:szCs w:val="20"/>
        </w:rPr>
        <w:t>, S., Chitra, M., Kumar, K. R., Tyagi, T., &amp; Tyagi, A. (2024). Advances in agricultural biotechnology: Enhancing productivity and sustainability in India: A review. </w:t>
      </w:r>
      <w:r w:rsidRPr="00364075">
        <w:rPr>
          <w:rFonts w:ascii="Arial" w:hAnsi="Arial" w:cs="Arial"/>
          <w:i/>
          <w:iCs/>
          <w:sz w:val="20"/>
          <w:szCs w:val="20"/>
        </w:rPr>
        <w:t>Journal of Scientific Research and Reports</w:t>
      </w:r>
      <w:r w:rsidRPr="00364075">
        <w:rPr>
          <w:rFonts w:ascii="Arial" w:hAnsi="Arial" w:cs="Arial"/>
          <w:sz w:val="20"/>
          <w:szCs w:val="20"/>
        </w:rPr>
        <w:t>, </w:t>
      </w:r>
      <w:r w:rsidRPr="00364075">
        <w:rPr>
          <w:rFonts w:ascii="Arial" w:hAnsi="Arial" w:cs="Arial"/>
          <w:i/>
          <w:iCs/>
          <w:sz w:val="20"/>
          <w:szCs w:val="20"/>
        </w:rPr>
        <w:t>30</w:t>
      </w:r>
      <w:r w:rsidRPr="00364075">
        <w:rPr>
          <w:rFonts w:ascii="Arial" w:hAnsi="Arial" w:cs="Arial"/>
          <w:sz w:val="20"/>
          <w:szCs w:val="20"/>
        </w:rPr>
        <w:t>(7), 366-383.</w:t>
      </w:r>
    </w:p>
    <w:p w14:paraId="274A7935" w14:textId="77777777" w:rsidR="00844182" w:rsidRDefault="00844182" w:rsidP="00844182">
      <w:pPr>
        <w:pStyle w:val="NoSpacing"/>
        <w:ind w:left="720" w:hanging="720"/>
        <w:jc w:val="both"/>
        <w:rPr>
          <w:rFonts w:ascii="Arial" w:hAnsi="Arial" w:cs="Arial"/>
          <w:sz w:val="20"/>
          <w:szCs w:val="20"/>
        </w:rPr>
      </w:pPr>
      <w:r w:rsidRPr="00364075">
        <w:rPr>
          <w:rFonts w:ascii="Arial" w:hAnsi="Arial" w:cs="Arial"/>
          <w:sz w:val="20"/>
          <w:szCs w:val="20"/>
        </w:rPr>
        <w:t xml:space="preserve">Kusuma, I., </w:t>
      </w:r>
      <w:proofErr w:type="spellStart"/>
      <w:r w:rsidRPr="00364075">
        <w:rPr>
          <w:rFonts w:ascii="Arial" w:hAnsi="Arial" w:cs="Arial"/>
          <w:sz w:val="20"/>
          <w:szCs w:val="20"/>
        </w:rPr>
        <w:t>Rahmadhia</w:t>
      </w:r>
      <w:proofErr w:type="spellEnd"/>
      <w:r w:rsidRPr="00364075">
        <w:rPr>
          <w:rFonts w:ascii="Arial" w:hAnsi="Arial" w:cs="Arial"/>
          <w:sz w:val="20"/>
          <w:szCs w:val="20"/>
        </w:rPr>
        <w:t xml:space="preserve">, S. N., &amp; </w:t>
      </w:r>
      <w:proofErr w:type="spellStart"/>
      <w:r w:rsidRPr="00364075">
        <w:rPr>
          <w:rFonts w:ascii="Arial" w:hAnsi="Arial" w:cs="Arial"/>
          <w:sz w:val="20"/>
          <w:szCs w:val="20"/>
        </w:rPr>
        <w:t>Ma'arif</w:t>
      </w:r>
      <w:proofErr w:type="spellEnd"/>
      <w:r w:rsidRPr="00364075">
        <w:rPr>
          <w:rFonts w:ascii="Arial" w:hAnsi="Arial" w:cs="Arial"/>
          <w:sz w:val="20"/>
          <w:szCs w:val="20"/>
        </w:rPr>
        <w:t>, A. (2024). Exploring the role of biotechnology and biodiversity in achieving sustainable and nutritional food systems. </w:t>
      </w:r>
      <w:r w:rsidRPr="00364075">
        <w:rPr>
          <w:rFonts w:ascii="Arial" w:hAnsi="Arial" w:cs="Arial"/>
          <w:i/>
          <w:iCs/>
          <w:sz w:val="20"/>
          <w:szCs w:val="20"/>
        </w:rPr>
        <w:t>Journal of Science in Agrotechnology</w:t>
      </w:r>
      <w:r w:rsidRPr="00364075">
        <w:rPr>
          <w:rFonts w:ascii="Arial" w:hAnsi="Arial" w:cs="Arial"/>
          <w:sz w:val="20"/>
          <w:szCs w:val="20"/>
        </w:rPr>
        <w:t>, </w:t>
      </w:r>
      <w:r w:rsidRPr="00364075">
        <w:rPr>
          <w:rFonts w:ascii="Arial" w:hAnsi="Arial" w:cs="Arial"/>
          <w:i/>
          <w:iCs/>
          <w:sz w:val="20"/>
          <w:szCs w:val="20"/>
        </w:rPr>
        <w:t>2</w:t>
      </w:r>
      <w:r w:rsidRPr="00364075">
        <w:rPr>
          <w:rFonts w:ascii="Arial" w:hAnsi="Arial" w:cs="Arial"/>
          <w:sz w:val="20"/>
          <w:szCs w:val="20"/>
        </w:rPr>
        <w:t>(1), 21-29.</w:t>
      </w:r>
    </w:p>
    <w:p w14:paraId="6F18A3C5" w14:textId="77777777" w:rsidR="00844182" w:rsidRDefault="00844182" w:rsidP="00844182">
      <w:pPr>
        <w:pStyle w:val="NoSpacing"/>
        <w:ind w:left="851" w:hanging="851"/>
        <w:jc w:val="both"/>
        <w:rPr>
          <w:rFonts w:ascii="Arial" w:hAnsi="Arial" w:cs="Arial"/>
          <w:sz w:val="20"/>
          <w:szCs w:val="20"/>
        </w:rPr>
      </w:pPr>
      <w:r w:rsidRPr="00364075">
        <w:rPr>
          <w:rFonts w:ascii="Arial" w:hAnsi="Arial" w:cs="Arial"/>
          <w:sz w:val="20"/>
          <w:szCs w:val="20"/>
        </w:rPr>
        <w:t xml:space="preserve">Lowe, C., Minssen, T., &amp; </w:t>
      </w:r>
      <w:proofErr w:type="spellStart"/>
      <w:r w:rsidRPr="00364075">
        <w:rPr>
          <w:rFonts w:ascii="Arial" w:hAnsi="Arial" w:cs="Arial"/>
          <w:sz w:val="20"/>
          <w:szCs w:val="20"/>
        </w:rPr>
        <w:t>Skentelbery</w:t>
      </w:r>
      <w:proofErr w:type="spellEnd"/>
      <w:r w:rsidRPr="00364075">
        <w:rPr>
          <w:rFonts w:ascii="Arial" w:hAnsi="Arial" w:cs="Arial"/>
          <w:sz w:val="20"/>
          <w:szCs w:val="20"/>
        </w:rPr>
        <w:t>, C. (2024). Emerging Biotechnologies in Europe: Foresight for Policy. </w:t>
      </w:r>
      <w:r w:rsidRPr="00364075">
        <w:rPr>
          <w:rFonts w:ascii="Arial" w:hAnsi="Arial" w:cs="Arial"/>
          <w:i/>
          <w:iCs/>
          <w:sz w:val="20"/>
          <w:szCs w:val="20"/>
        </w:rPr>
        <w:t>Joint Research Centre: Brussels, Belgium</w:t>
      </w:r>
      <w:r w:rsidRPr="00364075">
        <w:rPr>
          <w:rFonts w:ascii="Arial" w:hAnsi="Arial" w:cs="Arial"/>
          <w:sz w:val="20"/>
          <w:szCs w:val="20"/>
        </w:rPr>
        <w:t>.</w:t>
      </w:r>
    </w:p>
    <w:p w14:paraId="1F4FB248"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Mannion, A. M., &amp; Morse, S. (2012). Biotechnology in agriculture: agronomic and environmental considerations and reflections based on 15 years of GM crops. </w:t>
      </w:r>
      <w:r w:rsidRPr="00BA7B2F">
        <w:rPr>
          <w:rFonts w:ascii="Arial" w:hAnsi="Arial" w:cs="Arial"/>
          <w:i/>
          <w:sz w:val="20"/>
          <w:szCs w:val="20"/>
        </w:rPr>
        <w:t>Progress in Physical Geography, 36(6),</w:t>
      </w:r>
      <w:r w:rsidRPr="00BA7B2F">
        <w:rPr>
          <w:rFonts w:ascii="Arial" w:hAnsi="Arial" w:cs="Arial"/>
          <w:sz w:val="20"/>
          <w:szCs w:val="20"/>
        </w:rPr>
        <w:t xml:space="preserve"> 747-763.</w:t>
      </w:r>
    </w:p>
    <w:p w14:paraId="4F77356B" w14:textId="77777777" w:rsidR="00844182" w:rsidRDefault="00844182" w:rsidP="00844182">
      <w:pPr>
        <w:pStyle w:val="NoSpacing"/>
        <w:ind w:left="851" w:hanging="851"/>
        <w:jc w:val="both"/>
        <w:rPr>
          <w:rFonts w:ascii="Arial" w:hAnsi="Arial" w:cs="Arial"/>
          <w:sz w:val="20"/>
          <w:szCs w:val="20"/>
        </w:rPr>
      </w:pPr>
      <w:r w:rsidRPr="00364075">
        <w:rPr>
          <w:rFonts w:ascii="Arial" w:hAnsi="Arial" w:cs="Arial"/>
          <w:sz w:val="20"/>
          <w:szCs w:val="20"/>
        </w:rPr>
        <w:t>Riaz, M., Yasmeen, E., Saleem, B., Hameed, M. K., Saeed Almheiri, M. T., Saeed Al Mir, R. O., ... &amp; Gururani, M. A. (2025). Evolution of agricultural biotechnology is the paradigm shift in crop resilience and development: a review. </w:t>
      </w:r>
      <w:r w:rsidRPr="00364075">
        <w:rPr>
          <w:rFonts w:ascii="Arial" w:hAnsi="Arial" w:cs="Arial"/>
          <w:i/>
          <w:iCs/>
          <w:sz w:val="20"/>
          <w:szCs w:val="20"/>
        </w:rPr>
        <w:t>Frontiers in Plant Science</w:t>
      </w:r>
      <w:r w:rsidRPr="00364075">
        <w:rPr>
          <w:rFonts w:ascii="Arial" w:hAnsi="Arial" w:cs="Arial"/>
          <w:sz w:val="20"/>
          <w:szCs w:val="20"/>
        </w:rPr>
        <w:t>, </w:t>
      </w:r>
      <w:r w:rsidRPr="00364075">
        <w:rPr>
          <w:rFonts w:ascii="Arial" w:hAnsi="Arial" w:cs="Arial"/>
          <w:i/>
          <w:iCs/>
          <w:sz w:val="20"/>
          <w:szCs w:val="20"/>
        </w:rPr>
        <w:t>16</w:t>
      </w:r>
      <w:r w:rsidRPr="00364075">
        <w:rPr>
          <w:rFonts w:ascii="Arial" w:hAnsi="Arial" w:cs="Arial"/>
          <w:sz w:val="20"/>
          <w:szCs w:val="20"/>
        </w:rPr>
        <w:t>, 1585826.</w:t>
      </w:r>
    </w:p>
    <w:p w14:paraId="2B492BBB" w14:textId="77777777" w:rsidR="00844182" w:rsidRDefault="00844182" w:rsidP="00844182">
      <w:pPr>
        <w:pStyle w:val="NoSpacing"/>
        <w:ind w:left="851" w:hanging="851"/>
        <w:jc w:val="both"/>
        <w:rPr>
          <w:rFonts w:ascii="Arial" w:hAnsi="Arial" w:cs="Arial"/>
          <w:sz w:val="20"/>
          <w:szCs w:val="20"/>
        </w:rPr>
      </w:pPr>
      <w:proofErr w:type="spellStart"/>
      <w:r w:rsidRPr="00364075">
        <w:rPr>
          <w:rFonts w:ascii="Arial" w:hAnsi="Arial" w:cs="Arial"/>
          <w:sz w:val="20"/>
          <w:szCs w:val="20"/>
        </w:rPr>
        <w:t>Salgotra</w:t>
      </w:r>
      <w:proofErr w:type="spellEnd"/>
      <w:r w:rsidRPr="00364075">
        <w:rPr>
          <w:rFonts w:ascii="Arial" w:hAnsi="Arial" w:cs="Arial"/>
          <w:sz w:val="20"/>
          <w:szCs w:val="20"/>
        </w:rPr>
        <w:t xml:space="preserve">, R. K., Sharma, M., &amp; </w:t>
      </w:r>
      <w:proofErr w:type="spellStart"/>
      <w:r w:rsidRPr="00364075">
        <w:rPr>
          <w:rFonts w:ascii="Arial" w:hAnsi="Arial" w:cs="Arial"/>
          <w:sz w:val="20"/>
          <w:szCs w:val="20"/>
        </w:rPr>
        <w:t>Pandotra</w:t>
      </w:r>
      <w:proofErr w:type="spellEnd"/>
      <w:r w:rsidRPr="00364075">
        <w:rPr>
          <w:rFonts w:ascii="Arial" w:hAnsi="Arial" w:cs="Arial"/>
          <w:sz w:val="20"/>
          <w:szCs w:val="20"/>
        </w:rPr>
        <w:t>, P. (2019). Biotechnological interventions for sustainable conservation of plant genetic resources in the scenario of climate change. </w:t>
      </w:r>
      <w:r w:rsidRPr="00364075">
        <w:rPr>
          <w:rFonts w:ascii="Arial" w:hAnsi="Arial" w:cs="Arial"/>
          <w:i/>
          <w:iCs/>
          <w:sz w:val="20"/>
          <w:szCs w:val="20"/>
        </w:rPr>
        <w:t xml:space="preserve">Nat. </w:t>
      </w:r>
      <w:proofErr w:type="spellStart"/>
      <w:r w:rsidRPr="00364075">
        <w:rPr>
          <w:rFonts w:ascii="Arial" w:hAnsi="Arial" w:cs="Arial"/>
          <w:i/>
          <w:iCs/>
          <w:sz w:val="20"/>
          <w:szCs w:val="20"/>
        </w:rPr>
        <w:t>Resour</w:t>
      </w:r>
      <w:proofErr w:type="spellEnd"/>
      <w:r w:rsidRPr="00364075">
        <w:rPr>
          <w:rFonts w:ascii="Arial" w:hAnsi="Arial" w:cs="Arial"/>
          <w:i/>
          <w:iCs/>
          <w:sz w:val="20"/>
          <w:szCs w:val="20"/>
        </w:rPr>
        <w:t xml:space="preserve">. </w:t>
      </w:r>
      <w:proofErr w:type="spellStart"/>
      <w:r w:rsidRPr="00364075">
        <w:rPr>
          <w:rFonts w:ascii="Arial" w:hAnsi="Arial" w:cs="Arial"/>
          <w:i/>
          <w:iCs/>
          <w:sz w:val="20"/>
          <w:szCs w:val="20"/>
        </w:rPr>
        <w:t>Conserv</w:t>
      </w:r>
      <w:proofErr w:type="spellEnd"/>
      <w:r w:rsidRPr="00364075">
        <w:rPr>
          <w:rFonts w:ascii="Arial" w:hAnsi="Arial" w:cs="Arial"/>
          <w:i/>
          <w:iCs/>
          <w:sz w:val="20"/>
          <w:szCs w:val="20"/>
        </w:rPr>
        <w:t>. Res</w:t>
      </w:r>
      <w:r w:rsidRPr="00364075">
        <w:rPr>
          <w:rFonts w:ascii="Arial" w:hAnsi="Arial" w:cs="Arial"/>
          <w:sz w:val="20"/>
          <w:szCs w:val="20"/>
        </w:rPr>
        <w:t>, </w:t>
      </w:r>
      <w:r w:rsidRPr="00364075">
        <w:rPr>
          <w:rFonts w:ascii="Arial" w:hAnsi="Arial" w:cs="Arial"/>
          <w:i/>
          <w:iCs/>
          <w:sz w:val="20"/>
          <w:szCs w:val="20"/>
        </w:rPr>
        <w:t>2</w:t>
      </w:r>
      <w:r w:rsidRPr="00364075">
        <w:rPr>
          <w:rFonts w:ascii="Arial" w:hAnsi="Arial" w:cs="Arial"/>
          <w:sz w:val="20"/>
          <w:szCs w:val="20"/>
        </w:rPr>
        <w:t>, 754.</w:t>
      </w:r>
    </w:p>
    <w:p w14:paraId="311F60F4"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Soda, N., Verma, L., &amp; Giri, J. (2018). CRISPR-Cas9 based plant genome editing: Significance, opportunities and recent advances. </w:t>
      </w:r>
      <w:r w:rsidRPr="00BA7B2F">
        <w:rPr>
          <w:rFonts w:ascii="Arial" w:hAnsi="Arial" w:cs="Arial"/>
          <w:i/>
          <w:sz w:val="20"/>
          <w:szCs w:val="20"/>
        </w:rPr>
        <w:t>Plant Physiology and Biochemistry, 131,</w:t>
      </w:r>
      <w:r w:rsidRPr="00BA7B2F">
        <w:rPr>
          <w:rFonts w:ascii="Arial" w:hAnsi="Arial" w:cs="Arial"/>
          <w:sz w:val="20"/>
          <w:szCs w:val="20"/>
        </w:rPr>
        <w:t xml:space="preserve"> 2-11. </w:t>
      </w:r>
    </w:p>
    <w:p w14:paraId="1BD73713"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Tuteja, N., Tuteja, R., </w:t>
      </w:r>
      <w:proofErr w:type="spellStart"/>
      <w:r w:rsidRPr="00BA7B2F">
        <w:rPr>
          <w:rFonts w:ascii="Arial" w:hAnsi="Arial" w:cs="Arial"/>
          <w:sz w:val="20"/>
          <w:szCs w:val="20"/>
        </w:rPr>
        <w:t>Passricha</w:t>
      </w:r>
      <w:proofErr w:type="spellEnd"/>
      <w:r w:rsidRPr="00BA7B2F">
        <w:rPr>
          <w:rFonts w:ascii="Arial" w:hAnsi="Arial" w:cs="Arial"/>
          <w:sz w:val="20"/>
          <w:szCs w:val="20"/>
        </w:rPr>
        <w:t>, N., &amp; Saifi, S. (Eds.). (2020). Advancement in Crop Improvement Techniques. Woodhead Publishing.</w:t>
      </w:r>
    </w:p>
    <w:p w14:paraId="2A68A3DA" w14:textId="77777777" w:rsidR="00844182" w:rsidRDefault="00844182" w:rsidP="00844182">
      <w:pPr>
        <w:pStyle w:val="NoSpacing"/>
        <w:ind w:left="720" w:hanging="720"/>
        <w:jc w:val="both"/>
        <w:rPr>
          <w:rFonts w:ascii="Arial" w:hAnsi="Arial" w:cs="Arial"/>
          <w:sz w:val="20"/>
          <w:szCs w:val="20"/>
        </w:rPr>
      </w:pPr>
      <w:proofErr w:type="spellStart"/>
      <w:r w:rsidRPr="00364075">
        <w:rPr>
          <w:rFonts w:ascii="Arial" w:hAnsi="Arial" w:cs="Arial"/>
          <w:sz w:val="20"/>
          <w:szCs w:val="20"/>
        </w:rPr>
        <w:t>Tutlani</w:t>
      </w:r>
      <w:proofErr w:type="spellEnd"/>
      <w:r w:rsidRPr="00364075">
        <w:rPr>
          <w:rFonts w:ascii="Arial" w:hAnsi="Arial" w:cs="Arial"/>
          <w:sz w:val="20"/>
          <w:szCs w:val="20"/>
        </w:rPr>
        <w:t>, A., Kumar, R., Kumari, S., &amp; Chouhan, S. (2023). Correlation and path analysis for yield and its phenological, physiological, morphological and biochemical traits under salinity stress in chickpea (</w:t>
      </w:r>
      <w:r w:rsidRPr="00364075">
        <w:rPr>
          <w:rFonts w:ascii="Arial" w:hAnsi="Arial" w:cs="Arial"/>
          <w:i/>
          <w:iCs/>
          <w:sz w:val="20"/>
          <w:szCs w:val="20"/>
        </w:rPr>
        <w:t>Cicer arietinum</w:t>
      </w:r>
      <w:r w:rsidRPr="00364075">
        <w:rPr>
          <w:rFonts w:ascii="Arial" w:hAnsi="Arial" w:cs="Arial"/>
          <w:sz w:val="20"/>
          <w:szCs w:val="20"/>
        </w:rPr>
        <w:t xml:space="preserve"> L.). </w:t>
      </w:r>
      <w:r w:rsidRPr="00364075">
        <w:rPr>
          <w:rFonts w:ascii="Arial" w:hAnsi="Arial" w:cs="Arial"/>
          <w:i/>
          <w:iCs/>
          <w:sz w:val="20"/>
          <w:szCs w:val="20"/>
        </w:rPr>
        <w:t>International Journal of Bio-resource and Stress Management</w:t>
      </w:r>
      <w:r w:rsidRPr="00364075">
        <w:rPr>
          <w:rFonts w:ascii="Arial" w:hAnsi="Arial" w:cs="Arial"/>
          <w:sz w:val="20"/>
          <w:szCs w:val="20"/>
        </w:rPr>
        <w:t>, </w:t>
      </w:r>
      <w:r w:rsidRPr="00364075">
        <w:rPr>
          <w:rFonts w:ascii="Arial" w:hAnsi="Arial" w:cs="Arial"/>
          <w:i/>
          <w:iCs/>
          <w:sz w:val="20"/>
          <w:szCs w:val="20"/>
        </w:rPr>
        <w:t>14</w:t>
      </w:r>
      <w:r w:rsidRPr="00364075">
        <w:rPr>
          <w:rFonts w:ascii="Arial" w:hAnsi="Arial" w:cs="Arial"/>
          <w:sz w:val="20"/>
          <w:szCs w:val="20"/>
        </w:rPr>
        <w:t>(6), 878-890.</w:t>
      </w:r>
    </w:p>
    <w:p w14:paraId="0B62B4C5" w14:textId="77777777" w:rsidR="00844182" w:rsidRPr="00BA7B2F" w:rsidRDefault="00844182" w:rsidP="00844182">
      <w:pPr>
        <w:spacing w:line="240" w:lineRule="auto"/>
        <w:ind w:left="851" w:hanging="851"/>
        <w:jc w:val="both"/>
        <w:rPr>
          <w:rFonts w:ascii="Arial" w:hAnsi="Arial" w:cs="Arial"/>
          <w:sz w:val="20"/>
          <w:szCs w:val="20"/>
        </w:rPr>
      </w:pPr>
      <w:r w:rsidRPr="00BA7B2F">
        <w:rPr>
          <w:rFonts w:ascii="Arial" w:hAnsi="Arial" w:cs="Arial"/>
          <w:sz w:val="20"/>
          <w:szCs w:val="20"/>
        </w:rPr>
        <w:t xml:space="preserve">Uslu, T. (2021). Advantages, risks and legal perspectives of GMOs in 2020s. </w:t>
      </w:r>
      <w:r w:rsidRPr="00BA7B2F">
        <w:rPr>
          <w:rFonts w:ascii="Arial" w:hAnsi="Arial" w:cs="Arial"/>
          <w:i/>
          <w:sz w:val="20"/>
          <w:szCs w:val="20"/>
        </w:rPr>
        <w:t>Plant Biotechnology Reports, 15(6),</w:t>
      </w:r>
      <w:r w:rsidRPr="00BA7B2F">
        <w:rPr>
          <w:rFonts w:ascii="Arial" w:hAnsi="Arial" w:cs="Arial"/>
          <w:sz w:val="20"/>
          <w:szCs w:val="20"/>
        </w:rPr>
        <w:t xml:space="preserve"> 741-751.</w:t>
      </w:r>
    </w:p>
    <w:p w14:paraId="64BDA37C" w14:textId="77777777" w:rsidR="00844182" w:rsidRDefault="00844182" w:rsidP="00844182">
      <w:pPr>
        <w:spacing w:line="240" w:lineRule="auto"/>
        <w:ind w:left="851" w:hanging="851"/>
        <w:jc w:val="both"/>
        <w:rPr>
          <w:rFonts w:ascii="Arial" w:hAnsi="Arial" w:cs="Arial"/>
          <w:sz w:val="20"/>
          <w:szCs w:val="20"/>
        </w:rPr>
      </w:pPr>
      <w:proofErr w:type="spellStart"/>
      <w:r w:rsidRPr="00BA7B2F">
        <w:rPr>
          <w:rFonts w:ascii="Arial" w:hAnsi="Arial" w:cs="Arial"/>
          <w:sz w:val="20"/>
          <w:szCs w:val="20"/>
        </w:rPr>
        <w:t>Vrbničanin</w:t>
      </w:r>
      <w:proofErr w:type="spellEnd"/>
      <w:r w:rsidRPr="00BA7B2F">
        <w:rPr>
          <w:rFonts w:ascii="Arial" w:hAnsi="Arial" w:cs="Arial"/>
          <w:sz w:val="20"/>
          <w:szCs w:val="20"/>
        </w:rPr>
        <w:t xml:space="preserve">, S., Božić, D., &amp; Pavlović, D. (2017). Gene flow from herbicide-resistant crops to wild relatives. Herbicide Resistance in Crops and Weeds, </w:t>
      </w:r>
      <w:proofErr w:type="spellStart"/>
      <w:r w:rsidRPr="00BA7B2F">
        <w:rPr>
          <w:rFonts w:ascii="Arial" w:hAnsi="Arial" w:cs="Arial"/>
          <w:i/>
          <w:sz w:val="20"/>
          <w:szCs w:val="20"/>
        </w:rPr>
        <w:t>InTech</w:t>
      </w:r>
      <w:proofErr w:type="spellEnd"/>
      <w:r w:rsidRPr="00BA7B2F">
        <w:rPr>
          <w:rFonts w:ascii="Arial" w:hAnsi="Arial" w:cs="Arial"/>
          <w:i/>
          <w:sz w:val="20"/>
          <w:szCs w:val="20"/>
        </w:rPr>
        <w:t>,</w:t>
      </w:r>
      <w:r w:rsidRPr="00BA7B2F">
        <w:rPr>
          <w:rFonts w:ascii="Arial" w:hAnsi="Arial" w:cs="Arial"/>
          <w:sz w:val="20"/>
          <w:szCs w:val="20"/>
        </w:rPr>
        <w:t xml:space="preserve"> 37-63. </w:t>
      </w:r>
    </w:p>
    <w:p w14:paraId="2B48E148" w14:textId="77777777" w:rsidR="00844182" w:rsidRPr="00BA7B2F" w:rsidRDefault="00844182" w:rsidP="00A31886">
      <w:pPr>
        <w:spacing w:line="240" w:lineRule="auto"/>
        <w:ind w:left="851" w:hanging="851"/>
        <w:jc w:val="both"/>
        <w:rPr>
          <w:rFonts w:ascii="Arial" w:hAnsi="Arial" w:cs="Arial"/>
          <w:sz w:val="20"/>
          <w:szCs w:val="20"/>
        </w:rPr>
      </w:pPr>
    </w:p>
    <w:p w14:paraId="651C0DF4" w14:textId="77777777" w:rsidR="00BA7B2F" w:rsidRPr="00236E09" w:rsidRDefault="00BA7B2F" w:rsidP="00EA3548">
      <w:pPr>
        <w:spacing w:line="240" w:lineRule="auto"/>
        <w:ind w:left="709" w:hanging="709"/>
        <w:jc w:val="both"/>
        <w:rPr>
          <w:rFonts w:ascii="Arial" w:hAnsi="Arial" w:cs="Arial"/>
          <w:sz w:val="20"/>
          <w:szCs w:val="20"/>
        </w:rPr>
      </w:pPr>
    </w:p>
    <w:sectPr w:rsidR="00BA7B2F" w:rsidRPr="00236E09" w:rsidSect="00E44B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5CDB6" w14:textId="77777777" w:rsidR="005B6EF7" w:rsidRDefault="005B6EF7" w:rsidP="006F0AB9">
      <w:pPr>
        <w:spacing w:after="0" w:line="240" w:lineRule="auto"/>
      </w:pPr>
      <w:r>
        <w:separator/>
      </w:r>
    </w:p>
  </w:endnote>
  <w:endnote w:type="continuationSeparator" w:id="0">
    <w:p w14:paraId="013DD983" w14:textId="77777777" w:rsidR="005B6EF7" w:rsidRDefault="005B6EF7" w:rsidP="006F0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61C61" w14:textId="77777777" w:rsidR="006F0AB9" w:rsidRDefault="006F0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56DF4" w14:textId="77777777" w:rsidR="006F0AB9" w:rsidRDefault="006F0A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2889E" w14:textId="77777777" w:rsidR="006F0AB9" w:rsidRDefault="006F0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EB6F6" w14:textId="77777777" w:rsidR="005B6EF7" w:rsidRDefault="005B6EF7" w:rsidP="006F0AB9">
      <w:pPr>
        <w:spacing w:after="0" w:line="240" w:lineRule="auto"/>
      </w:pPr>
      <w:r>
        <w:separator/>
      </w:r>
    </w:p>
  </w:footnote>
  <w:footnote w:type="continuationSeparator" w:id="0">
    <w:p w14:paraId="5E857B0F" w14:textId="77777777" w:rsidR="005B6EF7" w:rsidRDefault="005B6EF7" w:rsidP="006F0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1E2E" w14:textId="1614AE32" w:rsidR="006F0AB9" w:rsidRDefault="006F0AB9">
    <w:pPr>
      <w:pStyle w:val="Header"/>
    </w:pPr>
    <w:r>
      <w:rPr>
        <w:noProof/>
      </w:rPr>
      <w:pict w14:anchorId="3F616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44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45715" w14:textId="2E2E8140" w:rsidR="006F0AB9" w:rsidRDefault="006F0AB9">
    <w:pPr>
      <w:pStyle w:val="Header"/>
    </w:pPr>
    <w:r>
      <w:rPr>
        <w:noProof/>
      </w:rPr>
      <w:pict w14:anchorId="3DE8F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44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7E977" w14:textId="0B657449" w:rsidR="006F0AB9" w:rsidRDefault="006F0AB9">
    <w:pPr>
      <w:pStyle w:val="Header"/>
    </w:pPr>
    <w:r>
      <w:rPr>
        <w:noProof/>
      </w:rPr>
      <w:pict w14:anchorId="29F08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44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37ACF"/>
    <w:multiLevelType w:val="multilevel"/>
    <w:tmpl w:val="7206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868CD"/>
    <w:multiLevelType w:val="hybridMultilevel"/>
    <w:tmpl w:val="B0DA4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CE0B6B"/>
    <w:multiLevelType w:val="hybridMultilevel"/>
    <w:tmpl w:val="D158BC1E"/>
    <w:lvl w:ilvl="0" w:tplc="54D01EC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8C23DF"/>
    <w:multiLevelType w:val="hybridMultilevel"/>
    <w:tmpl w:val="C4EE91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ED942EC"/>
    <w:multiLevelType w:val="hybridMultilevel"/>
    <w:tmpl w:val="59DCD9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778077C"/>
    <w:multiLevelType w:val="hybridMultilevel"/>
    <w:tmpl w:val="FB1299D2"/>
    <w:lvl w:ilvl="0" w:tplc="B2FC05E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9114615"/>
    <w:multiLevelType w:val="hybridMultilevel"/>
    <w:tmpl w:val="B10CA9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7C555D"/>
    <w:multiLevelType w:val="multilevel"/>
    <w:tmpl w:val="3EE6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E2940"/>
    <w:multiLevelType w:val="hybridMultilevel"/>
    <w:tmpl w:val="F372E816"/>
    <w:lvl w:ilvl="0" w:tplc="0F94104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AF598F"/>
    <w:multiLevelType w:val="hybridMultilevel"/>
    <w:tmpl w:val="75F48E10"/>
    <w:lvl w:ilvl="0" w:tplc="BB46DF5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FAC3B7D"/>
    <w:multiLevelType w:val="hybridMultilevel"/>
    <w:tmpl w:val="EDD6BC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5655C46"/>
    <w:multiLevelType w:val="hybridMultilevel"/>
    <w:tmpl w:val="785826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8CB2831"/>
    <w:multiLevelType w:val="multilevel"/>
    <w:tmpl w:val="0F18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881F65"/>
    <w:multiLevelType w:val="hybridMultilevel"/>
    <w:tmpl w:val="D904F6EA"/>
    <w:lvl w:ilvl="0" w:tplc="AF9EC3C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56F1518"/>
    <w:multiLevelType w:val="multilevel"/>
    <w:tmpl w:val="0226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3F7B6B"/>
    <w:multiLevelType w:val="multilevel"/>
    <w:tmpl w:val="2A3E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BC7727"/>
    <w:multiLevelType w:val="multilevel"/>
    <w:tmpl w:val="E4AC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3528CD"/>
    <w:multiLevelType w:val="multilevel"/>
    <w:tmpl w:val="163E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555991"/>
    <w:multiLevelType w:val="multilevel"/>
    <w:tmpl w:val="AF30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63A60"/>
    <w:multiLevelType w:val="hybridMultilevel"/>
    <w:tmpl w:val="2FC01D54"/>
    <w:lvl w:ilvl="0" w:tplc="63BCBE8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12C4617"/>
    <w:multiLevelType w:val="multilevel"/>
    <w:tmpl w:val="5B86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156AC2"/>
    <w:multiLevelType w:val="hybridMultilevel"/>
    <w:tmpl w:val="CB7AAA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47F293F"/>
    <w:multiLevelType w:val="multilevel"/>
    <w:tmpl w:val="3918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6D134E"/>
    <w:multiLevelType w:val="hybridMultilevel"/>
    <w:tmpl w:val="86CA9D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4"/>
  </w:num>
  <w:num w:numId="4">
    <w:abstractNumId w:val="9"/>
  </w:num>
  <w:num w:numId="5">
    <w:abstractNumId w:val="23"/>
  </w:num>
  <w:num w:numId="6">
    <w:abstractNumId w:val="8"/>
  </w:num>
  <w:num w:numId="7">
    <w:abstractNumId w:val="5"/>
  </w:num>
  <w:num w:numId="8">
    <w:abstractNumId w:val="19"/>
  </w:num>
  <w:num w:numId="9">
    <w:abstractNumId w:val="10"/>
  </w:num>
  <w:num w:numId="10">
    <w:abstractNumId w:val="3"/>
  </w:num>
  <w:num w:numId="11">
    <w:abstractNumId w:val="11"/>
  </w:num>
  <w:num w:numId="12">
    <w:abstractNumId w:val="21"/>
  </w:num>
  <w:num w:numId="13">
    <w:abstractNumId w:val="2"/>
  </w:num>
  <w:num w:numId="14">
    <w:abstractNumId w:val="0"/>
  </w:num>
  <w:num w:numId="15">
    <w:abstractNumId w:val="12"/>
  </w:num>
  <w:num w:numId="16">
    <w:abstractNumId w:val="22"/>
  </w:num>
  <w:num w:numId="17">
    <w:abstractNumId w:val="18"/>
  </w:num>
  <w:num w:numId="18">
    <w:abstractNumId w:val="7"/>
  </w:num>
  <w:num w:numId="19">
    <w:abstractNumId w:val="20"/>
  </w:num>
  <w:num w:numId="20">
    <w:abstractNumId w:val="14"/>
  </w:num>
  <w:num w:numId="21">
    <w:abstractNumId w:val="17"/>
  </w:num>
  <w:num w:numId="22">
    <w:abstractNumId w:val="16"/>
  </w:num>
  <w:num w:numId="23">
    <w:abstractNumId w:val="1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0A03"/>
    <w:rsid w:val="00037F99"/>
    <w:rsid w:val="00041D42"/>
    <w:rsid w:val="00062C75"/>
    <w:rsid w:val="00086E35"/>
    <w:rsid w:val="00105323"/>
    <w:rsid w:val="00125D94"/>
    <w:rsid w:val="00133F2B"/>
    <w:rsid w:val="001E3658"/>
    <w:rsid w:val="001F1535"/>
    <w:rsid w:val="00221F2D"/>
    <w:rsid w:val="00236E09"/>
    <w:rsid w:val="0025521D"/>
    <w:rsid w:val="00314137"/>
    <w:rsid w:val="003E47D8"/>
    <w:rsid w:val="00447122"/>
    <w:rsid w:val="00471719"/>
    <w:rsid w:val="00490622"/>
    <w:rsid w:val="004943E8"/>
    <w:rsid w:val="00496769"/>
    <w:rsid w:val="004B5825"/>
    <w:rsid w:val="005077DB"/>
    <w:rsid w:val="005B6EF7"/>
    <w:rsid w:val="005C337D"/>
    <w:rsid w:val="005D1D4D"/>
    <w:rsid w:val="005E5B4B"/>
    <w:rsid w:val="005F03BC"/>
    <w:rsid w:val="006126F8"/>
    <w:rsid w:val="006F0AB9"/>
    <w:rsid w:val="00707075"/>
    <w:rsid w:val="00707F95"/>
    <w:rsid w:val="00717BDE"/>
    <w:rsid w:val="007511F8"/>
    <w:rsid w:val="0079644E"/>
    <w:rsid w:val="00844182"/>
    <w:rsid w:val="008852AA"/>
    <w:rsid w:val="008F080A"/>
    <w:rsid w:val="00982F66"/>
    <w:rsid w:val="009D5DC6"/>
    <w:rsid w:val="00A31886"/>
    <w:rsid w:val="00A90A13"/>
    <w:rsid w:val="00BA7B2F"/>
    <w:rsid w:val="00C15350"/>
    <w:rsid w:val="00C409D5"/>
    <w:rsid w:val="00C53A2A"/>
    <w:rsid w:val="00C676AD"/>
    <w:rsid w:val="00C714B7"/>
    <w:rsid w:val="00D345AD"/>
    <w:rsid w:val="00DB60C7"/>
    <w:rsid w:val="00DD0ED5"/>
    <w:rsid w:val="00E15BE1"/>
    <w:rsid w:val="00E310D8"/>
    <w:rsid w:val="00E44B7D"/>
    <w:rsid w:val="00E80655"/>
    <w:rsid w:val="00EA3548"/>
    <w:rsid w:val="00EA5389"/>
    <w:rsid w:val="00F6202A"/>
    <w:rsid w:val="00F66C5E"/>
    <w:rsid w:val="00F80A03"/>
    <w:rsid w:val="00FC5459"/>
    <w:rsid w:val="00FE0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7C8C66"/>
  <w15:docId w15:val="{B78971EB-A6D5-4CB9-BD50-8D577D78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B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2AA"/>
    <w:pPr>
      <w:ind w:left="720"/>
      <w:contextualSpacing/>
    </w:pPr>
  </w:style>
  <w:style w:type="character" w:styleId="Hyperlink">
    <w:name w:val="Hyperlink"/>
    <w:basedOn w:val="DefaultParagraphFont"/>
    <w:uiPriority w:val="99"/>
    <w:unhideWhenUsed/>
    <w:rsid w:val="00E80655"/>
    <w:rPr>
      <w:color w:val="0563C1" w:themeColor="hyperlink"/>
      <w:u w:val="single"/>
    </w:rPr>
  </w:style>
  <w:style w:type="paragraph" w:styleId="NoSpacing">
    <w:name w:val="No Spacing"/>
    <w:uiPriority w:val="1"/>
    <w:qFormat/>
    <w:rsid w:val="00E80655"/>
    <w:pPr>
      <w:spacing w:after="0" w:line="240" w:lineRule="auto"/>
    </w:pPr>
    <w:rPr>
      <w:kern w:val="0"/>
      <w:lang w:val="en-IN"/>
    </w:rPr>
  </w:style>
  <w:style w:type="paragraph" w:customStyle="1" w:styleId="Default">
    <w:name w:val="Default"/>
    <w:rsid w:val="00E80655"/>
    <w:pPr>
      <w:autoSpaceDE w:val="0"/>
      <w:autoSpaceDN w:val="0"/>
      <w:adjustRightInd w:val="0"/>
      <w:spacing w:after="0" w:line="240" w:lineRule="auto"/>
    </w:pPr>
    <w:rPr>
      <w:rFonts w:ascii="Times New Roman" w:hAnsi="Times New Roman" w:cs="Times New Roman"/>
      <w:color w:val="000000"/>
      <w:kern w:val="0"/>
      <w:sz w:val="24"/>
      <w:szCs w:val="24"/>
      <w:lang w:val="en-IN"/>
    </w:rPr>
  </w:style>
  <w:style w:type="table" w:styleId="TableGrid">
    <w:name w:val="Table Grid"/>
    <w:basedOn w:val="TableNormal"/>
    <w:uiPriority w:val="39"/>
    <w:rsid w:val="008F0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077DB"/>
    <w:rPr>
      <w:color w:val="605E5C"/>
      <w:shd w:val="clear" w:color="auto" w:fill="E1DFDD"/>
    </w:rPr>
  </w:style>
  <w:style w:type="paragraph" w:styleId="Header">
    <w:name w:val="header"/>
    <w:basedOn w:val="Normal"/>
    <w:link w:val="HeaderChar"/>
    <w:uiPriority w:val="99"/>
    <w:unhideWhenUsed/>
    <w:rsid w:val="006F0A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AB9"/>
  </w:style>
  <w:style w:type="paragraph" w:styleId="Footer">
    <w:name w:val="footer"/>
    <w:basedOn w:val="Normal"/>
    <w:link w:val="FooterChar"/>
    <w:uiPriority w:val="99"/>
    <w:unhideWhenUsed/>
    <w:rsid w:val="006F0A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80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E919E-9983-4EEC-8070-46E505B05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16</Pages>
  <Words>8243</Words>
  <Characters>46986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SHAMBHU CHOUHAN</dc:creator>
  <cp:keywords/>
  <dc:description/>
  <cp:lastModifiedBy>SDI 1084</cp:lastModifiedBy>
  <cp:revision>18</cp:revision>
  <dcterms:created xsi:type="dcterms:W3CDTF">2026-01-24T08:29:00Z</dcterms:created>
  <dcterms:modified xsi:type="dcterms:W3CDTF">2026-03-20T12:44:00Z</dcterms:modified>
</cp:coreProperties>
</file>