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1A7684" w14:textId="77777777" w:rsidR="00ED70A4" w:rsidRPr="00ED70A4" w:rsidRDefault="00ED70A4" w:rsidP="00ED70A4">
      <w:pPr>
        <w:spacing w:line="240" w:lineRule="auto"/>
        <w:jc w:val="center"/>
        <w:rPr>
          <w:rFonts w:ascii="Arial" w:hAnsi="Arial" w:cs="Arial"/>
          <w:b/>
          <w:bCs/>
          <w:i/>
          <w:iCs/>
          <w:sz w:val="28"/>
          <w:szCs w:val="28"/>
          <w:u w:val="single"/>
          <w:lang w:val="en-US"/>
        </w:rPr>
      </w:pPr>
      <w:r w:rsidRPr="00ED70A4">
        <w:rPr>
          <w:rFonts w:ascii="Arial" w:hAnsi="Arial" w:cs="Arial"/>
          <w:b/>
          <w:bCs/>
          <w:i/>
          <w:iCs/>
          <w:sz w:val="28"/>
          <w:szCs w:val="28"/>
          <w:u w:val="single"/>
          <w:lang w:val="en-US"/>
        </w:rPr>
        <w:t>Review Article</w:t>
      </w:r>
    </w:p>
    <w:p w14:paraId="6910BAB7" w14:textId="0F40B3BE" w:rsidR="00B92BEE" w:rsidRPr="005F3664" w:rsidRDefault="00C815FE" w:rsidP="00E53B33">
      <w:pPr>
        <w:spacing w:line="240" w:lineRule="auto"/>
        <w:jc w:val="center"/>
        <w:rPr>
          <w:rFonts w:ascii="Arial" w:hAnsi="Arial" w:cs="Arial"/>
          <w:b/>
          <w:bCs/>
          <w:sz w:val="28"/>
          <w:szCs w:val="28"/>
        </w:rPr>
      </w:pPr>
      <w:r w:rsidRPr="005F3664">
        <w:rPr>
          <w:rFonts w:ascii="Arial" w:hAnsi="Arial" w:cs="Arial"/>
          <w:b/>
          <w:bCs/>
          <w:sz w:val="28"/>
          <w:szCs w:val="28"/>
        </w:rPr>
        <w:t>Advances in Breeding of Horticultural Crops: From Conventional Selection to Genomic and Genome-Editing Approaches</w:t>
      </w:r>
    </w:p>
    <w:p w14:paraId="298FE11A" w14:textId="77777777" w:rsidR="00392B28" w:rsidRDefault="00392B28" w:rsidP="00E53B33">
      <w:pPr>
        <w:spacing w:line="240" w:lineRule="auto"/>
        <w:rPr>
          <w:rFonts w:ascii="Arial" w:hAnsi="Arial" w:cs="Arial"/>
          <w:b/>
          <w:bCs/>
        </w:rPr>
      </w:pPr>
    </w:p>
    <w:p w14:paraId="25261F01" w14:textId="77777777" w:rsidR="00392B28" w:rsidRDefault="00392B28" w:rsidP="00E53B33">
      <w:pPr>
        <w:spacing w:line="240" w:lineRule="auto"/>
        <w:rPr>
          <w:rFonts w:ascii="Arial" w:hAnsi="Arial" w:cs="Arial"/>
          <w:b/>
          <w:bCs/>
        </w:rPr>
      </w:pPr>
    </w:p>
    <w:p w14:paraId="5B120D84" w14:textId="0FBB728C" w:rsidR="00B9058F" w:rsidRPr="005F3664" w:rsidRDefault="00FA5051" w:rsidP="00E53B33">
      <w:pPr>
        <w:spacing w:line="240" w:lineRule="auto"/>
        <w:rPr>
          <w:rFonts w:ascii="Arial" w:hAnsi="Arial" w:cs="Arial"/>
          <w:b/>
          <w:bCs/>
        </w:rPr>
      </w:pPr>
      <w:bookmarkStart w:id="0" w:name="_GoBack"/>
      <w:bookmarkEnd w:id="0"/>
      <w:r w:rsidRPr="005F3664">
        <w:rPr>
          <w:rFonts w:ascii="Arial" w:hAnsi="Arial" w:cs="Arial"/>
          <w:b/>
          <w:bCs/>
        </w:rPr>
        <w:t>Abstract</w:t>
      </w:r>
    </w:p>
    <w:p w14:paraId="4C76BEC6" w14:textId="58CF7567" w:rsidR="00FA5051" w:rsidRPr="005F3664" w:rsidRDefault="00FA5051" w:rsidP="00E53B33">
      <w:pPr>
        <w:spacing w:line="240" w:lineRule="auto"/>
        <w:jc w:val="both"/>
        <w:rPr>
          <w:rFonts w:ascii="Arial" w:hAnsi="Arial" w:cs="Arial"/>
          <w:sz w:val="20"/>
          <w:szCs w:val="20"/>
        </w:rPr>
      </w:pPr>
      <w:r w:rsidRPr="005F3664">
        <w:rPr>
          <w:rFonts w:ascii="Arial" w:hAnsi="Arial" w:cs="Arial"/>
          <w:sz w:val="20"/>
          <w:szCs w:val="20"/>
        </w:rPr>
        <w:t>Horticultural crops</w:t>
      </w:r>
      <w:r w:rsidR="00CF2F22" w:rsidRPr="005F3664">
        <w:rPr>
          <w:rFonts w:ascii="Arial" w:hAnsi="Arial" w:cs="Arial"/>
          <w:sz w:val="20"/>
          <w:szCs w:val="20"/>
        </w:rPr>
        <w:t>-</w:t>
      </w:r>
      <w:r w:rsidRPr="005F3664">
        <w:rPr>
          <w:rFonts w:ascii="Arial" w:hAnsi="Arial" w:cs="Arial"/>
          <w:sz w:val="20"/>
          <w:szCs w:val="20"/>
        </w:rPr>
        <w:t>encompassing fruits, vegetables, ornamentals, spices, and plantation crops</w:t>
      </w:r>
      <w:r w:rsidR="00CF2F22" w:rsidRPr="005F3664">
        <w:rPr>
          <w:rFonts w:ascii="Arial" w:hAnsi="Arial" w:cs="Arial"/>
          <w:sz w:val="20"/>
          <w:szCs w:val="20"/>
        </w:rPr>
        <w:t>-</w:t>
      </w:r>
      <w:r w:rsidRPr="005F3664">
        <w:rPr>
          <w:rFonts w:ascii="Arial" w:hAnsi="Arial" w:cs="Arial"/>
          <w:sz w:val="20"/>
          <w:szCs w:val="20"/>
        </w:rPr>
        <w:t>are critical to global food security, human nutrition, and agricultural economies worldwide. Despite their importance, genetic improvement has historically been constrained by biological complexities including polyploidy, long juvenile phases, vegetative propagation, and narrow elite germplasm bases. This review provides a comprehensive and critical synthesis of breeding methodologies applied across major horticultural crops, tracing the trajectory from classical phenotypic selection through molecular marker-assisted approaches to the latest precision genome-editing technologies. Conventional breeding established the foundational genetic frameworks, delivering disease-resistant and high-yielding varieties through hybridisation, backcrossing, mutation breeding, and exploitation of heterosis. The integration of molecular markers</w:t>
      </w:r>
      <w:r w:rsidR="00CF2F22" w:rsidRPr="005F3664">
        <w:rPr>
          <w:rFonts w:ascii="Arial" w:hAnsi="Arial" w:cs="Arial"/>
          <w:sz w:val="20"/>
          <w:szCs w:val="20"/>
        </w:rPr>
        <w:t>-</w:t>
      </w:r>
      <w:r w:rsidRPr="005F3664">
        <w:rPr>
          <w:rFonts w:ascii="Arial" w:hAnsi="Arial" w:cs="Arial"/>
          <w:sz w:val="20"/>
          <w:szCs w:val="20"/>
        </w:rPr>
        <w:t>restriction fragment length polymorphisms (RFLPs), simple sequence repeats (SSRs), single nucleotide polymorphisms (SNPs)</w:t>
      </w:r>
      <w:r w:rsidR="00CF2F22" w:rsidRPr="005F3664">
        <w:rPr>
          <w:rFonts w:ascii="Arial" w:hAnsi="Arial" w:cs="Arial"/>
          <w:sz w:val="20"/>
          <w:szCs w:val="20"/>
        </w:rPr>
        <w:t>-</w:t>
      </w:r>
      <w:r w:rsidRPr="005F3664">
        <w:rPr>
          <w:rFonts w:ascii="Arial" w:hAnsi="Arial" w:cs="Arial"/>
          <w:sz w:val="20"/>
          <w:szCs w:val="20"/>
        </w:rPr>
        <w:t>with marker-assisted selection (MAS), quantitative trait locus (QTL) mapping, genome-wide association studies (GWAS), and genomic selection (GS) transformed breeding precision and efficiency. Whole-genome sequencing, transcriptomics, metabolomics, and pan-genomics have further enriched the genomic infrastructure available for trait dissection. Most recently, CRISPR/Cas9 and its derivatives</w:t>
      </w:r>
      <w:r w:rsidR="00CF2F22" w:rsidRPr="005F3664">
        <w:rPr>
          <w:rFonts w:ascii="Arial" w:hAnsi="Arial" w:cs="Arial"/>
          <w:sz w:val="20"/>
          <w:szCs w:val="20"/>
        </w:rPr>
        <w:t>-</w:t>
      </w:r>
      <w:r w:rsidRPr="005F3664">
        <w:rPr>
          <w:rFonts w:ascii="Arial" w:hAnsi="Arial" w:cs="Arial"/>
          <w:sz w:val="20"/>
          <w:szCs w:val="20"/>
        </w:rPr>
        <w:t>base editing and prime editing</w:t>
      </w:r>
      <w:r w:rsidR="00CF2F22" w:rsidRPr="005F3664">
        <w:rPr>
          <w:rFonts w:ascii="Arial" w:hAnsi="Arial" w:cs="Arial"/>
          <w:sz w:val="20"/>
          <w:szCs w:val="20"/>
        </w:rPr>
        <w:t>-</w:t>
      </w:r>
      <w:r w:rsidRPr="005F3664">
        <w:rPr>
          <w:rFonts w:ascii="Arial" w:hAnsi="Arial" w:cs="Arial"/>
          <w:sz w:val="20"/>
          <w:szCs w:val="20"/>
        </w:rPr>
        <w:t>have enabled unprecedented precision in targeted trait modification, with landmark applications including extended shelf-life tomatoes, waxy-starch potato, Fusarium-resistant banana, and canker-resistant citrus. Critical challenges persist, including regulatory heterogeneity across jurisdictions, recalcitrant transformation in elite genotypes, polyploid genomic complexity, and consumer acceptance barriers. This review identifies key research gaps and advocates for an integrated, technology-agnostic breeding paradigm that combines classical genetics, genomic prediction, and precision editing to accelerate the development of climate-resilient, nutritionally enriched, and commercially competitive horticultural varieties.</w:t>
      </w:r>
    </w:p>
    <w:p w14:paraId="17D12075" w14:textId="4C3ADC28" w:rsidR="00831536" w:rsidRPr="005F3664" w:rsidRDefault="00FA5051" w:rsidP="00E53B33">
      <w:pPr>
        <w:spacing w:after="120" w:line="240" w:lineRule="auto"/>
        <w:jc w:val="both"/>
        <w:rPr>
          <w:rFonts w:ascii="Arial" w:hAnsi="Arial" w:cs="Arial"/>
          <w:sz w:val="20"/>
          <w:szCs w:val="20"/>
        </w:rPr>
      </w:pPr>
      <w:r w:rsidRPr="005F3664">
        <w:rPr>
          <w:rFonts w:ascii="Arial" w:hAnsi="Arial" w:cs="Arial"/>
          <w:b/>
          <w:bCs/>
          <w:sz w:val="20"/>
          <w:szCs w:val="20"/>
        </w:rPr>
        <w:t>Keywords:</w:t>
      </w:r>
      <w:r w:rsidRPr="005F3664">
        <w:rPr>
          <w:rFonts w:ascii="Arial" w:hAnsi="Arial" w:cs="Arial"/>
          <w:sz w:val="20"/>
          <w:szCs w:val="20"/>
        </w:rPr>
        <w:t xml:space="preserve"> </w:t>
      </w:r>
      <w:r w:rsidRPr="005F3664">
        <w:rPr>
          <w:rFonts w:ascii="Arial" w:hAnsi="Arial" w:cs="Arial"/>
          <w:i/>
          <w:iCs/>
          <w:sz w:val="20"/>
          <w:szCs w:val="20"/>
        </w:rPr>
        <w:t>conventional breeding</w:t>
      </w:r>
      <w:r w:rsidR="00C14FAC" w:rsidRPr="005F3664">
        <w:rPr>
          <w:rFonts w:ascii="Arial" w:hAnsi="Arial" w:cs="Arial"/>
          <w:i/>
          <w:iCs/>
          <w:sz w:val="20"/>
          <w:szCs w:val="20"/>
        </w:rPr>
        <w:t>,</w:t>
      </w:r>
      <w:r w:rsidRPr="005F3664">
        <w:rPr>
          <w:rFonts w:ascii="Arial" w:hAnsi="Arial" w:cs="Arial"/>
          <w:i/>
          <w:iCs/>
          <w:sz w:val="20"/>
          <w:szCs w:val="20"/>
        </w:rPr>
        <w:t xml:space="preserve"> marker-assisted selection</w:t>
      </w:r>
      <w:r w:rsidR="00C14FAC" w:rsidRPr="005F3664">
        <w:rPr>
          <w:rFonts w:ascii="Arial" w:hAnsi="Arial" w:cs="Arial"/>
          <w:i/>
          <w:iCs/>
          <w:sz w:val="20"/>
          <w:szCs w:val="20"/>
        </w:rPr>
        <w:t>,</w:t>
      </w:r>
      <w:r w:rsidRPr="005F3664">
        <w:rPr>
          <w:rFonts w:ascii="Arial" w:hAnsi="Arial" w:cs="Arial"/>
          <w:i/>
          <w:iCs/>
          <w:sz w:val="20"/>
          <w:szCs w:val="20"/>
        </w:rPr>
        <w:t xml:space="preserve"> QTL mapping</w:t>
      </w:r>
      <w:r w:rsidR="00C14FAC" w:rsidRPr="005F3664">
        <w:rPr>
          <w:rFonts w:ascii="Arial" w:hAnsi="Arial" w:cs="Arial"/>
          <w:i/>
          <w:iCs/>
          <w:sz w:val="20"/>
          <w:szCs w:val="20"/>
        </w:rPr>
        <w:t>,</w:t>
      </w:r>
      <w:r w:rsidRPr="005F3664">
        <w:rPr>
          <w:rFonts w:ascii="Arial" w:hAnsi="Arial" w:cs="Arial"/>
          <w:i/>
          <w:iCs/>
          <w:sz w:val="20"/>
          <w:szCs w:val="20"/>
        </w:rPr>
        <w:t xml:space="preserve"> CRISPR/Cas9</w:t>
      </w:r>
      <w:r w:rsidR="00C14FAC" w:rsidRPr="005F3664">
        <w:rPr>
          <w:rFonts w:ascii="Arial" w:hAnsi="Arial" w:cs="Arial"/>
          <w:i/>
          <w:iCs/>
          <w:sz w:val="20"/>
          <w:szCs w:val="20"/>
        </w:rPr>
        <w:t>,</w:t>
      </w:r>
      <w:r w:rsidRPr="005F3664">
        <w:rPr>
          <w:rFonts w:ascii="Arial" w:hAnsi="Arial" w:cs="Arial"/>
          <w:i/>
          <w:iCs/>
          <w:sz w:val="20"/>
          <w:szCs w:val="20"/>
        </w:rPr>
        <w:t xml:space="preserve"> omics-assisted breeding </w:t>
      </w:r>
    </w:p>
    <w:p w14:paraId="7B256D51" w14:textId="73DA468A" w:rsidR="00FA5051" w:rsidRPr="005F3664" w:rsidRDefault="00FA5051" w:rsidP="00E53B33">
      <w:pPr>
        <w:spacing w:line="240" w:lineRule="auto"/>
        <w:rPr>
          <w:rFonts w:ascii="Arial" w:hAnsi="Arial" w:cs="Arial"/>
          <w:b/>
          <w:bCs/>
        </w:rPr>
      </w:pPr>
      <w:r w:rsidRPr="005F3664">
        <w:rPr>
          <w:rFonts w:ascii="Arial" w:hAnsi="Arial" w:cs="Arial"/>
          <w:b/>
          <w:bCs/>
        </w:rPr>
        <w:t>1. Introduction</w:t>
      </w:r>
    </w:p>
    <w:p w14:paraId="14000151" w14:textId="77777777" w:rsidR="00E1451C" w:rsidRPr="005F3664" w:rsidRDefault="00E1451C" w:rsidP="00E53B33">
      <w:pPr>
        <w:spacing w:line="240" w:lineRule="auto"/>
        <w:jc w:val="both"/>
        <w:rPr>
          <w:rFonts w:ascii="Arial" w:hAnsi="Arial" w:cs="Arial"/>
          <w:sz w:val="20"/>
          <w:szCs w:val="20"/>
        </w:rPr>
      </w:pPr>
      <w:r w:rsidRPr="005F3664">
        <w:rPr>
          <w:rFonts w:ascii="Arial" w:hAnsi="Arial" w:cs="Arial"/>
          <w:sz w:val="20"/>
          <w:szCs w:val="20"/>
        </w:rPr>
        <w:t xml:space="preserve">Horticultural crops form a vital component of global agriculture, encompassing fruits, vegetables, ornamentals, spices and plantation crops, with annual production exceeding 1.8 billion metric tonnes (FAO, 2023). Beyond their volume, their nutritional importance is substantial, supplying essential micronutrients such as vitamins A and C, fibre, potassium and folate, as well as bioactive phytochemicals linked to reduced risks of cardiovascular disease, type 2 diabetes and certain cancers (Gao et al., 2019). Economically, they generate significant export income and sustain millions of smallholder farmers across diverse </w:t>
      </w:r>
      <w:proofErr w:type="spellStart"/>
      <w:r w:rsidRPr="005F3664">
        <w:rPr>
          <w:rFonts w:ascii="Arial" w:hAnsi="Arial" w:cs="Arial"/>
          <w:sz w:val="20"/>
          <w:szCs w:val="20"/>
        </w:rPr>
        <w:t>agro</w:t>
      </w:r>
      <w:proofErr w:type="spellEnd"/>
      <w:r w:rsidRPr="005F3664">
        <w:rPr>
          <w:rFonts w:ascii="Arial" w:hAnsi="Arial" w:cs="Arial"/>
          <w:sz w:val="20"/>
          <w:szCs w:val="20"/>
        </w:rPr>
        <w:t>-climatic regions.</w:t>
      </w:r>
    </w:p>
    <w:p w14:paraId="5F3F364C" w14:textId="77777777" w:rsidR="00E1451C" w:rsidRPr="005F3664" w:rsidRDefault="00E1451C" w:rsidP="00E53B33">
      <w:pPr>
        <w:spacing w:line="240" w:lineRule="auto"/>
        <w:jc w:val="both"/>
        <w:rPr>
          <w:rFonts w:ascii="Arial" w:hAnsi="Arial" w:cs="Arial"/>
          <w:sz w:val="20"/>
          <w:szCs w:val="20"/>
        </w:rPr>
      </w:pPr>
      <w:r w:rsidRPr="005F3664">
        <w:rPr>
          <w:rFonts w:ascii="Arial" w:hAnsi="Arial" w:cs="Arial"/>
          <w:sz w:val="20"/>
          <w:szCs w:val="20"/>
        </w:rPr>
        <w:t>Despite this importance, genetic improvement in horticultural crops has lagged behind major cereals. This disparity is largely due to biological complexities such as polyploidy (e.g., potato, strawberry, banana), clonal propagation, long juvenile phases in perennial species and cross-pollinated reproductive systems, which complicate inbred line development. Fragmented seed markets, diverse production environments and limited public-sector investment further constrain breeding progress (</w:t>
      </w:r>
      <w:proofErr w:type="spellStart"/>
      <w:r w:rsidRPr="005F3664">
        <w:rPr>
          <w:rFonts w:ascii="Arial" w:hAnsi="Arial" w:cs="Arial"/>
          <w:sz w:val="20"/>
          <w:szCs w:val="20"/>
        </w:rPr>
        <w:t>Fernie</w:t>
      </w:r>
      <w:proofErr w:type="spellEnd"/>
      <w:r w:rsidRPr="005F3664">
        <w:rPr>
          <w:rFonts w:ascii="Arial" w:hAnsi="Arial" w:cs="Arial"/>
          <w:sz w:val="20"/>
          <w:szCs w:val="20"/>
        </w:rPr>
        <w:t xml:space="preserve"> and Yan, 2019).</w:t>
      </w:r>
    </w:p>
    <w:p w14:paraId="1712F274" w14:textId="64615459" w:rsidR="00E1451C" w:rsidRPr="005F3664" w:rsidRDefault="00E1451C" w:rsidP="00E53B33">
      <w:pPr>
        <w:spacing w:line="240" w:lineRule="auto"/>
        <w:jc w:val="both"/>
        <w:rPr>
          <w:rFonts w:ascii="Arial" w:hAnsi="Arial" w:cs="Arial"/>
          <w:sz w:val="20"/>
          <w:szCs w:val="20"/>
        </w:rPr>
      </w:pPr>
      <w:r w:rsidRPr="005F3664">
        <w:rPr>
          <w:rFonts w:ascii="Arial" w:hAnsi="Arial" w:cs="Arial"/>
          <w:sz w:val="20"/>
          <w:szCs w:val="20"/>
        </w:rPr>
        <w:t>These challenges are intensified by climate change, high post-harvest losses (25</w:t>
      </w:r>
      <w:r w:rsidR="00195BC2">
        <w:rPr>
          <w:rFonts w:ascii="Arial" w:hAnsi="Arial" w:cs="Arial"/>
          <w:sz w:val="20"/>
          <w:szCs w:val="20"/>
        </w:rPr>
        <w:t>-</w:t>
      </w:r>
      <w:r w:rsidRPr="005F3664">
        <w:rPr>
          <w:rFonts w:ascii="Arial" w:hAnsi="Arial" w:cs="Arial"/>
          <w:sz w:val="20"/>
          <w:szCs w:val="20"/>
        </w:rPr>
        <w:t>40% in many developing countries) and evolving consumer demands for improved quality and sustainability. Emerging pathogens</w:t>
      </w:r>
      <w:r w:rsidR="005856F9" w:rsidRPr="005F3664">
        <w:rPr>
          <w:rFonts w:ascii="Arial" w:hAnsi="Arial" w:cs="Arial"/>
          <w:sz w:val="20"/>
          <w:szCs w:val="20"/>
        </w:rPr>
        <w:t>-</w:t>
      </w:r>
      <w:r w:rsidRPr="005F3664">
        <w:rPr>
          <w:rFonts w:ascii="Arial" w:hAnsi="Arial" w:cs="Arial"/>
          <w:sz w:val="20"/>
          <w:szCs w:val="20"/>
        </w:rPr>
        <w:t xml:space="preserve">including </w:t>
      </w:r>
      <w:r w:rsidRPr="005F3664">
        <w:rPr>
          <w:rFonts w:ascii="Arial" w:hAnsi="Arial" w:cs="Arial"/>
          <w:i/>
          <w:iCs/>
          <w:sz w:val="20"/>
          <w:szCs w:val="20"/>
        </w:rPr>
        <w:t xml:space="preserve">Fusarium </w:t>
      </w:r>
      <w:proofErr w:type="spellStart"/>
      <w:r w:rsidRPr="005F3664">
        <w:rPr>
          <w:rFonts w:ascii="Arial" w:hAnsi="Arial" w:cs="Arial"/>
          <w:i/>
          <w:iCs/>
          <w:sz w:val="20"/>
          <w:szCs w:val="20"/>
        </w:rPr>
        <w:t>oxysporum</w:t>
      </w:r>
      <w:proofErr w:type="spellEnd"/>
      <w:r w:rsidRPr="005F3664">
        <w:rPr>
          <w:rFonts w:ascii="Arial" w:hAnsi="Arial" w:cs="Arial"/>
          <w:sz w:val="20"/>
          <w:szCs w:val="20"/>
        </w:rPr>
        <w:t xml:space="preserve"> f. sp. </w:t>
      </w:r>
      <w:proofErr w:type="spellStart"/>
      <w:r w:rsidRPr="005F3664">
        <w:rPr>
          <w:rFonts w:ascii="Arial" w:hAnsi="Arial" w:cs="Arial"/>
          <w:i/>
          <w:iCs/>
          <w:sz w:val="20"/>
          <w:szCs w:val="20"/>
        </w:rPr>
        <w:t>cubense</w:t>
      </w:r>
      <w:proofErr w:type="spellEnd"/>
      <w:r w:rsidRPr="005F3664">
        <w:rPr>
          <w:rFonts w:ascii="Arial" w:hAnsi="Arial" w:cs="Arial"/>
          <w:sz w:val="20"/>
          <w:szCs w:val="20"/>
        </w:rPr>
        <w:t xml:space="preserve"> TR4 in banana, </w:t>
      </w:r>
      <w:proofErr w:type="spellStart"/>
      <w:r w:rsidRPr="005F3664">
        <w:rPr>
          <w:rFonts w:ascii="Arial" w:hAnsi="Arial" w:cs="Arial"/>
          <w:i/>
          <w:iCs/>
          <w:sz w:val="20"/>
          <w:szCs w:val="20"/>
        </w:rPr>
        <w:t>Candidatus</w:t>
      </w:r>
      <w:proofErr w:type="spellEnd"/>
      <w:r w:rsidRPr="005F3664">
        <w:rPr>
          <w:rFonts w:ascii="Arial" w:hAnsi="Arial" w:cs="Arial"/>
          <w:i/>
          <w:iCs/>
          <w:sz w:val="20"/>
          <w:szCs w:val="20"/>
        </w:rPr>
        <w:t xml:space="preserve"> </w:t>
      </w:r>
      <w:proofErr w:type="spellStart"/>
      <w:r w:rsidRPr="005F3664">
        <w:rPr>
          <w:rFonts w:ascii="Arial" w:hAnsi="Arial" w:cs="Arial"/>
          <w:i/>
          <w:iCs/>
          <w:sz w:val="20"/>
          <w:szCs w:val="20"/>
        </w:rPr>
        <w:t>Liberibacter</w:t>
      </w:r>
      <w:proofErr w:type="spellEnd"/>
      <w:r w:rsidRPr="005F3664">
        <w:rPr>
          <w:rFonts w:ascii="Arial" w:hAnsi="Arial" w:cs="Arial"/>
          <w:i/>
          <w:iCs/>
          <w:sz w:val="20"/>
          <w:szCs w:val="20"/>
        </w:rPr>
        <w:t xml:space="preserve"> </w:t>
      </w:r>
      <w:proofErr w:type="spellStart"/>
      <w:r w:rsidRPr="005F3664">
        <w:rPr>
          <w:rFonts w:ascii="Arial" w:hAnsi="Arial" w:cs="Arial"/>
          <w:i/>
          <w:iCs/>
          <w:sz w:val="20"/>
          <w:szCs w:val="20"/>
        </w:rPr>
        <w:t>asiaticus</w:t>
      </w:r>
      <w:proofErr w:type="spellEnd"/>
      <w:r w:rsidRPr="005F3664">
        <w:rPr>
          <w:rFonts w:ascii="Arial" w:hAnsi="Arial" w:cs="Arial"/>
          <w:sz w:val="20"/>
          <w:szCs w:val="20"/>
        </w:rPr>
        <w:t xml:space="preserve"> causing HLB in citrus, and new virulent races of </w:t>
      </w:r>
      <w:r w:rsidRPr="005F3664">
        <w:rPr>
          <w:rFonts w:ascii="Arial" w:hAnsi="Arial" w:cs="Arial"/>
          <w:i/>
          <w:iCs/>
          <w:sz w:val="20"/>
          <w:szCs w:val="20"/>
        </w:rPr>
        <w:t>Phytophthora infestans</w:t>
      </w:r>
      <w:r w:rsidRPr="005F3664">
        <w:rPr>
          <w:rFonts w:ascii="Arial" w:hAnsi="Arial" w:cs="Arial"/>
          <w:sz w:val="20"/>
          <w:szCs w:val="20"/>
        </w:rPr>
        <w:t xml:space="preserve"> in potato</w:t>
      </w:r>
      <w:r w:rsidR="005856F9" w:rsidRPr="005F3664">
        <w:rPr>
          <w:rFonts w:ascii="Arial" w:hAnsi="Arial" w:cs="Arial"/>
          <w:sz w:val="20"/>
          <w:szCs w:val="20"/>
        </w:rPr>
        <w:t>-</w:t>
      </w:r>
      <w:r w:rsidRPr="005F3664">
        <w:rPr>
          <w:rFonts w:ascii="Arial" w:hAnsi="Arial" w:cs="Arial"/>
          <w:sz w:val="20"/>
          <w:szCs w:val="20"/>
        </w:rPr>
        <w:t>pose serious threats to global production (Dale et al., 2017; Gmitter et al., 2020; Lindqvist-</w:t>
      </w:r>
      <w:proofErr w:type="spellStart"/>
      <w:r w:rsidRPr="005F3664">
        <w:rPr>
          <w:rFonts w:ascii="Arial" w:hAnsi="Arial" w:cs="Arial"/>
          <w:sz w:val="20"/>
          <w:szCs w:val="20"/>
        </w:rPr>
        <w:t>Kreuze</w:t>
      </w:r>
      <w:proofErr w:type="spellEnd"/>
      <w:r w:rsidRPr="005F3664">
        <w:rPr>
          <w:rFonts w:ascii="Arial" w:hAnsi="Arial" w:cs="Arial"/>
          <w:sz w:val="20"/>
          <w:szCs w:val="20"/>
        </w:rPr>
        <w:t xml:space="preserve"> et al., 2020).</w:t>
      </w:r>
    </w:p>
    <w:p w14:paraId="4CEC14BF" w14:textId="77777777" w:rsidR="00E1451C" w:rsidRPr="005F3664" w:rsidRDefault="00E1451C" w:rsidP="00E53B33">
      <w:pPr>
        <w:spacing w:line="240" w:lineRule="auto"/>
        <w:jc w:val="both"/>
        <w:rPr>
          <w:rFonts w:ascii="Arial" w:hAnsi="Arial" w:cs="Arial"/>
          <w:sz w:val="20"/>
          <w:szCs w:val="20"/>
        </w:rPr>
      </w:pPr>
      <w:r w:rsidRPr="005F3664">
        <w:rPr>
          <w:rFonts w:ascii="Arial" w:hAnsi="Arial" w:cs="Arial"/>
          <w:sz w:val="20"/>
          <w:szCs w:val="20"/>
        </w:rPr>
        <w:lastRenderedPageBreak/>
        <w:t>Over the past three decades, breeding methodologies have advanced significantly. Marker-assisted selection improved introgression efficiency, while high-throughput sequencing enabled GWAS and genomic selection for complex traits. Reference genomes for major horticultural crops accelerated gene discovery, and CRISPR/Cas9 genome editing now allows precise trait modification with evolving regulatory implications.</w:t>
      </w:r>
    </w:p>
    <w:p w14:paraId="17E4BD9A" w14:textId="6819A47F" w:rsidR="00E1451C" w:rsidRPr="005F3664" w:rsidRDefault="00E1451C" w:rsidP="00E53B33">
      <w:pPr>
        <w:spacing w:line="240" w:lineRule="auto"/>
        <w:jc w:val="both"/>
        <w:rPr>
          <w:rFonts w:ascii="Arial" w:hAnsi="Arial" w:cs="Arial"/>
          <w:sz w:val="24"/>
          <w:szCs w:val="24"/>
        </w:rPr>
      </w:pPr>
      <w:r w:rsidRPr="005F3664">
        <w:rPr>
          <w:rFonts w:ascii="Arial" w:hAnsi="Arial" w:cs="Arial"/>
          <w:sz w:val="20"/>
          <w:szCs w:val="20"/>
        </w:rPr>
        <w:t>This review synthesizes breeding approaches in horticultural crops</w:t>
      </w:r>
      <w:r w:rsidR="005856F9" w:rsidRPr="005F3664">
        <w:rPr>
          <w:rFonts w:ascii="Arial" w:hAnsi="Arial" w:cs="Arial"/>
          <w:sz w:val="20"/>
          <w:szCs w:val="20"/>
        </w:rPr>
        <w:t>-</w:t>
      </w:r>
      <w:r w:rsidRPr="005F3664">
        <w:rPr>
          <w:rFonts w:ascii="Arial" w:hAnsi="Arial" w:cs="Arial"/>
          <w:sz w:val="20"/>
          <w:szCs w:val="20"/>
        </w:rPr>
        <w:t>from conventional selection to genome editing</w:t>
      </w:r>
      <w:r w:rsidR="005856F9" w:rsidRPr="005F3664">
        <w:rPr>
          <w:rFonts w:ascii="Arial" w:hAnsi="Arial" w:cs="Arial"/>
          <w:sz w:val="20"/>
          <w:szCs w:val="20"/>
        </w:rPr>
        <w:t>-</w:t>
      </w:r>
      <w:r w:rsidRPr="005F3664">
        <w:rPr>
          <w:rFonts w:ascii="Arial" w:hAnsi="Arial" w:cs="Arial"/>
          <w:sz w:val="20"/>
          <w:szCs w:val="20"/>
        </w:rPr>
        <w:t>highlighting applications in major species and outlining future directions such as AI-assisted breeding, pan-genome integration and de novo domestication, alongside key regulatory and ethical considerations.</w:t>
      </w:r>
    </w:p>
    <w:p w14:paraId="455BCA91" w14:textId="3608165C" w:rsidR="005B3010" w:rsidRPr="005F3664" w:rsidRDefault="005B3010" w:rsidP="00E53B33">
      <w:pPr>
        <w:spacing w:line="240" w:lineRule="auto"/>
        <w:jc w:val="both"/>
        <w:rPr>
          <w:rFonts w:ascii="Arial" w:hAnsi="Arial" w:cs="Arial"/>
          <w:b/>
          <w:bCs/>
        </w:rPr>
      </w:pPr>
      <w:r w:rsidRPr="005F3664">
        <w:rPr>
          <w:rFonts w:ascii="Arial" w:hAnsi="Arial" w:cs="Arial"/>
          <w:b/>
          <w:bCs/>
        </w:rPr>
        <w:t>2. Conventional Breeding Approaches</w:t>
      </w:r>
    </w:p>
    <w:p w14:paraId="069A061D" w14:textId="3E03F584" w:rsidR="005B3010" w:rsidRPr="005F3664" w:rsidRDefault="005B3010" w:rsidP="00E53B33">
      <w:pPr>
        <w:spacing w:line="240" w:lineRule="auto"/>
        <w:jc w:val="both"/>
        <w:rPr>
          <w:rFonts w:ascii="Arial" w:hAnsi="Arial" w:cs="Arial"/>
          <w:b/>
          <w:bCs/>
        </w:rPr>
      </w:pPr>
      <w:r w:rsidRPr="005F3664">
        <w:rPr>
          <w:rFonts w:ascii="Arial" w:hAnsi="Arial" w:cs="Arial"/>
          <w:b/>
          <w:bCs/>
        </w:rPr>
        <w:t>2.1 Foundations: Selection Methods</w:t>
      </w:r>
    </w:p>
    <w:p w14:paraId="5785D535" w14:textId="670D2D7D" w:rsidR="005B3010" w:rsidRPr="005F3664" w:rsidRDefault="005B3010" w:rsidP="00E53B33">
      <w:pPr>
        <w:spacing w:line="240" w:lineRule="auto"/>
        <w:jc w:val="both"/>
        <w:rPr>
          <w:rFonts w:ascii="Arial" w:hAnsi="Arial" w:cs="Arial"/>
          <w:sz w:val="20"/>
          <w:szCs w:val="20"/>
        </w:rPr>
      </w:pPr>
      <w:r w:rsidRPr="005F3664">
        <w:rPr>
          <w:rFonts w:ascii="Arial" w:hAnsi="Arial" w:cs="Arial"/>
          <w:sz w:val="20"/>
          <w:szCs w:val="20"/>
        </w:rPr>
        <w:t>The theoretical and practical underpinnings of modern horticultural breeding are grounded in the deliberate application of selection within sexually reproducing plant populations to incrementally enhance the frequency of alleles associated with superior phenotypic traits. Among the earliest and most straightforward breeding strategies is mass selection, which involves collecting seeds or vegetative propagules from phenotypically superior individuals within open-pollinated populations. This method has historically demonstrated considerable effectiveness for traits with relatively high heritability, particularly polygenic characteristics such as fruit size, coloration, and yield in open-pollinated vegetable crops.</w:t>
      </w:r>
    </w:p>
    <w:p w14:paraId="7D1A7817" w14:textId="7F971549" w:rsidR="005B3010" w:rsidRPr="005F3664" w:rsidRDefault="005B3010" w:rsidP="00E53B33">
      <w:pPr>
        <w:spacing w:line="240" w:lineRule="auto"/>
        <w:jc w:val="both"/>
        <w:rPr>
          <w:rFonts w:ascii="Arial" w:hAnsi="Arial" w:cs="Arial"/>
          <w:sz w:val="20"/>
          <w:szCs w:val="20"/>
        </w:rPr>
      </w:pPr>
      <w:r w:rsidRPr="005F3664">
        <w:rPr>
          <w:rFonts w:ascii="Arial" w:hAnsi="Arial" w:cs="Arial"/>
          <w:sz w:val="20"/>
          <w:szCs w:val="20"/>
        </w:rPr>
        <w:t>Pure line selection, primarily employed in self-pollinating horticultural species including tomato, pepper, eggplant, and various leguminous vegetables, entails the development of genetically uniform and homozygous lines through repeated cycles of self-fertilization following an initial hybridization or selection event. This approach results in stable cultivars exhibiting consistent and predictable performance under defined environmental and management conditions (Allard, 1960).</w:t>
      </w:r>
    </w:p>
    <w:p w14:paraId="2AB600BC" w14:textId="62187B8B" w:rsidR="005B3010" w:rsidRPr="005F3664" w:rsidRDefault="005B3010" w:rsidP="00E53B33">
      <w:pPr>
        <w:spacing w:line="240" w:lineRule="auto"/>
        <w:jc w:val="both"/>
        <w:rPr>
          <w:rFonts w:ascii="Arial" w:hAnsi="Arial" w:cs="Arial"/>
          <w:sz w:val="20"/>
          <w:szCs w:val="20"/>
        </w:rPr>
      </w:pPr>
      <w:r w:rsidRPr="005F3664">
        <w:rPr>
          <w:rFonts w:ascii="Arial" w:hAnsi="Arial" w:cs="Arial"/>
          <w:sz w:val="20"/>
          <w:szCs w:val="20"/>
        </w:rPr>
        <w:t>Pedigree selection constitutes the predominant breeding strategy for self-pollinated horticultural crops. This method involves systematic evaluation and selection of individual plants or families within segregating populations beginning from the F</w:t>
      </w:r>
      <w:r w:rsidRPr="005F3664">
        <w:rPr>
          <w:rFonts w:ascii="Cambria Math" w:hAnsi="Cambria Math" w:cs="Cambria Math"/>
          <w:sz w:val="20"/>
          <w:szCs w:val="20"/>
        </w:rPr>
        <w:t>₂</w:t>
      </w:r>
      <w:r w:rsidRPr="005F3664">
        <w:rPr>
          <w:rFonts w:ascii="Arial" w:hAnsi="Arial" w:cs="Arial"/>
          <w:sz w:val="20"/>
          <w:szCs w:val="20"/>
        </w:rPr>
        <w:t xml:space="preserve"> generation and continuing through successive generations. By maintaining detailed records of ancestry, pedigree selection enables the gradual fixation of advantageous allele combinations while preserving information on genetic lineage. The success of this approach depends heavily on trait heritability, the size and structure of the breeding population, and the accuracy of phenotypic assessment. Traits governed by simple inheritance and high heritability typically exhibit more rapid response to selection pressure.</w:t>
      </w:r>
    </w:p>
    <w:p w14:paraId="7999AF5E" w14:textId="23470457" w:rsidR="005B3010" w:rsidRPr="005F3664" w:rsidRDefault="005B3010" w:rsidP="00E53B33">
      <w:pPr>
        <w:spacing w:line="240" w:lineRule="auto"/>
        <w:jc w:val="both"/>
        <w:rPr>
          <w:rFonts w:ascii="Arial" w:hAnsi="Arial" w:cs="Arial"/>
          <w:sz w:val="20"/>
          <w:szCs w:val="20"/>
        </w:rPr>
      </w:pPr>
      <w:r w:rsidRPr="005F3664">
        <w:rPr>
          <w:rFonts w:ascii="Arial" w:hAnsi="Arial" w:cs="Arial"/>
          <w:sz w:val="20"/>
          <w:szCs w:val="20"/>
        </w:rPr>
        <w:t xml:space="preserve">In contrast, recurrent selection is widely applied to cross-pollinated horticultural crops such as cucumber, carrot, onion, and </w:t>
      </w:r>
      <w:proofErr w:type="spellStart"/>
      <w:r w:rsidRPr="005F3664">
        <w:rPr>
          <w:rFonts w:ascii="Arial" w:hAnsi="Arial" w:cs="Arial"/>
          <w:sz w:val="20"/>
          <w:szCs w:val="20"/>
        </w:rPr>
        <w:t>cole</w:t>
      </w:r>
      <w:proofErr w:type="spellEnd"/>
      <w:r w:rsidRPr="005F3664">
        <w:rPr>
          <w:rFonts w:ascii="Arial" w:hAnsi="Arial" w:cs="Arial"/>
          <w:sz w:val="20"/>
          <w:szCs w:val="20"/>
        </w:rPr>
        <w:t xml:space="preserve"> crops. This strategy capitalizes on additive genetic variance through repeated cycles of selection and </w:t>
      </w:r>
      <w:proofErr w:type="spellStart"/>
      <w:r w:rsidRPr="005F3664">
        <w:rPr>
          <w:rFonts w:ascii="Arial" w:hAnsi="Arial" w:cs="Arial"/>
          <w:sz w:val="20"/>
          <w:szCs w:val="20"/>
        </w:rPr>
        <w:t>intercrossing</w:t>
      </w:r>
      <w:proofErr w:type="spellEnd"/>
      <w:r w:rsidRPr="005F3664">
        <w:rPr>
          <w:rFonts w:ascii="Arial" w:hAnsi="Arial" w:cs="Arial"/>
          <w:sz w:val="20"/>
          <w:szCs w:val="20"/>
        </w:rPr>
        <w:t xml:space="preserve">, thereby progressively increasing the frequency of </w:t>
      </w:r>
      <w:proofErr w:type="spellStart"/>
      <w:r w:rsidRPr="005F3664">
        <w:rPr>
          <w:rFonts w:ascii="Arial" w:hAnsi="Arial" w:cs="Arial"/>
          <w:sz w:val="20"/>
          <w:szCs w:val="20"/>
        </w:rPr>
        <w:t>favorable</w:t>
      </w:r>
      <w:proofErr w:type="spellEnd"/>
      <w:r w:rsidRPr="005F3664">
        <w:rPr>
          <w:rFonts w:ascii="Arial" w:hAnsi="Arial" w:cs="Arial"/>
          <w:sz w:val="20"/>
          <w:szCs w:val="20"/>
        </w:rPr>
        <w:t xml:space="preserve"> alleles controlling complex quantitative traits.</w:t>
      </w:r>
    </w:p>
    <w:p w14:paraId="26A11714" w14:textId="77777777" w:rsidR="005B3010" w:rsidRPr="005F3664" w:rsidRDefault="005B3010" w:rsidP="00E53B33">
      <w:pPr>
        <w:spacing w:line="240" w:lineRule="auto"/>
        <w:jc w:val="both"/>
        <w:rPr>
          <w:rFonts w:ascii="Arial" w:hAnsi="Arial" w:cs="Arial"/>
          <w:b/>
          <w:bCs/>
        </w:rPr>
      </w:pPr>
      <w:r w:rsidRPr="005F3664">
        <w:rPr>
          <w:rFonts w:ascii="Arial" w:hAnsi="Arial" w:cs="Arial"/>
          <w:b/>
          <w:bCs/>
        </w:rPr>
        <w:t>2.2 Hybridisation, Heterosis, and Wide Crosses</w:t>
      </w:r>
    </w:p>
    <w:p w14:paraId="0CFF1D7B" w14:textId="0E91494D" w:rsidR="005B3010" w:rsidRPr="005F3664" w:rsidRDefault="005B3010" w:rsidP="00E53B33">
      <w:pPr>
        <w:spacing w:line="240" w:lineRule="auto"/>
        <w:jc w:val="both"/>
        <w:rPr>
          <w:rFonts w:ascii="Arial" w:hAnsi="Arial" w:cs="Arial"/>
          <w:sz w:val="20"/>
          <w:szCs w:val="20"/>
        </w:rPr>
      </w:pPr>
      <w:r w:rsidRPr="005F3664">
        <w:rPr>
          <w:rFonts w:ascii="Arial" w:hAnsi="Arial" w:cs="Arial"/>
          <w:sz w:val="20"/>
          <w:szCs w:val="20"/>
        </w:rPr>
        <w:t xml:space="preserve">Deliberate interspecific and intergeneric hybridisation has played a pivotal role in expanding the genetic diversity of horticultural crops by introducing favourable alleles from wild relatives and traditional landraces that are absent within elite breeding pools. A well-documented example is the contribution of wild </w:t>
      </w:r>
      <w:r w:rsidRPr="005F3664">
        <w:rPr>
          <w:rFonts w:ascii="Arial" w:hAnsi="Arial" w:cs="Arial"/>
          <w:i/>
          <w:iCs/>
          <w:sz w:val="20"/>
          <w:szCs w:val="20"/>
        </w:rPr>
        <w:t>Solanum</w:t>
      </w:r>
      <w:r w:rsidRPr="005F3664">
        <w:rPr>
          <w:rFonts w:ascii="Arial" w:hAnsi="Arial" w:cs="Arial"/>
          <w:sz w:val="20"/>
          <w:szCs w:val="20"/>
        </w:rPr>
        <w:t xml:space="preserve"> </w:t>
      </w:r>
      <w:proofErr w:type="gramStart"/>
      <w:r w:rsidRPr="005F3664">
        <w:rPr>
          <w:rFonts w:ascii="Arial" w:hAnsi="Arial" w:cs="Arial"/>
          <w:sz w:val="20"/>
          <w:szCs w:val="20"/>
        </w:rPr>
        <w:t>species</w:t>
      </w:r>
      <w:proofErr w:type="gramEnd"/>
      <w:r w:rsidR="005856F9" w:rsidRPr="005F3664">
        <w:rPr>
          <w:rFonts w:ascii="Arial" w:hAnsi="Arial" w:cs="Arial"/>
          <w:sz w:val="20"/>
          <w:szCs w:val="20"/>
        </w:rPr>
        <w:t>-</w:t>
      </w:r>
      <w:r w:rsidRPr="005F3664">
        <w:rPr>
          <w:rFonts w:ascii="Arial" w:hAnsi="Arial" w:cs="Arial"/>
          <w:i/>
          <w:iCs/>
          <w:sz w:val="20"/>
          <w:szCs w:val="20"/>
        </w:rPr>
        <w:t xml:space="preserve">Solanum </w:t>
      </w:r>
      <w:proofErr w:type="spellStart"/>
      <w:r w:rsidRPr="005F3664">
        <w:rPr>
          <w:rFonts w:ascii="Arial" w:hAnsi="Arial" w:cs="Arial"/>
          <w:i/>
          <w:iCs/>
          <w:sz w:val="20"/>
          <w:szCs w:val="20"/>
        </w:rPr>
        <w:t>habrochaites</w:t>
      </w:r>
      <w:proofErr w:type="spellEnd"/>
      <w:r w:rsidRPr="005F3664">
        <w:rPr>
          <w:rFonts w:ascii="Arial" w:hAnsi="Arial" w:cs="Arial"/>
          <w:sz w:val="20"/>
          <w:szCs w:val="20"/>
        </w:rPr>
        <w:t xml:space="preserve">, </w:t>
      </w:r>
      <w:r w:rsidRPr="005F3664">
        <w:rPr>
          <w:rFonts w:ascii="Arial" w:hAnsi="Arial" w:cs="Arial"/>
          <w:i/>
          <w:iCs/>
          <w:sz w:val="20"/>
          <w:szCs w:val="20"/>
        </w:rPr>
        <w:t xml:space="preserve">S. </w:t>
      </w:r>
      <w:proofErr w:type="spellStart"/>
      <w:r w:rsidRPr="005F3664">
        <w:rPr>
          <w:rFonts w:ascii="Arial" w:hAnsi="Arial" w:cs="Arial"/>
          <w:i/>
          <w:iCs/>
          <w:sz w:val="20"/>
          <w:szCs w:val="20"/>
        </w:rPr>
        <w:t>peruvianum</w:t>
      </w:r>
      <w:proofErr w:type="spellEnd"/>
      <w:r w:rsidRPr="005F3664">
        <w:rPr>
          <w:rFonts w:ascii="Arial" w:hAnsi="Arial" w:cs="Arial"/>
          <w:sz w:val="20"/>
          <w:szCs w:val="20"/>
        </w:rPr>
        <w:t xml:space="preserve">, </w:t>
      </w:r>
      <w:r w:rsidRPr="005F3664">
        <w:rPr>
          <w:rFonts w:ascii="Arial" w:hAnsi="Arial" w:cs="Arial"/>
          <w:i/>
          <w:iCs/>
          <w:sz w:val="20"/>
          <w:szCs w:val="20"/>
        </w:rPr>
        <w:t xml:space="preserve">S. </w:t>
      </w:r>
      <w:proofErr w:type="spellStart"/>
      <w:r w:rsidRPr="005F3664">
        <w:rPr>
          <w:rFonts w:ascii="Arial" w:hAnsi="Arial" w:cs="Arial"/>
          <w:i/>
          <w:iCs/>
          <w:sz w:val="20"/>
          <w:szCs w:val="20"/>
        </w:rPr>
        <w:t>pennellii</w:t>
      </w:r>
      <w:proofErr w:type="spellEnd"/>
      <w:r w:rsidRPr="005F3664">
        <w:rPr>
          <w:rFonts w:ascii="Arial" w:hAnsi="Arial" w:cs="Arial"/>
          <w:sz w:val="20"/>
          <w:szCs w:val="20"/>
        </w:rPr>
        <w:t xml:space="preserve">, and </w:t>
      </w:r>
      <w:r w:rsidRPr="005F3664">
        <w:rPr>
          <w:rFonts w:ascii="Arial" w:hAnsi="Arial" w:cs="Arial"/>
          <w:i/>
          <w:iCs/>
          <w:sz w:val="20"/>
          <w:szCs w:val="20"/>
        </w:rPr>
        <w:t xml:space="preserve">S. </w:t>
      </w:r>
      <w:proofErr w:type="spellStart"/>
      <w:r w:rsidRPr="005F3664">
        <w:rPr>
          <w:rFonts w:ascii="Arial" w:hAnsi="Arial" w:cs="Arial"/>
          <w:i/>
          <w:iCs/>
          <w:sz w:val="20"/>
          <w:szCs w:val="20"/>
        </w:rPr>
        <w:t>pimpinellifolium</w:t>
      </w:r>
      <w:proofErr w:type="spellEnd"/>
      <w:r w:rsidR="005856F9" w:rsidRPr="005F3664">
        <w:rPr>
          <w:rFonts w:ascii="Arial" w:hAnsi="Arial" w:cs="Arial"/>
          <w:sz w:val="20"/>
          <w:szCs w:val="20"/>
        </w:rPr>
        <w:t>-</w:t>
      </w:r>
      <w:r w:rsidRPr="005F3664">
        <w:rPr>
          <w:rFonts w:ascii="Arial" w:hAnsi="Arial" w:cs="Arial"/>
          <w:sz w:val="20"/>
          <w:szCs w:val="20"/>
        </w:rPr>
        <w:t>to tomato improvement. These species have served as valuable sources of resistance genes against major biotic stresses, including Tomato Yellow Leaf Curl Virus, early blight, Fusarium wilt, root-knot nematodes, and other production constraints (</w:t>
      </w:r>
      <w:proofErr w:type="spellStart"/>
      <w:r w:rsidRPr="005F3664">
        <w:rPr>
          <w:rFonts w:ascii="Arial" w:hAnsi="Arial" w:cs="Arial"/>
          <w:sz w:val="20"/>
          <w:szCs w:val="20"/>
        </w:rPr>
        <w:t>Foolad</w:t>
      </w:r>
      <w:proofErr w:type="spellEnd"/>
      <w:r w:rsidRPr="005F3664">
        <w:rPr>
          <w:rFonts w:ascii="Arial" w:hAnsi="Arial" w:cs="Arial"/>
          <w:sz w:val="20"/>
          <w:szCs w:val="20"/>
        </w:rPr>
        <w:t xml:space="preserve"> et al., 2020). In a similar manner, wild potato taxa belonging to the </w:t>
      </w:r>
      <w:r w:rsidRPr="005F3664">
        <w:rPr>
          <w:rFonts w:ascii="Arial" w:hAnsi="Arial" w:cs="Arial"/>
          <w:i/>
          <w:iCs/>
          <w:sz w:val="20"/>
          <w:szCs w:val="20"/>
        </w:rPr>
        <w:t>Solanum brevicauda</w:t>
      </w:r>
      <w:r w:rsidRPr="005F3664">
        <w:rPr>
          <w:rFonts w:ascii="Arial" w:hAnsi="Arial" w:cs="Arial"/>
          <w:sz w:val="20"/>
          <w:szCs w:val="20"/>
        </w:rPr>
        <w:t xml:space="preserve"> and </w:t>
      </w:r>
      <w:r w:rsidRPr="005F3664">
        <w:rPr>
          <w:rFonts w:ascii="Arial" w:hAnsi="Arial" w:cs="Arial"/>
          <w:i/>
          <w:iCs/>
          <w:sz w:val="20"/>
          <w:szCs w:val="20"/>
        </w:rPr>
        <w:t xml:space="preserve">S. </w:t>
      </w:r>
      <w:proofErr w:type="spellStart"/>
      <w:r w:rsidRPr="005F3664">
        <w:rPr>
          <w:rFonts w:ascii="Arial" w:hAnsi="Arial" w:cs="Arial"/>
          <w:i/>
          <w:iCs/>
          <w:sz w:val="20"/>
          <w:szCs w:val="20"/>
        </w:rPr>
        <w:t>bulbocastanum</w:t>
      </w:r>
      <w:proofErr w:type="spellEnd"/>
      <w:r w:rsidRPr="005F3664">
        <w:rPr>
          <w:rFonts w:ascii="Arial" w:hAnsi="Arial" w:cs="Arial"/>
          <w:sz w:val="20"/>
          <w:szCs w:val="20"/>
        </w:rPr>
        <w:t xml:space="preserve"> complexes have provided broad-spectrum late blight resistance genes (</w:t>
      </w:r>
      <w:proofErr w:type="spellStart"/>
      <w:r w:rsidRPr="005F3664">
        <w:rPr>
          <w:rFonts w:ascii="Arial" w:hAnsi="Arial" w:cs="Arial"/>
          <w:sz w:val="20"/>
          <w:szCs w:val="20"/>
        </w:rPr>
        <w:t>Rpi</w:t>
      </w:r>
      <w:proofErr w:type="spellEnd"/>
      <w:r w:rsidRPr="005F3664">
        <w:rPr>
          <w:rFonts w:ascii="Arial" w:hAnsi="Arial" w:cs="Arial"/>
          <w:sz w:val="20"/>
          <w:szCs w:val="20"/>
        </w:rPr>
        <w:t xml:space="preserve"> genes), which are now central components of modern molecular introgression strategies.</w:t>
      </w:r>
    </w:p>
    <w:p w14:paraId="43C07A18" w14:textId="304AD4F5" w:rsidR="005B3010" w:rsidRPr="005F3664" w:rsidRDefault="005B3010" w:rsidP="00E53B33">
      <w:pPr>
        <w:spacing w:line="240" w:lineRule="auto"/>
        <w:jc w:val="both"/>
        <w:rPr>
          <w:rFonts w:ascii="Arial" w:hAnsi="Arial" w:cs="Arial"/>
          <w:sz w:val="24"/>
          <w:szCs w:val="24"/>
        </w:rPr>
      </w:pPr>
      <w:r w:rsidRPr="005F3664">
        <w:rPr>
          <w:rFonts w:ascii="Arial" w:hAnsi="Arial" w:cs="Arial"/>
          <w:sz w:val="20"/>
          <w:szCs w:val="20"/>
        </w:rPr>
        <w:t>The commercial exploitation of heterosis</w:t>
      </w:r>
      <w:r w:rsidR="005856F9" w:rsidRPr="005F3664">
        <w:rPr>
          <w:rFonts w:ascii="Arial" w:hAnsi="Arial" w:cs="Arial"/>
          <w:sz w:val="20"/>
          <w:szCs w:val="20"/>
        </w:rPr>
        <w:t>-</w:t>
      </w:r>
      <w:r w:rsidRPr="005F3664">
        <w:rPr>
          <w:rFonts w:ascii="Arial" w:hAnsi="Arial" w:cs="Arial"/>
          <w:sz w:val="20"/>
          <w:szCs w:val="20"/>
        </w:rPr>
        <w:t>the superior performance of F</w:t>
      </w:r>
      <w:r w:rsidRPr="005F3664">
        <w:rPr>
          <w:rFonts w:ascii="Cambria Math" w:hAnsi="Cambria Math" w:cs="Cambria Math"/>
          <w:sz w:val="20"/>
          <w:szCs w:val="20"/>
        </w:rPr>
        <w:t>₁</w:t>
      </w:r>
      <w:r w:rsidRPr="005F3664">
        <w:rPr>
          <w:rFonts w:ascii="Arial" w:hAnsi="Arial" w:cs="Arial"/>
          <w:sz w:val="20"/>
          <w:szCs w:val="20"/>
        </w:rPr>
        <w:t xml:space="preserve"> hybrids relative to their parental inbred lines in terms of yield, vigour, uniformity, and quality</w:t>
      </w:r>
      <w:r w:rsidR="005856F9" w:rsidRPr="005F3664">
        <w:rPr>
          <w:rFonts w:ascii="Arial" w:hAnsi="Arial" w:cs="Arial"/>
          <w:sz w:val="20"/>
          <w:szCs w:val="20"/>
        </w:rPr>
        <w:t>-</w:t>
      </w:r>
      <w:r w:rsidRPr="005F3664">
        <w:rPr>
          <w:rFonts w:ascii="Arial" w:hAnsi="Arial" w:cs="Arial"/>
          <w:sz w:val="20"/>
          <w:szCs w:val="20"/>
        </w:rPr>
        <w:t>has driven substantial progress in vegetable crop improvement since the mid-20th century. Hybrid cultivars of tomato, chilli, cucumber, and onion, developed through cytoplasmic male sterility (CMS) systems or manual pollination techniques, consistently exhibit yield gains of 15</w:t>
      </w:r>
      <w:r w:rsidR="00195BC2">
        <w:rPr>
          <w:rFonts w:ascii="Arial" w:hAnsi="Arial" w:cs="Arial"/>
          <w:sz w:val="20"/>
          <w:szCs w:val="20"/>
        </w:rPr>
        <w:t>-</w:t>
      </w:r>
      <w:r w:rsidRPr="005F3664">
        <w:rPr>
          <w:rFonts w:ascii="Arial" w:hAnsi="Arial" w:cs="Arial"/>
          <w:sz w:val="20"/>
          <w:szCs w:val="20"/>
        </w:rPr>
        <w:t xml:space="preserve">30% compared with open-pollinated varieties, while also offering enhanced uniformity, earlier maturity, and improved disease resistance (Nonaka et al., </w:t>
      </w:r>
      <w:r w:rsidRPr="005F3664">
        <w:rPr>
          <w:rFonts w:ascii="Arial" w:hAnsi="Arial" w:cs="Arial"/>
          <w:sz w:val="20"/>
          <w:szCs w:val="20"/>
        </w:rPr>
        <w:lastRenderedPageBreak/>
        <w:t>2017). More recently, the development of novel CMS systems via mitochondrial genome editing using CRISPR/Cas9 has emerged as a promising convergence between traditional heterosis breeding and precision genome engineering technologies</w:t>
      </w:r>
      <w:r w:rsidRPr="005F3664">
        <w:rPr>
          <w:rFonts w:ascii="Arial" w:hAnsi="Arial" w:cs="Arial"/>
          <w:sz w:val="24"/>
          <w:szCs w:val="24"/>
        </w:rPr>
        <w:t>.</w:t>
      </w:r>
    </w:p>
    <w:p w14:paraId="4A18BAE4" w14:textId="77777777" w:rsidR="005B3010" w:rsidRPr="005F3664" w:rsidRDefault="005B3010" w:rsidP="00E53B33">
      <w:pPr>
        <w:spacing w:line="240" w:lineRule="auto"/>
        <w:jc w:val="both"/>
        <w:rPr>
          <w:rFonts w:ascii="Arial" w:hAnsi="Arial" w:cs="Arial"/>
          <w:b/>
          <w:bCs/>
        </w:rPr>
      </w:pPr>
      <w:r w:rsidRPr="005F3664">
        <w:rPr>
          <w:rFonts w:ascii="Arial" w:hAnsi="Arial" w:cs="Arial"/>
          <w:b/>
          <w:bCs/>
        </w:rPr>
        <w:t>2.3 Mutation Breeding and Polyploidy</w:t>
      </w:r>
    </w:p>
    <w:p w14:paraId="31C6A44E" w14:textId="77777777" w:rsidR="005B3010" w:rsidRPr="005F3664" w:rsidRDefault="005B3010" w:rsidP="00E53B33">
      <w:pPr>
        <w:spacing w:line="240" w:lineRule="auto"/>
        <w:jc w:val="both"/>
        <w:rPr>
          <w:rFonts w:ascii="Arial" w:hAnsi="Arial" w:cs="Arial"/>
          <w:sz w:val="20"/>
          <w:szCs w:val="20"/>
        </w:rPr>
      </w:pPr>
      <w:r w:rsidRPr="005F3664">
        <w:rPr>
          <w:rFonts w:ascii="Arial" w:hAnsi="Arial" w:cs="Arial"/>
          <w:sz w:val="20"/>
          <w:szCs w:val="20"/>
        </w:rPr>
        <w:t xml:space="preserve">Induced mutagenesis, achieved through exposure to physical mutagens such as gamma radiation, X-rays, and fast neutrons, or chemical agents including ethyl </w:t>
      </w:r>
      <w:proofErr w:type="spellStart"/>
      <w:r w:rsidRPr="005F3664">
        <w:rPr>
          <w:rFonts w:ascii="Arial" w:hAnsi="Arial" w:cs="Arial"/>
          <w:sz w:val="20"/>
          <w:szCs w:val="20"/>
        </w:rPr>
        <w:t>methanesulphonate</w:t>
      </w:r>
      <w:proofErr w:type="spellEnd"/>
      <w:r w:rsidRPr="005F3664">
        <w:rPr>
          <w:rFonts w:ascii="Arial" w:hAnsi="Arial" w:cs="Arial"/>
          <w:sz w:val="20"/>
          <w:szCs w:val="20"/>
        </w:rPr>
        <w:t xml:space="preserve"> (EMS) and sodium </w:t>
      </w:r>
      <w:proofErr w:type="spellStart"/>
      <w:r w:rsidRPr="005F3664">
        <w:rPr>
          <w:rFonts w:ascii="Arial" w:hAnsi="Arial" w:cs="Arial"/>
          <w:sz w:val="20"/>
          <w:szCs w:val="20"/>
        </w:rPr>
        <w:t>azide</w:t>
      </w:r>
      <w:proofErr w:type="spellEnd"/>
      <w:r w:rsidRPr="005F3664">
        <w:rPr>
          <w:rFonts w:ascii="Arial" w:hAnsi="Arial" w:cs="Arial"/>
          <w:sz w:val="20"/>
          <w:szCs w:val="20"/>
        </w:rPr>
        <w:t>, generates elevated frequencies of random genetic variation. This approach facilitates the creation of novel allelic diversity beyond that available within existing germplasm collections. According to the FAO/IAEA Mutant Variety Database, more than 3,300 mutant varieties have been officially released worldwide, including tomato lines with compact growth habits and enhanced processing quality, potato varieties with modified starch composition, seedless citrus types, and ornamental cultivars exhibiting improved flower colour and morphology. Despite these achievements, the inherently random nature of mutation breeding often necessitates extensive backcrossing to remove undesirable background mutations. This limitation has been substantially mitigated by the advent of CRISPR-based targeted mutagenesis, which enables precise and site-specific genetic modifications.</w:t>
      </w:r>
    </w:p>
    <w:p w14:paraId="2EA1603D" w14:textId="29C7F731" w:rsidR="005B3010" w:rsidRPr="005F3664" w:rsidRDefault="005B3010" w:rsidP="00E53B33">
      <w:pPr>
        <w:spacing w:line="240" w:lineRule="auto"/>
        <w:jc w:val="both"/>
        <w:rPr>
          <w:rFonts w:ascii="Arial" w:hAnsi="Arial" w:cs="Arial"/>
          <w:sz w:val="20"/>
          <w:szCs w:val="20"/>
        </w:rPr>
      </w:pPr>
      <w:r w:rsidRPr="005F3664">
        <w:rPr>
          <w:rFonts w:ascii="Arial" w:hAnsi="Arial" w:cs="Arial"/>
          <w:sz w:val="20"/>
          <w:szCs w:val="20"/>
        </w:rPr>
        <w:t>Manipulation of ploidy levels has led to some of the most commercially significant advancements in horticultural breeding. Triploid (3x) seedless watermelon cultivars, generated by crossing colchicine-induced tetraploid (4x) lines with diploid parents to produce sterile triploid hybrids, now account for approximately 85</w:t>
      </w:r>
      <w:r w:rsidR="00195BC2">
        <w:rPr>
          <w:rFonts w:ascii="Arial" w:hAnsi="Arial" w:cs="Arial"/>
          <w:sz w:val="20"/>
          <w:szCs w:val="20"/>
        </w:rPr>
        <w:t>-</w:t>
      </w:r>
      <w:r w:rsidRPr="005F3664">
        <w:rPr>
          <w:rFonts w:ascii="Arial" w:hAnsi="Arial" w:cs="Arial"/>
          <w:sz w:val="20"/>
          <w:szCs w:val="20"/>
        </w:rPr>
        <w:t>90% of watermelon production in developed markets (Tian et al., 2017). Comparable strategies exploiting natural or induced polyploidy have been applied in seedless grapes, bananas, and citrus. In ornamental crops, polyploidisation has facilitated the development of novel phenotypes and enhanced aesthetic attributes that are unattainable through conventional diploid hybridisation.</w:t>
      </w:r>
    </w:p>
    <w:p w14:paraId="7FF5C9D7" w14:textId="77777777" w:rsidR="005B3010" w:rsidRPr="005F3664" w:rsidRDefault="005B3010" w:rsidP="00E53B33">
      <w:pPr>
        <w:spacing w:line="240" w:lineRule="auto"/>
        <w:jc w:val="both"/>
        <w:rPr>
          <w:rFonts w:ascii="Arial" w:hAnsi="Arial" w:cs="Arial"/>
          <w:b/>
          <w:bCs/>
        </w:rPr>
      </w:pPr>
      <w:r w:rsidRPr="005F3664">
        <w:rPr>
          <w:rFonts w:ascii="Arial" w:hAnsi="Arial" w:cs="Arial"/>
          <w:b/>
          <w:bCs/>
        </w:rPr>
        <w:t>2.4 Limitations of Conventional Breeding</w:t>
      </w:r>
    </w:p>
    <w:p w14:paraId="134D3A77" w14:textId="23EFFCDF" w:rsidR="005B3010" w:rsidRPr="005F3664" w:rsidRDefault="005B3010" w:rsidP="00E53B33">
      <w:pPr>
        <w:spacing w:line="240" w:lineRule="auto"/>
        <w:jc w:val="both"/>
        <w:rPr>
          <w:rFonts w:ascii="Arial" w:hAnsi="Arial" w:cs="Arial"/>
        </w:rPr>
      </w:pPr>
      <w:r w:rsidRPr="005F3664">
        <w:rPr>
          <w:rFonts w:ascii="Arial" w:hAnsi="Arial" w:cs="Arial"/>
        </w:rPr>
        <w:t>The limitations inherent to conventional breeding methodologies are increasingly apparent in the context of rapid environmental change and expanding technological capabilities. Among the most significant constraints are: (</w:t>
      </w:r>
      <w:proofErr w:type="spellStart"/>
      <w:r w:rsidRPr="005F3664">
        <w:rPr>
          <w:rFonts w:ascii="Arial" w:hAnsi="Arial" w:cs="Arial"/>
        </w:rPr>
        <w:t>i</w:t>
      </w:r>
      <w:proofErr w:type="spellEnd"/>
      <w:r w:rsidRPr="005F3664">
        <w:rPr>
          <w:rFonts w:ascii="Arial" w:hAnsi="Arial" w:cs="Arial"/>
        </w:rPr>
        <w:t>) extended breeding cycles</w:t>
      </w:r>
      <w:r w:rsidR="005856F9" w:rsidRPr="005F3664">
        <w:rPr>
          <w:rFonts w:ascii="Arial" w:hAnsi="Arial" w:cs="Arial"/>
        </w:rPr>
        <w:t>-</w:t>
      </w:r>
      <w:r w:rsidRPr="005F3664">
        <w:rPr>
          <w:rFonts w:ascii="Arial" w:hAnsi="Arial" w:cs="Arial"/>
        </w:rPr>
        <w:t>typically 8</w:t>
      </w:r>
      <w:r w:rsidR="00195BC2">
        <w:rPr>
          <w:rFonts w:ascii="Arial" w:hAnsi="Arial" w:cs="Arial"/>
        </w:rPr>
        <w:t>-</w:t>
      </w:r>
      <w:r w:rsidRPr="005F3664">
        <w:rPr>
          <w:rFonts w:ascii="Arial" w:hAnsi="Arial" w:cs="Arial"/>
        </w:rPr>
        <w:t>15 years for annual vegetable crops and 15</w:t>
      </w:r>
      <w:r w:rsidR="004C0DDD">
        <w:rPr>
          <w:rFonts w:ascii="Arial" w:hAnsi="Arial" w:cs="Arial"/>
        </w:rPr>
        <w:t>-</w:t>
      </w:r>
      <w:r w:rsidRPr="005F3664">
        <w:rPr>
          <w:rFonts w:ascii="Arial" w:hAnsi="Arial" w:cs="Arial"/>
        </w:rPr>
        <w:t>30 years for perennial fruit species</w:t>
      </w:r>
      <w:r w:rsidR="005856F9" w:rsidRPr="005F3664">
        <w:rPr>
          <w:rFonts w:ascii="Arial" w:hAnsi="Arial" w:cs="Arial"/>
        </w:rPr>
        <w:t>-</w:t>
      </w:r>
      <w:r w:rsidRPr="005F3664">
        <w:rPr>
          <w:rFonts w:ascii="Arial" w:hAnsi="Arial" w:cs="Arial"/>
        </w:rPr>
        <w:t>due to the necessity for multiple generations of crossing, inbreeding, and multi-location performance evaluation; (ii) a restricted genetic base within elite germplasm pools, resulting from domestication bottlenecks and intensive directional selection; (iii) linkage drag, whereby undesirable donor alleles flanking a target gene are co-introduced during backcrossing, potentially reducing performance in the recurrent parent background; and (iv) limited selection accuracy for complex quantitative traits governed by numerous loci of small effect and influenced by genotype-by-environment interactions. These constraints collectively underpin the growing adoption of molecular and genomic tools, which seek to enhance precision, efficiency, and predictive capacity in horticultural crop improvement.</w:t>
      </w:r>
    </w:p>
    <w:p w14:paraId="3DF4AE92" w14:textId="77777777" w:rsidR="00E53B33" w:rsidRPr="005F3664" w:rsidRDefault="00E53B33" w:rsidP="00E53B33">
      <w:pPr>
        <w:spacing w:line="240" w:lineRule="auto"/>
        <w:jc w:val="both"/>
        <w:rPr>
          <w:rFonts w:ascii="Arial" w:hAnsi="Arial" w:cs="Arial"/>
        </w:rPr>
      </w:pPr>
    </w:p>
    <w:p w14:paraId="51C425B5" w14:textId="442A0A42" w:rsidR="00CE4171" w:rsidRPr="005F3664" w:rsidRDefault="00CE4171" w:rsidP="00E53B33">
      <w:pPr>
        <w:spacing w:line="240" w:lineRule="auto"/>
        <w:jc w:val="both"/>
        <w:rPr>
          <w:rFonts w:ascii="Arial" w:hAnsi="Arial" w:cs="Arial"/>
          <w:b/>
          <w:bCs/>
        </w:rPr>
      </w:pPr>
      <w:r w:rsidRPr="005F3664">
        <w:rPr>
          <w:rFonts w:ascii="Arial" w:hAnsi="Arial" w:cs="Arial"/>
          <w:b/>
          <w:bCs/>
        </w:rPr>
        <w:t>3. Molecular Breeding and Marker-Assisted Selection</w:t>
      </w:r>
    </w:p>
    <w:p w14:paraId="6CE7614D" w14:textId="77777777" w:rsidR="00CE4171" w:rsidRPr="005F3664" w:rsidRDefault="00CE4171" w:rsidP="00E53B33">
      <w:pPr>
        <w:spacing w:line="240" w:lineRule="auto"/>
        <w:jc w:val="both"/>
        <w:rPr>
          <w:rFonts w:ascii="Arial" w:hAnsi="Arial" w:cs="Arial"/>
          <w:b/>
          <w:bCs/>
        </w:rPr>
      </w:pPr>
      <w:r w:rsidRPr="005F3664">
        <w:rPr>
          <w:rFonts w:ascii="Arial" w:hAnsi="Arial" w:cs="Arial"/>
          <w:b/>
          <w:bCs/>
        </w:rPr>
        <w:t>3.1 Molecular Marker Systems</w:t>
      </w:r>
    </w:p>
    <w:p w14:paraId="038CAAEE" w14:textId="184471B2" w:rsidR="00CE4171" w:rsidRPr="005F3664" w:rsidRDefault="00CE4171" w:rsidP="00E53B33">
      <w:pPr>
        <w:spacing w:line="240" w:lineRule="auto"/>
        <w:jc w:val="both"/>
        <w:rPr>
          <w:rFonts w:ascii="Arial" w:hAnsi="Arial" w:cs="Arial"/>
          <w:sz w:val="20"/>
          <w:szCs w:val="20"/>
        </w:rPr>
      </w:pPr>
      <w:r w:rsidRPr="005F3664">
        <w:rPr>
          <w:rFonts w:ascii="Arial" w:hAnsi="Arial" w:cs="Arial"/>
          <w:sz w:val="20"/>
          <w:szCs w:val="20"/>
        </w:rPr>
        <w:t>The emergence of DNA-based molecular marker technologies marked a fundamental shift in plant breeding by allowing direct genotypic evaluation of breeding materials, independent of phenotypic expression, developmental stage, or environmental influence. The technological evolution from first-generation markers</w:t>
      </w:r>
      <w:r w:rsidR="005856F9" w:rsidRPr="005F3664">
        <w:rPr>
          <w:rFonts w:ascii="Arial" w:hAnsi="Arial" w:cs="Arial"/>
          <w:sz w:val="20"/>
          <w:szCs w:val="20"/>
        </w:rPr>
        <w:t>-</w:t>
      </w:r>
      <w:r w:rsidRPr="005F3664">
        <w:rPr>
          <w:rFonts w:ascii="Arial" w:hAnsi="Arial" w:cs="Arial"/>
          <w:sz w:val="20"/>
          <w:szCs w:val="20"/>
        </w:rPr>
        <w:t>restriction fragment length polymorphisms (RFLPs) and random amplified polymorphic DNAs (RAPDs)</w:t>
      </w:r>
      <w:r w:rsidR="005856F9" w:rsidRPr="005F3664">
        <w:rPr>
          <w:rFonts w:ascii="Arial" w:hAnsi="Arial" w:cs="Arial"/>
          <w:sz w:val="20"/>
          <w:szCs w:val="20"/>
        </w:rPr>
        <w:t>-</w:t>
      </w:r>
      <w:r w:rsidRPr="005F3664">
        <w:rPr>
          <w:rFonts w:ascii="Arial" w:hAnsi="Arial" w:cs="Arial"/>
          <w:sz w:val="20"/>
          <w:szCs w:val="20"/>
        </w:rPr>
        <w:t>to second-generation systems such as simple sequence repeats (SSRs or microsatellites) and amplified fragment length polymorphisms (AFLPs), and subsequently to third-generation single nucleotide polymorphism (SNP)-based platforms, reflects the broader advancement of genomic technologies (Xu and Crouch, 2008).</w:t>
      </w:r>
    </w:p>
    <w:p w14:paraId="46862BED" w14:textId="78702C05" w:rsidR="00CE4171" w:rsidRPr="005F3664" w:rsidRDefault="00CE4171" w:rsidP="00E53B33">
      <w:pPr>
        <w:spacing w:line="240" w:lineRule="auto"/>
        <w:jc w:val="both"/>
        <w:rPr>
          <w:rFonts w:ascii="Arial" w:hAnsi="Arial" w:cs="Arial"/>
          <w:sz w:val="20"/>
          <w:szCs w:val="20"/>
        </w:rPr>
      </w:pPr>
      <w:r w:rsidRPr="005F3664">
        <w:rPr>
          <w:rFonts w:ascii="Arial" w:hAnsi="Arial" w:cs="Arial"/>
          <w:sz w:val="20"/>
          <w:szCs w:val="20"/>
        </w:rPr>
        <w:t>SNP markers now predominate in molecular breeding due to their widespread distribution throughout plant genomes, suitability for high-throughput automated genotyping, and compatibility with both array-based and sequencing-based platforms. Crop-specific SNP arrays</w:t>
      </w:r>
      <w:r w:rsidR="005856F9" w:rsidRPr="005F3664">
        <w:rPr>
          <w:rFonts w:ascii="Arial" w:hAnsi="Arial" w:cs="Arial"/>
          <w:sz w:val="20"/>
          <w:szCs w:val="20"/>
        </w:rPr>
        <w:t>-</w:t>
      </w:r>
      <w:r w:rsidRPr="005F3664">
        <w:rPr>
          <w:rFonts w:ascii="Arial" w:hAnsi="Arial" w:cs="Arial"/>
          <w:sz w:val="20"/>
          <w:szCs w:val="20"/>
        </w:rPr>
        <w:t xml:space="preserve">including the </w:t>
      </w:r>
      <w:proofErr w:type="spellStart"/>
      <w:r w:rsidRPr="005F3664">
        <w:rPr>
          <w:rFonts w:ascii="Arial" w:hAnsi="Arial" w:cs="Arial"/>
          <w:sz w:val="20"/>
          <w:szCs w:val="20"/>
        </w:rPr>
        <w:t>SolCAP</w:t>
      </w:r>
      <w:proofErr w:type="spellEnd"/>
      <w:r w:rsidRPr="005F3664">
        <w:rPr>
          <w:rFonts w:ascii="Arial" w:hAnsi="Arial" w:cs="Arial"/>
          <w:sz w:val="20"/>
          <w:szCs w:val="20"/>
        </w:rPr>
        <w:t xml:space="preserve"> 8,303-SNP array for tomato and potato, the Axiom Potato Genotyping Array (650,000 SNPs), the </w:t>
      </w:r>
      <w:proofErr w:type="spellStart"/>
      <w:r w:rsidRPr="005F3664">
        <w:rPr>
          <w:rFonts w:ascii="Arial" w:hAnsi="Arial" w:cs="Arial"/>
          <w:sz w:val="20"/>
          <w:szCs w:val="20"/>
        </w:rPr>
        <w:t>IStraw</w:t>
      </w:r>
      <w:proofErr w:type="spellEnd"/>
      <w:r w:rsidRPr="005F3664">
        <w:rPr>
          <w:rFonts w:ascii="Arial" w:hAnsi="Arial" w:cs="Arial"/>
          <w:sz w:val="20"/>
          <w:szCs w:val="20"/>
        </w:rPr>
        <w:t xml:space="preserve"> 90K </w:t>
      </w:r>
      <w:r w:rsidRPr="005F3664">
        <w:rPr>
          <w:rFonts w:ascii="Arial" w:hAnsi="Arial" w:cs="Arial"/>
          <w:sz w:val="20"/>
          <w:szCs w:val="20"/>
        </w:rPr>
        <w:lastRenderedPageBreak/>
        <w:t>strawberry array, and the Citrus 90K Axiom chip</w:t>
      </w:r>
      <w:r w:rsidR="005856F9" w:rsidRPr="005F3664">
        <w:rPr>
          <w:rFonts w:ascii="Arial" w:hAnsi="Arial" w:cs="Arial"/>
          <w:sz w:val="20"/>
          <w:szCs w:val="20"/>
        </w:rPr>
        <w:t>-</w:t>
      </w:r>
      <w:r w:rsidRPr="005F3664">
        <w:rPr>
          <w:rFonts w:ascii="Arial" w:hAnsi="Arial" w:cs="Arial"/>
          <w:sz w:val="20"/>
          <w:szCs w:val="20"/>
        </w:rPr>
        <w:t>provide genome-wide marker densities adequate for genome-wide association studies (GWAS), genomic selection, and high-resolution QTL mapping.</w:t>
      </w:r>
    </w:p>
    <w:p w14:paraId="2AC9FED2" w14:textId="624C8E22" w:rsidR="00CE4171" w:rsidRPr="005F3664" w:rsidRDefault="00CE4171" w:rsidP="00E53B33">
      <w:pPr>
        <w:spacing w:line="240" w:lineRule="auto"/>
        <w:jc w:val="both"/>
        <w:rPr>
          <w:rFonts w:ascii="Arial" w:hAnsi="Arial" w:cs="Arial"/>
          <w:sz w:val="20"/>
          <w:szCs w:val="20"/>
        </w:rPr>
      </w:pPr>
      <w:r w:rsidRPr="005F3664">
        <w:rPr>
          <w:rFonts w:ascii="Arial" w:hAnsi="Arial" w:cs="Arial"/>
          <w:sz w:val="20"/>
          <w:szCs w:val="20"/>
        </w:rPr>
        <w:t>For species lacking dedicated commercial SNP arrays, genotyping-by-sequencing (GBS) and restriction-site associated DNA sequencing (</w:t>
      </w:r>
      <w:proofErr w:type="spellStart"/>
      <w:r w:rsidRPr="005F3664">
        <w:rPr>
          <w:rFonts w:ascii="Arial" w:hAnsi="Arial" w:cs="Arial"/>
          <w:sz w:val="20"/>
          <w:szCs w:val="20"/>
        </w:rPr>
        <w:t>RADseq</w:t>
      </w:r>
      <w:proofErr w:type="spellEnd"/>
      <w:r w:rsidRPr="005F3664">
        <w:rPr>
          <w:rFonts w:ascii="Arial" w:hAnsi="Arial" w:cs="Arial"/>
          <w:sz w:val="20"/>
          <w:szCs w:val="20"/>
        </w:rPr>
        <w:t>) provide flexible and cost-efficient alternatives, typically generating between 5,000 and 50,000 informative SNP markers per sample. These approaches have been particularly instrumental in facilitating molecular breeding efforts in minor horticultural crops and genetically diverse germplasm collections where development of commercial SNP platforms is economically impractical.</w:t>
      </w:r>
    </w:p>
    <w:p w14:paraId="22417BBB" w14:textId="77777777" w:rsidR="00CE4171" w:rsidRPr="005F3664" w:rsidRDefault="00CE4171" w:rsidP="00E53B33">
      <w:pPr>
        <w:spacing w:line="240" w:lineRule="auto"/>
        <w:jc w:val="both"/>
        <w:rPr>
          <w:rFonts w:ascii="Arial" w:hAnsi="Arial" w:cs="Arial"/>
          <w:b/>
          <w:bCs/>
        </w:rPr>
      </w:pPr>
      <w:r w:rsidRPr="005F3664">
        <w:rPr>
          <w:rFonts w:ascii="Arial" w:hAnsi="Arial" w:cs="Arial"/>
          <w:b/>
          <w:bCs/>
        </w:rPr>
        <w:t>3.2 Marker-Assisted Selection and Backcrossing</w:t>
      </w:r>
    </w:p>
    <w:p w14:paraId="45348CAD" w14:textId="77777777" w:rsidR="00CE4171" w:rsidRPr="005F3664" w:rsidRDefault="00CE4171" w:rsidP="00E53B33">
      <w:pPr>
        <w:spacing w:line="240" w:lineRule="auto"/>
        <w:jc w:val="both"/>
        <w:rPr>
          <w:rFonts w:ascii="Arial" w:hAnsi="Arial" w:cs="Arial"/>
          <w:sz w:val="20"/>
          <w:szCs w:val="20"/>
        </w:rPr>
      </w:pPr>
      <w:r w:rsidRPr="005F3664">
        <w:rPr>
          <w:rFonts w:ascii="Arial" w:hAnsi="Arial" w:cs="Arial"/>
          <w:sz w:val="20"/>
          <w:szCs w:val="20"/>
        </w:rPr>
        <w:t xml:space="preserve">Marker-assisted selection (MAS) utilizes statistical linkages between molecular markers and target loci to enable indirect selection of individuals carrying desirable alleles without the need for direct phenotypic evaluation. This strategy is especially advantageous for traits that are difficult, </w:t>
      </w:r>
      <w:proofErr w:type="spellStart"/>
      <w:r w:rsidRPr="005F3664">
        <w:rPr>
          <w:rFonts w:ascii="Arial" w:hAnsi="Arial" w:cs="Arial"/>
          <w:sz w:val="20"/>
          <w:szCs w:val="20"/>
        </w:rPr>
        <w:t>labor-intensive</w:t>
      </w:r>
      <w:proofErr w:type="spellEnd"/>
      <w:r w:rsidRPr="005F3664">
        <w:rPr>
          <w:rFonts w:ascii="Arial" w:hAnsi="Arial" w:cs="Arial"/>
          <w:sz w:val="20"/>
          <w:szCs w:val="20"/>
        </w:rPr>
        <w:t xml:space="preserve">, or costly to measure, such as disease resistance requiring controlled pathogen inoculation, quality traits dependent on biochemical or chromatographic analysis, and root architecture traits necessitating destructive sampling. The effectiveness of MAS depends critically on the proximity between marker and target locus, with tightly linked markers (&lt; 5 </w:t>
      </w:r>
      <w:proofErr w:type="spellStart"/>
      <w:r w:rsidRPr="005F3664">
        <w:rPr>
          <w:rFonts w:ascii="Arial" w:hAnsi="Arial" w:cs="Arial"/>
          <w:sz w:val="20"/>
          <w:szCs w:val="20"/>
        </w:rPr>
        <w:t>cM</w:t>
      </w:r>
      <w:proofErr w:type="spellEnd"/>
      <w:r w:rsidRPr="005F3664">
        <w:rPr>
          <w:rFonts w:ascii="Arial" w:hAnsi="Arial" w:cs="Arial"/>
          <w:sz w:val="20"/>
          <w:szCs w:val="20"/>
        </w:rPr>
        <w:t>) or functional markers located within genes offering the highest accuracy and minimizing false-positive recombinants (Xu and Crouch, 2008).</w:t>
      </w:r>
    </w:p>
    <w:p w14:paraId="4D873F65" w14:textId="7E7925ED" w:rsidR="00CE4171" w:rsidRPr="005F3664" w:rsidRDefault="00CE4171" w:rsidP="00E53B33">
      <w:pPr>
        <w:spacing w:line="240" w:lineRule="auto"/>
        <w:jc w:val="both"/>
        <w:rPr>
          <w:rFonts w:ascii="Arial" w:hAnsi="Arial" w:cs="Arial"/>
          <w:sz w:val="24"/>
          <w:szCs w:val="24"/>
        </w:rPr>
      </w:pPr>
      <w:r w:rsidRPr="005F3664">
        <w:rPr>
          <w:rFonts w:ascii="Arial" w:hAnsi="Arial" w:cs="Arial"/>
          <w:sz w:val="20"/>
          <w:szCs w:val="20"/>
        </w:rPr>
        <w:t>Marker-assisted backcrossing (MABC) illustrates the substantial efficiency improvements achievable through molecular breeding. By combining foreground selection using markers flanking the target introgression segment with background selection employing genome-wide markers to accelerate recurrent parent genome recovery, MABC can reduce the number of required backcross generations from six or seven under conventional breeding to as few as two or three. This compression shortens introgression programs from approximately 12</w:t>
      </w:r>
      <w:r w:rsidR="00195BC2">
        <w:rPr>
          <w:rFonts w:ascii="Arial" w:hAnsi="Arial" w:cs="Arial"/>
          <w:sz w:val="20"/>
          <w:szCs w:val="20"/>
        </w:rPr>
        <w:t>-</w:t>
      </w:r>
      <w:r w:rsidRPr="005F3664">
        <w:rPr>
          <w:rFonts w:ascii="Arial" w:hAnsi="Arial" w:cs="Arial"/>
          <w:sz w:val="20"/>
          <w:szCs w:val="20"/>
        </w:rPr>
        <w:t>18 years to 4</w:t>
      </w:r>
      <w:r w:rsidR="00195BC2">
        <w:rPr>
          <w:rFonts w:ascii="Arial" w:hAnsi="Arial" w:cs="Arial"/>
          <w:sz w:val="20"/>
          <w:szCs w:val="20"/>
        </w:rPr>
        <w:t>-</w:t>
      </w:r>
      <w:r w:rsidRPr="005F3664">
        <w:rPr>
          <w:rFonts w:ascii="Arial" w:hAnsi="Arial" w:cs="Arial"/>
          <w:sz w:val="20"/>
          <w:szCs w:val="20"/>
        </w:rPr>
        <w:t>6 years (Hospital, 2005). In commercial tomato hybrid development, multiplex SNP genotyping targeting resistance loci such as Ty-1, Ty-3, Tm-2a, I-2, Mi-1, and others has become routine practice (Ji et al., 2007). Furthermore, gene pyramiding</w:t>
      </w:r>
      <w:r w:rsidR="005856F9" w:rsidRPr="005F3664">
        <w:rPr>
          <w:rFonts w:ascii="Arial" w:hAnsi="Arial" w:cs="Arial"/>
          <w:sz w:val="20"/>
          <w:szCs w:val="20"/>
        </w:rPr>
        <w:t>-</w:t>
      </w:r>
      <w:r w:rsidRPr="005F3664">
        <w:rPr>
          <w:rFonts w:ascii="Arial" w:hAnsi="Arial" w:cs="Arial"/>
          <w:sz w:val="20"/>
          <w:szCs w:val="20"/>
        </w:rPr>
        <w:t xml:space="preserve">the accumulation of multiple </w:t>
      </w:r>
      <w:proofErr w:type="spellStart"/>
      <w:r w:rsidRPr="005F3664">
        <w:rPr>
          <w:rFonts w:ascii="Arial" w:hAnsi="Arial" w:cs="Arial"/>
          <w:sz w:val="20"/>
          <w:szCs w:val="20"/>
        </w:rPr>
        <w:t>favorable</w:t>
      </w:r>
      <w:proofErr w:type="spellEnd"/>
      <w:r w:rsidRPr="005F3664">
        <w:rPr>
          <w:rFonts w:ascii="Arial" w:hAnsi="Arial" w:cs="Arial"/>
          <w:sz w:val="20"/>
          <w:szCs w:val="20"/>
        </w:rPr>
        <w:t xml:space="preserve"> alleles at distinct loci through sequential MABC cycles</w:t>
      </w:r>
      <w:r w:rsidR="005856F9" w:rsidRPr="005F3664">
        <w:rPr>
          <w:rFonts w:ascii="Arial" w:hAnsi="Arial" w:cs="Arial"/>
          <w:sz w:val="20"/>
          <w:szCs w:val="20"/>
        </w:rPr>
        <w:t>-</w:t>
      </w:r>
      <w:r w:rsidRPr="005F3664">
        <w:rPr>
          <w:rFonts w:ascii="Arial" w:hAnsi="Arial" w:cs="Arial"/>
          <w:sz w:val="20"/>
          <w:szCs w:val="20"/>
        </w:rPr>
        <w:t>has been successfully implemented for late blight resistance in potato by stacking Rpi-blb1, Rpi-blb2, Rpi-blb3, and Rpi-vnt1.1, resulting in enhanced durability and broad-spectrum resistance (Lindqvist-</w:t>
      </w:r>
      <w:proofErr w:type="spellStart"/>
      <w:r w:rsidRPr="005F3664">
        <w:rPr>
          <w:rFonts w:ascii="Arial" w:hAnsi="Arial" w:cs="Arial"/>
          <w:sz w:val="20"/>
          <w:szCs w:val="20"/>
        </w:rPr>
        <w:t>Kreuze</w:t>
      </w:r>
      <w:proofErr w:type="spellEnd"/>
      <w:r w:rsidRPr="005F3664">
        <w:rPr>
          <w:rFonts w:ascii="Arial" w:hAnsi="Arial" w:cs="Arial"/>
          <w:sz w:val="20"/>
          <w:szCs w:val="20"/>
        </w:rPr>
        <w:t xml:space="preserve"> et al., 2020).</w:t>
      </w:r>
    </w:p>
    <w:p w14:paraId="5897EFCA" w14:textId="3612186A" w:rsidR="00CE4171" w:rsidRPr="005F3664" w:rsidRDefault="00CE4171" w:rsidP="00E53B33">
      <w:pPr>
        <w:spacing w:line="240" w:lineRule="auto"/>
        <w:jc w:val="both"/>
        <w:rPr>
          <w:rFonts w:ascii="Arial" w:hAnsi="Arial" w:cs="Arial"/>
          <w:b/>
          <w:bCs/>
        </w:rPr>
      </w:pPr>
      <w:r w:rsidRPr="005F3664">
        <w:rPr>
          <w:rFonts w:ascii="Arial" w:hAnsi="Arial" w:cs="Arial"/>
          <w:b/>
          <w:bCs/>
        </w:rPr>
        <w:t>3.3 QTL Mapping and GWAS</w:t>
      </w:r>
    </w:p>
    <w:p w14:paraId="57D6FA03" w14:textId="7D504FB6" w:rsidR="00CE4171" w:rsidRPr="005F3664" w:rsidRDefault="00CE4171" w:rsidP="00E53B33">
      <w:pPr>
        <w:spacing w:line="240" w:lineRule="auto"/>
        <w:jc w:val="both"/>
        <w:rPr>
          <w:rFonts w:ascii="Arial" w:hAnsi="Arial" w:cs="Arial"/>
          <w:sz w:val="20"/>
          <w:szCs w:val="20"/>
        </w:rPr>
      </w:pPr>
      <w:r w:rsidRPr="005F3664">
        <w:rPr>
          <w:rFonts w:ascii="Arial" w:hAnsi="Arial" w:cs="Arial"/>
          <w:sz w:val="20"/>
          <w:szCs w:val="20"/>
        </w:rPr>
        <w:t xml:space="preserve">Quantitative trait locus (QTL) mapping identifies genomic regions associated with quantitative traits by </w:t>
      </w:r>
      <w:proofErr w:type="spellStart"/>
      <w:r w:rsidRPr="005F3664">
        <w:rPr>
          <w:rFonts w:ascii="Arial" w:hAnsi="Arial" w:cs="Arial"/>
          <w:sz w:val="20"/>
          <w:szCs w:val="20"/>
        </w:rPr>
        <w:t>analyzing</w:t>
      </w:r>
      <w:proofErr w:type="spellEnd"/>
      <w:r w:rsidRPr="005F3664">
        <w:rPr>
          <w:rFonts w:ascii="Arial" w:hAnsi="Arial" w:cs="Arial"/>
          <w:sz w:val="20"/>
          <w:szCs w:val="20"/>
        </w:rPr>
        <w:t xml:space="preserve"> statistical relationships between molecular markers and phenotypic variation in segregating populations. Common mapping populations include F</w:t>
      </w:r>
      <w:r w:rsidRPr="005F3664">
        <w:rPr>
          <w:rFonts w:ascii="Cambria Math" w:hAnsi="Cambria Math" w:cs="Cambria Math"/>
          <w:sz w:val="20"/>
          <w:szCs w:val="20"/>
        </w:rPr>
        <w:t>₂</w:t>
      </w:r>
      <w:r w:rsidRPr="005F3664">
        <w:rPr>
          <w:rFonts w:ascii="Arial" w:hAnsi="Arial" w:cs="Arial"/>
          <w:sz w:val="20"/>
          <w:szCs w:val="20"/>
        </w:rPr>
        <w:t xml:space="preserve">, backcross, recombinant inbred line (RIL), doubled haploid (DH), and near-isogenic line (NIL) populations, each differing in mapping resolution, statistical power, and practical applicability. In tomato, introgression line (IL) populations derived from </w:t>
      </w:r>
      <w:r w:rsidRPr="005F3664">
        <w:rPr>
          <w:rFonts w:ascii="Arial" w:hAnsi="Arial" w:cs="Arial"/>
          <w:i/>
          <w:iCs/>
          <w:sz w:val="20"/>
          <w:szCs w:val="20"/>
        </w:rPr>
        <w:t xml:space="preserve">Solanum </w:t>
      </w:r>
      <w:proofErr w:type="spellStart"/>
      <w:r w:rsidRPr="005F3664">
        <w:rPr>
          <w:rFonts w:ascii="Arial" w:hAnsi="Arial" w:cs="Arial"/>
          <w:i/>
          <w:iCs/>
          <w:sz w:val="20"/>
          <w:szCs w:val="20"/>
        </w:rPr>
        <w:t>pennellii</w:t>
      </w:r>
      <w:proofErr w:type="spellEnd"/>
      <w:r w:rsidRPr="005F3664">
        <w:rPr>
          <w:rFonts w:ascii="Arial" w:hAnsi="Arial" w:cs="Arial"/>
          <w:sz w:val="20"/>
          <w:szCs w:val="20"/>
        </w:rPr>
        <w:t xml:space="preserve"> have facilitated the identification and characterization of numerous QTLs governing traits such as fruit weight (fw2.2, fw3.2), fruit shape (sun, ovate, </w:t>
      </w:r>
      <w:proofErr w:type="spellStart"/>
      <w:r w:rsidRPr="005F3664">
        <w:rPr>
          <w:rFonts w:ascii="Arial" w:hAnsi="Arial" w:cs="Arial"/>
          <w:sz w:val="20"/>
          <w:szCs w:val="20"/>
        </w:rPr>
        <w:t>fas</w:t>
      </w:r>
      <w:proofErr w:type="spellEnd"/>
      <w:r w:rsidRPr="005F3664">
        <w:rPr>
          <w:rFonts w:ascii="Arial" w:hAnsi="Arial" w:cs="Arial"/>
          <w:sz w:val="20"/>
          <w:szCs w:val="20"/>
        </w:rPr>
        <w:t>), soluble solids (Brix9-2-5), lycopene content, pH, volatile compounds, and disease resistance. More recently, QTL-</w:t>
      </w:r>
      <w:proofErr w:type="spellStart"/>
      <w:r w:rsidRPr="005F3664">
        <w:rPr>
          <w:rFonts w:ascii="Arial" w:hAnsi="Arial" w:cs="Arial"/>
          <w:sz w:val="20"/>
          <w:szCs w:val="20"/>
        </w:rPr>
        <w:t>seq</w:t>
      </w:r>
      <w:proofErr w:type="spellEnd"/>
      <w:r w:rsidR="005856F9" w:rsidRPr="005F3664">
        <w:rPr>
          <w:rFonts w:ascii="Arial" w:hAnsi="Arial" w:cs="Arial"/>
          <w:sz w:val="20"/>
          <w:szCs w:val="20"/>
        </w:rPr>
        <w:t>-</w:t>
      </w:r>
      <w:r w:rsidRPr="005F3664">
        <w:rPr>
          <w:rFonts w:ascii="Arial" w:hAnsi="Arial" w:cs="Arial"/>
          <w:sz w:val="20"/>
          <w:szCs w:val="20"/>
        </w:rPr>
        <w:t xml:space="preserve">combining bulk </w:t>
      </w:r>
      <w:proofErr w:type="spellStart"/>
      <w:r w:rsidRPr="005F3664">
        <w:rPr>
          <w:rFonts w:ascii="Arial" w:hAnsi="Arial" w:cs="Arial"/>
          <w:sz w:val="20"/>
          <w:szCs w:val="20"/>
        </w:rPr>
        <w:t>segregant</w:t>
      </w:r>
      <w:proofErr w:type="spellEnd"/>
      <w:r w:rsidRPr="005F3664">
        <w:rPr>
          <w:rFonts w:ascii="Arial" w:hAnsi="Arial" w:cs="Arial"/>
          <w:sz w:val="20"/>
          <w:szCs w:val="20"/>
        </w:rPr>
        <w:t xml:space="preserve"> analysis with whole-genome sequencing</w:t>
      </w:r>
      <w:r w:rsidR="005856F9" w:rsidRPr="005F3664">
        <w:rPr>
          <w:rFonts w:ascii="Arial" w:hAnsi="Arial" w:cs="Arial"/>
          <w:sz w:val="20"/>
          <w:szCs w:val="20"/>
        </w:rPr>
        <w:t>-</w:t>
      </w:r>
      <w:r w:rsidRPr="005F3664">
        <w:rPr>
          <w:rFonts w:ascii="Arial" w:hAnsi="Arial" w:cs="Arial"/>
          <w:sz w:val="20"/>
          <w:szCs w:val="20"/>
        </w:rPr>
        <w:t>has significantly accelerated fine-mapping by enabling genome-wide analysis from large F</w:t>
      </w:r>
      <w:r w:rsidRPr="005F3664">
        <w:rPr>
          <w:rFonts w:ascii="Cambria Math" w:hAnsi="Cambria Math" w:cs="Cambria Math"/>
          <w:sz w:val="20"/>
          <w:szCs w:val="20"/>
        </w:rPr>
        <w:t>₂</w:t>
      </w:r>
      <w:r w:rsidRPr="005F3664">
        <w:rPr>
          <w:rFonts w:ascii="Arial" w:hAnsi="Arial" w:cs="Arial"/>
          <w:sz w:val="20"/>
          <w:szCs w:val="20"/>
        </w:rPr>
        <w:t xml:space="preserve"> populations (Takagi et al., 2013).</w:t>
      </w:r>
    </w:p>
    <w:p w14:paraId="208ED542" w14:textId="407F0593" w:rsidR="00CE4171" w:rsidRPr="005F3664" w:rsidRDefault="00CE4171" w:rsidP="00E53B33">
      <w:pPr>
        <w:spacing w:line="240" w:lineRule="auto"/>
        <w:jc w:val="both"/>
        <w:rPr>
          <w:rFonts w:ascii="Arial" w:hAnsi="Arial" w:cs="Arial"/>
          <w:sz w:val="20"/>
          <w:szCs w:val="20"/>
        </w:rPr>
      </w:pPr>
      <w:r w:rsidRPr="005F3664">
        <w:rPr>
          <w:rFonts w:ascii="Arial" w:hAnsi="Arial" w:cs="Arial"/>
          <w:sz w:val="20"/>
          <w:szCs w:val="20"/>
        </w:rPr>
        <w:t xml:space="preserve">Genome-wide association studies (GWAS) leverage historical recombination events accumulated across diverse germplasm panels to achieve finer mapping resolution than traditional bi-parental QTL populations, while simultaneously evaluating allele effects across multiple genetic backgrounds. Notable GWAS applications include the elucidation of tomato fruit volatile profiles to restore consumer-preferred </w:t>
      </w:r>
      <w:proofErr w:type="spellStart"/>
      <w:r w:rsidRPr="005F3664">
        <w:rPr>
          <w:rFonts w:ascii="Arial" w:hAnsi="Arial" w:cs="Arial"/>
          <w:sz w:val="20"/>
          <w:szCs w:val="20"/>
        </w:rPr>
        <w:t>flavor</w:t>
      </w:r>
      <w:proofErr w:type="spellEnd"/>
      <w:r w:rsidRPr="005F3664">
        <w:rPr>
          <w:rFonts w:ascii="Arial" w:hAnsi="Arial" w:cs="Arial"/>
          <w:sz w:val="20"/>
          <w:szCs w:val="20"/>
        </w:rPr>
        <w:t xml:space="preserve"> traits diminished during commercial breeding (Tieman et al., 2017), identification of loci associated with late blight resistance and processing quality in tetraploid potato (Lindqvist-</w:t>
      </w:r>
      <w:proofErr w:type="spellStart"/>
      <w:r w:rsidRPr="005F3664">
        <w:rPr>
          <w:rFonts w:ascii="Arial" w:hAnsi="Arial" w:cs="Arial"/>
          <w:sz w:val="20"/>
          <w:szCs w:val="20"/>
        </w:rPr>
        <w:t>Kreuze</w:t>
      </w:r>
      <w:proofErr w:type="spellEnd"/>
      <w:r w:rsidRPr="005F3664">
        <w:rPr>
          <w:rFonts w:ascii="Arial" w:hAnsi="Arial" w:cs="Arial"/>
          <w:sz w:val="20"/>
          <w:szCs w:val="20"/>
        </w:rPr>
        <w:t xml:space="preserve"> et al., 2020), and characterization of fruit quality and disease resistance architecture in octoploid strawberry (Whitaker et al., 2020).</w:t>
      </w:r>
    </w:p>
    <w:p w14:paraId="229813E1" w14:textId="77777777" w:rsidR="00CE4171" w:rsidRPr="005F3664" w:rsidRDefault="00CE4171" w:rsidP="00E53B33">
      <w:pPr>
        <w:spacing w:line="240" w:lineRule="auto"/>
        <w:jc w:val="both"/>
        <w:rPr>
          <w:rFonts w:ascii="Arial" w:hAnsi="Arial" w:cs="Arial"/>
          <w:b/>
          <w:bCs/>
        </w:rPr>
      </w:pPr>
      <w:r w:rsidRPr="005F3664">
        <w:rPr>
          <w:rFonts w:ascii="Arial" w:hAnsi="Arial" w:cs="Arial"/>
          <w:b/>
          <w:bCs/>
        </w:rPr>
        <w:t>3.4 Genomic Selection</w:t>
      </w:r>
    </w:p>
    <w:p w14:paraId="3F3F5C7B" w14:textId="77777777" w:rsidR="00CE4171" w:rsidRPr="005F3664" w:rsidRDefault="00CE4171" w:rsidP="00E53B33">
      <w:pPr>
        <w:spacing w:line="240" w:lineRule="auto"/>
        <w:jc w:val="both"/>
        <w:rPr>
          <w:rFonts w:ascii="Arial" w:hAnsi="Arial" w:cs="Arial"/>
          <w:sz w:val="20"/>
          <w:szCs w:val="20"/>
        </w:rPr>
      </w:pPr>
      <w:r w:rsidRPr="005F3664">
        <w:rPr>
          <w:rFonts w:ascii="Arial" w:hAnsi="Arial" w:cs="Arial"/>
          <w:sz w:val="20"/>
          <w:szCs w:val="20"/>
        </w:rPr>
        <w:t xml:space="preserve">Genomic selection (GS), originally proposed by Meuwissen et al. (2001) for livestock improvement, employs genome-wide marker information from a genotyped and </w:t>
      </w:r>
      <w:proofErr w:type="spellStart"/>
      <w:r w:rsidRPr="005F3664">
        <w:rPr>
          <w:rFonts w:ascii="Arial" w:hAnsi="Arial" w:cs="Arial"/>
          <w:sz w:val="20"/>
          <w:szCs w:val="20"/>
        </w:rPr>
        <w:t>phenotyped</w:t>
      </w:r>
      <w:proofErr w:type="spellEnd"/>
      <w:r w:rsidRPr="005F3664">
        <w:rPr>
          <w:rFonts w:ascii="Arial" w:hAnsi="Arial" w:cs="Arial"/>
          <w:sz w:val="20"/>
          <w:szCs w:val="20"/>
        </w:rPr>
        <w:t xml:space="preserve"> reference (training) population to develop statistical prediction models that estimate genome-wide marker effects simultaneously. These models generate genome-estimated breeding values (GEBVs) for candidate individuals without direct phenotypic assessment.</w:t>
      </w:r>
    </w:p>
    <w:p w14:paraId="57AEBD36" w14:textId="0EF33968" w:rsidR="00831536" w:rsidRPr="005F3664" w:rsidRDefault="00CE4171" w:rsidP="00E53B33">
      <w:pPr>
        <w:spacing w:line="240" w:lineRule="auto"/>
        <w:jc w:val="both"/>
        <w:rPr>
          <w:rFonts w:ascii="Arial" w:hAnsi="Arial" w:cs="Arial"/>
          <w:sz w:val="20"/>
          <w:szCs w:val="20"/>
        </w:rPr>
      </w:pPr>
      <w:r w:rsidRPr="005F3664">
        <w:rPr>
          <w:rFonts w:ascii="Arial" w:hAnsi="Arial" w:cs="Arial"/>
          <w:sz w:val="20"/>
          <w:szCs w:val="20"/>
        </w:rPr>
        <w:lastRenderedPageBreak/>
        <w:t>Unlike single-marker MAS, GS captures the cumulative contribution of all marker-trait associations, including those below individual significance thresholds, thereby enabling more accurate prediction of highly polygenic traits governed by numerous loci with small effects. Prediction accuracies ranging from 0.60 to 0.85 have been reported for fruit quality traits in apple (Kumar et al., 2012), as well as for disease resistance and processing quality in potato and post-harvest firmness in strawberry (Whitaker et al., 2020). A major practical advantage of GS lies in its ability to shorten breeding cycles by facilitating early selection prior to extensive field evaluation</w:t>
      </w:r>
      <w:r w:rsidR="005856F9" w:rsidRPr="005F3664">
        <w:rPr>
          <w:rFonts w:ascii="Arial" w:hAnsi="Arial" w:cs="Arial"/>
          <w:sz w:val="20"/>
          <w:szCs w:val="20"/>
        </w:rPr>
        <w:t>-</w:t>
      </w:r>
      <w:r w:rsidRPr="005F3664">
        <w:rPr>
          <w:rFonts w:ascii="Arial" w:hAnsi="Arial" w:cs="Arial"/>
          <w:sz w:val="20"/>
          <w:szCs w:val="20"/>
        </w:rPr>
        <w:t>a particularly transformative benefit for perennial fruit crops requiring multi-year testing. Increasingly, machine learning algorithms such as random forests, support vector machines, and deep neural networks are being investigated to model non-linear genetic architectures within GS frameworks (Crossa et al., 2017).</w:t>
      </w:r>
    </w:p>
    <w:p w14:paraId="22592FC4" w14:textId="2AFD6F97" w:rsidR="00CE4171" w:rsidRPr="005F3664" w:rsidRDefault="00CE4171" w:rsidP="00E53B33">
      <w:pPr>
        <w:spacing w:line="240" w:lineRule="auto"/>
        <w:jc w:val="both"/>
        <w:rPr>
          <w:rFonts w:ascii="Arial" w:hAnsi="Arial" w:cs="Arial"/>
        </w:rPr>
      </w:pPr>
      <w:r w:rsidRPr="005F3664">
        <w:rPr>
          <w:rFonts w:ascii="Arial" w:hAnsi="Arial" w:cs="Arial"/>
          <w:b/>
          <w:bCs/>
        </w:rPr>
        <w:t>4. Genomics and Omics-Assisted Breeding</w:t>
      </w:r>
    </w:p>
    <w:p w14:paraId="528A3065" w14:textId="77777777" w:rsidR="00CE4171" w:rsidRPr="005F3664" w:rsidRDefault="00CE4171" w:rsidP="00E53B33">
      <w:pPr>
        <w:spacing w:line="240" w:lineRule="auto"/>
        <w:jc w:val="both"/>
        <w:rPr>
          <w:rFonts w:ascii="Arial" w:hAnsi="Arial" w:cs="Arial"/>
          <w:b/>
          <w:bCs/>
        </w:rPr>
      </w:pPr>
      <w:r w:rsidRPr="005F3664">
        <w:rPr>
          <w:rFonts w:ascii="Arial" w:hAnsi="Arial" w:cs="Arial"/>
          <w:b/>
          <w:bCs/>
        </w:rPr>
        <w:t>4.1 Reference Genomes and Pan-Genomics</w:t>
      </w:r>
    </w:p>
    <w:p w14:paraId="1A6F6364" w14:textId="77777777" w:rsidR="00CE4171" w:rsidRPr="005F3664" w:rsidRDefault="00CE4171" w:rsidP="00E53B33">
      <w:pPr>
        <w:spacing w:line="240" w:lineRule="auto"/>
        <w:jc w:val="both"/>
        <w:rPr>
          <w:rFonts w:ascii="Arial" w:hAnsi="Arial" w:cs="Arial"/>
          <w:sz w:val="20"/>
          <w:szCs w:val="20"/>
        </w:rPr>
      </w:pPr>
      <w:r w:rsidRPr="005F3664">
        <w:rPr>
          <w:rFonts w:ascii="Arial" w:hAnsi="Arial" w:cs="Arial"/>
          <w:sz w:val="20"/>
          <w:szCs w:val="20"/>
        </w:rPr>
        <w:t xml:space="preserve">The release of high-quality reference genome assemblies for major horticultural crops has profoundly reshaped breeding research by providing a structural framework for marker positioning, candidate gene discovery, comparative genomic analyses, and functional annotation. Notable genome assemblies include tomato (950 Mb; Tomato Genome Consortium, 2012), potato (844 Mb; Potato Genome Sequencing Consortium, 2011), grape (487 Mb; </w:t>
      </w:r>
      <w:proofErr w:type="spellStart"/>
      <w:r w:rsidRPr="005F3664">
        <w:rPr>
          <w:rFonts w:ascii="Arial" w:hAnsi="Arial" w:cs="Arial"/>
          <w:sz w:val="20"/>
          <w:szCs w:val="20"/>
        </w:rPr>
        <w:t>Jaillon</w:t>
      </w:r>
      <w:proofErr w:type="spellEnd"/>
      <w:r w:rsidRPr="005F3664">
        <w:rPr>
          <w:rFonts w:ascii="Arial" w:hAnsi="Arial" w:cs="Arial"/>
          <w:sz w:val="20"/>
          <w:szCs w:val="20"/>
        </w:rPr>
        <w:t xml:space="preserve"> et al., 2007), strawberry (813 Mb; </w:t>
      </w:r>
      <w:proofErr w:type="spellStart"/>
      <w:r w:rsidRPr="005F3664">
        <w:rPr>
          <w:rFonts w:ascii="Arial" w:hAnsi="Arial" w:cs="Arial"/>
          <w:sz w:val="20"/>
          <w:szCs w:val="20"/>
        </w:rPr>
        <w:t>Shulaev</w:t>
      </w:r>
      <w:proofErr w:type="spellEnd"/>
      <w:r w:rsidRPr="005F3664">
        <w:rPr>
          <w:rFonts w:ascii="Arial" w:hAnsi="Arial" w:cs="Arial"/>
          <w:sz w:val="20"/>
          <w:szCs w:val="20"/>
        </w:rPr>
        <w:t xml:space="preserve"> et al., 2011), banana (523 Mb; </w:t>
      </w:r>
      <w:proofErr w:type="spellStart"/>
      <w:r w:rsidRPr="005F3664">
        <w:rPr>
          <w:rFonts w:ascii="Arial" w:hAnsi="Arial" w:cs="Arial"/>
          <w:sz w:val="20"/>
          <w:szCs w:val="20"/>
        </w:rPr>
        <w:t>DHont</w:t>
      </w:r>
      <w:proofErr w:type="spellEnd"/>
      <w:r w:rsidRPr="005F3664">
        <w:rPr>
          <w:rFonts w:ascii="Arial" w:hAnsi="Arial" w:cs="Arial"/>
          <w:sz w:val="20"/>
          <w:szCs w:val="20"/>
        </w:rPr>
        <w:t xml:space="preserve"> et al., 2012), and citrus (367 Mb; Xu et al., 2013). Advances in third-generation long-read sequencing technologies, such as PacBio HiFi and Oxford Nanopore platforms, are now facilitating near-complete, chromosome-scale, gap-minimized assemblies, even for species historically difficult to assemble due to high repetitive content or complex polyploid genomes.</w:t>
      </w:r>
    </w:p>
    <w:p w14:paraId="6E5AB4FE" w14:textId="4052276A" w:rsidR="00CE4171" w:rsidRPr="005F3664" w:rsidRDefault="00CE4171" w:rsidP="00E53B33">
      <w:pPr>
        <w:spacing w:line="240" w:lineRule="auto"/>
        <w:jc w:val="both"/>
        <w:rPr>
          <w:rFonts w:ascii="Arial" w:hAnsi="Arial" w:cs="Arial"/>
          <w:sz w:val="20"/>
          <w:szCs w:val="20"/>
        </w:rPr>
      </w:pPr>
      <w:r w:rsidRPr="005F3664">
        <w:rPr>
          <w:rFonts w:ascii="Arial" w:hAnsi="Arial" w:cs="Arial"/>
          <w:sz w:val="20"/>
          <w:szCs w:val="20"/>
        </w:rPr>
        <w:t xml:space="preserve">Pan-genomics extends beyond the single-reference genome paradigm by encompassing the full spectrum of genomic diversity within a species or gene pool. This framework distinguishes between the core genome, shared across all accessions, and the dispensable genome, comprising sequences present only in subsets of genotypes. The tomato pan-genome constructed from 725 diverse accessions uncovered more than 4,800 genes absent from the conventional reference genome, including a novel </w:t>
      </w:r>
      <w:proofErr w:type="spellStart"/>
      <w:r w:rsidRPr="005F3664">
        <w:rPr>
          <w:rFonts w:ascii="Arial" w:hAnsi="Arial" w:cs="Arial"/>
          <w:i/>
          <w:iCs/>
          <w:sz w:val="20"/>
          <w:szCs w:val="20"/>
        </w:rPr>
        <w:t>TomLoxC</w:t>
      </w:r>
      <w:proofErr w:type="spellEnd"/>
      <w:r w:rsidRPr="005F3664">
        <w:rPr>
          <w:rFonts w:ascii="Arial" w:hAnsi="Arial" w:cs="Arial"/>
          <w:sz w:val="20"/>
          <w:szCs w:val="20"/>
        </w:rPr>
        <w:t xml:space="preserve"> allele influencing key aroma volatile production and a rare variant at the </w:t>
      </w:r>
      <w:r w:rsidRPr="005F3664">
        <w:rPr>
          <w:rFonts w:ascii="Arial" w:hAnsi="Arial" w:cs="Arial"/>
          <w:i/>
          <w:iCs/>
          <w:sz w:val="20"/>
          <w:szCs w:val="20"/>
        </w:rPr>
        <w:t>Brix9-2-5</w:t>
      </w:r>
      <w:r w:rsidRPr="005F3664">
        <w:rPr>
          <w:rFonts w:ascii="Arial" w:hAnsi="Arial" w:cs="Arial"/>
          <w:sz w:val="20"/>
          <w:szCs w:val="20"/>
        </w:rPr>
        <w:t xml:space="preserve"> locus associated with substantially increased soluble solids content (Gao et al., 2019). The development of pan-genomic resources in crops such as potato, banana, citrus, and pepper is expected to significantly enhance GWAS resolution, genomic selection accuracy, and candidate gene identification pipelines.</w:t>
      </w:r>
    </w:p>
    <w:p w14:paraId="28DE6185" w14:textId="2A2151B5" w:rsidR="00CE4171" w:rsidRPr="005F3664" w:rsidRDefault="00CE4171" w:rsidP="00E53B33">
      <w:pPr>
        <w:spacing w:line="240" w:lineRule="auto"/>
        <w:jc w:val="both"/>
        <w:rPr>
          <w:rFonts w:ascii="Arial" w:hAnsi="Arial" w:cs="Arial"/>
          <w:b/>
          <w:bCs/>
        </w:rPr>
      </w:pPr>
      <w:r w:rsidRPr="005F3664">
        <w:rPr>
          <w:rFonts w:ascii="Arial" w:hAnsi="Arial" w:cs="Arial"/>
          <w:b/>
          <w:bCs/>
        </w:rPr>
        <w:t>4.2 Transcriptomics, Proteomics, and Metabolomics</w:t>
      </w:r>
    </w:p>
    <w:p w14:paraId="764FFEDC" w14:textId="77777777" w:rsidR="00CE4171" w:rsidRPr="005F3664" w:rsidRDefault="00CE4171" w:rsidP="00E53B33">
      <w:pPr>
        <w:spacing w:line="240" w:lineRule="auto"/>
        <w:jc w:val="both"/>
        <w:rPr>
          <w:rFonts w:ascii="Arial" w:hAnsi="Arial" w:cs="Arial"/>
          <w:sz w:val="20"/>
          <w:szCs w:val="20"/>
        </w:rPr>
      </w:pPr>
      <w:r w:rsidRPr="005F3664">
        <w:rPr>
          <w:rFonts w:ascii="Arial" w:hAnsi="Arial" w:cs="Arial"/>
          <w:sz w:val="20"/>
          <w:szCs w:val="20"/>
        </w:rPr>
        <w:t>RNA sequencing (RNA-</w:t>
      </w:r>
      <w:proofErr w:type="spellStart"/>
      <w:r w:rsidRPr="005F3664">
        <w:rPr>
          <w:rFonts w:ascii="Arial" w:hAnsi="Arial" w:cs="Arial"/>
          <w:sz w:val="20"/>
          <w:szCs w:val="20"/>
        </w:rPr>
        <w:t>seq</w:t>
      </w:r>
      <w:proofErr w:type="spellEnd"/>
      <w:r w:rsidRPr="005F3664">
        <w:rPr>
          <w:rFonts w:ascii="Arial" w:hAnsi="Arial" w:cs="Arial"/>
          <w:sz w:val="20"/>
          <w:szCs w:val="20"/>
        </w:rPr>
        <w:t>) enables comprehensive profiling of transcriptomic activity across tissues, developmental stages, and environmental treatments, providing direct insight into gene expression dynamics underlying complex trait biology. In horticultural breeding, transcriptomic approaches have been applied to identify candidate genes within QTL regions, characterize molecular responses to abiotic stresses (e.g., drought, heat, salinity) and biotic challenges, and elucidate regulatory networks governing fruit ripening and quality development. Comparative transcriptome analyses between contrasting genotypes for disease resistance, post-harvest performance, and stress tolerance have yielded valuable candidate gene sets for downstream functional validation and marker development in crops such as tomato, citrus, mango, and banana (Gao et al., 2019).</w:t>
      </w:r>
    </w:p>
    <w:p w14:paraId="3CF68219" w14:textId="3622FDCC" w:rsidR="009C34BF" w:rsidRPr="005F3664" w:rsidRDefault="00CE4171" w:rsidP="00E53B33">
      <w:pPr>
        <w:spacing w:line="240" w:lineRule="auto"/>
        <w:jc w:val="both"/>
        <w:rPr>
          <w:rFonts w:ascii="Arial" w:hAnsi="Arial" w:cs="Arial"/>
          <w:sz w:val="20"/>
          <w:szCs w:val="20"/>
        </w:rPr>
      </w:pPr>
      <w:r w:rsidRPr="005F3664">
        <w:rPr>
          <w:rFonts w:ascii="Arial" w:hAnsi="Arial" w:cs="Arial"/>
          <w:sz w:val="20"/>
          <w:szCs w:val="20"/>
        </w:rPr>
        <w:t xml:space="preserve">Metabolomics, defined as the comprehensive analysis of low-molecular-weight metabolites, has proven particularly impactful for dissecting fruit quality traits, as sensory attributes such as </w:t>
      </w:r>
      <w:proofErr w:type="spellStart"/>
      <w:r w:rsidRPr="005F3664">
        <w:rPr>
          <w:rFonts w:ascii="Arial" w:hAnsi="Arial" w:cs="Arial"/>
          <w:sz w:val="20"/>
          <w:szCs w:val="20"/>
        </w:rPr>
        <w:t>flavor</w:t>
      </w:r>
      <w:proofErr w:type="spellEnd"/>
      <w:r w:rsidRPr="005F3664">
        <w:rPr>
          <w:rFonts w:ascii="Arial" w:hAnsi="Arial" w:cs="Arial"/>
          <w:sz w:val="20"/>
          <w:szCs w:val="20"/>
        </w:rPr>
        <w:t xml:space="preserve">, aroma, </w:t>
      </w:r>
      <w:proofErr w:type="spellStart"/>
      <w:r w:rsidRPr="005F3664">
        <w:rPr>
          <w:rFonts w:ascii="Arial" w:hAnsi="Arial" w:cs="Arial"/>
          <w:sz w:val="20"/>
          <w:szCs w:val="20"/>
        </w:rPr>
        <w:t>color</w:t>
      </w:r>
      <w:proofErr w:type="spellEnd"/>
      <w:r w:rsidRPr="005F3664">
        <w:rPr>
          <w:rFonts w:ascii="Arial" w:hAnsi="Arial" w:cs="Arial"/>
          <w:sz w:val="20"/>
          <w:szCs w:val="20"/>
        </w:rPr>
        <w:t>, and nutritional value are largely determined by specific metabolite compositions. The integration of metabolomic profiling with GWAS approaches</w:t>
      </w:r>
      <w:r w:rsidR="005856F9" w:rsidRPr="005F3664">
        <w:rPr>
          <w:rFonts w:ascii="Arial" w:hAnsi="Arial" w:cs="Arial"/>
          <w:sz w:val="20"/>
          <w:szCs w:val="20"/>
        </w:rPr>
        <w:t>-</w:t>
      </w:r>
      <w:r w:rsidRPr="005F3664">
        <w:rPr>
          <w:rFonts w:ascii="Arial" w:hAnsi="Arial" w:cs="Arial"/>
          <w:sz w:val="20"/>
          <w:szCs w:val="20"/>
        </w:rPr>
        <w:t>often termed metabolome-QTL (</w:t>
      </w:r>
      <w:proofErr w:type="spellStart"/>
      <w:r w:rsidRPr="005F3664">
        <w:rPr>
          <w:rFonts w:ascii="Arial" w:hAnsi="Arial" w:cs="Arial"/>
          <w:sz w:val="20"/>
          <w:szCs w:val="20"/>
        </w:rPr>
        <w:t>mQTL</w:t>
      </w:r>
      <w:proofErr w:type="spellEnd"/>
      <w:r w:rsidRPr="005F3664">
        <w:rPr>
          <w:rFonts w:ascii="Arial" w:hAnsi="Arial" w:cs="Arial"/>
          <w:sz w:val="20"/>
          <w:szCs w:val="20"/>
        </w:rPr>
        <w:t>) or metabolome-wide association studies (</w:t>
      </w:r>
      <w:proofErr w:type="spellStart"/>
      <w:r w:rsidRPr="005F3664">
        <w:rPr>
          <w:rFonts w:ascii="Arial" w:hAnsi="Arial" w:cs="Arial"/>
          <w:sz w:val="20"/>
          <w:szCs w:val="20"/>
        </w:rPr>
        <w:t>mGWAS</w:t>
      </w:r>
      <w:proofErr w:type="spellEnd"/>
      <w:r w:rsidRPr="005F3664">
        <w:rPr>
          <w:rFonts w:ascii="Arial" w:hAnsi="Arial" w:cs="Arial"/>
          <w:sz w:val="20"/>
          <w:szCs w:val="20"/>
        </w:rPr>
        <w:t>)</w:t>
      </w:r>
      <w:r w:rsidR="005856F9" w:rsidRPr="005F3664">
        <w:rPr>
          <w:rFonts w:ascii="Arial" w:hAnsi="Arial" w:cs="Arial"/>
          <w:sz w:val="20"/>
          <w:szCs w:val="20"/>
        </w:rPr>
        <w:t>-</w:t>
      </w:r>
      <w:r w:rsidRPr="005F3664">
        <w:rPr>
          <w:rFonts w:ascii="Arial" w:hAnsi="Arial" w:cs="Arial"/>
          <w:sz w:val="20"/>
          <w:szCs w:val="20"/>
        </w:rPr>
        <w:t>has enabled identification of genomic loci controlling the accumulation of key volatiles, carotenoids, flavonoids, and glucosinolates in crops including tomato, grape, brassica, and citrus. These studies provide precise molecular targets for breeding programs aimed at enhancing quality attributes (Tieman et al., 2017).</w:t>
      </w:r>
    </w:p>
    <w:p w14:paraId="34B8042B" w14:textId="55807ADE" w:rsidR="00CE4171" w:rsidRPr="005F3664" w:rsidRDefault="00CE4171" w:rsidP="00E53B33">
      <w:pPr>
        <w:spacing w:line="240" w:lineRule="auto"/>
        <w:jc w:val="both"/>
        <w:rPr>
          <w:rFonts w:ascii="Arial" w:hAnsi="Arial" w:cs="Arial"/>
          <w:b/>
          <w:bCs/>
        </w:rPr>
      </w:pPr>
      <w:r w:rsidRPr="005F3664">
        <w:rPr>
          <w:rFonts w:ascii="Arial" w:hAnsi="Arial" w:cs="Arial"/>
          <w:b/>
          <w:bCs/>
        </w:rPr>
        <w:t>4.3 Speed Breeding and High-Throughput Phenotyping</w:t>
      </w:r>
    </w:p>
    <w:p w14:paraId="1284A503" w14:textId="4FC3BD44" w:rsidR="00CE4171" w:rsidRPr="005F3664" w:rsidRDefault="00CE4171" w:rsidP="00E53B33">
      <w:pPr>
        <w:spacing w:line="240" w:lineRule="auto"/>
        <w:jc w:val="both"/>
        <w:rPr>
          <w:rFonts w:ascii="Arial" w:hAnsi="Arial" w:cs="Arial"/>
          <w:sz w:val="20"/>
          <w:szCs w:val="20"/>
        </w:rPr>
      </w:pPr>
      <w:r w:rsidRPr="005F3664">
        <w:rPr>
          <w:rFonts w:ascii="Arial" w:hAnsi="Arial" w:cs="Arial"/>
          <w:sz w:val="20"/>
          <w:szCs w:val="20"/>
        </w:rPr>
        <w:t>Speed breeding, achieved through optimization of photoperiod regimes, LED light spectra, temperature, and humidity conditions, has demonstrated substantial reductions in generation time. In tomato, generation cycles have been shortened from approximately 85</w:t>
      </w:r>
      <w:r w:rsidR="00195BC2">
        <w:rPr>
          <w:rFonts w:ascii="Arial" w:hAnsi="Arial" w:cs="Arial"/>
          <w:sz w:val="20"/>
          <w:szCs w:val="20"/>
        </w:rPr>
        <w:t>-</w:t>
      </w:r>
      <w:r w:rsidRPr="005F3664">
        <w:rPr>
          <w:rFonts w:ascii="Arial" w:hAnsi="Arial" w:cs="Arial"/>
          <w:sz w:val="20"/>
          <w:szCs w:val="20"/>
        </w:rPr>
        <w:t>105 days to 42</w:t>
      </w:r>
      <w:r w:rsidR="00195BC2">
        <w:rPr>
          <w:rFonts w:ascii="Arial" w:hAnsi="Arial" w:cs="Arial"/>
          <w:sz w:val="20"/>
          <w:szCs w:val="20"/>
        </w:rPr>
        <w:t>-</w:t>
      </w:r>
      <w:r w:rsidRPr="005F3664">
        <w:rPr>
          <w:rFonts w:ascii="Arial" w:hAnsi="Arial" w:cs="Arial"/>
          <w:sz w:val="20"/>
          <w:szCs w:val="20"/>
        </w:rPr>
        <w:t xml:space="preserve">60 days, enabling up to six generations annually compared with the conventional one to two (Watson et al., 2018). When </w:t>
      </w:r>
      <w:r w:rsidRPr="005F3664">
        <w:rPr>
          <w:rFonts w:ascii="Arial" w:hAnsi="Arial" w:cs="Arial"/>
          <w:sz w:val="20"/>
          <w:szCs w:val="20"/>
        </w:rPr>
        <w:lastRenderedPageBreak/>
        <w:t>combined with genomic selection for early-stage selection decisions and doubled haploid technologies for rapid line fixation, speed breeding can produce three- to five-fold increases in genetic gain per unit time.</w:t>
      </w:r>
    </w:p>
    <w:p w14:paraId="546BDAA9" w14:textId="56485FEC" w:rsidR="00EE50DD" w:rsidRPr="005F3664" w:rsidRDefault="00CE4171" w:rsidP="00E53B33">
      <w:pPr>
        <w:spacing w:line="240" w:lineRule="auto"/>
        <w:jc w:val="both"/>
        <w:rPr>
          <w:rFonts w:ascii="Arial" w:hAnsi="Arial" w:cs="Arial"/>
          <w:sz w:val="20"/>
          <w:szCs w:val="20"/>
        </w:rPr>
      </w:pPr>
      <w:r w:rsidRPr="005F3664">
        <w:rPr>
          <w:rFonts w:ascii="Arial" w:hAnsi="Arial" w:cs="Arial"/>
          <w:sz w:val="20"/>
          <w:szCs w:val="20"/>
        </w:rPr>
        <w:t>High-throughput phenotyping (HTP) technologies address the longstanding phenotyping bottleneck limiting the full implementation of genomic selection. Platforms incorporating RGB imaging, multispectral and hyperspectral sensors, LiDAR, thermal infrared imaging, and unmanned aerial vehicles (UAVs), integrated with machine vision and deep learning algorithms for automated trait extraction, enable rapid and precise phenotypic data acquisition at scale (Araus et al., 2018). The convergence of HTP with genomic tools is central to accelerating breeding cycles and enhancing predictive breeding accuracy in horticultural crops.</w:t>
      </w:r>
    </w:p>
    <w:p w14:paraId="020EFF39" w14:textId="77777777" w:rsidR="00BA458F" w:rsidRPr="005F3664" w:rsidRDefault="00BA458F" w:rsidP="00E53B33">
      <w:pPr>
        <w:spacing w:line="240" w:lineRule="auto"/>
        <w:jc w:val="both"/>
        <w:rPr>
          <w:rFonts w:ascii="Arial" w:hAnsi="Arial" w:cs="Arial"/>
          <w:b/>
          <w:bCs/>
          <w:sz w:val="24"/>
          <w:szCs w:val="24"/>
        </w:rPr>
      </w:pPr>
    </w:p>
    <w:p w14:paraId="3F17B169" w14:textId="5FA618B7" w:rsidR="0051097E" w:rsidRPr="005F3664" w:rsidRDefault="00EE50DD" w:rsidP="00E53B33">
      <w:pPr>
        <w:spacing w:line="240" w:lineRule="auto"/>
        <w:jc w:val="both"/>
        <w:rPr>
          <w:rFonts w:ascii="Arial" w:hAnsi="Arial" w:cs="Arial"/>
          <w:b/>
          <w:bCs/>
          <w:sz w:val="24"/>
          <w:szCs w:val="24"/>
        </w:rPr>
      </w:pPr>
      <w:r w:rsidRPr="005F3664">
        <w:rPr>
          <w:rFonts w:ascii="Arial" w:hAnsi="Arial" w:cs="Arial"/>
          <w:b/>
          <w:bCs/>
          <w:sz w:val="24"/>
          <w:szCs w:val="24"/>
        </w:rPr>
        <w:t>Table 1. Key Horticultural Crops: Conventional and Molecular/Genomic Breeding Achievements</w:t>
      </w:r>
    </w:p>
    <w:tbl>
      <w:tblPr>
        <w:tblStyle w:val="TableGridLight"/>
        <w:tblW w:w="9360" w:type="dxa"/>
        <w:tblLook w:val="0000" w:firstRow="0" w:lastRow="0" w:firstColumn="0" w:lastColumn="0" w:noHBand="0" w:noVBand="0"/>
      </w:tblPr>
      <w:tblGrid>
        <w:gridCol w:w="1450"/>
        <w:gridCol w:w="1673"/>
        <w:gridCol w:w="1900"/>
        <w:gridCol w:w="2061"/>
        <w:gridCol w:w="2276"/>
      </w:tblGrid>
      <w:tr w:rsidR="003876C2" w:rsidRPr="005F3664" w14:paraId="63CCFCE7" w14:textId="77777777" w:rsidTr="003876C2">
        <w:tc>
          <w:tcPr>
            <w:tcW w:w="1200" w:type="dxa"/>
          </w:tcPr>
          <w:p w14:paraId="595EC27D" w14:textId="77777777" w:rsidR="003876C2" w:rsidRPr="005F3664" w:rsidRDefault="003876C2" w:rsidP="00E53B33">
            <w:pPr>
              <w:jc w:val="center"/>
              <w:rPr>
                <w:rFonts w:ascii="Arial" w:eastAsia="Times New Roman" w:hAnsi="Arial" w:cs="Arial"/>
                <w:color w:val="000000" w:themeColor="text1"/>
                <w:sz w:val="20"/>
                <w:szCs w:val="20"/>
                <w:lang w:eastAsia="en-IN"/>
              </w:rPr>
            </w:pPr>
            <w:r w:rsidRPr="005F3664">
              <w:rPr>
                <w:rFonts w:ascii="Arial" w:eastAsia="Times New Roman" w:hAnsi="Arial" w:cs="Arial"/>
                <w:b/>
                <w:bCs/>
                <w:color w:val="000000" w:themeColor="text1"/>
                <w:sz w:val="20"/>
                <w:szCs w:val="20"/>
                <w:lang w:eastAsia="en-IN"/>
              </w:rPr>
              <w:t>Crop</w:t>
            </w:r>
          </w:p>
        </w:tc>
        <w:tc>
          <w:tcPr>
            <w:tcW w:w="1400" w:type="dxa"/>
          </w:tcPr>
          <w:p w14:paraId="235821E9" w14:textId="77777777" w:rsidR="003876C2" w:rsidRPr="005F3664" w:rsidRDefault="003876C2" w:rsidP="00E53B33">
            <w:pPr>
              <w:jc w:val="center"/>
              <w:rPr>
                <w:rFonts w:ascii="Arial" w:eastAsia="Times New Roman" w:hAnsi="Arial" w:cs="Arial"/>
                <w:color w:val="000000" w:themeColor="text1"/>
                <w:sz w:val="20"/>
                <w:szCs w:val="20"/>
                <w:lang w:eastAsia="en-IN"/>
              </w:rPr>
            </w:pPr>
            <w:r w:rsidRPr="005F3664">
              <w:rPr>
                <w:rFonts w:ascii="Arial" w:eastAsia="Times New Roman" w:hAnsi="Arial" w:cs="Arial"/>
                <w:b/>
                <w:bCs/>
                <w:color w:val="000000" w:themeColor="text1"/>
                <w:sz w:val="20"/>
                <w:szCs w:val="20"/>
                <w:lang w:eastAsia="en-IN"/>
              </w:rPr>
              <w:t>Ploidy</w:t>
            </w:r>
          </w:p>
        </w:tc>
        <w:tc>
          <w:tcPr>
            <w:tcW w:w="2000" w:type="dxa"/>
          </w:tcPr>
          <w:p w14:paraId="07199BB9" w14:textId="77777777" w:rsidR="003876C2" w:rsidRPr="005F3664" w:rsidRDefault="003876C2" w:rsidP="00E53B33">
            <w:pPr>
              <w:jc w:val="center"/>
              <w:rPr>
                <w:rFonts w:ascii="Arial" w:eastAsia="Times New Roman" w:hAnsi="Arial" w:cs="Arial"/>
                <w:color w:val="000000" w:themeColor="text1"/>
                <w:sz w:val="20"/>
                <w:szCs w:val="20"/>
                <w:lang w:eastAsia="en-IN"/>
              </w:rPr>
            </w:pPr>
            <w:r w:rsidRPr="005F3664">
              <w:rPr>
                <w:rFonts w:ascii="Arial" w:eastAsia="Times New Roman" w:hAnsi="Arial" w:cs="Arial"/>
                <w:b/>
                <w:bCs/>
                <w:color w:val="000000" w:themeColor="text1"/>
                <w:sz w:val="20"/>
                <w:szCs w:val="20"/>
                <w:lang w:eastAsia="en-IN"/>
              </w:rPr>
              <w:t>Conventional Method &amp; Achievement</w:t>
            </w:r>
          </w:p>
        </w:tc>
        <w:tc>
          <w:tcPr>
            <w:tcW w:w="2000" w:type="dxa"/>
          </w:tcPr>
          <w:p w14:paraId="7C77C4E5" w14:textId="77777777" w:rsidR="003876C2" w:rsidRPr="005F3664" w:rsidRDefault="003876C2" w:rsidP="00E53B33">
            <w:pPr>
              <w:jc w:val="center"/>
              <w:rPr>
                <w:rFonts w:ascii="Arial" w:eastAsia="Times New Roman" w:hAnsi="Arial" w:cs="Arial"/>
                <w:color w:val="000000" w:themeColor="text1"/>
                <w:sz w:val="20"/>
                <w:szCs w:val="20"/>
                <w:lang w:eastAsia="en-IN"/>
              </w:rPr>
            </w:pPr>
            <w:r w:rsidRPr="005F3664">
              <w:rPr>
                <w:rFonts w:ascii="Arial" w:eastAsia="Times New Roman" w:hAnsi="Arial" w:cs="Arial"/>
                <w:b/>
                <w:bCs/>
                <w:color w:val="000000" w:themeColor="text1"/>
                <w:sz w:val="20"/>
                <w:szCs w:val="20"/>
                <w:lang w:eastAsia="en-IN"/>
              </w:rPr>
              <w:t>Molecular/Genomic Approach</w:t>
            </w:r>
          </w:p>
        </w:tc>
        <w:tc>
          <w:tcPr>
            <w:tcW w:w="2760" w:type="dxa"/>
          </w:tcPr>
          <w:p w14:paraId="19C98A57" w14:textId="77777777" w:rsidR="003876C2" w:rsidRPr="005F3664" w:rsidRDefault="003876C2" w:rsidP="00E53B33">
            <w:pPr>
              <w:jc w:val="center"/>
              <w:rPr>
                <w:rFonts w:ascii="Arial" w:eastAsia="Times New Roman" w:hAnsi="Arial" w:cs="Arial"/>
                <w:color w:val="000000" w:themeColor="text1"/>
                <w:sz w:val="20"/>
                <w:szCs w:val="20"/>
                <w:lang w:eastAsia="en-IN"/>
              </w:rPr>
            </w:pPr>
            <w:r w:rsidRPr="005F3664">
              <w:rPr>
                <w:rFonts w:ascii="Arial" w:eastAsia="Times New Roman" w:hAnsi="Arial" w:cs="Arial"/>
                <w:b/>
                <w:bCs/>
                <w:color w:val="000000" w:themeColor="text1"/>
                <w:sz w:val="20"/>
                <w:szCs w:val="20"/>
                <w:lang w:eastAsia="en-IN"/>
              </w:rPr>
              <w:t>Key Reference</w:t>
            </w:r>
          </w:p>
        </w:tc>
      </w:tr>
      <w:tr w:rsidR="003876C2" w:rsidRPr="005F3664" w14:paraId="5C419EC5" w14:textId="77777777" w:rsidTr="003876C2">
        <w:tc>
          <w:tcPr>
            <w:tcW w:w="1200" w:type="dxa"/>
          </w:tcPr>
          <w:p w14:paraId="4A0F06D4"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Tomato (</w:t>
            </w:r>
            <w:r w:rsidRPr="005F3664">
              <w:rPr>
                <w:rFonts w:ascii="Arial" w:eastAsia="Times New Roman" w:hAnsi="Arial" w:cs="Arial"/>
                <w:i/>
                <w:iCs/>
                <w:sz w:val="20"/>
                <w:szCs w:val="20"/>
                <w:lang w:eastAsia="en-IN"/>
              </w:rPr>
              <w:t xml:space="preserve">Solanum </w:t>
            </w:r>
            <w:proofErr w:type="spellStart"/>
            <w:r w:rsidRPr="005F3664">
              <w:rPr>
                <w:rFonts w:ascii="Arial" w:eastAsia="Times New Roman" w:hAnsi="Arial" w:cs="Arial"/>
                <w:i/>
                <w:iCs/>
                <w:sz w:val="20"/>
                <w:szCs w:val="20"/>
                <w:lang w:eastAsia="en-IN"/>
              </w:rPr>
              <w:t>lycopersicum</w:t>
            </w:r>
            <w:proofErr w:type="spellEnd"/>
            <w:r w:rsidRPr="005F3664">
              <w:rPr>
                <w:rFonts w:ascii="Arial" w:eastAsia="Times New Roman" w:hAnsi="Arial" w:cs="Arial"/>
                <w:sz w:val="20"/>
                <w:szCs w:val="20"/>
                <w:lang w:eastAsia="en-IN"/>
              </w:rPr>
              <w:t>)</w:t>
            </w:r>
          </w:p>
        </w:tc>
        <w:tc>
          <w:tcPr>
            <w:tcW w:w="1400" w:type="dxa"/>
          </w:tcPr>
          <w:p w14:paraId="3D85D5D9"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2x (diploid)</w:t>
            </w:r>
          </w:p>
        </w:tc>
        <w:tc>
          <w:tcPr>
            <w:tcW w:w="2000" w:type="dxa"/>
          </w:tcPr>
          <w:p w14:paraId="5269AFB6"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 xml:space="preserve">Backcross introgression of Ty-1, Ty-3 (TYLCV resistance) from S. </w:t>
            </w:r>
            <w:proofErr w:type="spellStart"/>
            <w:r w:rsidRPr="005F3664">
              <w:rPr>
                <w:rFonts w:ascii="Arial" w:eastAsia="Times New Roman" w:hAnsi="Arial" w:cs="Arial"/>
                <w:sz w:val="20"/>
                <w:szCs w:val="20"/>
                <w:lang w:eastAsia="en-IN"/>
              </w:rPr>
              <w:t>habrochaites</w:t>
            </w:r>
            <w:proofErr w:type="spellEnd"/>
            <w:r w:rsidRPr="005F3664">
              <w:rPr>
                <w:rFonts w:ascii="Arial" w:eastAsia="Times New Roman" w:hAnsi="Arial" w:cs="Arial"/>
                <w:sz w:val="20"/>
                <w:szCs w:val="20"/>
                <w:lang w:eastAsia="en-IN"/>
              </w:rPr>
              <w:t>; pedigree selection for high Brix and disease resistance; CMS-based F1 hybrid systems</w:t>
            </w:r>
          </w:p>
        </w:tc>
        <w:tc>
          <w:tcPr>
            <w:tcW w:w="2000" w:type="dxa"/>
          </w:tcPr>
          <w:p w14:paraId="3B86B6B4"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 xml:space="preserve">MAS with CAPS/SSR markers; </w:t>
            </w:r>
            <w:proofErr w:type="spellStart"/>
            <w:r w:rsidRPr="005F3664">
              <w:rPr>
                <w:rFonts w:ascii="Arial" w:eastAsia="Times New Roman" w:hAnsi="Arial" w:cs="Arial"/>
                <w:sz w:val="20"/>
                <w:szCs w:val="20"/>
                <w:lang w:eastAsia="en-IN"/>
              </w:rPr>
              <w:t>SolCAP</w:t>
            </w:r>
            <w:proofErr w:type="spellEnd"/>
            <w:r w:rsidRPr="005F3664">
              <w:rPr>
                <w:rFonts w:ascii="Arial" w:eastAsia="Times New Roman" w:hAnsi="Arial" w:cs="Arial"/>
                <w:sz w:val="20"/>
                <w:szCs w:val="20"/>
                <w:lang w:eastAsia="en-IN"/>
              </w:rPr>
              <w:t xml:space="preserve"> SNP array; GWAS for fruit volatiles and metabolites; genomic selection for Brix and shelf-life</w:t>
            </w:r>
          </w:p>
        </w:tc>
        <w:tc>
          <w:tcPr>
            <w:tcW w:w="2760" w:type="dxa"/>
          </w:tcPr>
          <w:p w14:paraId="3A1BEC36" w14:textId="77777777" w:rsidR="003876C2" w:rsidRPr="005F3664" w:rsidRDefault="003876C2" w:rsidP="00E53B33">
            <w:pPr>
              <w:rPr>
                <w:rFonts w:ascii="Arial" w:eastAsia="Times New Roman" w:hAnsi="Arial" w:cs="Arial"/>
                <w:sz w:val="20"/>
                <w:szCs w:val="20"/>
                <w:lang w:eastAsia="en-IN"/>
              </w:rPr>
            </w:pPr>
            <w:r w:rsidRPr="004C0DDD">
              <w:rPr>
                <w:rFonts w:ascii="Arial" w:eastAsia="Times New Roman" w:hAnsi="Arial" w:cs="Arial"/>
                <w:sz w:val="20"/>
                <w:szCs w:val="20"/>
                <w:lang w:val="da-DK" w:eastAsia="en-IN"/>
              </w:rPr>
              <w:t xml:space="preserve">Foolad et al. (2020); Tieman et al. </w:t>
            </w:r>
            <w:r w:rsidRPr="005F3664">
              <w:rPr>
                <w:rFonts w:ascii="Arial" w:eastAsia="Times New Roman" w:hAnsi="Arial" w:cs="Arial"/>
                <w:sz w:val="20"/>
                <w:szCs w:val="20"/>
                <w:lang w:eastAsia="en-IN"/>
              </w:rPr>
              <w:t>(2017)</w:t>
            </w:r>
          </w:p>
        </w:tc>
      </w:tr>
      <w:tr w:rsidR="003876C2" w:rsidRPr="005F3664" w14:paraId="2911EA66" w14:textId="77777777" w:rsidTr="003876C2">
        <w:tc>
          <w:tcPr>
            <w:tcW w:w="1200" w:type="dxa"/>
          </w:tcPr>
          <w:p w14:paraId="5C74CC86"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Potato (</w:t>
            </w:r>
            <w:r w:rsidRPr="005F3664">
              <w:rPr>
                <w:rFonts w:ascii="Arial" w:eastAsia="Times New Roman" w:hAnsi="Arial" w:cs="Arial"/>
                <w:i/>
                <w:iCs/>
                <w:sz w:val="20"/>
                <w:szCs w:val="20"/>
                <w:lang w:eastAsia="en-IN"/>
              </w:rPr>
              <w:t>Solanum tuberosum</w:t>
            </w:r>
            <w:r w:rsidRPr="005F3664">
              <w:rPr>
                <w:rFonts w:ascii="Arial" w:eastAsia="Times New Roman" w:hAnsi="Arial" w:cs="Arial"/>
                <w:sz w:val="20"/>
                <w:szCs w:val="20"/>
                <w:lang w:eastAsia="en-IN"/>
              </w:rPr>
              <w:t>)</w:t>
            </w:r>
          </w:p>
        </w:tc>
        <w:tc>
          <w:tcPr>
            <w:tcW w:w="1400" w:type="dxa"/>
          </w:tcPr>
          <w:p w14:paraId="07D70C2C"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4x (autotetraploid)</w:t>
            </w:r>
          </w:p>
        </w:tc>
        <w:tc>
          <w:tcPr>
            <w:tcW w:w="2000" w:type="dxa"/>
          </w:tcPr>
          <w:p w14:paraId="5FFA9F24"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 xml:space="preserve">Interspecific hybridisation from S. </w:t>
            </w:r>
            <w:proofErr w:type="spellStart"/>
            <w:r w:rsidRPr="005F3664">
              <w:rPr>
                <w:rFonts w:ascii="Arial" w:eastAsia="Times New Roman" w:hAnsi="Arial" w:cs="Arial"/>
                <w:sz w:val="20"/>
                <w:szCs w:val="20"/>
                <w:lang w:eastAsia="en-IN"/>
              </w:rPr>
              <w:t>bulbocastanum</w:t>
            </w:r>
            <w:proofErr w:type="spellEnd"/>
            <w:r w:rsidRPr="005F3664">
              <w:rPr>
                <w:rFonts w:ascii="Arial" w:eastAsia="Times New Roman" w:hAnsi="Arial" w:cs="Arial"/>
                <w:sz w:val="20"/>
                <w:szCs w:val="20"/>
                <w:lang w:eastAsia="en-IN"/>
              </w:rPr>
              <w:t xml:space="preserve"> for </w:t>
            </w:r>
            <w:proofErr w:type="spellStart"/>
            <w:r w:rsidRPr="005F3664">
              <w:rPr>
                <w:rFonts w:ascii="Arial" w:eastAsia="Times New Roman" w:hAnsi="Arial" w:cs="Arial"/>
                <w:sz w:val="20"/>
                <w:szCs w:val="20"/>
                <w:lang w:eastAsia="en-IN"/>
              </w:rPr>
              <w:t>Rpi-blb</w:t>
            </w:r>
            <w:proofErr w:type="spellEnd"/>
            <w:r w:rsidRPr="005F3664">
              <w:rPr>
                <w:rFonts w:ascii="Arial" w:eastAsia="Times New Roman" w:hAnsi="Arial" w:cs="Arial"/>
                <w:sz w:val="20"/>
                <w:szCs w:val="20"/>
                <w:lang w:eastAsia="en-IN"/>
              </w:rPr>
              <w:t xml:space="preserve"> genes (late blight); mutation breeding for starch modification; backcross selection for processing quality</w:t>
            </w:r>
          </w:p>
        </w:tc>
        <w:tc>
          <w:tcPr>
            <w:tcW w:w="2000" w:type="dxa"/>
          </w:tcPr>
          <w:p w14:paraId="2CB819E5"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 xml:space="preserve">Axiom 650K SNP array; GWAS for late blight resistance and starch; diploid GS platform; MABC for </w:t>
            </w:r>
            <w:proofErr w:type="spellStart"/>
            <w:r w:rsidRPr="005F3664">
              <w:rPr>
                <w:rFonts w:ascii="Arial" w:eastAsia="Times New Roman" w:hAnsi="Arial" w:cs="Arial"/>
                <w:sz w:val="20"/>
                <w:szCs w:val="20"/>
                <w:lang w:eastAsia="en-IN"/>
              </w:rPr>
              <w:t>Rpi</w:t>
            </w:r>
            <w:proofErr w:type="spellEnd"/>
            <w:r w:rsidRPr="005F3664">
              <w:rPr>
                <w:rFonts w:ascii="Arial" w:eastAsia="Times New Roman" w:hAnsi="Arial" w:cs="Arial"/>
                <w:sz w:val="20"/>
                <w:szCs w:val="20"/>
                <w:lang w:eastAsia="en-IN"/>
              </w:rPr>
              <w:t xml:space="preserve"> gene pyramiding</w:t>
            </w:r>
          </w:p>
        </w:tc>
        <w:tc>
          <w:tcPr>
            <w:tcW w:w="2760" w:type="dxa"/>
          </w:tcPr>
          <w:p w14:paraId="2DC63CA9" w14:textId="77777777" w:rsidR="003876C2" w:rsidRPr="005F3664" w:rsidRDefault="003876C2" w:rsidP="00E53B33">
            <w:pPr>
              <w:rPr>
                <w:rFonts w:ascii="Arial" w:eastAsia="Times New Roman" w:hAnsi="Arial" w:cs="Arial"/>
                <w:sz w:val="20"/>
                <w:szCs w:val="20"/>
                <w:lang w:eastAsia="en-IN"/>
              </w:rPr>
            </w:pPr>
            <w:r w:rsidRPr="004C0DDD">
              <w:rPr>
                <w:rFonts w:ascii="Arial" w:eastAsia="Times New Roman" w:hAnsi="Arial" w:cs="Arial"/>
                <w:sz w:val="20"/>
                <w:szCs w:val="20"/>
                <w:lang w:val="da-DK" w:eastAsia="en-IN"/>
              </w:rPr>
              <w:t xml:space="preserve">Lindqvist-Kreuze et al. (2020); Andersson et al. </w:t>
            </w:r>
            <w:r w:rsidRPr="005F3664">
              <w:rPr>
                <w:rFonts w:ascii="Arial" w:eastAsia="Times New Roman" w:hAnsi="Arial" w:cs="Arial"/>
                <w:sz w:val="20"/>
                <w:szCs w:val="20"/>
                <w:lang w:eastAsia="en-IN"/>
              </w:rPr>
              <w:t>(2017)</w:t>
            </w:r>
          </w:p>
        </w:tc>
      </w:tr>
      <w:tr w:rsidR="003876C2" w:rsidRPr="005F3664" w14:paraId="63348085" w14:textId="77777777" w:rsidTr="003876C2">
        <w:tc>
          <w:tcPr>
            <w:tcW w:w="1200" w:type="dxa"/>
          </w:tcPr>
          <w:p w14:paraId="2F5A1E14"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Banana (</w:t>
            </w:r>
            <w:r w:rsidRPr="005F3664">
              <w:rPr>
                <w:rFonts w:ascii="Arial" w:eastAsia="Times New Roman" w:hAnsi="Arial" w:cs="Arial"/>
                <w:i/>
                <w:iCs/>
                <w:sz w:val="20"/>
                <w:szCs w:val="20"/>
                <w:lang w:eastAsia="en-IN"/>
              </w:rPr>
              <w:t>Musa spp</w:t>
            </w:r>
            <w:r w:rsidRPr="005F3664">
              <w:rPr>
                <w:rFonts w:ascii="Arial" w:eastAsia="Times New Roman" w:hAnsi="Arial" w:cs="Arial"/>
                <w:sz w:val="20"/>
                <w:szCs w:val="20"/>
                <w:lang w:eastAsia="en-IN"/>
              </w:rPr>
              <w:t>.)</w:t>
            </w:r>
          </w:p>
        </w:tc>
        <w:tc>
          <w:tcPr>
            <w:tcW w:w="1400" w:type="dxa"/>
          </w:tcPr>
          <w:p w14:paraId="2F40A2A2"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3x (triploid)</w:t>
            </w:r>
          </w:p>
        </w:tc>
        <w:tc>
          <w:tcPr>
            <w:tcW w:w="2000" w:type="dxa"/>
          </w:tcPr>
          <w:p w14:paraId="5DABF19F"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Diploid x tetraploid crossing scheme at IITA; NARITA and FHIA improved tetraploid hybrids; selection for Fusarium TR4 partial resistance in diploid breeding lines</w:t>
            </w:r>
          </w:p>
        </w:tc>
        <w:tc>
          <w:tcPr>
            <w:tcW w:w="2000" w:type="dxa"/>
          </w:tcPr>
          <w:p w14:paraId="2861599F"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GBS-based diversity analysis; SSR fingerprinting; CRISPR-mediated RGA2 resistance gene expression in Cavendish</w:t>
            </w:r>
          </w:p>
        </w:tc>
        <w:tc>
          <w:tcPr>
            <w:tcW w:w="2760" w:type="dxa"/>
          </w:tcPr>
          <w:p w14:paraId="39B80214" w14:textId="77777777" w:rsidR="003876C2" w:rsidRPr="005F3664" w:rsidRDefault="003876C2" w:rsidP="00E53B33">
            <w:pPr>
              <w:rPr>
                <w:rFonts w:ascii="Arial" w:eastAsia="Times New Roman" w:hAnsi="Arial" w:cs="Arial"/>
                <w:sz w:val="20"/>
                <w:szCs w:val="20"/>
                <w:lang w:eastAsia="en-IN"/>
              </w:rPr>
            </w:pPr>
            <w:r w:rsidRPr="004C0DDD">
              <w:rPr>
                <w:rFonts w:ascii="Arial" w:eastAsia="Times New Roman" w:hAnsi="Arial" w:cs="Arial"/>
                <w:sz w:val="20"/>
                <w:szCs w:val="20"/>
                <w:lang w:val="da-DK" w:eastAsia="en-IN"/>
              </w:rPr>
              <w:t xml:space="preserve">Dale et al. (2017); Ekesa et al. </w:t>
            </w:r>
            <w:r w:rsidRPr="005F3664">
              <w:rPr>
                <w:rFonts w:ascii="Arial" w:eastAsia="Times New Roman" w:hAnsi="Arial" w:cs="Arial"/>
                <w:sz w:val="20"/>
                <w:szCs w:val="20"/>
                <w:lang w:eastAsia="en-IN"/>
              </w:rPr>
              <w:t>(2020)</w:t>
            </w:r>
          </w:p>
        </w:tc>
      </w:tr>
      <w:tr w:rsidR="003876C2" w:rsidRPr="005F3664" w14:paraId="39FAE9AC" w14:textId="77777777" w:rsidTr="003876C2">
        <w:tc>
          <w:tcPr>
            <w:tcW w:w="1200" w:type="dxa"/>
          </w:tcPr>
          <w:p w14:paraId="7033648D"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Citrus (</w:t>
            </w:r>
            <w:r w:rsidRPr="005F3664">
              <w:rPr>
                <w:rFonts w:ascii="Arial" w:eastAsia="Times New Roman" w:hAnsi="Arial" w:cs="Arial"/>
                <w:i/>
                <w:iCs/>
                <w:sz w:val="20"/>
                <w:szCs w:val="20"/>
                <w:lang w:eastAsia="en-IN"/>
              </w:rPr>
              <w:t>Citrus spp.</w:t>
            </w:r>
            <w:r w:rsidRPr="005F3664">
              <w:rPr>
                <w:rFonts w:ascii="Arial" w:eastAsia="Times New Roman" w:hAnsi="Arial" w:cs="Arial"/>
                <w:sz w:val="20"/>
                <w:szCs w:val="20"/>
                <w:lang w:eastAsia="en-IN"/>
              </w:rPr>
              <w:t>)</w:t>
            </w:r>
          </w:p>
        </w:tc>
        <w:tc>
          <w:tcPr>
            <w:tcW w:w="1400" w:type="dxa"/>
          </w:tcPr>
          <w:p w14:paraId="7EA5672F"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Diploid/polyploid</w:t>
            </w:r>
          </w:p>
        </w:tc>
        <w:tc>
          <w:tcPr>
            <w:tcW w:w="2000" w:type="dxa"/>
          </w:tcPr>
          <w:p w14:paraId="2A7480EB"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 xml:space="preserve">Clonal selection for </w:t>
            </w:r>
            <w:proofErr w:type="spellStart"/>
            <w:r w:rsidRPr="005F3664">
              <w:rPr>
                <w:rFonts w:ascii="Arial" w:eastAsia="Times New Roman" w:hAnsi="Arial" w:cs="Arial"/>
                <w:sz w:val="20"/>
                <w:szCs w:val="20"/>
                <w:lang w:eastAsia="en-IN"/>
              </w:rPr>
              <w:t>seedlessness</w:t>
            </w:r>
            <w:proofErr w:type="spellEnd"/>
            <w:r w:rsidRPr="005F3664">
              <w:rPr>
                <w:rFonts w:ascii="Arial" w:eastAsia="Times New Roman" w:hAnsi="Arial" w:cs="Arial"/>
                <w:sz w:val="20"/>
                <w:szCs w:val="20"/>
                <w:lang w:eastAsia="en-IN"/>
              </w:rPr>
              <w:t xml:space="preserve">; trifoliate rootstock deployment; conventional grafting for CTV tolerance; hybridisation for </w:t>
            </w:r>
            <w:r w:rsidRPr="005F3664">
              <w:rPr>
                <w:rFonts w:ascii="Arial" w:eastAsia="Times New Roman" w:hAnsi="Arial" w:cs="Arial"/>
                <w:sz w:val="20"/>
                <w:szCs w:val="20"/>
                <w:lang w:eastAsia="en-IN"/>
              </w:rPr>
              <w:lastRenderedPageBreak/>
              <w:t>Navel and mandarin improvement</w:t>
            </w:r>
          </w:p>
        </w:tc>
        <w:tc>
          <w:tcPr>
            <w:tcW w:w="2000" w:type="dxa"/>
          </w:tcPr>
          <w:p w14:paraId="5282812D"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lastRenderedPageBreak/>
              <w:t>90K Axiom SNP chip; MAS for CTV resistance; CRISPR editing of CsLOB1 promoter for canker resistance</w:t>
            </w:r>
          </w:p>
        </w:tc>
        <w:tc>
          <w:tcPr>
            <w:tcW w:w="2760" w:type="dxa"/>
          </w:tcPr>
          <w:p w14:paraId="73A271F6" w14:textId="77777777" w:rsidR="003876C2" w:rsidRPr="005F3664" w:rsidRDefault="003876C2" w:rsidP="00E53B33">
            <w:pPr>
              <w:rPr>
                <w:rFonts w:ascii="Arial" w:eastAsia="Times New Roman" w:hAnsi="Arial" w:cs="Arial"/>
                <w:sz w:val="20"/>
                <w:szCs w:val="20"/>
                <w:lang w:eastAsia="en-IN"/>
              </w:rPr>
            </w:pPr>
            <w:r w:rsidRPr="004C0DDD">
              <w:rPr>
                <w:rFonts w:ascii="Arial" w:eastAsia="Times New Roman" w:hAnsi="Arial" w:cs="Arial"/>
                <w:sz w:val="20"/>
                <w:szCs w:val="20"/>
                <w:lang w:val="da-DK" w:eastAsia="en-IN"/>
              </w:rPr>
              <w:t xml:space="preserve">Jia et al. (2017); Gmitter et al. </w:t>
            </w:r>
            <w:r w:rsidRPr="005F3664">
              <w:rPr>
                <w:rFonts w:ascii="Arial" w:eastAsia="Times New Roman" w:hAnsi="Arial" w:cs="Arial"/>
                <w:sz w:val="20"/>
                <w:szCs w:val="20"/>
                <w:lang w:eastAsia="en-IN"/>
              </w:rPr>
              <w:t>(2020)</w:t>
            </w:r>
          </w:p>
        </w:tc>
      </w:tr>
      <w:tr w:rsidR="003876C2" w:rsidRPr="005F3664" w14:paraId="6D31D18E" w14:textId="77777777" w:rsidTr="003876C2">
        <w:tc>
          <w:tcPr>
            <w:tcW w:w="1200" w:type="dxa"/>
          </w:tcPr>
          <w:p w14:paraId="69E33656"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 xml:space="preserve">Mango </w:t>
            </w:r>
            <w:r w:rsidRPr="005F3664">
              <w:rPr>
                <w:rFonts w:ascii="Arial" w:eastAsia="Times New Roman" w:hAnsi="Arial" w:cs="Arial"/>
                <w:i/>
                <w:iCs/>
                <w:sz w:val="20"/>
                <w:szCs w:val="20"/>
                <w:lang w:eastAsia="en-IN"/>
              </w:rPr>
              <w:t>(Mangifera indica</w:t>
            </w:r>
            <w:r w:rsidRPr="005F3664">
              <w:rPr>
                <w:rFonts w:ascii="Arial" w:eastAsia="Times New Roman" w:hAnsi="Arial" w:cs="Arial"/>
                <w:sz w:val="20"/>
                <w:szCs w:val="20"/>
                <w:lang w:eastAsia="en-IN"/>
              </w:rPr>
              <w:t>)</w:t>
            </w:r>
          </w:p>
        </w:tc>
        <w:tc>
          <w:tcPr>
            <w:tcW w:w="1400" w:type="dxa"/>
          </w:tcPr>
          <w:p w14:paraId="4CA86CB0"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Polyploid complex</w:t>
            </w:r>
          </w:p>
        </w:tc>
        <w:tc>
          <w:tcPr>
            <w:tcW w:w="2000" w:type="dxa"/>
          </w:tcPr>
          <w:p w14:paraId="745E87E8"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Clonal selection of chance seedlings; pedigree crossing for Amrapali, Mallika; selection for shelf-life and reduced fibre; poly-embryony exploitation for rootstock</w:t>
            </w:r>
          </w:p>
        </w:tc>
        <w:tc>
          <w:tcPr>
            <w:tcW w:w="2000" w:type="dxa"/>
          </w:tcPr>
          <w:p w14:paraId="6990C5AA"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SSR fingerprinting for cultivar identification; emerging QTL mapping for fruit weight and ripening; early-stage transformation protocols</w:t>
            </w:r>
          </w:p>
        </w:tc>
        <w:tc>
          <w:tcPr>
            <w:tcW w:w="2760" w:type="dxa"/>
          </w:tcPr>
          <w:p w14:paraId="71FC0AA8"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Singh et al. (2021)</w:t>
            </w:r>
          </w:p>
        </w:tc>
      </w:tr>
      <w:tr w:rsidR="003876C2" w:rsidRPr="005F3664" w14:paraId="23BA7ADC" w14:textId="77777777" w:rsidTr="003876C2">
        <w:tc>
          <w:tcPr>
            <w:tcW w:w="1200" w:type="dxa"/>
          </w:tcPr>
          <w:p w14:paraId="2B411E9C"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Grapevine (</w:t>
            </w:r>
            <w:r w:rsidRPr="005F3664">
              <w:rPr>
                <w:rFonts w:ascii="Arial" w:eastAsia="Times New Roman" w:hAnsi="Arial" w:cs="Arial"/>
                <w:i/>
                <w:iCs/>
                <w:sz w:val="20"/>
                <w:szCs w:val="20"/>
                <w:lang w:eastAsia="en-IN"/>
              </w:rPr>
              <w:t>Vitis vinifera</w:t>
            </w:r>
            <w:r w:rsidRPr="005F3664">
              <w:rPr>
                <w:rFonts w:ascii="Arial" w:eastAsia="Times New Roman" w:hAnsi="Arial" w:cs="Arial"/>
                <w:sz w:val="20"/>
                <w:szCs w:val="20"/>
                <w:lang w:eastAsia="en-IN"/>
              </w:rPr>
              <w:t>)</w:t>
            </w:r>
          </w:p>
        </w:tc>
        <w:tc>
          <w:tcPr>
            <w:tcW w:w="1400" w:type="dxa"/>
          </w:tcPr>
          <w:p w14:paraId="7C402168"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2x (diploid)</w:t>
            </w:r>
          </w:p>
        </w:tc>
        <w:tc>
          <w:tcPr>
            <w:tcW w:w="2000" w:type="dxa"/>
          </w:tcPr>
          <w:p w14:paraId="434E91B6"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 xml:space="preserve">Interspecific hybridisation with American </w:t>
            </w:r>
            <w:proofErr w:type="spellStart"/>
            <w:r w:rsidRPr="005F3664">
              <w:rPr>
                <w:rFonts w:ascii="Arial" w:eastAsia="Times New Roman" w:hAnsi="Arial" w:cs="Arial"/>
                <w:sz w:val="20"/>
                <w:szCs w:val="20"/>
                <w:lang w:eastAsia="en-IN"/>
              </w:rPr>
              <w:t>Vitis</w:t>
            </w:r>
            <w:proofErr w:type="spellEnd"/>
            <w:r w:rsidRPr="005F3664">
              <w:rPr>
                <w:rFonts w:ascii="Arial" w:eastAsia="Times New Roman" w:hAnsi="Arial" w:cs="Arial"/>
                <w:sz w:val="20"/>
                <w:szCs w:val="20"/>
                <w:lang w:eastAsia="en-IN"/>
              </w:rPr>
              <w:t xml:space="preserve"> species for </w:t>
            </w:r>
            <w:proofErr w:type="spellStart"/>
            <w:r w:rsidRPr="005F3664">
              <w:rPr>
                <w:rFonts w:ascii="Arial" w:eastAsia="Times New Roman" w:hAnsi="Arial" w:cs="Arial"/>
                <w:sz w:val="20"/>
                <w:szCs w:val="20"/>
                <w:lang w:eastAsia="en-IN"/>
              </w:rPr>
              <w:t>Rpv</w:t>
            </w:r>
            <w:proofErr w:type="spellEnd"/>
            <w:r w:rsidRPr="005F3664">
              <w:rPr>
                <w:rFonts w:ascii="Arial" w:eastAsia="Times New Roman" w:hAnsi="Arial" w:cs="Arial"/>
                <w:sz w:val="20"/>
                <w:szCs w:val="20"/>
                <w:lang w:eastAsia="en-IN"/>
              </w:rPr>
              <w:t xml:space="preserve"> resistance loci (powdery/downy mildew); clonal selection for wine typicity; MAS-based MABC in progress</w:t>
            </w:r>
          </w:p>
        </w:tc>
        <w:tc>
          <w:tcPr>
            <w:tcW w:w="2000" w:type="dxa"/>
          </w:tcPr>
          <w:p w14:paraId="3838C191"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SNP-MAS for Rpv1-Rpv29 resistance QTLs; CRISPR/Cas9 RNP-mediated editing of VvMLO-7 and VvWRKY52 for mildew resistance without transgene</w:t>
            </w:r>
          </w:p>
        </w:tc>
        <w:tc>
          <w:tcPr>
            <w:tcW w:w="2760" w:type="dxa"/>
          </w:tcPr>
          <w:p w14:paraId="7466B855" w14:textId="77777777" w:rsidR="003876C2" w:rsidRPr="005F3664" w:rsidRDefault="003876C2" w:rsidP="00E53B33">
            <w:pPr>
              <w:rPr>
                <w:rFonts w:ascii="Arial" w:eastAsia="Times New Roman" w:hAnsi="Arial" w:cs="Arial"/>
                <w:sz w:val="20"/>
                <w:szCs w:val="20"/>
                <w:lang w:eastAsia="en-IN"/>
              </w:rPr>
            </w:pPr>
            <w:proofErr w:type="spellStart"/>
            <w:r w:rsidRPr="005F3664">
              <w:rPr>
                <w:rFonts w:ascii="Arial" w:eastAsia="Times New Roman" w:hAnsi="Arial" w:cs="Arial"/>
                <w:sz w:val="20"/>
                <w:szCs w:val="20"/>
                <w:lang w:eastAsia="en-IN"/>
              </w:rPr>
              <w:t>Malnoy</w:t>
            </w:r>
            <w:proofErr w:type="spellEnd"/>
            <w:r w:rsidRPr="005F3664">
              <w:rPr>
                <w:rFonts w:ascii="Arial" w:eastAsia="Times New Roman" w:hAnsi="Arial" w:cs="Arial"/>
                <w:sz w:val="20"/>
                <w:szCs w:val="20"/>
                <w:lang w:eastAsia="en-IN"/>
              </w:rPr>
              <w:t xml:space="preserve"> et al. (2016)</w:t>
            </w:r>
          </w:p>
        </w:tc>
      </w:tr>
      <w:tr w:rsidR="003876C2" w:rsidRPr="005F3664" w14:paraId="778FAC70" w14:textId="77777777" w:rsidTr="003876C2">
        <w:tc>
          <w:tcPr>
            <w:tcW w:w="1200" w:type="dxa"/>
          </w:tcPr>
          <w:p w14:paraId="440805A4"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Strawberry (</w:t>
            </w:r>
            <w:r w:rsidRPr="005F3664">
              <w:rPr>
                <w:rFonts w:ascii="Arial" w:eastAsia="Times New Roman" w:hAnsi="Arial" w:cs="Arial"/>
                <w:i/>
                <w:iCs/>
                <w:sz w:val="20"/>
                <w:szCs w:val="20"/>
                <w:lang w:eastAsia="en-IN"/>
              </w:rPr>
              <w:t xml:space="preserve">Fragaria x </w:t>
            </w:r>
            <w:proofErr w:type="spellStart"/>
            <w:r w:rsidRPr="005F3664">
              <w:rPr>
                <w:rFonts w:ascii="Arial" w:eastAsia="Times New Roman" w:hAnsi="Arial" w:cs="Arial"/>
                <w:i/>
                <w:iCs/>
                <w:sz w:val="20"/>
                <w:szCs w:val="20"/>
                <w:lang w:eastAsia="en-IN"/>
              </w:rPr>
              <w:t>ananassa</w:t>
            </w:r>
            <w:proofErr w:type="spellEnd"/>
            <w:r w:rsidRPr="005F3664">
              <w:rPr>
                <w:rFonts w:ascii="Arial" w:eastAsia="Times New Roman" w:hAnsi="Arial" w:cs="Arial"/>
                <w:sz w:val="20"/>
                <w:szCs w:val="20"/>
                <w:lang w:eastAsia="en-IN"/>
              </w:rPr>
              <w:t>)</w:t>
            </w:r>
          </w:p>
        </w:tc>
        <w:tc>
          <w:tcPr>
            <w:tcW w:w="1400" w:type="dxa"/>
          </w:tcPr>
          <w:p w14:paraId="02CD3581"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8x (octoploid)</w:t>
            </w:r>
          </w:p>
        </w:tc>
        <w:tc>
          <w:tcPr>
            <w:tcW w:w="2000" w:type="dxa"/>
          </w:tcPr>
          <w:p w14:paraId="158A4FF0"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 xml:space="preserve">Hybridisation and pedigree selection across </w:t>
            </w:r>
            <w:proofErr w:type="spellStart"/>
            <w:r w:rsidRPr="005F3664">
              <w:rPr>
                <w:rFonts w:ascii="Arial" w:eastAsia="Times New Roman" w:hAnsi="Arial" w:cs="Arial"/>
                <w:sz w:val="20"/>
                <w:szCs w:val="20"/>
                <w:lang w:eastAsia="en-IN"/>
              </w:rPr>
              <w:t>polycross</w:t>
            </w:r>
            <w:proofErr w:type="spellEnd"/>
            <w:r w:rsidRPr="005F3664">
              <w:rPr>
                <w:rFonts w:ascii="Arial" w:eastAsia="Times New Roman" w:hAnsi="Arial" w:cs="Arial"/>
                <w:sz w:val="20"/>
                <w:szCs w:val="20"/>
                <w:lang w:eastAsia="en-IN"/>
              </w:rPr>
              <w:t xml:space="preserve"> populations; selection for fruit firmness, colour, flavour and disease resistance (Botrytis)</w:t>
            </w:r>
          </w:p>
        </w:tc>
        <w:tc>
          <w:tcPr>
            <w:tcW w:w="2000" w:type="dxa"/>
          </w:tcPr>
          <w:p w14:paraId="762954E5" w14:textId="77777777" w:rsidR="003876C2" w:rsidRPr="005F3664" w:rsidRDefault="003876C2" w:rsidP="00E53B33">
            <w:pPr>
              <w:rPr>
                <w:rFonts w:ascii="Arial" w:eastAsia="Times New Roman" w:hAnsi="Arial" w:cs="Arial"/>
                <w:sz w:val="20"/>
                <w:szCs w:val="20"/>
                <w:lang w:eastAsia="en-IN"/>
              </w:rPr>
            </w:pPr>
            <w:proofErr w:type="spellStart"/>
            <w:r w:rsidRPr="005F3664">
              <w:rPr>
                <w:rFonts w:ascii="Arial" w:eastAsia="Times New Roman" w:hAnsi="Arial" w:cs="Arial"/>
                <w:sz w:val="20"/>
                <w:szCs w:val="20"/>
                <w:lang w:eastAsia="en-IN"/>
              </w:rPr>
              <w:t>IStraw</w:t>
            </w:r>
            <w:proofErr w:type="spellEnd"/>
            <w:r w:rsidRPr="005F3664">
              <w:rPr>
                <w:rFonts w:ascii="Arial" w:eastAsia="Times New Roman" w:hAnsi="Arial" w:cs="Arial"/>
                <w:sz w:val="20"/>
                <w:szCs w:val="20"/>
                <w:lang w:eastAsia="en-IN"/>
              </w:rPr>
              <w:t xml:space="preserve"> 90K SNP array; genomic selection in octoploid populations (accuracy 0.60-0.80 for firmness); GWAS for post-harvest quality traits</w:t>
            </w:r>
          </w:p>
        </w:tc>
        <w:tc>
          <w:tcPr>
            <w:tcW w:w="2760" w:type="dxa"/>
          </w:tcPr>
          <w:p w14:paraId="2AAADA91"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Whitaker et al. (2020)</w:t>
            </w:r>
          </w:p>
        </w:tc>
      </w:tr>
      <w:tr w:rsidR="003876C2" w:rsidRPr="005F3664" w14:paraId="39C92420" w14:textId="77777777" w:rsidTr="003876C2">
        <w:tc>
          <w:tcPr>
            <w:tcW w:w="1200" w:type="dxa"/>
          </w:tcPr>
          <w:p w14:paraId="5DD734A1"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Pepper (</w:t>
            </w:r>
            <w:r w:rsidRPr="005F3664">
              <w:rPr>
                <w:rFonts w:ascii="Arial" w:eastAsia="Times New Roman" w:hAnsi="Arial" w:cs="Arial"/>
                <w:i/>
                <w:iCs/>
                <w:sz w:val="20"/>
                <w:szCs w:val="20"/>
                <w:lang w:eastAsia="en-IN"/>
              </w:rPr>
              <w:t>Capsicum annuum</w:t>
            </w:r>
            <w:r w:rsidRPr="005F3664">
              <w:rPr>
                <w:rFonts w:ascii="Arial" w:eastAsia="Times New Roman" w:hAnsi="Arial" w:cs="Arial"/>
                <w:sz w:val="20"/>
                <w:szCs w:val="20"/>
                <w:lang w:eastAsia="en-IN"/>
              </w:rPr>
              <w:t>)</w:t>
            </w:r>
          </w:p>
        </w:tc>
        <w:tc>
          <w:tcPr>
            <w:tcW w:w="1400" w:type="dxa"/>
          </w:tcPr>
          <w:p w14:paraId="240AECB7"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2x (diploid)</w:t>
            </w:r>
          </w:p>
        </w:tc>
        <w:tc>
          <w:tcPr>
            <w:tcW w:w="2000" w:type="dxa"/>
          </w:tcPr>
          <w:p w14:paraId="5227F55B"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 xml:space="preserve">Backcross introgression of Bs2 (bacterial spot), </w:t>
            </w:r>
            <w:proofErr w:type="spellStart"/>
            <w:r w:rsidRPr="005F3664">
              <w:rPr>
                <w:rFonts w:ascii="Arial" w:eastAsia="Times New Roman" w:hAnsi="Arial" w:cs="Arial"/>
                <w:sz w:val="20"/>
                <w:szCs w:val="20"/>
                <w:lang w:eastAsia="en-IN"/>
              </w:rPr>
              <w:t>Pvr</w:t>
            </w:r>
            <w:proofErr w:type="spellEnd"/>
            <w:r w:rsidRPr="005F3664">
              <w:rPr>
                <w:rFonts w:ascii="Arial" w:eastAsia="Times New Roman" w:hAnsi="Arial" w:cs="Arial"/>
                <w:sz w:val="20"/>
                <w:szCs w:val="20"/>
                <w:lang w:eastAsia="en-IN"/>
              </w:rPr>
              <w:t xml:space="preserve"> (PVY resistance) from C. </w:t>
            </w:r>
            <w:proofErr w:type="spellStart"/>
            <w:r w:rsidRPr="005F3664">
              <w:rPr>
                <w:rFonts w:ascii="Arial" w:eastAsia="Times New Roman" w:hAnsi="Arial" w:cs="Arial"/>
                <w:sz w:val="20"/>
                <w:szCs w:val="20"/>
                <w:lang w:eastAsia="en-IN"/>
              </w:rPr>
              <w:t>chinense</w:t>
            </w:r>
            <w:proofErr w:type="spellEnd"/>
            <w:r w:rsidRPr="005F3664">
              <w:rPr>
                <w:rFonts w:ascii="Arial" w:eastAsia="Times New Roman" w:hAnsi="Arial" w:cs="Arial"/>
                <w:sz w:val="20"/>
                <w:szCs w:val="20"/>
                <w:lang w:eastAsia="en-IN"/>
              </w:rPr>
              <w:t>; CMS-based F1 hybrid production for commercial vegetable</w:t>
            </w:r>
          </w:p>
        </w:tc>
        <w:tc>
          <w:tcPr>
            <w:tcW w:w="2000" w:type="dxa"/>
          </w:tcPr>
          <w:p w14:paraId="61FC8BD5"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 xml:space="preserve">SNP/SSR markers for Bs2, Cm-1, and </w:t>
            </w:r>
            <w:proofErr w:type="spellStart"/>
            <w:r w:rsidRPr="005F3664">
              <w:rPr>
                <w:rFonts w:ascii="Arial" w:eastAsia="Times New Roman" w:hAnsi="Arial" w:cs="Arial"/>
                <w:sz w:val="20"/>
                <w:szCs w:val="20"/>
                <w:lang w:eastAsia="en-IN"/>
              </w:rPr>
              <w:t>Pvr</w:t>
            </w:r>
            <w:proofErr w:type="spellEnd"/>
            <w:r w:rsidRPr="005F3664">
              <w:rPr>
                <w:rFonts w:ascii="Arial" w:eastAsia="Times New Roman" w:hAnsi="Arial" w:cs="Arial"/>
                <w:sz w:val="20"/>
                <w:szCs w:val="20"/>
                <w:lang w:eastAsia="en-IN"/>
              </w:rPr>
              <w:t xml:space="preserve"> loci; GWAS using new reference genome; MAS pyramiding of multiple disease resistance genes</w:t>
            </w:r>
          </w:p>
        </w:tc>
        <w:tc>
          <w:tcPr>
            <w:tcW w:w="2760" w:type="dxa"/>
          </w:tcPr>
          <w:p w14:paraId="308D5A2C"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Kim et al. (2018)</w:t>
            </w:r>
          </w:p>
        </w:tc>
      </w:tr>
    </w:tbl>
    <w:p w14:paraId="4847773D" w14:textId="4DF2FEFE" w:rsidR="0051097E" w:rsidRPr="005F3664" w:rsidRDefault="0051097E" w:rsidP="00E53B33">
      <w:pPr>
        <w:spacing w:line="240" w:lineRule="auto"/>
        <w:jc w:val="both"/>
        <w:rPr>
          <w:rFonts w:ascii="Arial" w:hAnsi="Arial" w:cs="Arial"/>
          <w:sz w:val="28"/>
          <w:szCs w:val="28"/>
        </w:rPr>
      </w:pPr>
    </w:p>
    <w:p w14:paraId="6ADCC627" w14:textId="3B356031" w:rsidR="003876C2" w:rsidRPr="005F3664" w:rsidRDefault="00EE50DD" w:rsidP="00E53B33">
      <w:pPr>
        <w:spacing w:after="120" w:line="240" w:lineRule="auto"/>
        <w:jc w:val="both"/>
        <w:rPr>
          <w:rFonts w:ascii="Arial" w:hAnsi="Arial" w:cs="Arial"/>
          <w:i/>
          <w:iCs/>
          <w:color w:val="000000" w:themeColor="text1"/>
          <w:sz w:val="20"/>
          <w:szCs w:val="20"/>
        </w:rPr>
      </w:pPr>
      <w:r w:rsidRPr="005F3664">
        <w:rPr>
          <w:rFonts w:ascii="Arial" w:hAnsi="Arial" w:cs="Arial"/>
          <w:i/>
          <w:iCs/>
          <w:color w:val="000000" w:themeColor="text1"/>
          <w:sz w:val="20"/>
          <w:szCs w:val="20"/>
        </w:rPr>
        <w:t>Table 1. Summary of representative conventional and molecular/genomic breeding achievements across eight major horticultural crops. MABC: marker-assisted backcrossing; GBS: genotyping-by-sequencing; GS: genomic selection; CRISPR: clustered regularly interspaced short palindromic repeats; CMS: cytoplasmic male sterility; TR4: Tropical Race 4</w:t>
      </w:r>
    </w:p>
    <w:p w14:paraId="196C0FD1" w14:textId="77777777" w:rsidR="00C233D8" w:rsidRPr="005F3664" w:rsidRDefault="00C233D8" w:rsidP="00E53B33">
      <w:pPr>
        <w:spacing w:after="120" w:line="240" w:lineRule="auto"/>
        <w:jc w:val="both"/>
        <w:rPr>
          <w:rFonts w:ascii="Arial" w:hAnsi="Arial" w:cs="Arial"/>
          <w:b/>
          <w:bCs/>
          <w:color w:val="000000" w:themeColor="text1"/>
        </w:rPr>
      </w:pPr>
      <w:r w:rsidRPr="005F3664">
        <w:rPr>
          <w:rFonts w:ascii="Arial" w:hAnsi="Arial" w:cs="Arial"/>
          <w:b/>
          <w:bCs/>
          <w:color w:val="000000" w:themeColor="text1"/>
        </w:rPr>
        <w:t>5. Genome Editing Technologies</w:t>
      </w:r>
    </w:p>
    <w:p w14:paraId="61A77C39" w14:textId="77777777" w:rsidR="00C233D8" w:rsidRPr="005F3664" w:rsidRDefault="00C233D8" w:rsidP="00E53B33">
      <w:pPr>
        <w:spacing w:after="120" w:line="240" w:lineRule="auto"/>
        <w:jc w:val="both"/>
        <w:rPr>
          <w:rFonts w:ascii="Arial" w:hAnsi="Arial" w:cs="Arial"/>
          <w:b/>
          <w:bCs/>
          <w:color w:val="000000" w:themeColor="text1"/>
        </w:rPr>
      </w:pPr>
      <w:r w:rsidRPr="005F3664">
        <w:rPr>
          <w:rFonts w:ascii="Arial" w:hAnsi="Arial" w:cs="Arial"/>
          <w:b/>
          <w:bCs/>
          <w:color w:val="000000" w:themeColor="text1"/>
        </w:rPr>
        <w:t>5.1 First-Generation Tools: ZFNs and TALENs</w:t>
      </w:r>
    </w:p>
    <w:p w14:paraId="7155727E" w14:textId="77777777" w:rsidR="00C233D8" w:rsidRPr="005F3664" w:rsidRDefault="00C233D8"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Zinc finger nucleases (ZFNs) constituted the first generation of programmable genome editing technologies. These systems combined modular zinc finger DNA-binding domains with the non-specific FokI endonuclease to induce targeted double-strand breaks (DSBs) at predefined genomic loci. Although ZFNs provided proof of concept for targeted genome modification in plants, their widespread adoption was constrained by technical challenges, including context-dependent DNA recognition specificity of zinc finger modules and the complexity of designing functional nuclease pairs with sufficient targeting accuracy.</w:t>
      </w:r>
    </w:p>
    <w:p w14:paraId="4D9C07F4" w14:textId="4CC91D2F" w:rsidR="00C233D8" w:rsidRPr="005F3664" w:rsidRDefault="00C233D8"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lastRenderedPageBreak/>
        <w:t xml:space="preserve">Transcription activator-like effector nucleases (TALENs) addressed several limitations of ZFNs by leveraging the simpler one-to-one correspondence between TALE repeat variable </w:t>
      </w:r>
      <w:proofErr w:type="spellStart"/>
      <w:r w:rsidRPr="005F3664">
        <w:rPr>
          <w:rFonts w:ascii="Arial" w:hAnsi="Arial" w:cs="Arial"/>
          <w:color w:val="000000" w:themeColor="text1"/>
          <w:sz w:val="20"/>
          <w:szCs w:val="20"/>
        </w:rPr>
        <w:t>diresidues</w:t>
      </w:r>
      <w:proofErr w:type="spellEnd"/>
      <w:r w:rsidRPr="005F3664">
        <w:rPr>
          <w:rFonts w:ascii="Arial" w:hAnsi="Arial" w:cs="Arial"/>
          <w:color w:val="000000" w:themeColor="text1"/>
          <w:sz w:val="20"/>
          <w:szCs w:val="20"/>
        </w:rPr>
        <w:t xml:space="preserve"> (RVDs) and individual nucleotide bases. This modular architecture enabled more predictable targeting of virtually any genomic sequence (Cermak et al., 2011). TALEN-mediated genome editing was successfully demonstrated in tomato, potato, and grapevine. However, the </w:t>
      </w:r>
      <w:proofErr w:type="spellStart"/>
      <w:r w:rsidRPr="005F3664">
        <w:rPr>
          <w:rFonts w:ascii="Arial" w:hAnsi="Arial" w:cs="Arial"/>
          <w:color w:val="000000" w:themeColor="text1"/>
          <w:sz w:val="20"/>
          <w:szCs w:val="20"/>
        </w:rPr>
        <w:t>labor-intensive</w:t>
      </w:r>
      <w:proofErr w:type="spellEnd"/>
      <w:r w:rsidRPr="005F3664">
        <w:rPr>
          <w:rFonts w:ascii="Arial" w:hAnsi="Arial" w:cs="Arial"/>
          <w:color w:val="000000" w:themeColor="text1"/>
          <w:sz w:val="20"/>
          <w:szCs w:val="20"/>
        </w:rPr>
        <w:t xml:space="preserve"> construction of repetitive TALE arrays ultimately limited scalability, and TALENs were rapidly superseded by the greater simplicity, flexibility, and cost-effectiveness of CRISPR-based systems.</w:t>
      </w:r>
    </w:p>
    <w:p w14:paraId="75E9F3AE" w14:textId="77777777" w:rsidR="00C233D8" w:rsidRPr="005F3664" w:rsidRDefault="00C233D8" w:rsidP="00E53B33">
      <w:pPr>
        <w:spacing w:after="120" w:line="240" w:lineRule="auto"/>
        <w:jc w:val="both"/>
        <w:rPr>
          <w:rFonts w:ascii="Arial" w:hAnsi="Arial" w:cs="Arial"/>
          <w:b/>
          <w:bCs/>
          <w:color w:val="000000" w:themeColor="text1"/>
        </w:rPr>
      </w:pPr>
      <w:r w:rsidRPr="005F3664">
        <w:rPr>
          <w:rFonts w:ascii="Arial" w:hAnsi="Arial" w:cs="Arial"/>
          <w:b/>
          <w:bCs/>
          <w:color w:val="000000" w:themeColor="text1"/>
        </w:rPr>
        <w:t>5.2 CRISPR/Cas9</w:t>
      </w:r>
    </w:p>
    <w:p w14:paraId="2B364476" w14:textId="102EA524" w:rsidR="00C233D8" w:rsidRPr="005F3664" w:rsidRDefault="00C233D8"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 xml:space="preserve">The CRISPR/Cas9 system, derived from the Type II adaptive immune mechanism of </w:t>
      </w:r>
      <w:r w:rsidRPr="005F3664">
        <w:rPr>
          <w:rFonts w:ascii="Arial" w:hAnsi="Arial" w:cs="Arial"/>
          <w:i/>
          <w:iCs/>
          <w:color w:val="000000" w:themeColor="text1"/>
          <w:sz w:val="20"/>
          <w:szCs w:val="20"/>
        </w:rPr>
        <w:t>Streptococcus pyogenes</w:t>
      </w:r>
      <w:r w:rsidRPr="005F3664">
        <w:rPr>
          <w:rFonts w:ascii="Arial" w:hAnsi="Arial" w:cs="Arial"/>
          <w:color w:val="000000" w:themeColor="text1"/>
          <w:sz w:val="20"/>
          <w:szCs w:val="20"/>
        </w:rPr>
        <w:t>, has fundamentally transformed plant genome editing since its first application in plant cells in 2013. The system employs a single guide RNA (sgRNA), comprising a 20-nucleotide spacer sequence complementary to the target DNA and a conserved scaffold that recruits the Cas9 nuclease. Upon recognition of a protospacer adjacent motif (PAM; 5′-NGG-3′ for SpCas9), Cas9 induces a blunt-ended DSB three base pairs upstream of the PAM site.</w:t>
      </w:r>
      <w:r w:rsidR="00BD32E2" w:rsidRPr="005F3664">
        <w:rPr>
          <w:rFonts w:ascii="Arial" w:hAnsi="Arial" w:cs="Arial"/>
          <w:color w:val="000000" w:themeColor="text1"/>
          <w:sz w:val="20"/>
          <w:szCs w:val="20"/>
        </w:rPr>
        <w:t xml:space="preserve"> (Sruthi et al., 2026).</w:t>
      </w:r>
    </w:p>
    <w:p w14:paraId="5BED2C38" w14:textId="77777777" w:rsidR="00C233D8" w:rsidRPr="005F3664" w:rsidRDefault="00C233D8"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Subsequent repair through the error-prone non-homologous end joining (NHEJ) pathway generates small insertions or deletions (indels), frequently resulting in frameshift mutations and gene knockouts. This mechanism is widely exploited to disrupt susceptibility genes, negative regulatory elements, or undesirable quality determinants. Alternatively, homology-directed repair (HDR) using a supplied donor template permits precise sequence replacement; however, HDR efficiency in plant cells remains substantially lower than NHEJ-mediated repair (Doudna and Charpentier, 2012).</w:t>
      </w:r>
    </w:p>
    <w:p w14:paraId="3872D80B" w14:textId="0766DD70" w:rsidR="00C233D8" w:rsidRPr="005F3664" w:rsidRDefault="00C233D8"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 xml:space="preserve">Continuous refinement of CRISPR technologies has expanded their versatility. Engineered SpCas9 variants with relaxed PAM requirements (SpCas9-NG, </w:t>
      </w:r>
      <w:proofErr w:type="spellStart"/>
      <w:r w:rsidRPr="005F3664">
        <w:rPr>
          <w:rFonts w:ascii="Arial" w:hAnsi="Arial" w:cs="Arial"/>
          <w:color w:val="000000" w:themeColor="text1"/>
          <w:sz w:val="20"/>
          <w:szCs w:val="20"/>
        </w:rPr>
        <w:t>SpRY</w:t>
      </w:r>
      <w:proofErr w:type="spellEnd"/>
      <w:r w:rsidRPr="005F3664">
        <w:rPr>
          <w:rFonts w:ascii="Arial" w:hAnsi="Arial" w:cs="Arial"/>
          <w:color w:val="000000" w:themeColor="text1"/>
          <w:sz w:val="20"/>
          <w:szCs w:val="20"/>
        </w:rPr>
        <w:t>), enhanced specificity (eSpCas9, HiFi Cas9), and compact orthologues (SaCas9, CjCas9) have broadened targetable genomic regions and improved editing fidelity in horticultural crops (</w:t>
      </w:r>
      <w:proofErr w:type="spellStart"/>
      <w:r w:rsidRPr="005F3664">
        <w:rPr>
          <w:rFonts w:ascii="Arial" w:hAnsi="Arial" w:cs="Arial"/>
          <w:color w:val="000000" w:themeColor="text1"/>
          <w:sz w:val="20"/>
          <w:szCs w:val="20"/>
        </w:rPr>
        <w:t>Bortesi</w:t>
      </w:r>
      <w:proofErr w:type="spellEnd"/>
      <w:r w:rsidRPr="005F3664">
        <w:rPr>
          <w:rFonts w:ascii="Arial" w:hAnsi="Arial" w:cs="Arial"/>
          <w:color w:val="000000" w:themeColor="text1"/>
          <w:sz w:val="20"/>
          <w:szCs w:val="20"/>
        </w:rPr>
        <w:t xml:space="preserve"> and Fischer, 2015).</w:t>
      </w:r>
    </w:p>
    <w:p w14:paraId="28D6E687" w14:textId="77777777" w:rsidR="00C233D8" w:rsidRPr="005F3664" w:rsidRDefault="00C233D8" w:rsidP="00E53B33">
      <w:pPr>
        <w:spacing w:after="120" w:line="240" w:lineRule="auto"/>
        <w:jc w:val="both"/>
        <w:rPr>
          <w:rFonts w:ascii="Arial" w:hAnsi="Arial" w:cs="Arial"/>
          <w:b/>
          <w:bCs/>
          <w:color w:val="000000" w:themeColor="text1"/>
          <w:sz w:val="24"/>
          <w:szCs w:val="24"/>
        </w:rPr>
      </w:pPr>
      <w:r w:rsidRPr="005F3664">
        <w:rPr>
          <w:rFonts w:ascii="Arial" w:hAnsi="Arial" w:cs="Arial"/>
          <w:b/>
          <w:bCs/>
          <w:color w:val="000000" w:themeColor="text1"/>
        </w:rPr>
        <w:t>5.3 Base Editing</w:t>
      </w:r>
    </w:p>
    <w:p w14:paraId="57569C4A" w14:textId="05AD3C3B" w:rsidR="00C233D8" w:rsidRPr="005F3664" w:rsidRDefault="00C233D8"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 xml:space="preserve">Base editing technologies enable precise single-nucleotide substitutions without introducing DSBs, thereby substantially reducing risks associated with unintended insertions, deletions, or chromosomal rearrangements. Cytosine base editors (CBEs) consist of a cytidine deaminase fused to Cas9 </w:t>
      </w:r>
      <w:proofErr w:type="spellStart"/>
      <w:r w:rsidRPr="005F3664">
        <w:rPr>
          <w:rFonts w:ascii="Arial" w:hAnsi="Arial" w:cs="Arial"/>
          <w:color w:val="000000" w:themeColor="text1"/>
          <w:sz w:val="20"/>
          <w:szCs w:val="20"/>
        </w:rPr>
        <w:t>nickase</w:t>
      </w:r>
      <w:proofErr w:type="spellEnd"/>
      <w:r w:rsidRPr="005F3664">
        <w:rPr>
          <w:rFonts w:ascii="Arial" w:hAnsi="Arial" w:cs="Arial"/>
          <w:color w:val="000000" w:themeColor="text1"/>
          <w:sz w:val="20"/>
          <w:szCs w:val="20"/>
        </w:rPr>
        <w:t xml:space="preserve"> (nCas9) and </w:t>
      </w:r>
      <w:proofErr w:type="spellStart"/>
      <w:r w:rsidRPr="005F3664">
        <w:rPr>
          <w:rFonts w:ascii="Arial" w:hAnsi="Arial" w:cs="Arial"/>
          <w:color w:val="000000" w:themeColor="text1"/>
          <w:sz w:val="20"/>
          <w:szCs w:val="20"/>
        </w:rPr>
        <w:t>catalyze</w:t>
      </w:r>
      <w:proofErr w:type="spellEnd"/>
      <w:r w:rsidRPr="005F3664">
        <w:rPr>
          <w:rFonts w:ascii="Arial" w:hAnsi="Arial" w:cs="Arial"/>
          <w:color w:val="000000" w:themeColor="text1"/>
          <w:sz w:val="20"/>
          <w:szCs w:val="20"/>
        </w:rPr>
        <w:t xml:space="preserve"> the conversion of cytosine to uracil within a defined editing window (typically positions 4</w:t>
      </w:r>
      <w:r w:rsidR="00195BC2">
        <w:rPr>
          <w:rFonts w:ascii="Arial" w:hAnsi="Arial" w:cs="Arial"/>
          <w:color w:val="000000" w:themeColor="text1"/>
          <w:sz w:val="20"/>
          <w:szCs w:val="20"/>
        </w:rPr>
        <w:t>-</w:t>
      </w:r>
      <w:r w:rsidRPr="005F3664">
        <w:rPr>
          <w:rFonts w:ascii="Arial" w:hAnsi="Arial" w:cs="Arial"/>
          <w:color w:val="000000" w:themeColor="text1"/>
          <w:sz w:val="20"/>
          <w:szCs w:val="20"/>
        </w:rPr>
        <w:t>8 of the protospacer), ultimately resulting in C-to-T (or G-to-A) transitions after DNA replication (Komor et al., 2016).</w:t>
      </w:r>
    </w:p>
    <w:p w14:paraId="30B69528" w14:textId="3D894149" w:rsidR="00C233D8" w:rsidRPr="005F3664" w:rsidRDefault="00C233D8"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 xml:space="preserve">Adenine base editors (ABEs), developed through directed evolution of an adenosine deaminase capable of acting on DNA and fused to nCas9, </w:t>
      </w:r>
      <w:proofErr w:type="spellStart"/>
      <w:r w:rsidRPr="005F3664">
        <w:rPr>
          <w:rFonts w:ascii="Arial" w:hAnsi="Arial" w:cs="Arial"/>
          <w:color w:val="000000" w:themeColor="text1"/>
          <w:sz w:val="20"/>
          <w:szCs w:val="20"/>
        </w:rPr>
        <w:t>catalyze</w:t>
      </w:r>
      <w:proofErr w:type="spellEnd"/>
      <w:r w:rsidRPr="005F3664">
        <w:rPr>
          <w:rFonts w:ascii="Arial" w:hAnsi="Arial" w:cs="Arial"/>
          <w:color w:val="000000" w:themeColor="text1"/>
          <w:sz w:val="20"/>
          <w:szCs w:val="20"/>
        </w:rPr>
        <w:t xml:space="preserve"> A-to-I conversions (interpreted as G during replication), thereby generating A-to-G (or T-to-C) transitions (Gaudelli et al., 2017). These tools facilitate targeted amino acid substitutions corresponding to naturally occurring </w:t>
      </w:r>
      <w:proofErr w:type="spellStart"/>
      <w:r w:rsidRPr="005F3664">
        <w:rPr>
          <w:rFonts w:ascii="Arial" w:hAnsi="Arial" w:cs="Arial"/>
          <w:color w:val="000000" w:themeColor="text1"/>
          <w:sz w:val="20"/>
          <w:szCs w:val="20"/>
        </w:rPr>
        <w:t>favorable</w:t>
      </w:r>
      <w:proofErr w:type="spellEnd"/>
      <w:r w:rsidRPr="005F3664">
        <w:rPr>
          <w:rFonts w:ascii="Arial" w:hAnsi="Arial" w:cs="Arial"/>
          <w:color w:val="000000" w:themeColor="text1"/>
          <w:sz w:val="20"/>
          <w:szCs w:val="20"/>
        </w:rPr>
        <w:t xml:space="preserve"> alleles</w:t>
      </w:r>
      <w:r w:rsidR="005856F9" w:rsidRPr="005F3664">
        <w:rPr>
          <w:rFonts w:ascii="Arial" w:hAnsi="Arial" w:cs="Arial"/>
          <w:color w:val="000000" w:themeColor="text1"/>
          <w:sz w:val="20"/>
          <w:szCs w:val="20"/>
        </w:rPr>
        <w:t>-</w:t>
      </w:r>
      <w:r w:rsidRPr="005F3664">
        <w:rPr>
          <w:rFonts w:ascii="Arial" w:hAnsi="Arial" w:cs="Arial"/>
          <w:color w:val="000000" w:themeColor="text1"/>
          <w:sz w:val="20"/>
          <w:szCs w:val="20"/>
        </w:rPr>
        <w:t>a strategy often termed allele conversion</w:t>
      </w:r>
      <w:r w:rsidR="005856F9" w:rsidRPr="005F3664">
        <w:rPr>
          <w:rFonts w:ascii="Arial" w:hAnsi="Arial" w:cs="Arial"/>
          <w:color w:val="000000" w:themeColor="text1"/>
          <w:sz w:val="20"/>
          <w:szCs w:val="20"/>
        </w:rPr>
        <w:t>-</w:t>
      </w:r>
      <w:r w:rsidRPr="005F3664">
        <w:rPr>
          <w:rFonts w:ascii="Arial" w:hAnsi="Arial" w:cs="Arial"/>
          <w:color w:val="000000" w:themeColor="text1"/>
          <w:sz w:val="20"/>
          <w:szCs w:val="20"/>
        </w:rPr>
        <w:t>allowing precise trait improvement without introducing foreign DNA sequences.</w:t>
      </w:r>
    </w:p>
    <w:p w14:paraId="6784E3F0" w14:textId="77777777" w:rsidR="00C233D8" w:rsidRPr="005F3664" w:rsidRDefault="00C233D8"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In horticultural crops, base editing has been deployed to confer herbicide tolerance through targeted modification of the ALS gene, modify anthocyanin pigmentation via ANT1 editing in tomato (Li et al., 2018), and engineer specific amino acid substitutions associated with enhanced disease resistance. The absence of stable foreign DNA in most base-edited products carries important regulatory implications, with several jurisdictions classifying such crops as equivalent to conventionally bred varieties when no exogenous sequences remain in the final product.</w:t>
      </w:r>
    </w:p>
    <w:p w14:paraId="7F8E2EBB" w14:textId="55A31E3B" w:rsidR="00C233D8" w:rsidRPr="005F3664" w:rsidRDefault="00C233D8" w:rsidP="00E53B33">
      <w:pPr>
        <w:spacing w:after="120" w:line="240" w:lineRule="auto"/>
        <w:jc w:val="both"/>
        <w:rPr>
          <w:rFonts w:ascii="Arial" w:hAnsi="Arial" w:cs="Arial"/>
          <w:b/>
          <w:bCs/>
          <w:color w:val="000000" w:themeColor="text1"/>
        </w:rPr>
      </w:pPr>
      <w:r w:rsidRPr="005F3664">
        <w:rPr>
          <w:rFonts w:ascii="Arial" w:hAnsi="Arial" w:cs="Arial"/>
          <w:b/>
          <w:bCs/>
          <w:color w:val="000000" w:themeColor="text1"/>
        </w:rPr>
        <w:t>5.4 Prime Editing</w:t>
      </w:r>
    </w:p>
    <w:p w14:paraId="0CA3B88B" w14:textId="77777777" w:rsidR="00C233D8" w:rsidRPr="005F3664" w:rsidRDefault="00C233D8"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Prime editing, introduced by Anzalone et al. (2019), further expands precision genome engineering capabilities by enabling all twelve possible base substitutions, as well as small insertions and deletions, without requiring DSBs or donor DNA templates. The system utilizes a prime editing guide RNA (</w:t>
      </w:r>
      <w:proofErr w:type="spellStart"/>
      <w:r w:rsidRPr="005F3664">
        <w:rPr>
          <w:rFonts w:ascii="Arial" w:hAnsi="Arial" w:cs="Arial"/>
          <w:color w:val="000000" w:themeColor="text1"/>
          <w:sz w:val="20"/>
          <w:szCs w:val="20"/>
        </w:rPr>
        <w:t>pegRNA</w:t>
      </w:r>
      <w:proofErr w:type="spellEnd"/>
      <w:r w:rsidRPr="005F3664">
        <w:rPr>
          <w:rFonts w:ascii="Arial" w:hAnsi="Arial" w:cs="Arial"/>
          <w:color w:val="000000" w:themeColor="text1"/>
          <w:sz w:val="20"/>
          <w:szCs w:val="20"/>
        </w:rPr>
        <w:t xml:space="preserve">) together with a Cas9 </w:t>
      </w:r>
      <w:proofErr w:type="spellStart"/>
      <w:r w:rsidRPr="005F3664">
        <w:rPr>
          <w:rFonts w:ascii="Arial" w:hAnsi="Arial" w:cs="Arial"/>
          <w:color w:val="000000" w:themeColor="text1"/>
          <w:sz w:val="20"/>
          <w:szCs w:val="20"/>
        </w:rPr>
        <w:t>nickase</w:t>
      </w:r>
      <w:proofErr w:type="spellEnd"/>
      <w:r w:rsidRPr="005F3664">
        <w:rPr>
          <w:rFonts w:ascii="Arial" w:hAnsi="Arial" w:cs="Arial"/>
          <w:color w:val="000000" w:themeColor="text1"/>
          <w:sz w:val="20"/>
          <w:szCs w:val="20"/>
        </w:rPr>
        <w:t xml:space="preserve"> fused to an engineered reverse transcriptase domain. This design reduces reliance on HDR pathways and mitigates off-target and large-scale genomic rearrangement risks associated with DSBs.</w:t>
      </w:r>
    </w:p>
    <w:p w14:paraId="0435207A" w14:textId="77CFD69B" w:rsidR="00C233D8" w:rsidRPr="005F3664" w:rsidRDefault="00C233D8"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Lin et al. (2020) reported heritable prime editing events in wheat and rice at efficiencies up to 6.4%. Subsequent optimization of prime editing configurations</w:t>
      </w:r>
      <w:r w:rsidR="005856F9" w:rsidRPr="005F3664">
        <w:rPr>
          <w:rFonts w:ascii="Arial" w:hAnsi="Arial" w:cs="Arial"/>
          <w:color w:val="000000" w:themeColor="text1"/>
          <w:sz w:val="20"/>
          <w:szCs w:val="20"/>
        </w:rPr>
        <w:t>-</w:t>
      </w:r>
      <w:r w:rsidRPr="005F3664">
        <w:rPr>
          <w:rFonts w:ascii="Arial" w:hAnsi="Arial" w:cs="Arial"/>
          <w:color w:val="000000" w:themeColor="text1"/>
          <w:sz w:val="20"/>
          <w:szCs w:val="20"/>
        </w:rPr>
        <w:t xml:space="preserve">including PE2, PE3, PE5, and </w:t>
      </w:r>
      <w:proofErr w:type="spellStart"/>
      <w:r w:rsidRPr="005F3664">
        <w:rPr>
          <w:rFonts w:ascii="Arial" w:hAnsi="Arial" w:cs="Arial"/>
          <w:color w:val="000000" w:themeColor="text1"/>
          <w:sz w:val="20"/>
          <w:szCs w:val="20"/>
        </w:rPr>
        <w:t>twinPE</w:t>
      </w:r>
      <w:proofErr w:type="spellEnd"/>
      <w:r w:rsidRPr="005F3664">
        <w:rPr>
          <w:rFonts w:ascii="Arial" w:hAnsi="Arial" w:cs="Arial"/>
          <w:color w:val="000000" w:themeColor="text1"/>
          <w:sz w:val="20"/>
          <w:szCs w:val="20"/>
        </w:rPr>
        <w:t xml:space="preserve"> systems</w:t>
      </w:r>
      <w:r w:rsidR="005856F9" w:rsidRPr="005F3664">
        <w:rPr>
          <w:rFonts w:ascii="Arial" w:hAnsi="Arial" w:cs="Arial"/>
          <w:color w:val="000000" w:themeColor="text1"/>
          <w:sz w:val="20"/>
          <w:szCs w:val="20"/>
        </w:rPr>
        <w:t>-</w:t>
      </w:r>
      <w:r w:rsidRPr="005F3664">
        <w:rPr>
          <w:rFonts w:ascii="Arial" w:hAnsi="Arial" w:cs="Arial"/>
          <w:color w:val="000000" w:themeColor="text1"/>
          <w:sz w:val="20"/>
          <w:szCs w:val="20"/>
        </w:rPr>
        <w:t>has progressively enhanced editing efficiency. Emerging applications in horticultural crops, including tomato, demonstrate promising potential for precise modification of quality and agronomic traits.</w:t>
      </w:r>
    </w:p>
    <w:p w14:paraId="052BA098" w14:textId="77777777" w:rsidR="00C233D8" w:rsidRPr="005F3664" w:rsidRDefault="00C233D8" w:rsidP="00E53B33">
      <w:pPr>
        <w:spacing w:after="120" w:line="240" w:lineRule="auto"/>
        <w:jc w:val="both"/>
        <w:rPr>
          <w:rFonts w:ascii="Arial" w:hAnsi="Arial" w:cs="Arial"/>
          <w:b/>
          <w:bCs/>
          <w:color w:val="000000" w:themeColor="text1"/>
          <w:sz w:val="24"/>
          <w:szCs w:val="24"/>
        </w:rPr>
      </w:pPr>
      <w:r w:rsidRPr="005F3664">
        <w:rPr>
          <w:rFonts w:ascii="Arial" w:hAnsi="Arial" w:cs="Arial"/>
          <w:b/>
          <w:bCs/>
          <w:color w:val="000000" w:themeColor="text1"/>
        </w:rPr>
        <w:lastRenderedPageBreak/>
        <w:t>5.5 Applications Across Horticultural Crops</w:t>
      </w:r>
    </w:p>
    <w:p w14:paraId="75BCAA80" w14:textId="77777777" w:rsidR="00C233D8" w:rsidRPr="005F3664" w:rsidRDefault="00C233D8"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Genome editing technologies have been applied across all major trait categories of commercial relevance in horticultural crops.</w:t>
      </w:r>
    </w:p>
    <w:p w14:paraId="61E5F50C" w14:textId="77777777" w:rsidR="00C233D8" w:rsidRPr="005F3664" w:rsidRDefault="00C233D8" w:rsidP="00E53B33">
      <w:pPr>
        <w:spacing w:after="120" w:line="240" w:lineRule="auto"/>
        <w:jc w:val="both"/>
        <w:rPr>
          <w:rFonts w:ascii="Arial" w:hAnsi="Arial" w:cs="Arial"/>
          <w:b/>
          <w:bCs/>
          <w:color w:val="000000" w:themeColor="text1"/>
          <w:sz w:val="20"/>
          <w:szCs w:val="20"/>
        </w:rPr>
      </w:pPr>
      <w:r w:rsidRPr="005F3664">
        <w:rPr>
          <w:rFonts w:ascii="Arial" w:hAnsi="Arial" w:cs="Arial"/>
          <w:b/>
          <w:bCs/>
          <w:color w:val="000000" w:themeColor="text1"/>
          <w:sz w:val="20"/>
          <w:szCs w:val="20"/>
        </w:rPr>
        <w:t>Fruit Quality and Shelf-Life</w:t>
      </w:r>
    </w:p>
    <w:p w14:paraId="0C564BBC" w14:textId="03E4B8FF" w:rsidR="00C233D8" w:rsidRPr="005F3664" w:rsidRDefault="00C233D8"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In tomato, CRISPR/Cas9-mediated disruption of cell wall-modifying enzyme genes (</w:t>
      </w:r>
      <w:proofErr w:type="spellStart"/>
      <w:r w:rsidRPr="005F3664">
        <w:rPr>
          <w:rFonts w:ascii="Arial" w:hAnsi="Arial" w:cs="Arial"/>
          <w:i/>
          <w:iCs/>
          <w:color w:val="000000" w:themeColor="text1"/>
          <w:sz w:val="20"/>
          <w:szCs w:val="20"/>
        </w:rPr>
        <w:t>SlPL</w:t>
      </w:r>
      <w:proofErr w:type="spellEnd"/>
      <w:r w:rsidRPr="005F3664">
        <w:rPr>
          <w:rFonts w:ascii="Arial" w:hAnsi="Arial" w:cs="Arial"/>
          <w:color w:val="000000" w:themeColor="text1"/>
          <w:sz w:val="20"/>
          <w:szCs w:val="20"/>
        </w:rPr>
        <w:t xml:space="preserve">, </w:t>
      </w:r>
      <w:proofErr w:type="spellStart"/>
      <w:r w:rsidRPr="005F3664">
        <w:rPr>
          <w:rFonts w:ascii="Arial" w:hAnsi="Arial" w:cs="Arial"/>
          <w:i/>
          <w:iCs/>
          <w:color w:val="000000" w:themeColor="text1"/>
          <w:sz w:val="20"/>
          <w:szCs w:val="20"/>
        </w:rPr>
        <w:t>SlPG</w:t>
      </w:r>
      <w:proofErr w:type="spellEnd"/>
      <w:r w:rsidRPr="005F3664">
        <w:rPr>
          <w:rFonts w:ascii="Arial" w:hAnsi="Arial" w:cs="Arial"/>
          <w:color w:val="000000" w:themeColor="text1"/>
          <w:sz w:val="20"/>
          <w:szCs w:val="20"/>
        </w:rPr>
        <w:t xml:space="preserve">, </w:t>
      </w:r>
      <w:r w:rsidRPr="005F3664">
        <w:rPr>
          <w:rFonts w:ascii="Arial" w:hAnsi="Arial" w:cs="Arial"/>
          <w:i/>
          <w:iCs/>
          <w:color w:val="000000" w:themeColor="text1"/>
          <w:sz w:val="20"/>
          <w:szCs w:val="20"/>
        </w:rPr>
        <w:t>SlExp1</w:t>
      </w:r>
      <w:r w:rsidRPr="005F3664">
        <w:rPr>
          <w:rFonts w:ascii="Arial" w:hAnsi="Arial" w:cs="Arial"/>
          <w:color w:val="000000" w:themeColor="text1"/>
          <w:sz w:val="20"/>
          <w:szCs w:val="20"/>
        </w:rPr>
        <w:t xml:space="preserve">) significantly reduced pectin degradation and delayed fruit softening, thereby extending post-harvest shelf life without adversely affecting </w:t>
      </w:r>
      <w:proofErr w:type="spellStart"/>
      <w:r w:rsidRPr="005F3664">
        <w:rPr>
          <w:rFonts w:ascii="Arial" w:hAnsi="Arial" w:cs="Arial"/>
          <w:color w:val="000000" w:themeColor="text1"/>
          <w:sz w:val="20"/>
          <w:szCs w:val="20"/>
        </w:rPr>
        <w:t>flavor</w:t>
      </w:r>
      <w:proofErr w:type="spellEnd"/>
      <w:r w:rsidRPr="005F3664">
        <w:rPr>
          <w:rFonts w:ascii="Arial" w:hAnsi="Arial" w:cs="Arial"/>
          <w:color w:val="000000" w:themeColor="text1"/>
          <w:sz w:val="20"/>
          <w:szCs w:val="20"/>
        </w:rPr>
        <w:t xml:space="preserve"> attributes</w:t>
      </w:r>
      <w:r w:rsidR="005856F9" w:rsidRPr="005F3664">
        <w:rPr>
          <w:rFonts w:ascii="Arial" w:hAnsi="Arial" w:cs="Arial"/>
          <w:color w:val="000000" w:themeColor="text1"/>
          <w:sz w:val="20"/>
          <w:szCs w:val="20"/>
        </w:rPr>
        <w:t>-</w:t>
      </w:r>
      <w:r w:rsidRPr="005F3664">
        <w:rPr>
          <w:rFonts w:ascii="Arial" w:hAnsi="Arial" w:cs="Arial"/>
          <w:color w:val="000000" w:themeColor="text1"/>
          <w:sz w:val="20"/>
          <w:szCs w:val="20"/>
        </w:rPr>
        <w:t>an outcome of high commercial significance for fresh-market supply chains (</w:t>
      </w:r>
      <w:proofErr w:type="spellStart"/>
      <w:r w:rsidRPr="005F3664">
        <w:rPr>
          <w:rFonts w:ascii="Arial" w:hAnsi="Arial" w:cs="Arial"/>
          <w:color w:val="000000" w:themeColor="text1"/>
          <w:sz w:val="20"/>
          <w:szCs w:val="20"/>
        </w:rPr>
        <w:t>Uluisik</w:t>
      </w:r>
      <w:proofErr w:type="spellEnd"/>
      <w:r w:rsidRPr="005F3664">
        <w:rPr>
          <w:rFonts w:ascii="Arial" w:hAnsi="Arial" w:cs="Arial"/>
          <w:color w:val="000000" w:themeColor="text1"/>
          <w:sz w:val="20"/>
          <w:szCs w:val="20"/>
        </w:rPr>
        <w:t xml:space="preserve"> et al., 2016).</w:t>
      </w:r>
    </w:p>
    <w:p w14:paraId="65A424C4" w14:textId="77777777" w:rsidR="00C233D8" w:rsidRPr="005F3664" w:rsidRDefault="00C233D8" w:rsidP="00E53B33">
      <w:pPr>
        <w:spacing w:after="120" w:line="240" w:lineRule="auto"/>
        <w:jc w:val="both"/>
        <w:rPr>
          <w:rFonts w:ascii="Arial" w:hAnsi="Arial" w:cs="Arial"/>
          <w:b/>
          <w:bCs/>
          <w:color w:val="000000" w:themeColor="text1"/>
          <w:sz w:val="20"/>
          <w:szCs w:val="20"/>
        </w:rPr>
      </w:pPr>
      <w:r w:rsidRPr="005F3664">
        <w:rPr>
          <w:rFonts w:ascii="Arial" w:hAnsi="Arial" w:cs="Arial"/>
          <w:b/>
          <w:bCs/>
          <w:color w:val="000000" w:themeColor="text1"/>
          <w:sz w:val="20"/>
          <w:szCs w:val="20"/>
        </w:rPr>
        <w:t>Disease Resistance</w:t>
      </w:r>
    </w:p>
    <w:p w14:paraId="1823FB97" w14:textId="55D73347" w:rsidR="00C233D8" w:rsidRPr="005F3664" w:rsidRDefault="00C233D8"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 xml:space="preserve">Editing plant susceptibility (S) genes exploited by pathogens offers a durable, race-nonspecific resistance strategy. In citrus, targeted disruption of </w:t>
      </w:r>
      <w:r w:rsidRPr="005F3664">
        <w:rPr>
          <w:rFonts w:ascii="Arial" w:hAnsi="Arial" w:cs="Arial"/>
          <w:i/>
          <w:iCs/>
          <w:color w:val="000000" w:themeColor="text1"/>
          <w:sz w:val="20"/>
          <w:szCs w:val="20"/>
        </w:rPr>
        <w:t>CsLOB1</w:t>
      </w:r>
      <w:r w:rsidRPr="005F3664">
        <w:rPr>
          <w:rFonts w:ascii="Arial" w:hAnsi="Arial" w:cs="Arial"/>
          <w:color w:val="000000" w:themeColor="text1"/>
          <w:sz w:val="20"/>
          <w:szCs w:val="20"/>
        </w:rPr>
        <w:t xml:space="preserve"> confers resistance to </w:t>
      </w:r>
      <w:r w:rsidRPr="005F3664">
        <w:rPr>
          <w:rFonts w:ascii="Arial" w:hAnsi="Arial" w:cs="Arial"/>
          <w:i/>
          <w:iCs/>
          <w:color w:val="000000" w:themeColor="text1"/>
          <w:sz w:val="20"/>
          <w:szCs w:val="20"/>
        </w:rPr>
        <w:t>Xanthomonas citri citri</w:t>
      </w:r>
      <w:r w:rsidRPr="005F3664">
        <w:rPr>
          <w:rFonts w:ascii="Arial" w:hAnsi="Arial" w:cs="Arial"/>
          <w:color w:val="000000" w:themeColor="text1"/>
          <w:sz w:val="20"/>
          <w:szCs w:val="20"/>
        </w:rPr>
        <w:t xml:space="preserve">-induced canker (Jia et al., 2017). Similarly, CRISPR-mediated editing of </w:t>
      </w:r>
      <w:r w:rsidRPr="005F3664">
        <w:rPr>
          <w:rFonts w:ascii="Arial" w:hAnsi="Arial" w:cs="Arial"/>
          <w:i/>
          <w:iCs/>
          <w:color w:val="000000" w:themeColor="text1"/>
          <w:sz w:val="20"/>
          <w:szCs w:val="20"/>
        </w:rPr>
        <w:t>VvMLO-7</w:t>
      </w:r>
      <w:r w:rsidRPr="005F3664">
        <w:rPr>
          <w:rFonts w:ascii="Arial" w:hAnsi="Arial" w:cs="Arial"/>
          <w:color w:val="000000" w:themeColor="text1"/>
          <w:sz w:val="20"/>
          <w:szCs w:val="20"/>
        </w:rPr>
        <w:t xml:space="preserve"> in grapevine provides broad-spectrum resistance to powdery mildew (</w:t>
      </w:r>
      <w:proofErr w:type="spellStart"/>
      <w:r w:rsidRPr="005F3664">
        <w:rPr>
          <w:rFonts w:ascii="Arial" w:hAnsi="Arial" w:cs="Arial"/>
          <w:color w:val="000000" w:themeColor="text1"/>
          <w:sz w:val="20"/>
          <w:szCs w:val="20"/>
        </w:rPr>
        <w:t>Malnoy</w:t>
      </w:r>
      <w:proofErr w:type="spellEnd"/>
      <w:r w:rsidRPr="005F3664">
        <w:rPr>
          <w:rFonts w:ascii="Arial" w:hAnsi="Arial" w:cs="Arial"/>
          <w:color w:val="000000" w:themeColor="text1"/>
          <w:sz w:val="20"/>
          <w:szCs w:val="20"/>
        </w:rPr>
        <w:t xml:space="preserve"> et al., 2016). These approaches reduce dependence on chemical control measures and enhance sustainability in perennial horticultural systems.</w:t>
      </w:r>
    </w:p>
    <w:p w14:paraId="377795B1" w14:textId="77777777" w:rsidR="00C233D8" w:rsidRPr="005F3664" w:rsidRDefault="00C233D8" w:rsidP="00E53B33">
      <w:pPr>
        <w:spacing w:after="120" w:line="240" w:lineRule="auto"/>
        <w:jc w:val="both"/>
        <w:rPr>
          <w:rFonts w:ascii="Arial" w:hAnsi="Arial" w:cs="Arial"/>
          <w:b/>
          <w:bCs/>
          <w:color w:val="000000" w:themeColor="text1"/>
          <w:sz w:val="20"/>
          <w:szCs w:val="20"/>
        </w:rPr>
      </w:pPr>
      <w:r w:rsidRPr="005F3664">
        <w:rPr>
          <w:rFonts w:ascii="Arial" w:hAnsi="Arial" w:cs="Arial"/>
          <w:b/>
          <w:bCs/>
          <w:color w:val="000000" w:themeColor="text1"/>
          <w:sz w:val="20"/>
          <w:szCs w:val="20"/>
        </w:rPr>
        <w:t>Nutritional Enhancement</w:t>
      </w:r>
    </w:p>
    <w:p w14:paraId="4D6EC2D3" w14:textId="4CB7C84F" w:rsidR="00C233D8" w:rsidRPr="005F3664" w:rsidRDefault="00C233D8"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 xml:space="preserve">CRISPR-based editing of </w:t>
      </w:r>
      <w:r w:rsidRPr="005F3664">
        <w:rPr>
          <w:rFonts w:ascii="Arial" w:hAnsi="Arial" w:cs="Arial"/>
          <w:i/>
          <w:iCs/>
          <w:color w:val="000000" w:themeColor="text1"/>
          <w:sz w:val="20"/>
          <w:szCs w:val="20"/>
        </w:rPr>
        <w:t>SlGAD2</w:t>
      </w:r>
      <w:r w:rsidRPr="005F3664">
        <w:rPr>
          <w:rFonts w:ascii="Arial" w:hAnsi="Arial" w:cs="Arial"/>
          <w:color w:val="000000" w:themeColor="text1"/>
          <w:sz w:val="20"/>
          <w:szCs w:val="20"/>
        </w:rPr>
        <w:t xml:space="preserve"> and </w:t>
      </w:r>
      <w:r w:rsidRPr="005F3664">
        <w:rPr>
          <w:rFonts w:ascii="Arial" w:hAnsi="Arial" w:cs="Arial"/>
          <w:i/>
          <w:iCs/>
          <w:color w:val="000000" w:themeColor="text1"/>
          <w:sz w:val="20"/>
          <w:szCs w:val="20"/>
        </w:rPr>
        <w:t>SlGAD3</w:t>
      </w:r>
      <w:r w:rsidRPr="005F3664">
        <w:rPr>
          <w:rFonts w:ascii="Arial" w:hAnsi="Arial" w:cs="Arial"/>
          <w:color w:val="000000" w:themeColor="text1"/>
          <w:sz w:val="20"/>
          <w:szCs w:val="20"/>
        </w:rPr>
        <w:t xml:space="preserve"> in tomato increased γ-aminobutyric acid (GABA) accumulation approximately five-fold. The resulting Sicilian Rouge High GABA tomato received regulatory approval and entered commercial sale in Japan in 2021, representing the first officially approved CRISPR-edited food product globally (Nonaka et al., 2017).</w:t>
      </w:r>
    </w:p>
    <w:p w14:paraId="2D34F5F1" w14:textId="77777777" w:rsidR="00C233D8" w:rsidRPr="005F3664" w:rsidRDefault="00C233D8" w:rsidP="00E53B33">
      <w:pPr>
        <w:spacing w:after="120" w:line="240" w:lineRule="auto"/>
        <w:jc w:val="both"/>
        <w:rPr>
          <w:rFonts w:ascii="Arial" w:hAnsi="Arial" w:cs="Arial"/>
          <w:b/>
          <w:bCs/>
          <w:color w:val="000000" w:themeColor="text1"/>
          <w:sz w:val="20"/>
          <w:szCs w:val="20"/>
        </w:rPr>
      </w:pPr>
      <w:r w:rsidRPr="005F3664">
        <w:rPr>
          <w:rFonts w:ascii="Arial" w:hAnsi="Arial" w:cs="Arial"/>
          <w:b/>
          <w:bCs/>
          <w:color w:val="000000" w:themeColor="text1"/>
          <w:sz w:val="20"/>
          <w:szCs w:val="20"/>
        </w:rPr>
        <w:t>De Novo Domestication</w:t>
      </w:r>
    </w:p>
    <w:p w14:paraId="63CBEE7F" w14:textId="3EB687CA" w:rsidR="00C233D8" w:rsidRPr="005F3664" w:rsidRDefault="00C233D8"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 xml:space="preserve">A landmark study by </w:t>
      </w:r>
      <w:proofErr w:type="spellStart"/>
      <w:r w:rsidRPr="005F3664">
        <w:rPr>
          <w:rFonts w:ascii="Arial" w:hAnsi="Arial" w:cs="Arial"/>
          <w:color w:val="000000" w:themeColor="text1"/>
          <w:sz w:val="20"/>
          <w:szCs w:val="20"/>
        </w:rPr>
        <w:t>Zsogon</w:t>
      </w:r>
      <w:proofErr w:type="spellEnd"/>
      <w:r w:rsidRPr="005F3664">
        <w:rPr>
          <w:rFonts w:ascii="Arial" w:hAnsi="Arial" w:cs="Arial"/>
          <w:color w:val="000000" w:themeColor="text1"/>
          <w:sz w:val="20"/>
          <w:szCs w:val="20"/>
        </w:rPr>
        <w:t xml:space="preserve"> et al. (2018) demonstrated the transformative potential of multiplex CRISPR editing for de novo domestication. Simultaneous editing of six loci (</w:t>
      </w:r>
      <w:r w:rsidRPr="005F3664">
        <w:rPr>
          <w:rFonts w:ascii="Arial" w:hAnsi="Arial" w:cs="Arial"/>
          <w:i/>
          <w:iCs/>
          <w:color w:val="000000" w:themeColor="text1"/>
          <w:sz w:val="20"/>
          <w:szCs w:val="20"/>
        </w:rPr>
        <w:t>SP</w:t>
      </w:r>
      <w:r w:rsidRPr="005F3664">
        <w:rPr>
          <w:rFonts w:ascii="Arial" w:hAnsi="Arial" w:cs="Arial"/>
          <w:color w:val="000000" w:themeColor="text1"/>
          <w:sz w:val="20"/>
          <w:szCs w:val="20"/>
        </w:rPr>
        <w:t xml:space="preserve">, </w:t>
      </w:r>
      <w:r w:rsidRPr="005F3664">
        <w:rPr>
          <w:rFonts w:ascii="Arial" w:hAnsi="Arial" w:cs="Arial"/>
          <w:i/>
          <w:iCs/>
          <w:color w:val="000000" w:themeColor="text1"/>
          <w:sz w:val="20"/>
          <w:szCs w:val="20"/>
        </w:rPr>
        <w:t>SP5G</w:t>
      </w:r>
      <w:r w:rsidRPr="005F3664">
        <w:rPr>
          <w:rFonts w:ascii="Arial" w:hAnsi="Arial" w:cs="Arial"/>
          <w:color w:val="000000" w:themeColor="text1"/>
          <w:sz w:val="20"/>
          <w:szCs w:val="20"/>
        </w:rPr>
        <w:t xml:space="preserve">, </w:t>
      </w:r>
      <w:r w:rsidRPr="005F3664">
        <w:rPr>
          <w:rFonts w:ascii="Arial" w:hAnsi="Arial" w:cs="Arial"/>
          <w:i/>
          <w:iCs/>
          <w:color w:val="000000" w:themeColor="text1"/>
          <w:sz w:val="20"/>
          <w:szCs w:val="20"/>
        </w:rPr>
        <w:t>CLV3</w:t>
      </w:r>
      <w:r w:rsidRPr="005F3664">
        <w:rPr>
          <w:rFonts w:ascii="Arial" w:hAnsi="Arial" w:cs="Arial"/>
          <w:color w:val="000000" w:themeColor="text1"/>
          <w:sz w:val="20"/>
          <w:szCs w:val="20"/>
        </w:rPr>
        <w:t xml:space="preserve">, </w:t>
      </w:r>
      <w:r w:rsidRPr="005F3664">
        <w:rPr>
          <w:rFonts w:ascii="Arial" w:hAnsi="Arial" w:cs="Arial"/>
          <w:i/>
          <w:iCs/>
          <w:color w:val="000000" w:themeColor="text1"/>
          <w:sz w:val="20"/>
          <w:szCs w:val="20"/>
        </w:rPr>
        <w:t>WUS</w:t>
      </w:r>
      <w:r w:rsidRPr="005F3664">
        <w:rPr>
          <w:rFonts w:ascii="Arial" w:hAnsi="Arial" w:cs="Arial"/>
          <w:color w:val="000000" w:themeColor="text1"/>
          <w:sz w:val="20"/>
          <w:szCs w:val="20"/>
        </w:rPr>
        <w:t xml:space="preserve">, </w:t>
      </w:r>
      <w:r w:rsidRPr="005F3664">
        <w:rPr>
          <w:rFonts w:ascii="Arial" w:hAnsi="Arial" w:cs="Arial"/>
          <w:i/>
          <w:iCs/>
          <w:color w:val="000000" w:themeColor="text1"/>
          <w:sz w:val="20"/>
          <w:szCs w:val="20"/>
        </w:rPr>
        <w:t>LIN5</w:t>
      </w:r>
      <w:r w:rsidRPr="005F3664">
        <w:rPr>
          <w:rFonts w:ascii="Arial" w:hAnsi="Arial" w:cs="Arial"/>
          <w:color w:val="000000" w:themeColor="text1"/>
          <w:sz w:val="20"/>
          <w:szCs w:val="20"/>
        </w:rPr>
        <w:t xml:space="preserve">, </w:t>
      </w:r>
      <w:r w:rsidRPr="005F3664">
        <w:rPr>
          <w:rFonts w:ascii="Arial" w:hAnsi="Arial" w:cs="Arial"/>
          <w:i/>
          <w:iCs/>
          <w:color w:val="000000" w:themeColor="text1"/>
          <w:sz w:val="20"/>
          <w:szCs w:val="20"/>
        </w:rPr>
        <w:t>MULT</w:t>
      </w:r>
      <w:r w:rsidRPr="005F3664">
        <w:rPr>
          <w:rFonts w:ascii="Arial" w:hAnsi="Arial" w:cs="Arial"/>
          <w:color w:val="000000" w:themeColor="text1"/>
          <w:sz w:val="20"/>
          <w:szCs w:val="20"/>
        </w:rPr>
        <w:t xml:space="preserve">) in the wild tomato species </w:t>
      </w:r>
      <w:r w:rsidRPr="005F3664">
        <w:rPr>
          <w:rFonts w:ascii="Arial" w:hAnsi="Arial" w:cs="Arial"/>
          <w:i/>
          <w:iCs/>
          <w:color w:val="000000" w:themeColor="text1"/>
          <w:sz w:val="20"/>
          <w:szCs w:val="20"/>
        </w:rPr>
        <w:t xml:space="preserve">Solanum </w:t>
      </w:r>
      <w:proofErr w:type="spellStart"/>
      <w:r w:rsidRPr="005F3664">
        <w:rPr>
          <w:rFonts w:ascii="Arial" w:hAnsi="Arial" w:cs="Arial"/>
          <w:i/>
          <w:iCs/>
          <w:color w:val="000000" w:themeColor="text1"/>
          <w:sz w:val="20"/>
          <w:szCs w:val="20"/>
        </w:rPr>
        <w:t>pimpinellifolium</w:t>
      </w:r>
      <w:proofErr w:type="spellEnd"/>
      <w:r w:rsidRPr="005F3664">
        <w:rPr>
          <w:rFonts w:ascii="Arial" w:hAnsi="Arial" w:cs="Arial"/>
          <w:color w:val="000000" w:themeColor="text1"/>
          <w:sz w:val="20"/>
          <w:szCs w:val="20"/>
        </w:rPr>
        <w:t xml:space="preserve"> generated domestication-like phenotypes</w:t>
      </w:r>
      <w:r w:rsidR="005856F9" w:rsidRPr="005F3664">
        <w:rPr>
          <w:rFonts w:ascii="Arial" w:hAnsi="Arial" w:cs="Arial"/>
          <w:color w:val="000000" w:themeColor="text1"/>
          <w:sz w:val="20"/>
          <w:szCs w:val="20"/>
        </w:rPr>
        <w:t>-</w:t>
      </w:r>
      <w:r w:rsidRPr="005F3664">
        <w:rPr>
          <w:rFonts w:ascii="Arial" w:hAnsi="Arial" w:cs="Arial"/>
          <w:color w:val="000000" w:themeColor="text1"/>
          <w:sz w:val="20"/>
          <w:szCs w:val="20"/>
        </w:rPr>
        <w:t>improved fruit size, architecture, and yield</w:t>
      </w:r>
      <w:r w:rsidR="005856F9" w:rsidRPr="005F3664">
        <w:rPr>
          <w:rFonts w:ascii="Arial" w:hAnsi="Arial" w:cs="Arial"/>
          <w:color w:val="000000" w:themeColor="text1"/>
          <w:sz w:val="20"/>
          <w:szCs w:val="20"/>
        </w:rPr>
        <w:t>-</w:t>
      </w:r>
      <w:r w:rsidRPr="005F3664">
        <w:rPr>
          <w:rFonts w:ascii="Arial" w:hAnsi="Arial" w:cs="Arial"/>
          <w:color w:val="000000" w:themeColor="text1"/>
          <w:sz w:val="20"/>
          <w:szCs w:val="20"/>
        </w:rPr>
        <w:t>while retaining superior disease resistance traits absent in modern commercial cultivars. This approach exemplifies how precision editing can unlock genetic diversity in wild crop relatives without the linkage drag associated with conventional introgression breeding.</w:t>
      </w:r>
    </w:p>
    <w:p w14:paraId="32413719" w14:textId="42640006" w:rsidR="003876C2" w:rsidRPr="005F3664" w:rsidRDefault="00EE50DD" w:rsidP="00E53B33">
      <w:pPr>
        <w:spacing w:before="240" w:after="80" w:line="240" w:lineRule="auto"/>
        <w:rPr>
          <w:rFonts w:ascii="Arial" w:hAnsi="Arial" w:cs="Arial"/>
        </w:rPr>
      </w:pPr>
      <w:r w:rsidRPr="005F3664">
        <w:rPr>
          <w:rFonts w:ascii="Arial" w:hAnsi="Arial" w:cs="Arial"/>
          <w:b/>
          <w:bCs/>
        </w:rPr>
        <w:t>Table 2. Genome Editing Applications in Horticultural Crops: Genes Targeted, Tools, and Outcomes</w:t>
      </w:r>
    </w:p>
    <w:tbl>
      <w:tblPr>
        <w:tblStyle w:val="TableGrid"/>
        <w:tblW w:w="9360" w:type="dxa"/>
        <w:tblLook w:val="0000" w:firstRow="0" w:lastRow="0" w:firstColumn="0" w:lastColumn="0" w:noHBand="0" w:noVBand="0"/>
      </w:tblPr>
      <w:tblGrid>
        <w:gridCol w:w="1295"/>
        <w:gridCol w:w="1572"/>
        <w:gridCol w:w="1573"/>
        <w:gridCol w:w="3272"/>
        <w:gridCol w:w="1648"/>
      </w:tblGrid>
      <w:tr w:rsidR="003876C2" w:rsidRPr="005F3664" w14:paraId="3A72FBF5" w14:textId="77777777" w:rsidTr="00831536">
        <w:tc>
          <w:tcPr>
            <w:tcW w:w="1199" w:type="dxa"/>
          </w:tcPr>
          <w:p w14:paraId="03E03C46" w14:textId="77777777" w:rsidR="003876C2" w:rsidRPr="005F3664" w:rsidRDefault="003876C2" w:rsidP="00E53B33">
            <w:pPr>
              <w:jc w:val="center"/>
              <w:rPr>
                <w:rFonts w:ascii="Arial" w:eastAsia="Times New Roman" w:hAnsi="Arial" w:cs="Arial"/>
                <w:color w:val="000000" w:themeColor="text1"/>
                <w:sz w:val="20"/>
                <w:szCs w:val="20"/>
                <w:lang w:eastAsia="en-IN"/>
              </w:rPr>
            </w:pPr>
            <w:r w:rsidRPr="005F3664">
              <w:rPr>
                <w:rFonts w:ascii="Arial" w:eastAsia="Times New Roman" w:hAnsi="Arial" w:cs="Arial"/>
                <w:b/>
                <w:bCs/>
                <w:color w:val="000000" w:themeColor="text1"/>
                <w:sz w:val="20"/>
                <w:szCs w:val="20"/>
                <w:lang w:eastAsia="en-IN"/>
              </w:rPr>
              <w:t>Crop</w:t>
            </w:r>
          </w:p>
        </w:tc>
        <w:tc>
          <w:tcPr>
            <w:tcW w:w="1593" w:type="dxa"/>
          </w:tcPr>
          <w:p w14:paraId="4C7504FF" w14:textId="77777777" w:rsidR="003876C2" w:rsidRPr="005F3664" w:rsidRDefault="003876C2" w:rsidP="00E53B33">
            <w:pPr>
              <w:jc w:val="center"/>
              <w:rPr>
                <w:rFonts w:ascii="Arial" w:eastAsia="Times New Roman" w:hAnsi="Arial" w:cs="Arial"/>
                <w:color w:val="000000" w:themeColor="text1"/>
                <w:sz w:val="20"/>
                <w:szCs w:val="20"/>
                <w:lang w:eastAsia="en-IN"/>
              </w:rPr>
            </w:pPr>
            <w:r w:rsidRPr="005F3664">
              <w:rPr>
                <w:rFonts w:ascii="Arial" w:eastAsia="Times New Roman" w:hAnsi="Arial" w:cs="Arial"/>
                <w:b/>
                <w:bCs/>
                <w:color w:val="000000" w:themeColor="text1"/>
                <w:sz w:val="20"/>
                <w:szCs w:val="20"/>
                <w:lang w:eastAsia="en-IN"/>
              </w:rPr>
              <w:t>Gene(s) Targeted</w:t>
            </w:r>
          </w:p>
        </w:tc>
        <w:tc>
          <w:tcPr>
            <w:tcW w:w="1367" w:type="dxa"/>
          </w:tcPr>
          <w:p w14:paraId="404D93FC" w14:textId="77777777" w:rsidR="003876C2" w:rsidRPr="005F3664" w:rsidRDefault="003876C2" w:rsidP="00E53B33">
            <w:pPr>
              <w:jc w:val="center"/>
              <w:rPr>
                <w:rFonts w:ascii="Arial" w:eastAsia="Times New Roman" w:hAnsi="Arial" w:cs="Arial"/>
                <w:color w:val="000000" w:themeColor="text1"/>
                <w:sz w:val="20"/>
                <w:szCs w:val="20"/>
                <w:lang w:eastAsia="en-IN"/>
              </w:rPr>
            </w:pPr>
            <w:r w:rsidRPr="005F3664">
              <w:rPr>
                <w:rFonts w:ascii="Arial" w:eastAsia="Times New Roman" w:hAnsi="Arial" w:cs="Arial"/>
                <w:b/>
                <w:bCs/>
                <w:color w:val="000000" w:themeColor="text1"/>
                <w:sz w:val="20"/>
                <w:szCs w:val="20"/>
                <w:lang w:eastAsia="en-IN"/>
              </w:rPr>
              <w:t>Editing Tool</w:t>
            </w:r>
          </w:p>
        </w:tc>
        <w:tc>
          <w:tcPr>
            <w:tcW w:w="3491" w:type="dxa"/>
          </w:tcPr>
          <w:p w14:paraId="7B331338" w14:textId="77777777" w:rsidR="003876C2" w:rsidRPr="005F3664" w:rsidRDefault="003876C2" w:rsidP="00E53B33">
            <w:pPr>
              <w:jc w:val="center"/>
              <w:rPr>
                <w:rFonts w:ascii="Arial" w:eastAsia="Times New Roman" w:hAnsi="Arial" w:cs="Arial"/>
                <w:color w:val="000000" w:themeColor="text1"/>
                <w:sz w:val="20"/>
                <w:szCs w:val="20"/>
                <w:lang w:eastAsia="en-IN"/>
              </w:rPr>
            </w:pPr>
            <w:r w:rsidRPr="005F3664">
              <w:rPr>
                <w:rFonts w:ascii="Arial" w:eastAsia="Times New Roman" w:hAnsi="Arial" w:cs="Arial"/>
                <w:b/>
                <w:bCs/>
                <w:color w:val="000000" w:themeColor="text1"/>
                <w:sz w:val="20"/>
                <w:szCs w:val="20"/>
                <w:lang w:eastAsia="en-IN"/>
              </w:rPr>
              <w:t>Trait / Biological Outcome</w:t>
            </w:r>
          </w:p>
        </w:tc>
        <w:tc>
          <w:tcPr>
            <w:tcW w:w="1710" w:type="dxa"/>
          </w:tcPr>
          <w:p w14:paraId="71754207" w14:textId="77777777" w:rsidR="003876C2" w:rsidRPr="005F3664" w:rsidRDefault="003876C2" w:rsidP="00E53B33">
            <w:pPr>
              <w:jc w:val="center"/>
              <w:rPr>
                <w:rFonts w:ascii="Arial" w:eastAsia="Times New Roman" w:hAnsi="Arial" w:cs="Arial"/>
                <w:color w:val="000000" w:themeColor="text1"/>
                <w:sz w:val="20"/>
                <w:szCs w:val="20"/>
                <w:lang w:eastAsia="en-IN"/>
              </w:rPr>
            </w:pPr>
            <w:r w:rsidRPr="005F3664">
              <w:rPr>
                <w:rFonts w:ascii="Arial" w:eastAsia="Times New Roman" w:hAnsi="Arial" w:cs="Arial"/>
                <w:b/>
                <w:bCs/>
                <w:color w:val="000000" w:themeColor="text1"/>
                <w:sz w:val="20"/>
                <w:szCs w:val="20"/>
                <w:lang w:eastAsia="en-IN"/>
              </w:rPr>
              <w:t>Reference</w:t>
            </w:r>
          </w:p>
        </w:tc>
      </w:tr>
      <w:tr w:rsidR="003876C2" w:rsidRPr="005F3664" w14:paraId="187F0D91" w14:textId="77777777" w:rsidTr="00831536">
        <w:tc>
          <w:tcPr>
            <w:tcW w:w="1199" w:type="dxa"/>
          </w:tcPr>
          <w:p w14:paraId="6838B1C1"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Tomato</w:t>
            </w:r>
          </w:p>
        </w:tc>
        <w:tc>
          <w:tcPr>
            <w:tcW w:w="1593" w:type="dxa"/>
          </w:tcPr>
          <w:p w14:paraId="62082B74" w14:textId="77777777" w:rsidR="003876C2" w:rsidRPr="005F3664" w:rsidRDefault="003876C2" w:rsidP="00E53B33">
            <w:pPr>
              <w:rPr>
                <w:rFonts w:ascii="Arial" w:eastAsia="Times New Roman" w:hAnsi="Arial" w:cs="Arial"/>
                <w:sz w:val="20"/>
                <w:szCs w:val="20"/>
                <w:lang w:eastAsia="en-IN"/>
              </w:rPr>
            </w:pPr>
            <w:proofErr w:type="spellStart"/>
            <w:r w:rsidRPr="005F3664">
              <w:rPr>
                <w:rFonts w:ascii="Arial" w:eastAsia="Times New Roman" w:hAnsi="Arial" w:cs="Arial"/>
                <w:sz w:val="20"/>
                <w:szCs w:val="20"/>
                <w:lang w:eastAsia="en-IN"/>
              </w:rPr>
              <w:t>SlPL</w:t>
            </w:r>
            <w:proofErr w:type="spellEnd"/>
            <w:r w:rsidRPr="005F3664">
              <w:rPr>
                <w:rFonts w:ascii="Arial" w:eastAsia="Times New Roman" w:hAnsi="Arial" w:cs="Arial"/>
                <w:sz w:val="20"/>
                <w:szCs w:val="20"/>
                <w:lang w:eastAsia="en-IN"/>
              </w:rPr>
              <w:t xml:space="preserve">, </w:t>
            </w:r>
            <w:proofErr w:type="spellStart"/>
            <w:r w:rsidRPr="005F3664">
              <w:rPr>
                <w:rFonts w:ascii="Arial" w:eastAsia="Times New Roman" w:hAnsi="Arial" w:cs="Arial"/>
                <w:sz w:val="20"/>
                <w:szCs w:val="20"/>
                <w:lang w:eastAsia="en-IN"/>
              </w:rPr>
              <w:t>SlPG</w:t>
            </w:r>
            <w:proofErr w:type="spellEnd"/>
            <w:r w:rsidRPr="005F3664">
              <w:rPr>
                <w:rFonts w:ascii="Arial" w:eastAsia="Times New Roman" w:hAnsi="Arial" w:cs="Arial"/>
                <w:sz w:val="20"/>
                <w:szCs w:val="20"/>
                <w:lang w:eastAsia="en-IN"/>
              </w:rPr>
              <w:t>, SlExp1</w:t>
            </w:r>
          </w:p>
        </w:tc>
        <w:tc>
          <w:tcPr>
            <w:tcW w:w="1367" w:type="dxa"/>
          </w:tcPr>
          <w:p w14:paraId="6E77E205"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CRISPR/Cas9</w:t>
            </w:r>
          </w:p>
        </w:tc>
        <w:tc>
          <w:tcPr>
            <w:tcW w:w="3491" w:type="dxa"/>
          </w:tcPr>
          <w:p w14:paraId="0826D4B4"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Reduced pectin degradation; extended shelf-life; fruit firmness retained post-harvest; no transgene in final lines</w:t>
            </w:r>
          </w:p>
        </w:tc>
        <w:tc>
          <w:tcPr>
            <w:tcW w:w="1710" w:type="dxa"/>
          </w:tcPr>
          <w:p w14:paraId="54BAACAB" w14:textId="77777777" w:rsidR="003876C2" w:rsidRPr="005F3664" w:rsidRDefault="003876C2" w:rsidP="00E53B33">
            <w:pPr>
              <w:rPr>
                <w:rFonts w:ascii="Arial" w:eastAsia="Times New Roman" w:hAnsi="Arial" w:cs="Arial"/>
                <w:sz w:val="20"/>
                <w:szCs w:val="20"/>
                <w:lang w:eastAsia="en-IN"/>
              </w:rPr>
            </w:pPr>
            <w:proofErr w:type="spellStart"/>
            <w:r w:rsidRPr="005F3664">
              <w:rPr>
                <w:rFonts w:ascii="Arial" w:eastAsia="Times New Roman" w:hAnsi="Arial" w:cs="Arial"/>
                <w:sz w:val="20"/>
                <w:szCs w:val="20"/>
                <w:lang w:eastAsia="en-IN"/>
              </w:rPr>
              <w:t>Uluisik</w:t>
            </w:r>
            <w:proofErr w:type="spellEnd"/>
            <w:r w:rsidRPr="005F3664">
              <w:rPr>
                <w:rFonts w:ascii="Arial" w:eastAsia="Times New Roman" w:hAnsi="Arial" w:cs="Arial"/>
                <w:sz w:val="20"/>
                <w:szCs w:val="20"/>
                <w:lang w:eastAsia="en-IN"/>
              </w:rPr>
              <w:t xml:space="preserve"> et al. (2016)</w:t>
            </w:r>
          </w:p>
        </w:tc>
      </w:tr>
      <w:tr w:rsidR="003876C2" w:rsidRPr="005F3664" w14:paraId="7B675DEB" w14:textId="77777777" w:rsidTr="00831536">
        <w:tc>
          <w:tcPr>
            <w:tcW w:w="1199" w:type="dxa"/>
          </w:tcPr>
          <w:p w14:paraId="5D38274D"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Tomato</w:t>
            </w:r>
          </w:p>
        </w:tc>
        <w:tc>
          <w:tcPr>
            <w:tcW w:w="1593" w:type="dxa"/>
          </w:tcPr>
          <w:p w14:paraId="4E489495"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SP5G, SP, CLV3, WUS, LIN5, MULT</w:t>
            </w:r>
          </w:p>
        </w:tc>
        <w:tc>
          <w:tcPr>
            <w:tcW w:w="1367" w:type="dxa"/>
          </w:tcPr>
          <w:p w14:paraId="5178E947"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CRISPR/Cas9 (multiplex)</w:t>
            </w:r>
          </w:p>
        </w:tc>
        <w:tc>
          <w:tcPr>
            <w:tcW w:w="3491" w:type="dxa"/>
          </w:tcPr>
          <w:p w14:paraId="269A17C5"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 xml:space="preserve">De novo domestication of wild S. </w:t>
            </w:r>
            <w:proofErr w:type="spellStart"/>
            <w:r w:rsidRPr="005F3664">
              <w:rPr>
                <w:rFonts w:ascii="Arial" w:eastAsia="Times New Roman" w:hAnsi="Arial" w:cs="Arial"/>
                <w:sz w:val="20"/>
                <w:szCs w:val="20"/>
                <w:lang w:eastAsia="en-IN"/>
              </w:rPr>
              <w:t>pimpinellifolium</w:t>
            </w:r>
            <w:proofErr w:type="spellEnd"/>
            <w:r w:rsidRPr="005F3664">
              <w:rPr>
                <w:rFonts w:ascii="Arial" w:eastAsia="Times New Roman" w:hAnsi="Arial" w:cs="Arial"/>
                <w:sz w:val="20"/>
                <w:szCs w:val="20"/>
                <w:lang w:eastAsia="en-IN"/>
              </w:rPr>
              <w:t>; improved yield, fruit size, lycopene while retaining disease resistance</w:t>
            </w:r>
          </w:p>
        </w:tc>
        <w:tc>
          <w:tcPr>
            <w:tcW w:w="1710" w:type="dxa"/>
          </w:tcPr>
          <w:p w14:paraId="008EA548" w14:textId="77777777" w:rsidR="003876C2" w:rsidRPr="005F3664" w:rsidRDefault="003876C2" w:rsidP="00E53B33">
            <w:pPr>
              <w:rPr>
                <w:rFonts w:ascii="Arial" w:eastAsia="Times New Roman" w:hAnsi="Arial" w:cs="Arial"/>
                <w:sz w:val="20"/>
                <w:szCs w:val="20"/>
                <w:lang w:eastAsia="en-IN"/>
              </w:rPr>
            </w:pPr>
            <w:proofErr w:type="spellStart"/>
            <w:r w:rsidRPr="005F3664">
              <w:rPr>
                <w:rFonts w:ascii="Arial" w:eastAsia="Times New Roman" w:hAnsi="Arial" w:cs="Arial"/>
                <w:sz w:val="20"/>
                <w:szCs w:val="20"/>
                <w:lang w:eastAsia="en-IN"/>
              </w:rPr>
              <w:t>Zsogon</w:t>
            </w:r>
            <w:proofErr w:type="spellEnd"/>
            <w:r w:rsidRPr="005F3664">
              <w:rPr>
                <w:rFonts w:ascii="Arial" w:eastAsia="Times New Roman" w:hAnsi="Arial" w:cs="Arial"/>
                <w:sz w:val="20"/>
                <w:szCs w:val="20"/>
                <w:lang w:eastAsia="en-IN"/>
              </w:rPr>
              <w:t xml:space="preserve"> et al. (2018)</w:t>
            </w:r>
          </w:p>
        </w:tc>
      </w:tr>
      <w:tr w:rsidR="003876C2" w:rsidRPr="005F3664" w14:paraId="214C59B0" w14:textId="77777777" w:rsidTr="00831536">
        <w:tc>
          <w:tcPr>
            <w:tcW w:w="1199" w:type="dxa"/>
          </w:tcPr>
          <w:p w14:paraId="478B0B5D"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Tomato</w:t>
            </w:r>
          </w:p>
        </w:tc>
        <w:tc>
          <w:tcPr>
            <w:tcW w:w="1593" w:type="dxa"/>
          </w:tcPr>
          <w:p w14:paraId="3C3FD211"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SlGAD2, SlGAD3</w:t>
            </w:r>
          </w:p>
        </w:tc>
        <w:tc>
          <w:tcPr>
            <w:tcW w:w="1367" w:type="dxa"/>
          </w:tcPr>
          <w:p w14:paraId="776AA380"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CRISPR/Cas9</w:t>
            </w:r>
          </w:p>
        </w:tc>
        <w:tc>
          <w:tcPr>
            <w:tcW w:w="3491" w:type="dxa"/>
          </w:tcPr>
          <w:p w14:paraId="510F50B9"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~5-fold increase in GABA; first CRISPR food approved and sold commercially in Japan (Sicilian Rouge High GABA, 2021)</w:t>
            </w:r>
          </w:p>
        </w:tc>
        <w:tc>
          <w:tcPr>
            <w:tcW w:w="1710" w:type="dxa"/>
          </w:tcPr>
          <w:p w14:paraId="5398A059"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Nonaka et al. (2017)</w:t>
            </w:r>
          </w:p>
        </w:tc>
      </w:tr>
      <w:tr w:rsidR="003876C2" w:rsidRPr="005F3664" w14:paraId="3391F029" w14:textId="77777777" w:rsidTr="00831536">
        <w:tc>
          <w:tcPr>
            <w:tcW w:w="1199" w:type="dxa"/>
          </w:tcPr>
          <w:p w14:paraId="0919893C"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Tomato</w:t>
            </w:r>
          </w:p>
        </w:tc>
        <w:tc>
          <w:tcPr>
            <w:tcW w:w="1593" w:type="dxa"/>
          </w:tcPr>
          <w:p w14:paraId="33B28389"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ANT1 (anthocyanin transporter)</w:t>
            </w:r>
          </w:p>
        </w:tc>
        <w:tc>
          <w:tcPr>
            <w:tcW w:w="1367" w:type="dxa"/>
          </w:tcPr>
          <w:p w14:paraId="626CF636"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Adenine base editor (ABE)</w:t>
            </w:r>
          </w:p>
        </w:tc>
        <w:tc>
          <w:tcPr>
            <w:tcW w:w="3491" w:type="dxa"/>
          </w:tcPr>
          <w:p w14:paraId="092E4E7C"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Purple-pigmented fruit; elevated anthocyanin levels; improved antioxidant profile without DSB or foreign DNA</w:t>
            </w:r>
          </w:p>
        </w:tc>
        <w:tc>
          <w:tcPr>
            <w:tcW w:w="1710" w:type="dxa"/>
          </w:tcPr>
          <w:p w14:paraId="5085AEDB"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Li et al. (2018)</w:t>
            </w:r>
          </w:p>
        </w:tc>
      </w:tr>
      <w:tr w:rsidR="003876C2" w:rsidRPr="005F3664" w14:paraId="7461D810" w14:textId="77777777" w:rsidTr="00831536">
        <w:tc>
          <w:tcPr>
            <w:tcW w:w="1199" w:type="dxa"/>
          </w:tcPr>
          <w:p w14:paraId="00B71E41"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Potato</w:t>
            </w:r>
          </w:p>
        </w:tc>
        <w:tc>
          <w:tcPr>
            <w:tcW w:w="1593" w:type="dxa"/>
          </w:tcPr>
          <w:p w14:paraId="0C10506D"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GBSS (granule-bound starch synthase)</w:t>
            </w:r>
          </w:p>
        </w:tc>
        <w:tc>
          <w:tcPr>
            <w:tcW w:w="1367" w:type="dxa"/>
          </w:tcPr>
          <w:p w14:paraId="68EA0A89"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CRISPR/Cas9 via protoplast</w:t>
            </w:r>
          </w:p>
        </w:tc>
        <w:tc>
          <w:tcPr>
            <w:tcW w:w="3491" w:type="dxa"/>
          </w:tcPr>
          <w:p w14:paraId="75A32429"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Complete amylose knockout; waxy starch phenotype; no stable transgene integration; regulatory non-GMO classification in EU</w:t>
            </w:r>
          </w:p>
        </w:tc>
        <w:tc>
          <w:tcPr>
            <w:tcW w:w="1710" w:type="dxa"/>
          </w:tcPr>
          <w:p w14:paraId="0EAF411E"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Andersson et al. (2017)</w:t>
            </w:r>
          </w:p>
        </w:tc>
      </w:tr>
      <w:tr w:rsidR="003876C2" w:rsidRPr="005F3664" w14:paraId="6DF6BD00" w14:textId="77777777" w:rsidTr="00831536">
        <w:tc>
          <w:tcPr>
            <w:tcW w:w="1199" w:type="dxa"/>
          </w:tcPr>
          <w:p w14:paraId="68AAD88B"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lastRenderedPageBreak/>
              <w:t>Potato</w:t>
            </w:r>
          </w:p>
        </w:tc>
        <w:tc>
          <w:tcPr>
            <w:tcW w:w="1593" w:type="dxa"/>
          </w:tcPr>
          <w:p w14:paraId="7D423AB6" w14:textId="77777777" w:rsidR="003876C2" w:rsidRPr="005F3664" w:rsidRDefault="003876C2" w:rsidP="00E53B33">
            <w:pPr>
              <w:rPr>
                <w:rFonts w:ascii="Arial" w:eastAsia="Times New Roman" w:hAnsi="Arial" w:cs="Arial"/>
                <w:sz w:val="20"/>
                <w:szCs w:val="20"/>
                <w:lang w:eastAsia="en-IN"/>
              </w:rPr>
            </w:pPr>
            <w:proofErr w:type="spellStart"/>
            <w:r w:rsidRPr="005F3664">
              <w:rPr>
                <w:rFonts w:ascii="Arial" w:eastAsia="Times New Roman" w:hAnsi="Arial" w:cs="Arial"/>
                <w:sz w:val="20"/>
                <w:szCs w:val="20"/>
                <w:lang w:eastAsia="en-IN"/>
              </w:rPr>
              <w:t>VInv</w:t>
            </w:r>
            <w:proofErr w:type="spellEnd"/>
            <w:r w:rsidRPr="005F3664">
              <w:rPr>
                <w:rFonts w:ascii="Arial" w:eastAsia="Times New Roman" w:hAnsi="Arial" w:cs="Arial"/>
                <w:sz w:val="20"/>
                <w:szCs w:val="20"/>
                <w:lang w:eastAsia="en-IN"/>
              </w:rPr>
              <w:t xml:space="preserve"> (</w:t>
            </w:r>
            <w:proofErr w:type="spellStart"/>
            <w:r w:rsidRPr="005F3664">
              <w:rPr>
                <w:rFonts w:ascii="Arial" w:eastAsia="Times New Roman" w:hAnsi="Arial" w:cs="Arial"/>
                <w:sz w:val="20"/>
                <w:szCs w:val="20"/>
                <w:lang w:eastAsia="en-IN"/>
              </w:rPr>
              <w:t>vacuolar</w:t>
            </w:r>
            <w:proofErr w:type="spellEnd"/>
            <w:r w:rsidRPr="005F3664">
              <w:rPr>
                <w:rFonts w:ascii="Arial" w:eastAsia="Times New Roman" w:hAnsi="Arial" w:cs="Arial"/>
                <w:sz w:val="20"/>
                <w:szCs w:val="20"/>
                <w:lang w:eastAsia="en-IN"/>
              </w:rPr>
              <w:t xml:space="preserve"> invertase)</w:t>
            </w:r>
          </w:p>
        </w:tc>
        <w:tc>
          <w:tcPr>
            <w:tcW w:w="1367" w:type="dxa"/>
          </w:tcPr>
          <w:p w14:paraId="70D35FBC"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CRISPR/Cas9</w:t>
            </w:r>
          </w:p>
        </w:tc>
        <w:tc>
          <w:tcPr>
            <w:tcW w:w="3491" w:type="dxa"/>
          </w:tcPr>
          <w:p w14:paraId="780CA6CE"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Reduced cold-induced glucose accumulation; lower acrylamide potential in processed products; improved chip colour</w:t>
            </w:r>
          </w:p>
        </w:tc>
        <w:tc>
          <w:tcPr>
            <w:tcW w:w="1710" w:type="dxa"/>
          </w:tcPr>
          <w:p w14:paraId="18682240"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Gonzalez et al. (2020)</w:t>
            </w:r>
          </w:p>
        </w:tc>
      </w:tr>
      <w:tr w:rsidR="003876C2" w:rsidRPr="005F3664" w14:paraId="6EE71F30" w14:textId="77777777" w:rsidTr="00831536">
        <w:tc>
          <w:tcPr>
            <w:tcW w:w="1199" w:type="dxa"/>
          </w:tcPr>
          <w:p w14:paraId="2DBD9B58"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Banana</w:t>
            </w:r>
          </w:p>
        </w:tc>
        <w:tc>
          <w:tcPr>
            <w:tcW w:w="1593" w:type="dxa"/>
          </w:tcPr>
          <w:p w14:paraId="5DFD39A3"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RGA2 (resistance gene analogue)</w:t>
            </w:r>
          </w:p>
        </w:tc>
        <w:tc>
          <w:tcPr>
            <w:tcW w:w="1367" w:type="dxa"/>
          </w:tcPr>
          <w:p w14:paraId="569904AB"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Agrobacterium + overexpression</w:t>
            </w:r>
          </w:p>
        </w:tc>
        <w:tc>
          <w:tcPr>
            <w:tcW w:w="3491" w:type="dxa"/>
          </w:tcPr>
          <w:p w14:paraId="475507E3"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 xml:space="preserve">Field resistance to Fusarium </w:t>
            </w:r>
            <w:proofErr w:type="spellStart"/>
            <w:r w:rsidRPr="005F3664">
              <w:rPr>
                <w:rFonts w:ascii="Arial" w:eastAsia="Times New Roman" w:hAnsi="Arial" w:cs="Arial"/>
                <w:sz w:val="20"/>
                <w:szCs w:val="20"/>
                <w:lang w:eastAsia="en-IN"/>
              </w:rPr>
              <w:t>oxysporum</w:t>
            </w:r>
            <w:proofErr w:type="spellEnd"/>
            <w:r w:rsidRPr="005F3664">
              <w:rPr>
                <w:rFonts w:ascii="Arial" w:eastAsia="Times New Roman" w:hAnsi="Arial" w:cs="Arial"/>
                <w:sz w:val="20"/>
                <w:szCs w:val="20"/>
                <w:lang w:eastAsia="en-IN"/>
              </w:rPr>
              <w:t xml:space="preserve"> </w:t>
            </w:r>
            <w:proofErr w:type="spellStart"/>
            <w:r w:rsidRPr="005F3664">
              <w:rPr>
                <w:rFonts w:ascii="Arial" w:eastAsia="Times New Roman" w:hAnsi="Arial" w:cs="Arial"/>
                <w:sz w:val="20"/>
                <w:szCs w:val="20"/>
                <w:lang w:eastAsia="en-IN"/>
              </w:rPr>
              <w:t>f.sp</w:t>
            </w:r>
            <w:proofErr w:type="spellEnd"/>
            <w:r w:rsidRPr="005F3664">
              <w:rPr>
                <w:rFonts w:ascii="Arial" w:eastAsia="Times New Roman" w:hAnsi="Arial" w:cs="Arial"/>
                <w:sz w:val="20"/>
                <w:szCs w:val="20"/>
                <w:lang w:eastAsia="en-IN"/>
              </w:rPr>
              <w:t xml:space="preserve">. </w:t>
            </w:r>
            <w:proofErr w:type="spellStart"/>
            <w:r w:rsidRPr="005F3664">
              <w:rPr>
                <w:rFonts w:ascii="Arial" w:eastAsia="Times New Roman" w:hAnsi="Arial" w:cs="Arial"/>
                <w:sz w:val="20"/>
                <w:szCs w:val="20"/>
                <w:lang w:eastAsia="en-IN"/>
              </w:rPr>
              <w:t>cubense</w:t>
            </w:r>
            <w:proofErr w:type="spellEnd"/>
            <w:r w:rsidRPr="005F3664">
              <w:rPr>
                <w:rFonts w:ascii="Arial" w:eastAsia="Times New Roman" w:hAnsi="Arial" w:cs="Arial"/>
                <w:sz w:val="20"/>
                <w:szCs w:val="20"/>
                <w:lang w:eastAsia="en-IN"/>
              </w:rPr>
              <w:t xml:space="preserve"> Tropical Race 4 over 5 seasons at infested site in Australia</w:t>
            </w:r>
          </w:p>
        </w:tc>
        <w:tc>
          <w:tcPr>
            <w:tcW w:w="1710" w:type="dxa"/>
          </w:tcPr>
          <w:p w14:paraId="241C5B4B"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Dale et al. (2017)</w:t>
            </w:r>
          </w:p>
        </w:tc>
      </w:tr>
      <w:tr w:rsidR="003876C2" w:rsidRPr="005F3664" w14:paraId="729240EB" w14:textId="77777777" w:rsidTr="00831536">
        <w:tc>
          <w:tcPr>
            <w:tcW w:w="1199" w:type="dxa"/>
          </w:tcPr>
          <w:p w14:paraId="33A47790"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Citrus</w:t>
            </w:r>
          </w:p>
        </w:tc>
        <w:tc>
          <w:tcPr>
            <w:tcW w:w="1593" w:type="dxa"/>
          </w:tcPr>
          <w:p w14:paraId="478BA45B"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CsLOB1 promoter (susceptibility gene)</w:t>
            </w:r>
          </w:p>
        </w:tc>
        <w:tc>
          <w:tcPr>
            <w:tcW w:w="1367" w:type="dxa"/>
          </w:tcPr>
          <w:p w14:paraId="532D171E"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CRISPR/Cas9</w:t>
            </w:r>
          </w:p>
        </w:tc>
        <w:tc>
          <w:tcPr>
            <w:tcW w:w="3491" w:type="dxa"/>
          </w:tcPr>
          <w:p w14:paraId="03DCAE7F"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 xml:space="preserve">Disruption of PthA4 effector binding site; resistance to Xanthomonas </w:t>
            </w:r>
            <w:proofErr w:type="spellStart"/>
            <w:r w:rsidRPr="005F3664">
              <w:rPr>
                <w:rFonts w:ascii="Arial" w:eastAsia="Times New Roman" w:hAnsi="Arial" w:cs="Arial"/>
                <w:sz w:val="20"/>
                <w:szCs w:val="20"/>
                <w:lang w:eastAsia="en-IN"/>
              </w:rPr>
              <w:t>citri</w:t>
            </w:r>
            <w:proofErr w:type="spellEnd"/>
            <w:r w:rsidRPr="005F3664">
              <w:rPr>
                <w:rFonts w:ascii="Arial" w:eastAsia="Times New Roman" w:hAnsi="Arial" w:cs="Arial"/>
                <w:sz w:val="20"/>
                <w:szCs w:val="20"/>
                <w:lang w:eastAsia="en-IN"/>
              </w:rPr>
              <w:t xml:space="preserve"> </w:t>
            </w:r>
            <w:proofErr w:type="spellStart"/>
            <w:r w:rsidRPr="005F3664">
              <w:rPr>
                <w:rFonts w:ascii="Arial" w:eastAsia="Times New Roman" w:hAnsi="Arial" w:cs="Arial"/>
                <w:sz w:val="20"/>
                <w:szCs w:val="20"/>
                <w:lang w:eastAsia="en-IN"/>
              </w:rPr>
              <w:t>citri</w:t>
            </w:r>
            <w:proofErr w:type="spellEnd"/>
            <w:r w:rsidRPr="005F3664">
              <w:rPr>
                <w:rFonts w:ascii="Arial" w:eastAsia="Times New Roman" w:hAnsi="Arial" w:cs="Arial"/>
                <w:sz w:val="20"/>
                <w:szCs w:val="20"/>
                <w:lang w:eastAsia="en-IN"/>
              </w:rPr>
              <w:t xml:space="preserve"> canker; no exogenous DNA in final plants</w:t>
            </w:r>
          </w:p>
        </w:tc>
        <w:tc>
          <w:tcPr>
            <w:tcW w:w="1710" w:type="dxa"/>
          </w:tcPr>
          <w:p w14:paraId="441EF463"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Jia et al. (2017)</w:t>
            </w:r>
          </w:p>
        </w:tc>
      </w:tr>
      <w:tr w:rsidR="003876C2" w:rsidRPr="005F3664" w14:paraId="5A5B6F61" w14:textId="77777777" w:rsidTr="00E1451C">
        <w:trPr>
          <w:trHeight w:val="796"/>
        </w:trPr>
        <w:tc>
          <w:tcPr>
            <w:tcW w:w="1199" w:type="dxa"/>
          </w:tcPr>
          <w:p w14:paraId="6FD17818"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Grapevine</w:t>
            </w:r>
          </w:p>
        </w:tc>
        <w:tc>
          <w:tcPr>
            <w:tcW w:w="1593" w:type="dxa"/>
          </w:tcPr>
          <w:p w14:paraId="51F93351"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VvMLO-7, VvWRKY52</w:t>
            </w:r>
          </w:p>
        </w:tc>
        <w:tc>
          <w:tcPr>
            <w:tcW w:w="1367" w:type="dxa"/>
          </w:tcPr>
          <w:p w14:paraId="60329B57"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CRISPR/Cas9 RNP (DNA-free)</w:t>
            </w:r>
          </w:p>
        </w:tc>
        <w:tc>
          <w:tcPr>
            <w:tcW w:w="3491" w:type="dxa"/>
          </w:tcPr>
          <w:p w14:paraId="107E4E8C"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 xml:space="preserve">Resistance to Erysiphe </w:t>
            </w:r>
            <w:proofErr w:type="spellStart"/>
            <w:r w:rsidRPr="005F3664">
              <w:rPr>
                <w:rFonts w:ascii="Arial" w:eastAsia="Times New Roman" w:hAnsi="Arial" w:cs="Arial"/>
                <w:sz w:val="20"/>
                <w:szCs w:val="20"/>
                <w:lang w:eastAsia="en-IN"/>
              </w:rPr>
              <w:t>necator</w:t>
            </w:r>
            <w:proofErr w:type="spellEnd"/>
            <w:r w:rsidRPr="005F3664">
              <w:rPr>
                <w:rFonts w:ascii="Arial" w:eastAsia="Times New Roman" w:hAnsi="Arial" w:cs="Arial"/>
                <w:sz w:val="20"/>
                <w:szCs w:val="20"/>
                <w:lang w:eastAsia="en-IN"/>
              </w:rPr>
              <w:t xml:space="preserve"> (powdery mildew) and Botrytis cinerea; regenerated from protoplast; no transgene detected</w:t>
            </w:r>
          </w:p>
        </w:tc>
        <w:tc>
          <w:tcPr>
            <w:tcW w:w="1710" w:type="dxa"/>
          </w:tcPr>
          <w:p w14:paraId="58980096" w14:textId="77777777" w:rsidR="003876C2" w:rsidRPr="005F3664" w:rsidRDefault="003876C2" w:rsidP="00E53B33">
            <w:pPr>
              <w:rPr>
                <w:rFonts w:ascii="Arial" w:eastAsia="Times New Roman" w:hAnsi="Arial" w:cs="Arial"/>
                <w:sz w:val="20"/>
                <w:szCs w:val="20"/>
                <w:lang w:eastAsia="en-IN"/>
              </w:rPr>
            </w:pPr>
            <w:proofErr w:type="spellStart"/>
            <w:r w:rsidRPr="005F3664">
              <w:rPr>
                <w:rFonts w:ascii="Arial" w:eastAsia="Times New Roman" w:hAnsi="Arial" w:cs="Arial"/>
                <w:sz w:val="20"/>
                <w:szCs w:val="20"/>
                <w:lang w:eastAsia="en-IN"/>
              </w:rPr>
              <w:t>Malnoy</w:t>
            </w:r>
            <w:proofErr w:type="spellEnd"/>
            <w:r w:rsidRPr="005F3664">
              <w:rPr>
                <w:rFonts w:ascii="Arial" w:eastAsia="Times New Roman" w:hAnsi="Arial" w:cs="Arial"/>
                <w:sz w:val="20"/>
                <w:szCs w:val="20"/>
                <w:lang w:eastAsia="en-IN"/>
              </w:rPr>
              <w:t xml:space="preserve"> et al. (2016)</w:t>
            </w:r>
          </w:p>
        </w:tc>
      </w:tr>
      <w:tr w:rsidR="003876C2" w:rsidRPr="005F3664" w14:paraId="37C49594" w14:textId="77777777" w:rsidTr="00831536">
        <w:tc>
          <w:tcPr>
            <w:tcW w:w="1199" w:type="dxa"/>
          </w:tcPr>
          <w:p w14:paraId="00CCC3DE"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Watermelon</w:t>
            </w:r>
          </w:p>
        </w:tc>
        <w:tc>
          <w:tcPr>
            <w:tcW w:w="1593" w:type="dxa"/>
          </w:tcPr>
          <w:p w14:paraId="4A82D724"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ClPSY1 (phytoene synthase)</w:t>
            </w:r>
          </w:p>
        </w:tc>
        <w:tc>
          <w:tcPr>
            <w:tcW w:w="1367" w:type="dxa"/>
          </w:tcPr>
          <w:p w14:paraId="18846276"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CRISPR/Cas9</w:t>
            </w:r>
          </w:p>
        </w:tc>
        <w:tc>
          <w:tcPr>
            <w:tcW w:w="3491" w:type="dxa"/>
          </w:tcPr>
          <w:p w14:paraId="29C21AC4"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Modified lycopene biosynthesis pathway; altered flesh colour; proof of concept for carotenoid pathway editing in cucurbits</w:t>
            </w:r>
          </w:p>
        </w:tc>
        <w:tc>
          <w:tcPr>
            <w:tcW w:w="1710" w:type="dxa"/>
          </w:tcPr>
          <w:p w14:paraId="16899923"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Tian et al. (2017)</w:t>
            </w:r>
          </w:p>
        </w:tc>
      </w:tr>
      <w:tr w:rsidR="003876C2" w:rsidRPr="005F3664" w14:paraId="63E129AF" w14:textId="77777777" w:rsidTr="00831536">
        <w:tc>
          <w:tcPr>
            <w:tcW w:w="1199" w:type="dxa"/>
          </w:tcPr>
          <w:p w14:paraId="0BAB1BA5"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Cucumber</w:t>
            </w:r>
          </w:p>
        </w:tc>
        <w:tc>
          <w:tcPr>
            <w:tcW w:w="1593" w:type="dxa"/>
          </w:tcPr>
          <w:p w14:paraId="3E504A5B"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CsGY3, CsBRC1</w:t>
            </w:r>
          </w:p>
        </w:tc>
        <w:tc>
          <w:tcPr>
            <w:tcW w:w="1367" w:type="dxa"/>
          </w:tcPr>
          <w:p w14:paraId="29414E7D"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CRISPR/Cas9</w:t>
            </w:r>
          </w:p>
        </w:tc>
        <w:tc>
          <w:tcPr>
            <w:tcW w:w="3491" w:type="dxa"/>
          </w:tcPr>
          <w:p w14:paraId="496CEB8C"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Modification of fruit shape (</w:t>
            </w:r>
            <w:proofErr w:type="spellStart"/>
            <w:r w:rsidRPr="005F3664">
              <w:rPr>
                <w:rFonts w:ascii="Arial" w:eastAsia="Times New Roman" w:hAnsi="Arial" w:cs="Arial"/>
                <w:sz w:val="20"/>
                <w:szCs w:val="20"/>
                <w:lang w:eastAsia="en-IN"/>
              </w:rPr>
              <w:t>gynoecious</w:t>
            </w:r>
            <w:proofErr w:type="spellEnd"/>
            <w:r w:rsidRPr="005F3664">
              <w:rPr>
                <w:rFonts w:ascii="Arial" w:eastAsia="Times New Roman" w:hAnsi="Arial" w:cs="Arial"/>
                <w:sz w:val="20"/>
                <w:szCs w:val="20"/>
                <w:lang w:eastAsia="en-IN"/>
              </w:rPr>
              <w:t xml:space="preserve"> trait) and lateral branching; non-transgenic lines regenerated from edited protoplasts</w:t>
            </w:r>
          </w:p>
        </w:tc>
        <w:tc>
          <w:tcPr>
            <w:tcW w:w="1710" w:type="dxa"/>
          </w:tcPr>
          <w:p w14:paraId="72954767"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Hu et al. (2017)</w:t>
            </w:r>
          </w:p>
        </w:tc>
      </w:tr>
    </w:tbl>
    <w:p w14:paraId="0991022E" w14:textId="27763E17" w:rsidR="003876C2" w:rsidRPr="005F3664" w:rsidRDefault="003876C2" w:rsidP="00E53B33">
      <w:pPr>
        <w:spacing w:after="120" w:line="240" w:lineRule="auto"/>
        <w:jc w:val="both"/>
        <w:rPr>
          <w:rFonts w:ascii="Arial" w:hAnsi="Arial" w:cs="Arial"/>
          <w:color w:val="000000" w:themeColor="text1"/>
          <w:sz w:val="28"/>
          <w:szCs w:val="28"/>
        </w:rPr>
      </w:pPr>
    </w:p>
    <w:p w14:paraId="7E38BE1C" w14:textId="1006EE6B" w:rsidR="00EE50DD" w:rsidRPr="005F3664" w:rsidRDefault="00EE50DD" w:rsidP="00E53B33">
      <w:pPr>
        <w:spacing w:after="120" w:line="240" w:lineRule="auto"/>
        <w:jc w:val="both"/>
        <w:rPr>
          <w:rFonts w:ascii="Arial" w:hAnsi="Arial" w:cs="Arial"/>
          <w:b/>
          <w:bCs/>
          <w:i/>
          <w:iCs/>
          <w:color w:val="000000" w:themeColor="text1"/>
          <w:sz w:val="20"/>
          <w:szCs w:val="20"/>
        </w:rPr>
      </w:pPr>
      <w:r w:rsidRPr="005F3664">
        <w:rPr>
          <w:rFonts w:ascii="Arial" w:hAnsi="Arial" w:cs="Arial"/>
          <w:i/>
          <w:iCs/>
          <w:color w:val="000000" w:themeColor="text1"/>
          <w:sz w:val="20"/>
          <w:szCs w:val="20"/>
        </w:rPr>
        <w:t>Table 2. Summary of peer-reviewed genome editing studies in horticultural crops, detailing target gene(s), editing system employed, biological outcome achieved, and primary reference. All entries represent published experimental studies; commercial deployment status varies by jurisdiction. CRISPR: clustered regularly interspaced short palindromic repeats; DSB: double-strand break; RNP: ribonucleoprotein; GABA: gamma-aminobutyric acid</w:t>
      </w:r>
      <w:r w:rsidRPr="005F3664">
        <w:rPr>
          <w:rFonts w:ascii="Arial" w:hAnsi="Arial" w:cs="Arial"/>
          <w:b/>
          <w:bCs/>
          <w:i/>
          <w:iCs/>
          <w:color w:val="000000" w:themeColor="text1"/>
          <w:sz w:val="20"/>
          <w:szCs w:val="20"/>
        </w:rPr>
        <w:t>.</w:t>
      </w:r>
    </w:p>
    <w:p w14:paraId="156D2C0A" w14:textId="77777777" w:rsidR="00F81250" w:rsidRPr="005F3664" w:rsidRDefault="00F81250" w:rsidP="00E53B33">
      <w:pPr>
        <w:spacing w:after="120" w:line="240" w:lineRule="auto"/>
        <w:jc w:val="both"/>
        <w:rPr>
          <w:rFonts w:ascii="Arial" w:hAnsi="Arial" w:cs="Arial"/>
          <w:b/>
          <w:bCs/>
          <w:color w:val="000000" w:themeColor="text1"/>
          <w:sz w:val="24"/>
          <w:szCs w:val="24"/>
        </w:rPr>
      </w:pPr>
    </w:p>
    <w:p w14:paraId="2C44609C" w14:textId="72AA96EE" w:rsidR="00F15F56" w:rsidRPr="005F3664" w:rsidRDefault="00F15F56" w:rsidP="00E53B33">
      <w:pPr>
        <w:spacing w:after="120" w:line="240" w:lineRule="auto"/>
        <w:jc w:val="both"/>
        <w:rPr>
          <w:rFonts w:ascii="Arial" w:hAnsi="Arial" w:cs="Arial"/>
          <w:b/>
          <w:bCs/>
          <w:color w:val="000000" w:themeColor="text1"/>
        </w:rPr>
      </w:pPr>
      <w:r w:rsidRPr="005F3664">
        <w:rPr>
          <w:rFonts w:ascii="Arial" w:hAnsi="Arial" w:cs="Arial"/>
          <w:b/>
          <w:bCs/>
          <w:color w:val="000000" w:themeColor="text1"/>
        </w:rPr>
        <w:t>6. Integration of Conventional and Modern Breeding Approaches</w:t>
      </w:r>
    </w:p>
    <w:p w14:paraId="563B13C4" w14:textId="77777777" w:rsidR="00F15F56" w:rsidRPr="005F3664" w:rsidRDefault="00F15F56"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 xml:space="preserve">The most effective contemporary horticultural breeding programs are those that strategically integrate complementary tools drawn from conventional, molecular, and genomic methodologies across all stages of the breeding cycle. The objective of such integration is to maximize genetic gain per unit time and per unit cost. This objective is conceptually grounded in the fundamental quantitative </w:t>
      </w:r>
      <w:proofErr w:type="gramStart"/>
      <w:r w:rsidRPr="005F3664">
        <w:rPr>
          <w:rFonts w:ascii="Arial" w:hAnsi="Arial" w:cs="Arial"/>
          <w:color w:val="000000" w:themeColor="text1"/>
          <w:sz w:val="20"/>
          <w:szCs w:val="20"/>
        </w:rPr>
        <w:t>genetics</w:t>
      </w:r>
      <w:proofErr w:type="gramEnd"/>
      <w:r w:rsidRPr="005F3664">
        <w:rPr>
          <w:rFonts w:ascii="Arial" w:hAnsi="Arial" w:cs="Arial"/>
          <w:color w:val="000000" w:themeColor="text1"/>
          <w:sz w:val="20"/>
          <w:szCs w:val="20"/>
        </w:rPr>
        <w:t xml:space="preserve"> equation:</w:t>
      </w:r>
    </w:p>
    <w:p w14:paraId="337230E7" w14:textId="77777777" w:rsidR="00F15F56" w:rsidRPr="005F3664" w:rsidRDefault="00F15F56"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ΔG/year=</w:t>
      </w:r>
      <w:proofErr w:type="spellStart"/>
      <w:r w:rsidRPr="005F3664">
        <w:rPr>
          <w:rFonts w:ascii="Arial" w:hAnsi="Arial" w:cs="Arial"/>
          <w:color w:val="000000" w:themeColor="text1"/>
          <w:sz w:val="20"/>
          <w:szCs w:val="20"/>
        </w:rPr>
        <w:t>i×r×σAL</w:t>
      </w:r>
      <w:proofErr w:type="spellEnd"/>
      <w:r w:rsidRPr="005F3664">
        <w:rPr>
          <w:rFonts w:ascii="Arial" w:hAnsi="Arial" w:cs="Arial"/>
          <w:color w:val="000000" w:themeColor="text1"/>
          <w:sz w:val="20"/>
          <w:szCs w:val="20"/>
        </w:rPr>
        <w:t>\Delta G/\text{year} = \</w:t>
      </w:r>
      <w:proofErr w:type="gramStart"/>
      <w:r w:rsidRPr="005F3664">
        <w:rPr>
          <w:rFonts w:ascii="Arial" w:hAnsi="Arial" w:cs="Arial"/>
          <w:color w:val="000000" w:themeColor="text1"/>
          <w:sz w:val="20"/>
          <w:szCs w:val="20"/>
        </w:rPr>
        <w:t>frac{</w:t>
      </w:r>
      <w:proofErr w:type="spellStart"/>
      <w:proofErr w:type="gramEnd"/>
      <w:r w:rsidRPr="005F3664">
        <w:rPr>
          <w:rFonts w:ascii="Arial" w:hAnsi="Arial" w:cs="Arial"/>
          <w:color w:val="000000" w:themeColor="text1"/>
          <w:sz w:val="20"/>
          <w:szCs w:val="20"/>
        </w:rPr>
        <w:t>i</w:t>
      </w:r>
      <w:proofErr w:type="spellEnd"/>
      <w:r w:rsidRPr="005F3664">
        <w:rPr>
          <w:rFonts w:ascii="Arial" w:hAnsi="Arial" w:cs="Arial"/>
          <w:color w:val="000000" w:themeColor="text1"/>
          <w:sz w:val="20"/>
          <w:szCs w:val="20"/>
        </w:rPr>
        <w:t xml:space="preserve"> \times r \times \</w:t>
      </w:r>
      <w:proofErr w:type="spellStart"/>
      <w:r w:rsidRPr="005F3664">
        <w:rPr>
          <w:rFonts w:ascii="Arial" w:hAnsi="Arial" w:cs="Arial"/>
          <w:color w:val="000000" w:themeColor="text1"/>
          <w:sz w:val="20"/>
          <w:szCs w:val="20"/>
        </w:rPr>
        <w:t>sigma_A</w:t>
      </w:r>
      <w:proofErr w:type="spellEnd"/>
      <w:r w:rsidRPr="005F3664">
        <w:rPr>
          <w:rFonts w:ascii="Arial" w:hAnsi="Arial" w:cs="Arial"/>
          <w:color w:val="000000" w:themeColor="text1"/>
          <w:sz w:val="20"/>
          <w:szCs w:val="20"/>
        </w:rPr>
        <w:t>}{L}ΔG/year=</w:t>
      </w:r>
      <w:proofErr w:type="spellStart"/>
      <w:r w:rsidRPr="005F3664">
        <w:rPr>
          <w:rFonts w:ascii="Arial" w:hAnsi="Arial" w:cs="Arial"/>
          <w:color w:val="000000" w:themeColor="text1"/>
          <w:sz w:val="20"/>
          <w:szCs w:val="20"/>
        </w:rPr>
        <w:t>Li×r×σA</w:t>
      </w:r>
      <w:proofErr w:type="spellEnd"/>
      <w:r w:rsidRPr="005F3664">
        <w:rPr>
          <w:rFonts w:ascii="Arial" w:hAnsi="Arial" w:cs="Arial"/>
          <w:color w:val="000000" w:themeColor="text1"/>
          <w:sz w:val="20"/>
          <w:szCs w:val="20"/>
        </w:rPr>
        <w:t xml:space="preserve">​​ </w:t>
      </w:r>
    </w:p>
    <w:p w14:paraId="3ECADA92" w14:textId="77777777" w:rsidR="00F15F56" w:rsidRPr="005F3664" w:rsidRDefault="00F15F56"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 xml:space="preserve">where </w:t>
      </w:r>
      <w:proofErr w:type="spellStart"/>
      <w:r w:rsidRPr="005F3664">
        <w:rPr>
          <w:rFonts w:ascii="Arial" w:hAnsi="Arial" w:cs="Arial"/>
          <w:i/>
          <w:iCs/>
          <w:color w:val="000000" w:themeColor="text1"/>
          <w:sz w:val="20"/>
          <w:szCs w:val="20"/>
        </w:rPr>
        <w:t>i</w:t>
      </w:r>
      <w:proofErr w:type="spellEnd"/>
      <w:r w:rsidRPr="005F3664">
        <w:rPr>
          <w:rFonts w:ascii="Arial" w:hAnsi="Arial" w:cs="Arial"/>
          <w:color w:val="000000" w:themeColor="text1"/>
          <w:sz w:val="20"/>
          <w:szCs w:val="20"/>
        </w:rPr>
        <w:t xml:space="preserve"> represents selection intensity, </w:t>
      </w:r>
      <w:r w:rsidRPr="005F3664">
        <w:rPr>
          <w:rFonts w:ascii="Arial" w:hAnsi="Arial" w:cs="Arial"/>
          <w:i/>
          <w:iCs/>
          <w:color w:val="000000" w:themeColor="text1"/>
          <w:sz w:val="20"/>
          <w:szCs w:val="20"/>
        </w:rPr>
        <w:t>r</w:t>
      </w:r>
      <w:r w:rsidRPr="005F3664">
        <w:rPr>
          <w:rFonts w:ascii="Arial" w:hAnsi="Arial" w:cs="Arial"/>
          <w:color w:val="000000" w:themeColor="text1"/>
          <w:sz w:val="20"/>
          <w:szCs w:val="20"/>
        </w:rPr>
        <w:t xml:space="preserve"> denotes selection accuracy, </w:t>
      </w:r>
      <w:r w:rsidRPr="005F3664">
        <w:rPr>
          <w:rFonts w:ascii="Arial" w:hAnsi="Arial" w:cs="Arial"/>
          <w:i/>
          <w:iCs/>
          <w:color w:val="000000" w:themeColor="text1"/>
          <w:sz w:val="20"/>
          <w:szCs w:val="20"/>
        </w:rPr>
        <w:t>σₐ</w:t>
      </w:r>
      <w:r w:rsidRPr="005F3664">
        <w:rPr>
          <w:rFonts w:ascii="Arial" w:hAnsi="Arial" w:cs="Arial"/>
          <w:color w:val="000000" w:themeColor="text1"/>
          <w:sz w:val="20"/>
          <w:szCs w:val="20"/>
        </w:rPr>
        <w:t xml:space="preserve"> is the additive genetic standard deviation, and </w:t>
      </w:r>
      <w:r w:rsidRPr="005F3664">
        <w:rPr>
          <w:rFonts w:ascii="Arial" w:hAnsi="Arial" w:cs="Arial"/>
          <w:i/>
          <w:iCs/>
          <w:color w:val="000000" w:themeColor="text1"/>
          <w:sz w:val="20"/>
          <w:szCs w:val="20"/>
        </w:rPr>
        <w:t>L</w:t>
      </w:r>
      <w:r w:rsidRPr="005F3664">
        <w:rPr>
          <w:rFonts w:ascii="Arial" w:hAnsi="Arial" w:cs="Arial"/>
          <w:color w:val="000000" w:themeColor="text1"/>
          <w:sz w:val="20"/>
          <w:szCs w:val="20"/>
        </w:rPr>
        <w:t xml:space="preserve"> is the generation interval.</w:t>
      </w:r>
    </w:p>
    <w:p w14:paraId="5393F170" w14:textId="5B73351A" w:rsidR="00F15F56" w:rsidRPr="005F3664" w:rsidRDefault="00F15F56"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Integrated breeding strategies simultaneously act on each component of this equation. Selection accuracy (</w:t>
      </w:r>
      <w:r w:rsidRPr="005F3664">
        <w:rPr>
          <w:rFonts w:ascii="Arial" w:hAnsi="Arial" w:cs="Arial"/>
          <w:i/>
          <w:iCs/>
          <w:color w:val="000000" w:themeColor="text1"/>
          <w:sz w:val="20"/>
          <w:szCs w:val="20"/>
        </w:rPr>
        <w:t>r</w:t>
      </w:r>
      <w:r w:rsidRPr="005F3664">
        <w:rPr>
          <w:rFonts w:ascii="Arial" w:hAnsi="Arial" w:cs="Arial"/>
          <w:color w:val="000000" w:themeColor="text1"/>
          <w:sz w:val="20"/>
          <w:szCs w:val="20"/>
        </w:rPr>
        <w:t>) is enhanced through genomic selection (GS) and marker-assisted selection (MAS); generation interval (</w:t>
      </w:r>
      <w:r w:rsidRPr="005F3664">
        <w:rPr>
          <w:rFonts w:ascii="Arial" w:hAnsi="Arial" w:cs="Arial"/>
          <w:i/>
          <w:iCs/>
          <w:color w:val="000000" w:themeColor="text1"/>
          <w:sz w:val="20"/>
          <w:szCs w:val="20"/>
        </w:rPr>
        <w:t>L</w:t>
      </w:r>
      <w:r w:rsidRPr="005F3664">
        <w:rPr>
          <w:rFonts w:ascii="Arial" w:hAnsi="Arial" w:cs="Arial"/>
          <w:color w:val="000000" w:themeColor="text1"/>
          <w:sz w:val="20"/>
          <w:szCs w:val="20"/>
        </w:rPr>
        <w:t>) is reduced via speed breeding and early-cycle genomic selection; additive genetic variance (</w:t>
      </w:r>
      <w:r w:rsidRPr="005F3664">
        <w:rPr>
          <w:rFonts w:ascii="Arial" w:hAnsi="Arial" w:cs="Arial"/>
          <w:i/>
          <w:iCs/>
          <w:color w:val="000000" w:themeColor="text1"/>
          <w:sz w:val="20"/>
          <w:szCs w:val="20"/>
        </w:rPr>
        <w:t>σₐ</w:t>
      </w:r>
      <w:r w:rsidRPr="005F3664">
        <w:rPr>
          <w:rFonts w:ascii="Arial" w:hAnsi="Arial" w:cs="Arial"/>
          <w:color w:val="000000" w:themeColor="text1"/>
          <w:sz w:val="20"/>
          <w:szCs w:val="20"/>
        </w:rPr>
        <w:t>) is maintained or expanded through systematic germplasm diversification and pre-breeding; and selection intensity (</w:t>
      </w:r>
      <w:proofErr w:type="spellStart"/>
      <w:r w:rsidRPr="005F3664">
        <w:rPr>
          <w:rFonts w:ascii="Arial" w:hAnsi="Arial" w:cs="Arial"/>
          <w:i/>
          <w:iCs/>
          <w:color w:val="000000" w:themeColor="text1"/>
          <w:sz w:val="20"/>
          <w:szCs w:val="20"/>
        </w:rPr>
        <w:t>i</w:t>
      </w:r>
      <w:proofErr w:type="spellEnd"/>
      <w:r w:rsidRPr="005F3664">
        <w:rPr>
          <w:rFonts w:ascii="Arial" w:hAnsi="Arial" w:cs="Arial"/>
          <w:color w:val="000000" w:themeColor="text1"/>
          <w:sz w:val="20"/>
          <w:szCs w:val="20"/>
        </w:rPr>
        <w:t>) is increased through high-throughput phenotyping platforms that permit evaluation of larger population sizes. Collectively, these coordinated interventions deliver realistic three- to five-fold increases in annual genetic gain compared with conventional phenotypic selection alone (Watson et al., 2018; Crossa et al., 2017).</w:t>
      </w:r>
    </w:p>
    <w:p w14:paraId="6DA22EB3" w14:textId="77777777" w:rsidR="00F15F56" w:rsidRPr="005F3664" w:rsidRDefault="00F15F56" w:rsidP="00E53B33">
      <w:pPr>
        <w:spacing w:after="120" w:line="240" w:lineRule="auto"/>
        <w:jc w:val="both"/>
        <w:rPr>
          <w:rFonts w:ascii="Arial" w:hAnsi="Arial" w:cs="Arial"/>
          <w:b/>
          <w:bCs/>
          <w:color w:val="000000" w:themeColor="text1"/>
        </w:rPr>
      </w:pPr>
      <w:r w:rsidRPr="005F3664">
        <w:rPr>
          <w:rFonts w:ascii="Arial" w:hAnsi="Arial" w:cs="Arial"/>
          <w:b/>
          <w:bCs/>
          <w:color w:val="000000" w:themeColor="text1"/>
        </w:rPr>
        <w:t>6.1 Pre-Breeding as a Strategic Interface</w:t>
      </w:r>
    </w:p>
    <w:p w14:paraId="01E68124" w14:textId="1C51CE3C" w:rsidR="00F15F56" w:rsidRPr="005F3664" w:rsidRDefault="00F15F56"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Pre-breeding</w:t>
      </w:r>
      <w:r w:rsidR="00CF2F22" w:rsidRPr="005F3664">
        <w:rPr>
          <w:rFonts w:ascii="Arial" w:hAnsi="Arial" w:cs="Arial"/>
          <w:color w:val="000000" w:themeColor="text1"/>
          <w:sz w:val="20"/>
          <w:szCs w:val="20"/>
        </w:rPr>
        <w:t>-</w:t>
      </w:r>
      <w:r w:rsidRPr="005F3664">
        <w:rPr>
          <w:rFonts w:ascii="Arial" w:hAnsi="Arial" w:cs="Arial"/>
          <w:color w:val="000000" w:themeColor="text1"/>
          <w:sz w:val="20"/>
          <w:szCs w:val="20"/>
        </w:rPr>
        <w:t>the systematic identification, characterization, and genetic adaptation of alleles from wild relatives and landraces into forms suitable for mainstream breeding</w:t>
      </w:r>
      <w:r w:rsidR="00CF2F22" w:rsidRPr="005F3664">
        <w:rPr>
          <w:rFonts w:ascii="Arial" w:hAnsi="Arial" w:cs="Arial"/>
          <w:color w:val="000000" w:themeColor="text1"/>
          <w:sz w:val="20"/>
          <w:szCs w:val="20"/>
        </w:rPr>
        <w:t>-</w:t>
      </w:r>
      <w:r w:rsidRPr="005F3664">
        <w:rPr>
          <w:rFonts w:ascii="Arial" w:hAnsi="Arial" w:cs="Arial"/>
          <w:color w:val="000000" w:themeColor="text1"/>
          <w:sz w:val="20"/>
          <w:szCs w:val="20"/>
        </w:rPr>
        <w:t xml:space="preserve">represents a critical interface between conventional and genomic methodologies. While conventional wide crosses historically </w:t>
      </w:r>
      <w:r w:rsidRPr="005F3664">
        <w:rPr>
          <w:rFonts w:ascii="Arial" w:hAnsi="Arial" w:cs="Arial"/>
          <w:color w:val="000000" w:themeColor="text1"/>
          <w:sz w:val="20"/>
          <w:szCs w:val="20"/>
        </w:rPr>
        <w:lastRenderedPageBreak/>
        <w:t>facilitated access to exotic diversity, they were constrained by linkage drag and imprecise genome segment introgression.</w:t>
      </w:r>
    </w:p>
    <w:p w14:paraId="02F4FC27" w14:textId="77777777" w:rsidR="00F15F56" w:rsidRPr="005F3664" w:rsidRDefault="00F15F56"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 xml:space="preserve">Modern genomic tools, including genome-wide association studies (GWAS) and pan-genomic analyses, now enable precise identification of </w:t>
      </w:r>
      <w:proofErr w:type="spellStart"/>
      <w:r w:rsidRPr="005F3664">
        <w:rPr>
          <w:rFonts w:ascii="Arial" w:hAnsi="Arial" w:cs="Arial"/>
          <w:color w:val="000000" w:themeColor="text1"/>
          <w:sz w:val="20"/>
          <w:szCs w:val="20"/>
        </w:rPr>
        <w:t>favorable</w:t>
      </w:r>
      <w:proofErr w:type="spellEnd"/>
      <w:r w:rsidRPr="005F3664">
        <w:rPr>
          <w:rFonts w:ascii="Arial" w:hAnsi="Arial" w:cs="Arial"/>
          <w:color w:val="000000" w:themeColor="text1"/>
          <w:sz w:val="20"/>
          <w:szCs w:val="20"/>
        </w:rPr>
        <w:t xml:space="preserve"> alleles within pre-breeding populations. These alleles can be </w:t>
      </w:r>
      <w:proofErr w:type="spellStart"/>
      <w:r w:rsidRPr="005F3664">
        <w:rPr>
          <w:rFonts w:ascii="Arial" w:hAnsi="Arial" w:cs="Arial"/>
          <w:color w:val="000000" w:themeColor="text1"/>
          <w:sz w:val="20"/>
          <w:szCs w:val="20"/>
        </w:rPr>
        <w:t>introgressed</w:t>
      </w:r>
      <w:proofErr w:type="spellEnd"/>
      <w:r w:rsidRPr="005F3664">
        <w:rPr>
          <w:rFonts w:ascii="Arial" w:hAnsi="Arial" w:cs="Arial"/>
          <w:color w:val="000000" w:themeColor="text1"/>
          <w:sz w:val="20"/>
          <w:szCs w:val="20"/>
        </w:rPr>
        <w:t xml:space="preserve"> into elite germplasm through marker-assisted backcrossing (MABC) with greatly improved precision relative to traditional wide-cross approaches.</w:t>
      </w:r>
    </w:p>
    <w:p w14:paraId="6499ACBE" w14:textId="42535FE1" w:rsidR="00F15F56" w:rsidRPr="005F3664" w:rsidRDefault="00F15F56"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Genome editing further strengthens this integration. Once beneficial alleles are identified through GWAS or pan-genomic analysis, precise sequence modifications can be introduced directly into elite backgrounds without extensive backcrossing. This strategy</w:t>
      </w:r>
      <w:r w:rsidR="00CF2F22" w:rsidRPr="005F3664">
        <w:rPr>
          <w:rFonts w:ascii="Arial" w:hAnsi="Arial" w:cs="Arial"/>
          <w:color w:val="000000" w:themeColor="text1"/>
          <w:sz w:val="20"/>
          <w:szCs w:val="20"/>
        </w:rPr>
        <w:t>-</w:t>
      </w:r>
      <w:r w:rsidRPr="005F3664">
        <w:rPr>
          <w:rFonts w:ascii="Arial" w:hAnsi="Arial" w:cs="Arial"/>
          <w:color w:val="000000" w:themeColor="text1"/>
          <w:sz w:val="20"/>
          <w:szCs w:val="20"/>
        </w:rPr>
        <w:t>sometimes described as genomic editing of elite germplasm</w:t>
      </w:r>
      <w:r w:rsidR="00CF2F22" w:rsidRPr="005F3664">
        <w:rPr>
          <w:rFonts w:ascii="Arial" w:hAnsi="Arial" w:cs="Arial"/>
          <w:color w:val="000000" w:themeColor="text1"/>
          <w:sz w:val="20"/>
          <w:szCs w:val="20"/>
        </w:rPr>
        <w:t>-</w:t>
      </w:r>
      <w:r w:rsidRPr="005F3664">
        <w:rPr>
          <w:rFonts w:ascii="Arial" w:hAnsi="Arial" w:cs="Arial"/>
          <w:color w:val="000000" w:themeColor="text1"/>
          <w:sz w:val="20"/>
          <w:szCs w:val="20"/>
        </w:rPr>
        <w:t>has the potential to compress conventional 10</w:t>
      </w:r>
      <w:r w:rsidR="00195BC2">
        <w:rPr>
          <w:rFonts w:ascii="Arial" w:hAnsi="Arial" w:cs="Arial"/>
          <w:color w:val="000000" w:themeColor="text1"/>
          <w:sz w:val="20"/>
          <w:szCs w:val="20"/>
        </w:rPr>
        <w:t>-</w:t>
      </w:r>
      <w:r w:rsidRPr="005F3664">
        <w:rPr>
          <w:rFonts w:ascii="Arial" w:hAnsi="Arial" w:cs="Arial"/>
          <w:color w:val="000000" w:themeColor="text1"/>
          <w:sz w:val="20"/>
          <w:szCs w:val="20"/>
        </w:rPr>
        <w:t>15-year backcross programs into a single transformation and selection cycle, substantially accelerating cultivar development.</w:t>
      </w:r>
    </w:p>
    <w:p w14:paraId="4AC5996E" w14:textId="77777777" w:rsidR="00F81250" w:rsidRPr="005F3664" w:rsidRDefault="00F81250" w:rsidP="00E53B33">
      <w:pPr>
        <w:spacing w:after="120" w:line="240" w:lineRule="auto"/>
        <w:jc w:val="both"/>
        <w:rPr>
          <w:rFonts w:ascii="Arial" w:hAnsi="Arial" w:cs="Arial"/>
          <w:b/>
          <w:bCs/>
          <w:color w:val="000000" w:themeColor="text1"/>
          <w:sz w:val="24"/>
          <w:szCs w:val="24"/>
        </w:rPr>
      </w:pPr>
    </w:p>
    <w:p w14:paraId="2F7DE7CD" w14:textId="77777777" w:rsidR="00F81250" w:rsidRPr="005F3664" w:rsidRDefault="00F81250" w:rsidP="00E53B33">
      <w:pPr>
        <w:spacing w:after="120" w:line="240" w:lineRule="auto"/>
        <w:jc w:val="both"/>
        <w:rPr>
          <w:rFonts w:ascii="Arial" w:hAnsi="Arial" w:cs="Arial"/>
          <w:b/>
          <w:bCs/>
          <w:color w:val="000000" w:themeColor="text1"/>
          <w:sz w:val="24"/>
          <w:szCs w:val="24"/>
        </w:rPr>
      </w:pPr>
    </w:p>
    <w:p w14:paraId="7684D386" w14:textId="64CD352D" w:rsidR="00F15F56" w:rsidRPr="005F3664" w:rsidRDefault="00F15F56" w:rsidP="00E53B33">
      <w:pPr>
        <w:spacing w:after="120" w:line="240" w:lineRule="auto"/>
        <w:jc w:val="both"/>
        <w:rPr>
          <w:rFonts w:ascii="Arial" w:hAnsi="Arial" w:cs="Arial"/>
          <w:b/>
          <w:bCs/>
          <w:color w:val="000000" w:themeColor="text1"/>
        </w:rPr>
      </w:pPr>
      <w:r w:rsidRPr="005F3664">
        <w:rPr>
          <w:rFonts w:ascii="Arial" w:hAnsi="Arial" w:cs="Arial"/>
          <w:b/>
          <w:bCs/>
          <w:color w:val="000000" w:themeColor="text1"/>
        </w:rPr>
        <w:t>6.2 Digital Breeding and Artificial Intelligence</w:t>
      </w:r>
    </w:p>
    <w:p w14:paraId="60B3B5E3" w14:textId="77777777" w:rsidR="00F15F56" w:rsidRPr="005F3664" w:rsidRDefault="00F15F56"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Digital breeding platforms are emerging as foundational infrastructure for fully integrated breeding programs. These systems integrate genotypic and phenotypic databases, manage crossing schemes, execute genomic selection model training, generate genomic estimated breeding values (GEBVs), and interface with regulatory and variety registration frameworks.</w:t>
      </w:r>
    </w:p>
    <w:p w14:paraId="6955A931" w14:textId="77777777" w:rsidR="00F15F56" w:rsidRPr="005F3664" w:rsidRDefault="00F15F56"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Artificial intelligence (AI) and machine learning algorithms are increasingly embedded within these platforms. Applications include:</w:t>
      </w:r>
    </w:p>
    <w:p w14:paraId="1648B3F1" w14:textId="77777777" w:rsidR="00F15F56" w:rsidRPr="005F3664" w:rsidRDefault="00F15F56" w:rsidP="00E53B33">
      <w:pPr>
        <w:numPr>
          <w:ilvl w:val="0"/>
          <w:numId w:val="2"/>
        </w:num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Automated phenotypic trait extraction from RGB, multispectral, hyperspectral, and thermal imagery</w:t>
      </w:r>
    </w:p>
    <w:p w14:paraId="7E2BD0AE" w14:textId="77777777" w:rsidR="00F15F56" w:rsidRPr="005F3664" w:rsidRDefault="00F15F56" w:rsidP="00E53B33">
      <w:pPr>
        <w:numPr>
          <w:ilvl w:val="0"/>
          <w:numId w:val="2"/>
        </w:num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Optimization of genomic prediction models across multi-environment trials</w:t>
      </w:r>
    </w:p>
    <w:p w14:paraId="71F1A2E3" w14:textId="77777777" w:rsidR="00F15F56" w:rsidRPr="005F3664" w:rsidRDefault="00F15F56" w:rsidP="00E53B33">
      <w:pPr>
        <w:numPr>
          <w:ilvl w:val="0"/>
          <w:numId w:val="2"/>
        </w:num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sgRNA design optimization for genome editing applications</w:t>
      </w:r>
    </w:p>
    <w:p w14:paraId="5E02CC15" w14:textId="77777777" w:rsidR="00F15F56" w:rsidRPr="005F3664" w:rsidRDefault="00F15F56" w:rsidP="00E53B33">
      <w:pPr>
        <w:numPr>
          <w:ilvl w:val="0"/>
          <w:numId w:val="2"/>
        </w:num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 xml:space="preserve">Predictive </w:t>
      </w:r>
      <w:proofErr w:type="spellStart"/>
      <w:r w:rsidRPr="005F3664">
        <w:rPr>
          <w:rFonts w:ascii="Arial" w:hAnsi="Arial" w:cs="Arial"/>
          <w:color w:val="000000" w:themeColor="text1"/>
          <w:sz w:val="20"/>
          <w:szCs w:val="20"/>
        </w:rPr>
        <w:t>modeling</w:t>
      </w:r>
      <w:proofErr w:type="spellEnd"/>
      <w:r w:rsidRPr="005F3664">
        <w:rPr>
          <w:rFonts w:ascii="Arial" w:hAnsi="Arial" w:cs="Arial"/>
          <w:color w:val="000000" w:themeColor="text1"/>
          <w:sz w:val="20"/>
          <w:szCs w:val="20"/>
        </w:rPr>
        <w:t xml:space="preserve"> of genotype-by-environment (G×E) interactions</w:t>
      </w:r>
    </w:p>
    <w:p w14:paraId="2C5C37F1" w14:textId="77777777" w:rsidR="00F15F56" w:rsidRPr="005F3664" w:rsidRDefault="00F15F56" w:rsidP="00E53B33">
      <w:pPr>
        <w:numPr>
          <w:ilvl w:val="0"/>
          <w:numId w:val="2"/>
        </w:num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Simulation-based crossing scheme optimization</w:t>
      </w:r>
    </w:p>
    <w:p w14:paraId="317AE48C" w14:textId="6DC90347" w:rsidR="00F15F56" w:rsidRPr="005F3664" w:rsidRDefault="00F15F56"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Deep learning approaches applied to high-resolution image datasets are now routinely used in well-resourced breeding programs for automated scoring of fruit quality parameters, disease severity, plant architecture, and canopy structure (Araus et al., 2018). These developments substantially increase efficiency, scalability, and data-driven decision-making throughout the breeding cycle.</w:t>
      </w:r>
    </w:p>
    <w:p w14:paraId="529E91FF" w14:textId="77777777" w:rsidR="00F15F56" w:rsidRPr="005F3664" w:rsidRDefault="00F15F56" w:rsidP="00E53B33">
      <w:pPr>
        <w:spacing w:after="120" w:line="240" w:lineRule="auto"/>
        <w:jc w:val="both"/>
        <w:rPr>
          <w:rFonts w:ascii="Arial" w:hAnsi="Arial" w:cs="Arial"/>
          <w:b/>
          <w:bCs/>
          <w:color w:val="000000" w:themeColor="text1"/>
        </w:rPr>
      </w:pPr>
      <w:r w:rsidRPr="005F3664">
        <w:rPr>
          <w:rFonts w:ascii="Arial" w:hAnsi="Arial" w:cs="Arial"/>
          <w:b/>
          <w:bCs/>
          <w:color w:val="000000" w:themeColor="text1"/>
        </w:rPr>
        <w:t>6.3 Toward a Unified Predictive Breeding Paradigm</w:t>
      </w:r>
    </w:p>
    <w:p w14:paraId="2853B3E3" w14:textId="77777777" w:rsidR="00F15F56" w:rsidRPr="005F3664" w:rsidRDefault="00F15F56"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The convergence of conventional breeding, genomics, genome editing, speed breeding, high-throughput phenotyping, and AI-driven analytics is reshaping horticultural improvement into a predictive science. Rather than relying solely on phenotypic selection and generational advancement, integrated breeding programs increasingly operate through:</w:t>
      </w:r>
    </w:p>
    <w:p w14:paraId="2E28D38C" w14:textId="77777777" w:rsidR="00F15F56" w:rsidRPr="005F3664" w:rsidRDefault="00F15F56" w:rsidP="00E53B33">
      <w:pPr>
        <w:numPr>
          <w:ilvl w:val="0"/>
          <w:numId w:val="3"/>
        </w:num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Genome-informed parental selection</w:t>
      </w:r>
    </w:p>
    <w:p w14:paraId="6F4871A8" w14:textId="77777777" w:rsidR="00F15F56" w:rsidRPr="005F3664" w:rsidRDefault="00F15F56" w:rsidP="00E53B33">
      <w:pPr>
        <w:numPr>
          <w:ilvl w:val="0"/>
          <w:numId w:val="3"/>
        </w:num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Early-cycle genomic prediction</w:t>
      </w:r>
    </w:p>
    <w:p w14:paraId="493D2507" w14:textId="77777777" w:rsidR="00F15F56" w:rsidRPr="005F3664" w:rsidRDefault="00F15F56" w:rsidP="00E53B33">
      <w:pPr>
        <w:numPr>
          <w:ilvl w:val="0"/>
          <w:numId w:val="3"/>
        </w:num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Targeted allele modification via editing</w:t>
      </w:r>
    </w:p>
    <w:p w14:paraId="49C26611" w14:textId="77777777" w:rsidR="00F15F56" w:rsidRPr="005F3664" w:rsidRDefault="00F15F56" w:rsidP="00E53B33">
      <w:pPr>
        <w:numPr>
          <w:ilvl w:val="0"/>
          <w:numId w:val="3"/>
        </w:num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Accelerated generational turnover</w:t>
      </w:r>
    </w:p>
    <w:p w14:paraId="41D282ED" w14:textId="77777777" w:rsidR="00F15F56" w:rsidRPr="005F3664" w:rsidRDefault="00F15F56" w:rsidP="00E53B33">
      <w:pPr>
        <w:numPr>
          <w:ilvl w:val="0"/>
          <w:numId w:val="3"/>
        </w:num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 xml:space="preserve">Continuous model retraining using real-time </w:t>
      </w:r>
      <w:proofErr w:type="spellStart"/>
      <w:r w:rsidRPr="005F3664">
        <w:rPr>
          <w:rFonts w:ascii="Arial" w:hAnsi="Arial" w:cs="Arial"/>
          <w:color w:val="000000" w:themeColor="text1"/>
          <w:sz w:val="20"/>
          <w:szCs w:val="20"/>
        </w:rPr>
        <w:t>phenomic</w:t>
      </w:r>
      <w:proofErr w:type="spellEnd"/>
      <w:r w:rsidRPr="005F3664">
        <w:rPr>
          <w:rFonts w:ascii="Arial" w:hAnsi="Arial" w:cs="Arial"/>
          <w:color w:val="000000" w:themeColor="text1"/>
          <w:sz w:val="20"/>
          <w:szCs w:val="20"/>
        </w:rPr>
        <w:t xml:space="preserve"> data</w:t>
      </w:r>
    </w:p>
    <w:p w14:paraId="43F59564" w14:textId="77777777" w:rsidR="00F15F56" w:rsidRPr="005F3664" w:rsidRDefault="00F15F56"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This systems-level integration represents a paradigm shift from reactive selection to proactive, model-guided crop design. As climate instability, emerging pathogens, and shifting market preferences intensify selection pressures, such integrated frameworks will be essential for sustaining productivity, resilience, and nutritional quality in horticultural crops.</w:t>
      </w:r>
    </w:p>
    <w:p w14:paraId="509A0B9E" w14:textId="77777777" w:rsidR="00F15708" w:rsidRPr="005F3664" w:rsidRDefault="00F15708" w:rsidP="00E53B33">
      <w:pPr>
        <w:spacing w:after="120" w:line="240" w:lineRule="auto"/>
        <w:jc w:val="both"/>
        <w:rPr>
          <w:rFonts w:ascii="Arial" w:hAnsi="Arial" w:cs="Arial"/>
          <w:b/>
          <w:bCs/>
          <w:color w:val="000000" w:themeColor="text1"/>
        </w:rPr>
      </w:pPr>
      <w:r w:rsidRPr="005F3664">
        <w:rPr>
          <w:rFonts w:ascii="Arial" w:hAnsi="Arial" w:cs="Arial"/>
          <w:b/>
          <w:bCs/>
          <w:color w:val="000000" w:themeColor="text1"/>
        </w:rPr>
        <w:t>7. Case Studies in Major Horticultural Crops (Compressed)</w:t>
      </w:r>
    </w:p>
    <w:p w14:paraId="1BBE809A" w14:textId="122836B1" w:rsidR="00F15708" w:rsidRPr="005F3664" w:rsidRDefault="00F15708" w:rsidP="00E53B33">
      <w:pPr>
        <w:spacing w:after="120" w:line="240" w:lineRule="auto"/>
        <w:jc w:val="both"/>
        <w:rPr>
          <w:rFonts w:ascii="Arial" w:hAnsi="Arial" w:cs="Arial"/>
          <w:b/>
          <w:bCs/>
          <w:color w:val="000000" w:themeColor="text1"/>
        </w:rPr>
      </w:pPr>
      <w:r w:rsidRPr="005F3664">
        <w:rPr>
          <w:rFonts w:ascii="Arial" w:hAnsi="Arial" w:cs="Arial"/>
          <w:b/>
          <w:bCs/>
          <w:color w:val="000000" w:themeColor="text1"/>
        </w:rPr>
        <w:t>7.1 Tomato (</w:t>
      </w:r>
      <w:r w:rsidRPr="005F3664">
        <w:rPr>
          <w:rFonts w:ascii="Arial" w:hAnsi="Arial" w:cs="Arial"/>
          <w:b/>
          <w:bCs/>
          <w:i/>
          <w:iCs/>
          <w:color w:val="000000" w:themeColor="text1"/>
        </w:rPr>
        <w:t xml:space="preserve">Solanum </w:t>
      </w:r>
      <w:proofErr w:type="spellStart"/>
      <w:r w:rsidRPr="005F3664">
        <w:rPr>
          <w:rFonts w:ascii="Arial" w:hAnsi="Arial" w:cs="Arial"/>
          <w:b/>
          <w:bCs/>
          <w:i/>
          <w:iCs/>
          <w:color w:val="000000" w:themeColor="text1"/>
        </w:rPr>
        <w:t>lycopersicum</w:t>
      </w:r>
      <w:proofErr w:type="spellEnd"/>
      <w:r w:rsidRPr="005F3664">
        <w:rPr>
          <w:rFonts w:ascii="Arial" w:hAnsi="Arial" w:cs="Arial"/>
          <w:b/>
          <w:bCs/>
          <w:color w:val="000000" w:themeColor="text1"/>
        </w:rPr>
        <w:t>)</w:t>
      </w:r>
    </w:p>
    <w:p w14:paraId="6FEC9618" w14:textId="77777777" w:rsidR="00F15708" w:rsidRPr="005F3664" w:rsidRDefault="00F15708"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lastRenderedPageBreak/>
        <w:t>Tomato (</w:t>
      </w:r>
      <w:r w:rsidRPr="005F3664">
        <w:rPr>
          <w:rFonts w:ascii="Arial" w:hAnsi="Arial" w:cs="Arial"/>
          <w:i/>
          <w:iCs/>
          <w:color w:val="000000" w:themeColor="text1"/>
          <w:sz w:val="20"/>
          <w:szCs w:val="20"/>
        </w:rPr>
        <w:t xml:space="preserve">Solanum </w:t>
      </w:r>
      <w:proofErr w:type="spellStart"/>
      <w:r w:rsidRPr="005F3664">
        <w:rPr>
          <w:rFonts w:ascii="Arial" w:hAnsi="Arial" w:cs="Arial"/>
          <w:i/>
          <w:iCs/>
          <w:color w:val="000000" w:themeColor="text1"/>
          <w:sz w:val="20"/>
          <w:szCs w:val="20"/>
        </w:rPr>
        <w:t>lycopersicum</w:t>
      </w:r>
      <w:proofErr w:type="spellEnd"/>
      <w:r w:rsidRPr="005F3664">
        <w:rPr>
          <w:rFonts w:ascii="Arial" w:hAnsi="Arial" w:cs="Arial"/>
          <w:color w:val="000000" w:themeColor="text1"/>
          <w:sz w:val="20"/>
          <w:szCs w:val="20"/>
        </w:rPr>
        <w:t xml:space="preserve">) is the leading model horticultural crop due to its diploid 950 Mb genome, short generation cycle, high transformation efficiency, and global commercial importance. Conventional breeding </w:t>
      </w:r>
      <w:proofErr w:type="spellStart"/>
      <w:r w:rsidRPr="005F3664">
        <w:rPr>
          <w:rFonts w:ascii="Arial" w:hAnsi="Arial" w:cs="Arial"/>
          <w:color w:val="000000" w:themeColor="text1"/>
          <w:sz w:val="20"/>
          <w:szCs w:val="20"/>
        </w:rPr>
        <w:t>introgressed</w:t>
      </w:r>
      <w:proofErr w:type="spellEnd"/>
      <w:r w:rsidRPr="005F3664">
        <w:rPr>
          <w:rFonts w:ascii="Arial" w:hAnsi="Arial" w:cs="Arial"/>
          <w:color w:val="000000" w:themeColor="text1"/>
          <w:sz w:val="20"/>
          <w:szCs w:val="20"/>
        </w:rPr>
        <w:t xml:space="preserve"> resistance loci for TYLCV (Ty-1, Ty-3), Fusarium wilt (I-2, I-3), Verticillium wilt (Ve), root-knot nematode (Mi-1), and </w:t>
      </w:r>
      <w:proofErr w:type="spellStart"/>
      <w:r w:rsidRPr="005F3664">
        <w:rPr>
          <w:rFonts w:ascii="Arial" w:hAnsi="Arial" w:cs="Arial"/>
          <w:color w:val="000000" w:themeColor="text1"/>
          <w:sz w:val="20"/>
          <w:szCs w:val="20"/>
        </w:rPr>
        <w:t>tobamovirus</w:t>
      </w:r>
      <w:proofErr w:type="spellEnd"/>
      <w:r w:rsidRPr="005F3664">
        <w:rPr>
          <w:rFonts w:ascii="Arial" w:hAnsi="Arial" w:cs="Arial"/>
          <w:color w:val="000000" w:themeColor="text1"/>
          <w:sz w:val="20"/>
          <w:szCs w:val="20"/>
        </w:rPr>
        <w:t xml:space="preserve"> (Tm-2a), now routinely deployed through MAS in F1 hybrids.</w:t>
      </w:r>
    </w:p>
    <w:p w14:paraId="6246F760" w14:textId="3EBE6D33" w:rsidR="00F15708" w:rsidRPr="005F3664" w:rsidRDefault="00F15708"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The 2012 reference genome enabled GWAS dissection of fruit metabolite variation, identifying SNP</w:t>
      </w:r>
      <w:r w:rsidR="00195BC2">
        <w:rPr>
          <w:rFonts w:ascii="Arial" w:hAnsi="Arial" w:cs="Arial"/>
          <w:color w:val="000000" w:themeColor="text1"/>
          <w:sz w:val="20"/>
          <w:szCs w:val="20"/>
        </w:rPr>
        <w:t>-</w:t>
      </w:r>
      <w:r w:rsidRPr="005F3664">
        <w:rPr>
          <w:rFonts w:ascii="Arial" w:hAnsi="Arial" w:cs="Arial"/>
          <w:color w:val="000000" w:themeColor="text1"/>
          <w:sz w:val="20"/>
          <w:szCs w:val="20"/>
        </w:rPr>
        <w:t xml:space="preserve">volatile associations to restore </w:t>
      </w:r>
      <w:proofErr w:type="spellStart"/>
      <w:r w:rsidRPr="005F3664">
        <w:rPr>
          <w:rFonts w:ascii="Arial" w:hAnsi="Arial" w:cs="Arial"/>
          <w:color w:val="000000" w:themeColor="text1"/>
          <w:sz w:val="20"/>
          <w:szCs w:val="20"/>
        </w:rPr>
        <w:t>flavor</w:t>
      </w:r>
      <w:proofErr w:type="spellEnd"/>
      <w:r w:rsidRPr="005F3664">
        <w:rPr>
          <w:rFonts w:ascii="Arial" w:hAnsi="Arial" w:cs="Arial"/>
          <w:color w:val="000000" w:themeColor="text1"/>
          <w:sz w:val="20"/>
          <w:szCs w:val="20"/>
        </w:rPr>
        <w:t xml:space="preserve"> traits reduced during shelf-life-focused breeding (Tieman et al., 2017). The tomato pan-genome revealed &gt;4,800 genes absent from the reference, including aroma and sugar-related loci (Gao et al., 2019).</w:t>
      </w:r>
    </w:p>
    <w:p w14:paraId="36C698CD" w14:textId="288E2377" w:rsidR="00E1451C" w:rsidRPr="005F3664" w:rsidRDefault="00F15708"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 xml:space="preserve">CRISPR applications include shelf-life extension via </w:t>
      </w:r>
      <w:proofErr w:type="spellStart"/>
      <w:r w:rsidRPr="005F3664">
        <w:rPr>
          <w:rFonts w:ascii="Arial" w:hAnsi="Arial" w:cs="Arial"/>
          <w:i/>
          <w:iCs/>
          <w:color w:val="000000" w:themeColor="text1"/>
          <w:sz w:val="20"/>
          <w:szCs w:val="20"/>
        </w:rPr>
        <w:t>SlPL</w:t>
      </w:r>
      <w:proofErr w:type="spellEnd"/>
      <w:r w:rsidRPr="005F3664">
        <w:rPr>
          <w:rFonts w:ascii="Arial" w:hAnsi="Arial" w:cs="Arial"/>
          <w:i/>
          <w:iCs/>
          <w:color w:val="000000" w:themeColor="text1"/>
          <w:sz w:val="20"/>
          <w:szCs w:val="20"/>
        </w:rPr>
        <w:t>/</w:t>
      </w:r>
      <w:proofErr w:type="spellStart"/>
      <w:r w:rsidRPr="005F3664">
        <w:rPr>
          <w:rFonts w:ascii="Arial" w:hAnsi="Arial" w:cs="Arial"/>
          <w:i/>
          <w:iCs/>
          <w:color w:val="000000" w:themeColor="text1"/>
          <w:sz w:val="20"/>
          <w:szCs w:val="20"/>
        </w:rPr>
        <w:t>SlPG</w:t>
      </w:r>
      <w:proofErr w:type="spellEnd"/>
      <w:r w:rsidRPr="005F3664">
        <w:rPr>
          <w:rFonts w:ascii="Arial" w:hAnsi="Arial" w:cs="Arial"/>
          <w:color w:val="000000" w:themeColor="text1"/>
          <w:sz w:val="20"/>
          <w:szCs w:val="20"/>
        </w:rPr>
        <w:t xml:space="preserve"> editing (</w:t>
      </w:r>
      <w:proofErr w:type="spellStart"/>
      <w:r w:rsidRPr="005F3664">
        <w:rPr>
          <w:rFonts w:ascii="Arial" w:hAnsi="Arial" w:cs="Arial"/>
          <w:color w:val="000000" w:themeColor="text1"/>
          <w:sz w:val="20"/>
          <w:szCs w:val="20"/>
        </w:rPr>
        <w:t>Uluisik</w:t>
      </w:r>
      <w:proofErr w:type="spellEnd"/>
      <w:r w:rsidRPr="005F3664">
        <w:rPr>
          <w:rFonts w:ascii="Arial" w:hAnsi="Arial" w:cs="Arial"/>
          <w:color w:val="000000" w:themeColor="text1"/>
          <w:sz w:val="20"/>
          <w:szCs w:val="20"/>
        </w:rPr>
        <w:t xml:space="preserve"> et al., 2016), architectural modification through </w:t>
      </w:r>
      <w:r w:rsidRPr="005F3664">
        <w:rPr>
          <w:rFonts w:ascii="Arial" w:hAnsi="Arial" w:cs="Arial"/>
          <w:i/>
          <w:iCs/>
          <w:color w:val="000000" w:themeColor="text1"/>
          <w:sz w:val="20"/>
          <w:szCs w:val="20"/>
        </w:rPr>
        <w:t>SP/SP5G</w:t>
      </w:r>
      <w:r w:rsidRPr="005F3664">
        <w:rPr>
          <w:rFonts w:ascii="Arial" w:hAnsi="Arial" w:cs="Arial"/>
          <w:color w:val="000000" w:themeColor="text1"/>
          <w:sz w:val="20"/>
          <w:szCs w:val="20"/>
        </w:rPr>
        <w:t xml:space="preserve"> editing (Soyk et al., 2017), GABA enrichment via </w:t>
      </w:r>
      <w:r w:rsidRPr="005F3664">
        <w:rPr>
          <w:rFonts w:ascii="Arial" w:hAnsi="Arial" w:cs="Arial"/>
          <w:i/>
          <w:iCs/>
          <w:color w:val="000000" w:themeColor="text1"/>
          <w:sz w:val="20"/>
          <w:szCs w:val="20"/>
        </w:rPr>
        <w:t>GAD2/GAD3</w:t>
      </w:r>
      <w:r w:rsidRPr="005F3664">
        <w:rPr>
          <w:rFonts w:ascii="Arial" w:hAnsi="Arial" w:cs="Arial"/>
          <w:color w:val="000000" w:themeColor="text1"/>
          <w:sz w:val="20"/>
          <w:szCs w:val="20"/>
        </w:rPr>
        <w:t xml:space="preserve"> (Nonaka et al., 2017), and multiplex de novo domestication of </w:t>
      </w:r>
      <w:r w:rsidRPr="005F3664">
        <w:rPr>
          <w:rFonts w:ascii="Arial" w:hAnsi="Arial" w:cs="Arial"/>
          <w:i/>
          <w:iCs/>
          <w:color w:val="000000" w:themeColor="text1"/>
          <w:sz w:val="20"/>
          <w:szCs w:val="20"/>
        </w:rPr>
        <w:t xml:space="preserve">Solanum </w:t>
      </w:r>
      <w:proofErr w:type="spellStart"/>
      <w:r w:rsidRPr="005F3664">
        <w:rPr>
          <w:rFonts w:ascii="Arial" w:hAnsi="Arial" w:cs="Arial"/>
          <w:i/>
          <w:iCs/>
          <w:color w:val="000000" w:themeColor="text1"/>
          <w:sz w:val="20"/>
          <w:szCs w:val="20"/>
        </w:rPr>
        <w:t>pimpinellifolium</w:t>
      </w:r>
      <w:proofErr w:type="spellEnd"/>
      <w:r w:rsidRPr="005F3664">
        <w:rPr>
          <w:rFonts w:ascii="Arial" w:hAnsi="Arial" w:cs="Arial"/>
          <w:color w:val="000000" w:themeColor="text1"/>
          <w:sz w:val="20"/>
          <w:szCs w:val="20"/>
        </w:rPr>
        <w:t xml:space="preserve"> (</w:t>
      </w:r>
      <w:proofErr w:type="spellStart"/>
      <w:r w:rsidRPr="005F3664">
        <w:rPr>
          <w:rFonts w:ascii="Arial" w:hAnsi="Arial" w:cs="Arial"/>
          <w:color w:val="000000" w:themeColor="text1"/>
          <w:sz w:val="20"/>
          <w:szCs w:val="20"/>
        </w:rPr>
        <w:t>Zsogon</w:t>
      </w:r>
      <w:proofErr w:type="spellEnd"/>
      <w:r w:rsidRPr="005F3664">
        <w:rPr>
          <w:rFonts w:ascii="Arial" w:hAnsi="Arial" w:cs="Arial"/>
          <w:color w:val="000000" w:themeColor="text1"/>
          <w:sz w:val="20"/>
          <w:szCs w:val="20"/>
        </w:rPr>
        <w:t xml:space="preserve"> et al., 2018).</w:t>
      </w:r>
    </w:p>
    <w:p w14:paraId="27AC8A15" w14:textId="296C31FE" w:rsidR="00F15708" w:rsidRPr="005F3664" w:rsidRDefault="00F15708" w:rsidP="00E53B33">
      <w:pPr>
        <w:spacing w:after="120" w:line="240" w:lineRule="auto"/>
        <w:jc w:val="both"/>
        <w:rPr>
          <w:rFonts w:ascii="Arial" w:hAnsi="Arial" w:cs="Arial"/>
          <w:b/>
          <w:bCs/>
          <w:color w:val="000000" w:themeColor="text1"/>
        </w:rPr>
      </w:pPr>
      <w:r w:rsidRPr="005F3664">
        <w:rPr>
          <w:rFonts w:ascii="Arial" w:hAnsi="Arial" w:cs="Arial"/>
          <w:b/>
          <w:bCs/>
          <w:color w:val="000000" w:themeColor="text1"/>
        </w:rPr>
        <w:t>7.2 Potato (</w:t>
      </w:r>
      <w:r w:rsidRPr="005F3664">
        <w:rPr>
          <w:rFonts w:ascii="Arial" w:hAnsi="Arial" w:cs="Arial"/>
          <w:b/>
          <w:bCs/>
          <w:i/>
          <w:iCs/>
          <w:color w:val="000000" w:themeColor="text1"/>
        </w:rPr>
        <w:t>Solanum tuberosum</w:t>
      </w:r>
      <w:r w:rsidRPr="005F3664">
        <w:rPr>
          <w:rFonts w:ascii="Arial" w:hAnsi="Arial" w:cs="Arial"/>
          <w:b/>
          <w:bCs/>
          <w:color w:val="000000" w:themeColor="text1"/>
        </w:rPr>
        <w:t>)</w:t>
      </w:r>
    </w:p>
    <w:p w14:paraId="64D92011" w14:textId="63EA7D6E" w:rsidR="00F15708" w:rsidRPr="005F3664" w:rsidRDefault="00F15708"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Potato (</w:t>
      </w:r>
      <w:r w:rsidRPr="005F3664">
        <w:rPr>
          <w:rFonts w:ascii="Arial" w:hAnsi="Arial" w:cs="Arial"/>
          <w:i/>
          <w:iCs/>
          <w:color w:val="000000" w:themeColor="text1"/>
          <w:sz w:val="20"/>
          <w:szCs w:val="20"/>
        </w:rPr>
        <w:t>Solanum tuberosum</w:t>
      </w:r>
      <w:r w:rsidRPr="005F3664">
        <w:rPr>
          <w:rFonts w:ascii="Arial" w:hAnsi="Arial" w:cs="Arial"/>
          <w:color w:val="000000" w:themeColor="text1"/>
          <w:sz w:val="20"/>
          <w:szCs w:val="20"/>
        </w:rPr>
        <w:t>) breeding is constrained by its autotetraploid genome (2n=4x=48), clonal propagation, and inbreeding depression, with 10</w:t>
      </w:r>
      <w:r w:rsidR="00195BC2">
        <w:rPr>
          <w:rFonts w:ascii="Arial" w:hAnsi="Arial" w:cs="Arial"/>
          <w:color w:val="000000" w:themeColor="text1"/>
          <w:sz w:val="20"/>
          <w:szCs w:val="20"/>
        </w:rPr>
        <w:t>-</w:t>
      </w:r>
      <w:r w:rsidRPr="005F3664">
        <w:rPr>
          <w:rFonts w:ascii="Arial" w:hAnsi="Arial" w:cs="Arial"/>
          <w:color w:val="000000" w:themeColor="text1"/>
          <w:sz w:val="20"/>
          <w:szCs w:val="20"/>
        </w:rPr>
        <w:t>15-year variety pipelines. Late blight (</w:t>
      </w:r>
      <w:r w:rsidRPr="005F3664">
        <w:rPr>
          <w:rFonts w:ascii="Arial" w:hAnsi="Arial" w:cs="Arial"/>
          <w:i/>
          <w:iCs/>
          <w:color w:val="000000" w:themeColor="text1"/>
          <w:sz w:val="20"/>
          <w:szCs w:val="20"/>
        </w:rPr>
        <w:t>Phytophthora infestans</w:t>
      </w:r>
      <w:r w:rsidRPr="005F3664">
        <w:rPr>
          <w:rFonts w:ascii="Arial" w:hAnsi="Arial" w:cs="Arial"/>
          <w:color w:val="000000" w:themeColor="text1"/>
          <w:sz w:val="20"/>
          <w:szCs w:val="20"/>
        </w:rPr>
        <w:t>) causes ~EUR 1 billion annual losses in Europe.</w:t>
      </w:r>
    </w:p>
    <w:p w14:paraId="78B00D6E" w14:textId="77777777" w:rsidR="00F15708" w:rsidRPr="005F3664" w:rsidRDefault="00F15708"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 xml:space="preserve">MAS stacking of </w:t>
      </w:r>
      <w:r w:rsidRPr="005F3664">
        <w:rPr>
          <w:rFonts w:ascii="Arial" w:hAnsi="Arial" w:cs="Arial"/>
          <w:i/>
          <w:iCs/>
          <w:color w:val="000000" w:themeColor="text1"/>
          <w:sz w:val="20"/>
          <w:szCs w:val="20"/>
        </w:rPr>
        <w:t>Rpi-blb1</w:t>
      </w:r>
      <w:r w:rsidRPr="005F3664">
        <w:rPr>
          <w:rFonts w:ascii="Arial" w:hAnsi="Arial" w:cs="Arial"/>
          <w:color w:val="000000" w:themeColor="text1"/>
          <w:sz w:val="20"/>
          <w:szCs w:val="20"/>
        </w:rPr>
        <w:t xml:space="preserve">, </w:t>
      </w:r>
      <w:r w:rsidRPr="005F3664">
        <w:rPr>
          <w:rFonts w:ascii="Arial" w:hAnsi="Arial" w:cs="Arial"/>
          <w:i/>
          <w:iCs/>
          <w:color w:val="000000" w:themeColor="text1"/>
          <w:sz w:val="20"/>
          <w:szCs w:val="20"/>
        </w:rPr>
        <w:t>Rpi-blb2</w:t>
      </w:r>
      <w:r w:rsidRPr="005F3664">
        <w:rPr>
          <w:rFonts w:ascii="Arial" w:hAnsi="Arial" w:cs="Arial"/>
          <w:color w:val="000000" w:themeColor="text1"/>
          <w:sz w:val="20"/>
          <w:szCs w:val="20"/>
        </w:rPr>
        <w:t xml:space="preserve">, </w:t>
      </w:r>
      <w:r w:rsidRPr="005F3664">
        <w:rPr>
          <w:rFonts w:ascii="Arial" w:hAnsi="Arial" w:cs="Arial"/>
          <w:i/>
          <w:iCs/>
          <w:color w:val="000000" w:themeColor="text1"/>
          <w:sz w:val="20"/>
          <w:szCs w:val="20"/>
        </w:rPr>
        <w:t>Rpi-blb3</w:t>
      </w:r>
      <w:r w:rsidRPr="005F3664">
        <w:rPr>
          <w:rFonts w:ascii="Arial" w:hAnsi="Arial" w:cs="Arial"/>
          <w:color w:val="000000" w:themeColor="text1"/>
          <w:sz w:val="20"/>
          <w:szCs w:val="20"/>
        </w:rPr>
        <w:t xml:space="preserve">, and </w:t>
      </w:r>
      <w:r w:rsidRPr="005F3664">
        <w:rPr>
          <w:rFonts w:ascii="Arial" w:hAnsi="Arial" w:cs="Arial"/>
          <w:i/>
          <w:iCs/>
          <w:color w:val="000000" w:themeColor="text1"/>
          <w:sz w:val="20"/>
          <w:szCs w:val="20"/>
        </w:rPr>
        <w:t>Rpi-vnt1.1</w:t>
      </w:r>
      <w:r w:rsidRPr="005F3664">
        <w:rPr>
          <w:rFonts w:ascii="Arial" w:hAnsi="Arial" w:cs="Arial"/>
          <w:color w:val="000000" w:themeColor="text1"/>
          <w:sz w:val="20"/>
          <w:szCs w:val="20"/>
        </w:rPr>
        <w:t xml:space="preserve"> from wild </w:t>
      </w:r>
      <w:r w:rsidRPr="005F3664">
        <w:rPr>
          <w:rFonts w:ascii="Arial" w:hAnsi="Arial" w:cs="Arial"/>
          <w:i/>
          <w:iCs/>
          <w:color w:val="000000" w:themeColor="text1"/>
          <w:sz w:val="20"/>
          <w:szCs w:val="20"/>
        </w:rPr>
        <w:t>Solanum</w:t>
      </w:r>
      <w:r w:rsidRPr="005F3664">
        <w:rPr>
          <w:rFonts w:ascii="Arial" w:hAnsi="Arial" w:cs="Arial"/>
          <w:color w:val="000000" w:themeColor="text1"/>
          <w:sz w:val="20"/>
          <w:szCs w:val="20"/>
        </w:rPr>
        <w:t xml:space="preserve"> species enhances resistance durability (Lindqvist-</w:t>
      </w:r>
      <w:proofErr w:type="spellStart"/>
      <w:r w:rsidRPr="005F3664">
        <w:rPr>
          <w:rFonts w:ascii="Arial" w:hAnsi="Arial" w:cs="Arial"/>
          <w:color w:val="000000" w:themeColor="text1"/>
          <w:sz w:val="20"/>
          <w:szCs w:val="20"/>
        </w:rPr>
        <w:t>Kreuze</w:t>
      </w:r>
      <w:proofErr w:type="spellEnd"/>
      <w:r w:rsidRPr="005F3664">
        <w:rPr>
          <w:rFonts w:ascii="Arial" w:hAnsi="Arial" w:cs="Arial"/>
          <w:color w:val="000000" w:themeColor="text1"/>
          <w:sz w:val="20"/>
          <w:szCs w:val="20"/>
        </w:rPr>
        <w:t xml:space="preserve"> et al., 2020). Diploid breeding platforms using haploid induction represent a major paradigm shift (Lindhout et al., 2011).</w:t>
      </w:r>
    </w:p>
    <w:p w14:paraId="15002C53" w14:textId="77777777" w:rsidR="00F15708" w:rsidRPr="005F3664" w:rsidRDefault="00F15708"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 xml:space="preserve">CRISPR applications include transgene-free waxy starch via </w:t>
      </w:r>
      <w:r w:rsidRPr="005F3664">
        <w:rPr>
          <w:rFonts w:ascii="Arial" w:hAnsi="Arial" w:cs="Arial"/>
          <w:i/>
          <w:iCs/>
          <w:color w:val="000000" w:themeColor="text1"/>
          <w:sz w:val="20"/>
          <w:szCs w:val="20"/>
        </w:rPr>
        <w:t>GBSS</w:t>
      </w:r>
      <w:r w:rsidRPr="005F3664">
        <w:rPr>
          <w:rFonts w:ascii="Arial" w:hAnsi="Arial" w:cs="Arial"/>
          <w:color w:val="000000" w:themeColor="text1"/>
          <w:sz w:val="20"/>
          <w:szCs w:val="20"/>
        </w:rPr>
        <w:t xml:space="preserve"> editing (Andersson et al., 2017), reduced acrylamide formation through </w:t>
      </w:r>
      <w:proofErr w:type="spellStart"/>
      <w:r w:rsidRPr="005F3664">
        <w:rPr>
          <w:rFonts w:ascii="Arial" w:hAnsi="Arial" w:cs="Arial"/>
          <w:i/>
          <w:iCs/>
          <w:color w:val="000000" w:themeColor="text1"/>
          <w:sz w:val="20"/>
          <w:szCs w:val="20"/>
        </w:rPr>
        <w:t>VInv</w:t>
      </w:r>
      <w:proofErr w:type="spellEnd"/>
      <w:r w:rsidRPr="005F3664">
        <w:rPr>
          <w:rFonts w:ascii="Arial" w:hAnsi="Arial" w:cs="Arial"/>
          <w:color w:val="000000" w:themeColor="text1"/>
          <w:sz w:val="20"/>
          <w:szCs w:val="20"/>
        </w:rPr>
        <w:t xml:space="preserve"> editing (Gonzalez et al., 2020), and browning reduction via polyphenol oxidase disruption.</w:t>
      </w:r>
    </w:p>
    <w:p w14:paraId="6C58B9BB" w14:textId="65ADECF6" w:rsidR="00F15708" w:rsidRPr="005F3664" w:rsidRDefault="00F15708" w:rsidP="00E53B33">
      <w:pPr>
        <w:spacing w:after="120" w:line="240" w:lineRule="auto"/>
        <w:jc w:val="both"/>
        <w:rPr>
          <w:rFonts w:ascii="Arial" w:hAnsi="Arial" w:cs="Arial"/>
          <w:b/>
          <w:bCs/>
          <w:color w:val="000000" w:themeColor="text1"/>
        </w:rPr>
      </w:pPr>
      <w:r w:rsidRPr="005F3664">
        <w:rPr>
          <w:rFonts w:ascii="Arial" w:hAnsi="Arial" w:cs="Arial"/>
          <w:b/>
          <w:bCs/>
          <w:color w:val="000000" w:themeColor="text1"/>
        </w:rPr>
        <w:t>7.3 Banana (</w:t>
      </w:r>
      <w:r w:rsidRPr="005F3664">
        <w:rPr>
          <w:rFonts w:ascii="Arial" w:hAnsi="Arial" w:cs="Arial"/>
          <w:b/>
          <w:bCs/>
          <w:i/>
          <w:iCs/>
          <w:color w:val="000000" w:themeColor="text1"/>
        </w:rPr>
        <w:t>Musa</w:t>
      </w:r>
      <w:r w:rsidRPr="005F3664">
        <w:rPr>
          <w:rFonts w:ascii="Arial" w:hAnsi="Arial" w:cs="Arial"/>
          <w:b/>
          <w:bCs/>
          <w:color w:val="000000" w:themeColor="text1"/>
        </w:rPr>
        <w:t xml:space="preserve"> spp.) and Citrus (</w:t>
      </w:r>
      <w:r w:rsidRPr="005F3664">
        <w:rPr>
          <w:rFonts w:ascii="Arial" w:hAnsi="Arial" w:cs="Arial"/>
          <w:b/>
          <w:bCs/>
          <w:i/>
          <w:iCs/>
          <w:color w:val="000000" w:themeColor="text1"/>
        </w:rPr>
        <w:t>Citrus</w:t>
      </w:r>
      <w:r w:rsidRPr="005F3664">
        <w:rPr>
          <w:rFonts w:ascii="Arial" w:hAnsi="Arial" w:cs="Arial"/>
          <w:b/>
          <w:bCs/>
          <w:color w:val="000000" w:themeColor="text1"/>
        </w:rPr>
        <w:t xml:space="preserve"> spp.)</w:t>
      </w:r>
    </w:p>
    <w:p w14:paraId="2ABB5650" w14:textId="77777777" w:rsidR="00F15708" w:rsidRPr="005F3664" w:rsidRDefault="00F15708"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Banana (</w:t>
      </w:r>
      <w:r w:rsidRPr="005F3664">
        <w:rPr>
          <w:rFonts w:ascii="Arial" w:hAnsi="Arial" w:cs="Arial"/>
          <w:i/>
          <w:iCs/>
          <w:color w:val="000000" w:themeColor="text1"/>
          <w:sz w:val="20"/>
          <w:szCs w:val="20"/>
        </w:rPr>
        <w:t>Musa</w:t>
      </w:r>
      <w:r w:rsidRPr="005F3664">
        <w:rPr>
          <w:rFonts w:ascii="Arial" w:hAnsi="Arial" w:cs="Arial"/>
          <w:color w:val="000000" w:themeColor="text1"/>
          <w:sz w:val="20"/>
          <w:szCs w:val="20"/>
        </w:rPr>
        <w:t xml:space="preserve"> spp.) faces severe threat from Fusarium TR4. Sterile triploid Cavendish prevents conventional improvement. Tetraploid hybrids (e.g., NARITA, FHIA-01) offer partial resistance but limited market acceptance. Transgenic Cavendish expressing </w:t>
      </w:r>
      <w:r w:rsidRPr="005F3664">
        <w:rPr>
          <w:rFonts w:ascii="Arial" w:hAnsi="Arial" w:cs="Arial"/>
          <w:i/>
          <w:iCs/>
          <w:color w:val="000000" w:themeColor="text1"/>
          <w:sz w:val="20"/>
          <w:szCs w:val="20"/>
        </w:rPr>
        <w:t>RGA2</w:t>
      </w:r>
      <w:r w:rsidRPr="005F3664">
        <w:rPr>
          <w:rFonts w:ascii="Arial" w:hAnsi="Arial" w:cs="Arial"/>
          <w:color w:val="000000" w:themeColor="text1"/>
          <w:sz w:val="20"/>
          <w:szCs w:val="20"/>
        </w:rPr>
        <w:t xml:space="preserve"> demonstrated five-year TR4 resistance (Dale et al., 2017), while CRISPR disruption of susceptibility genes is under development.</w:t>
      </w:r>
    </w:p>
    <w:p w14:paraId="6FEB0A56" w14:textId="6B78CF64" w:rsidR="00F15708" w:rsidRPr="005F3664" w:rsidRDefault="00F15708"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Citrus (</w:t>
      </w:r>
      <w:r w:rsidRPr="005F3664">
        <w:rPr>
          <w:rFonts w:ascii="Arial" w:hAnsi="Arial" w:cs="Arial"/>
          <w:i/>
          <w:iCs/>
          <w:color w:val="000000" w:themeColor="text1"/>
          <w:sz w:val="20"/>
          <w:szCs w:val="20"/>
        </w:rPr>
        <w:t>Citrus</w:t>
      </w:r>
      <w:r w:rsidRPr="005F3664">
        <w:rPr>
          <w:rFonts w:ascii="Arial" w:hAnsi="Arial" w:cs="Arial"/>
          <w:color w:val="000000" w:themeColor="text1"/>
          <w:sz w:val="20"/>
          <w:szCs w:val="20"/>
        </w:rPr>
        <w:t xml:space="preserve"> spp.) production has declined &gt;85% in Florida due to </w:t>
      </w:r>
      <w:proofErr w:type="spellStart"/>
      <w:r w:rsidRPr="005F3664">
        <w:rPr>
          <w:rFonts w:ascii="Arial" w:hAnsi="Arial" w:cs="Arial"/>
          <w:color w:val="000000" w:themeColor="text1"/>
          <w:sz w:val="20"/>
          <w:szCs w:val="20"/>
        </w:rPr>
        <w:t>Huanglongbing</w:t>
      </w:r>
      <w:proofErr w:type="spellEnd"/>
      <w:r w:rsidRPr="005F3664">
        <w:rPr>
          <w:rFonts w:ascii="Arial" w:hAnsi="Arial" w:cs="Arial"/>
          <w:color w:val="000000" w:themeColor="text1"/>
          <w:sz w:val="20"/>
          <w:szCs w:val="20"/>
        </w:rPr>
        <w:t xml:space="preserve"> (</w:t>
      </w:r>
      <w:proofErr w:type="spellStart"/>
      <w:r w:rsidRPr="005F3664">
        <w:rPr>
          <w:rFonts w:ascii="Arial" w:hAnsi="Arial" w:cs="Arial"/>
          <w:i/>
          <w:iCs/>
          <w:color w:val="000000" w:themeColor="text1"/>
          <w:sz w:val="20"/>
          <w:szCs w:val="20"/>
        </w:rPr>
        <w:t>Candidatus</w:t>
      </w:r>
      <w:proofErr w:type="spellEnd"/>
      <w:r w:rsidRPr="005F3664">
        <w:rPr>
          <w:rFonts w:ascii="Arial" w:hAnsi="Arial" w:cs="Arial"/>
          <w:i/>
          <w:iCs/>
          <w:color w:val="000000" w:themeColor="text1"/>
          <w:sz w:val="20"/>
          <w:szCs w:val="20"/>
        </w:rPr>
        <w:t xml:space="preserve"> </w:t>
      </w:r>
      <w:proofErr w:type="spellStart"/>
      <w:r w:rsidRPr="005F3664">
        <w:rPr>
          <w:rFonts w:ascii="Arial" w:hAnsi="Arial" w:cs="Arial"/>
          <w:i/>
          <w:iCs/>
          <w:color w:val="000000" w:themeColor="text1"/>
          <w:sz w:val="20"/>
          <w:szCs w:val="20"/>
        </w:rPr>
        <w:t>Liberibacter</w:t>
      </w:r>
      <w:proofErr w:type="spellEnd"/>
      <w:r w:rsidRPr="005F3664">
        <w:rPr>
          <w:rFonts w:ascii="Arial" w:hAnsi="Arial" w:cs="Arial"/>
          <w:i/>
          <w:iCs/>
          <w:color w:val="000000" w:themeColor="text1"/>
          <w:sz w:val="20"/>
          <w:szCs w:val="20"/>
        </w:rPr>
        <w:t xml:space="preserve"> </w:t>
      </w:r>
      <w:proofErr w:type="spellStart"/>
      <w:r w:rsidRPr="005F3664">
        <w:rPr>
          <w:rFonts w:ascii="Arial" w:hAnsi="Arial" w:cs="Arial"/>
          <w:i/>
          <w:iCs/>
          <w:color w:val="000000" w:themeColor="text1"/>
          <w:sz w:val="20"/>
          <w:szCs w:val="20"/>
        </w:rPr>
        <w:t>asiaticus</w:t>
      </w:r>
      <w:proofErr w:type="spellEnd"/>
      <w:r w:rsidRPr="005F3664">
        <w:rPr>
          <w:rFonts w:ascii="Arial" w:hAnsi="Arial" w:cs="Arial"/>
          <w:color w:val="000000" w:themeColor="text1"/>
          <w:sz w:val="20"/>
          <w:szCs w:val="20"/>
        </w:rPr>
        <w:t xml:space="preserve">). Long juvenile phases limit conventional breeding. CRISPR editing of </w:t>
      </w:r>
      <w:r w:rsidRPr="005F3664">
        <w:rPr>
          <w:rFonts w:ascii="Arial" w:hAnsi="Arial" w:cs="Arial"/>
          <w:i/>
          <w:iCs/>
          <w:color w:val="000000" w:themeColor="text1"/>
          <w:sz w:val="20"/>
          <w:szCs w:val="20"/>
        </w:rPr>
        <w:t>CsLOB1</w:t>
      </w:r>
      <w:r w:rsidRPr="005F3664">
        <w:rPr>
          <w:rFonts w:ascii="Arial" w:hAnsi="Arial" w:cs="Arial"/>
          <w:color w:val="000000" w:themeColor="text1"/>
          <w:sz w:val="20"/>
          <w:szCs w:val="20"/>
        </w:rPr>
        <w:t xml:space="preserve"> confers canker resistance (Jia et al., 2017), with HLB-targeted editing strategies emerging.</w:t>
      </w:r>
    </w:p>
    <w:p w14:paraId="14B91B27" w14:textId="698C3361" w:rsidR="00F15708" w:rsidRPr="005F3664" w:rsidRDefault="00F15708" w:rsidP="00E53B33">
      <w:pPr>
        <w:spacing w:after="120" w:line="240" w:lineRule="auto"/>
        <w:jc w:val="both"/>
        <w:rPr>
          <w:rFonts w:ascii="Arial" w:hAnsi="Arial" w:cs="Arial"/>
          <w:b/>
          <w:bCs/>
          <w:color w:val="000000" w:themeColor="text1"/>
        </w:rPr>
      </w:pPr>
      <w:r w:rsidRPr="005F3664">
        <w:rPr>
          <w:rFonts w:ascii="Arial" w:hAnsi="Arial" w:cs="Arial"/>
          <w:b/>
          <w:bCs/>
          <w:color w:val="000000" w:themeColor="text1"/>
        </w:rPr>
        <w:t>7.4 Mango (</w:t>
      </w:r>
      <w:r w:rsidRPr="005F3664">
        <w:rPr>
          <w:rFonts w:ascii="Arial" w:hAnsi="Arial" w:cs="Arial"/>
          <w:b/>
          <w:bCs/>
          <w:i/>
          <w:iCs/>
          <w:color w:val="000000" w:themeColor="text1"/>
        </w:rPr>
        <w:t>Mangifera indica</w:t>
      </w:r>
      <w:r w:rsidRPr="005F3664">
        <w:rPr>
          <w:rFonts w:ascii="Arial" w:hAnsi="Arial" w:cs="Arial"/>
          <w:b/>
          <w:bCs/>
          <w:color w:val="000000" w:themeColor="text1"/>
        </w:rPr>
        <w:t>), Grapevine (</w:t>
      </w:r>
      <w:r w:rsidRPr="005F3664">
        <w:rPr>
          <w:rFonts w:ascii="Arial" w:hAnsi="Arial" w:cs="Arial"/>
          <w:b/>
          <w:bCs/>
          <w:i/>
          <w:iCs/>
          <w:color w:val="000000" w:themeColor="text1"/>
        </w:rPr>
        <w:t>Vitis vinifera</w:t>
      </w:r>
      <w:r w:rsidRPr="005F3664">
        <w:rPr>
          <w:rFonts w:ascii="Arial" w:hAnsi="Arial" w:cs="Arial"/>
          <w:b/>
          <w:bCs/>
          <w:color w:val="000000" w:themeColor="text1"/>
        </w:rPr>
        <w:t>), and Strawberry (</w:t>
      </w:r>
      <w:r w:rsidRPr="005F3664">
        <w:rPr>
          <w:rFonts w:ascii="Arial" w:hAnsi="Arial" w:cs="Arial"/>
          <w:b/>
          <w:bCs/>
          <w:i/>
          <w:iCs/>
          <w:color w:val="000000" w:themeColor="text1"/>
        </w:rPr>
        <w:t xml:space="preserve">Fragaria × </w:t>
      </w:r>
      <w:proofErr w:type="spellStart"/>
      <w:r w:rsidRPr="005F3664">
        <w:rPr>
          <w:rFonts w:ascii="Arial" w:hAnsi="Arial" w:cs="Arial"/>
          <w:b/>
          <w:bCs/>
          <w:i/>
          <w:iCs/>
          <w:color w:val="000000" w:themeColor="text1"/>
        </w:rPr>
        <w:t>ananassa</w:t>
      </w:r>
      <w:proofErr w:type="spellEnd"/>
      <w:r w:rsidRPr="005F3664">
        <w:rPr>
          <w:rFonts w:ascii="Arial" w:hAnsi="Arial" w:cs="Arial"/>
          <w:b/>
          <w:bCs/>
          <w:color w:val="000000" w:themeColor="text1"/>
        </w:rPr>
        <w:t>)</w:t>
      </w:r>
    </w:p>
    <w:p w14:paraId="42741DB8" w14:textId="272C49BD" w:rsidR="00F15708" w:rsidRPr="005F3664" w:rsidRDefault="00F15708"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Mango (</w:t>
      </w:r>
      <w:r w:rsidRPr="005F3664">
        <w:rPr>
          <w:rFonts w:ascii="Arial" w:hAnsi="Arial" w:cs="Arial"/>
          <w:i/>
          <w:iCs/>
          <w:color w:val="000000" w:themeColor="text1"/>
          <w:sz w:val="20"/>
          <w:szCs w:val="20"/>
        </w:rPr>
        <w:t>Mangifera indica</w:t>
      </w:r>
      <w:r w:rsidRPr="005F3664">
        <w:rPr>
          <w:rFonts w:ascii="Arial" w:hAnsi="Arial" w:cs="Arial"/>
          <w:color w:val="000000" w:themeColor="text1"/>
          <w:sz w:val="20"/>
          <w:szCs w:val="20"/>
        </w:rPr>
        <w:t>) breeding is limited by a 5</w:t>
      </w:r>
      <w:r w:rsidR="00195BC2">
        <w:rPr>
          <w:rFonts w:ascii="Arial" w:hAnsi="Arial" w:cs="Arial"/>
          <w:color w:val="000000" w:themeColor="text1"/>
          <w:sz w:val="20"/>
          <w:szCs w:val="20"/>
        </w:rPr>
        <w:t>-</w:t>
      </w:r>
      <w:r w:rsidRPr="005F3664">
        <w:rPr>
          <w:rFonts w:ascii="Arial" w:hAnsi="Arial" w:cs="Arial"/>
          <w:color w:val="000000" w:themeColor="text1"/>
          <w:sz w:val="20"/>
          <w:szCs w:val="20"/>
        </w:rPr>
        <w:t>8-year juvenile phase and high heterozygosity. Recent advances include genome assemblies (Alphonso, Tommy Atkins), SSR/SNP marker panels, and QTL mapping for yield and disease traits (Singh et al., 2021). Genome editing remains technically constrained.</w:t>
      </w:r>
    </w:p>
    <w:p w14:paraId="7BA4E8B8" w14:textId="7B0329D3" w:rsidR="00F15708" w:rsidRPr="005F3664" w:rsidRDefault="00F15708"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In grapevine (</w:t>
      </w:r>
      <w:r w:rsidRPr="005F3664">
        <w:rPr>
          <w:rFonts w:ascii="Arial" w:hAnsi="Arial" w:cs="Arial"/>
          <w:i/>
          <w:iCs/>
          <w:color w:val="000000" w:themeColor="text1"/>
          <w:sz w:val="20"/>
          <w:szCs w:val="20"/>
        </w:rPr>
        <w:t>Vitis vinifera</w:t>
      </w:r>
      <w:r w:rsidRPr="005F3664">
        <w:rPr>
          <w:rFonts w:ascii="Arial" w:hAnsi="Arial" w:cs="Arial"/>
          <w:color w:val="000000" w:themeColor="text1"/>
          <w:sz w:val="20"/>
          <w:szCs w:val="20"/>
        </w:rPr>
        <w:t xml:space="preserve">), MAS targeting </w:t>
      </w:r>
      <w:r w:rsidRPr="005F3664">
        <w:rPr>
          <w:rFonts w:ascii="Arial" w:hAnsi="Arial" w:cs="Arial"/>
          <w:i/>
          <w:iCs/>
          <w:color w:val="000000" w:themeColor="text1"/>
          <w:sz w:val="20"/>
          <w:szCs w:val="20"/>
        </w:rPr>
        <w:t>Rpv1</w:t>
      </w:r>
      <w:r w:rsidR="00195BC2">
        <w:rPr>
          <w:rFonts w:ascii="Arial" w:hAnsi="Arial" w:cs="Arial"/>
          <w:i/>
          <w:iCs/>
          <w:color w:val="000000" w:themeColor="text1"/>
          <w:sz w:val="20"/>
          <w:szCs w:val="20"/>
        </w:rPr>
        <w:t>-</w:t>
      </w:r>
      <w:r w:rsidRPr="005F3664">
        <w:rPr>
          <w:rFonts w:ascii="Arial" w:hAnsi="Arial" w:cs="Arial"/>
          <w:i/>
          <w:iCs/>
          <w:color w:val="000000" w:themeColor="text1"/>
          <w:sz w:val="20"/>
          <w:szCs w:val="20"/>
        </w:rPr>
        <w:t>Rpv29</w:t>
      </w:r>
      <w:r w:rsidRPr="005F3664">
        <w:rPr>
          <w:rFonts w:ascii="Arial" w:hAnsi="Arial" w:cs="Arial"/>
          <w:color w:val="000000" w:themeColor="text1"/>
          <w:sz w:val="20"/>
          <w:szCs w:val="20"/>
        </w:rPr>
        <w:t xml:space="preserve"> QTLs supports mildew resistance breeding. DNA-free CRISPR RNP editing of </w:t>
      </w:r>
      <w:r w:rsidRPr="005F3664">
        <w:rPr>
          <w:rFonts w:ascii="Arial" w:hAnsi="Arial" w:cs="Arial"/>
          <w:i/>
          <w:iCs/>
          <w:color w:val="000000" w:themeColor="text1"/>
          <w:sz w:val="20"/>
          <w:szCs w:val="20"/>
        </w:rPr>
        <w:t>VvMLO-7</w:t>
      </w:r>
      <w:r w:rsidRPr="005F3664">
        <w:rPr>
          <w:rFonts w:ascii="Arial" w:hAnsi="Arial" w:cs="Arial"/>
          <w:color w:val="000000" w:themeColor="text1"/>
          <w:sz w:val="20"/>
          <w:szCs w:val="20"/>
        </w:rPr>
        <w:t xml:space="preserve"> and </w:t>
      </w:r>
      <w:r w:rsidRPr="005F3664">
        <w:rPr>
          <w:rFonts w:ascii="Arial" w:hAnsi="Arial" w:cs="Arial"/>
          <w:i/>
          <w:iCs/>
          <w:color w:val="000000" w:themeColor="text1"/>
          <w:sz w:val="20"/>
          <w:szCs w:val="20"/>
        </w:rPr>
        <w:t>VvWRKY52</w:t>
      </w:r>
      <w:r w:rsidRPr="005F3664">
        <w:rPr>
          <w:rFonts w:ascii="Arial" w:hAnsi="Arial" w:cs="Arial"/>
          <w:color w:val="000000" w:themeColor="text1"/>
          <w:sz w:val="20"/>
          <w:szCs w:val="20"/>
        </w:rPr>
        <w:t xml:space="preserve"> generated transgene-free edited plants with strong regulatory implications (</w:t>
      </w:r>
      <w:proofErr w:type="spellStart"/>
      <w:r w:rsidRPr="005F3664">
        <w:rPr>
          <w:rFonts w:ascii="Arial" w:hAnsi="Arial" w:cs="Arial"/>
          <w:color w:val="000000" w:themeColor="text1"/>
          <w:sz w:val="20"/>
          <w:szCs w:val="20"/>
        </w:rPr>
        <w:t>Malnoy</w:t>
      </w:r>
      <w:proofErr w:type="spellEnd"/>
      <w:r w:rsidRPr="005F3664">
        <w:rPr>
          <w:rFonts w:ascii="Arial" w:hAnsi="Arial" w:cs="Arial"/>
          <w:color w:val="000000" w:themeColor="text1"/>
          <w:sz w:val="20"/>
          <w:szCs w:val="20"/>
        </w:rPr>
        <w:t xml:space="preserve"> et al., 2016).</w:t>
      </w:r>
    </w:p>
    <w:p w14:paraId="74F529A7" w14:textId="17F6C401" w:rsidR="00EE50DD" w:rsidRPr="005F3664" w:rsidRDefault="00F15708"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In octoploid strawberry (</w:t>
      </w:r>
      <w:r w:rsidRPr="005F3664">
        <w:rPr>
          <w:rFonts w:ascii="Arial" w:hAnsi="Arial" w:cs="Arial"/>
          <w:i/>
          <w:iCs/>
          <w:color w:val="000000" w:themeColor="text1"/>
          <w:sz w:val="20"/>
          <w:szCs w:val="20"/>
        </w:rPr>
        <w:t xml:space="preserve">Fragaria × </w:t>
      </w:r>
      <w:proofErr w:type="spellStart"/>
      <w:r w:rsidRPr="005F3664">
        <w:rPr>
          <w:rFonts w:ascii="Arial" w:hAnsi="Arial" w:cs="Arial"/>
          <w:i/>
          <w:iCs/>
          <w:color w:val="000000" w:themeColor="text1"/>
          <w:sz w:val="20"/>
          <w:szCs w:val="20"/>
        </w:rPr>
        <w:t>ananassa</w:t>
      </w:r>
      <w:proofErr w:type="spellEnd"/>
      <w:r w:rsidRPr="005F3664">
        <w:rPr>
          <w:rFonts w:ascii="Arial" w:hAnsi="Arial" w:cs="Arial"/>
          <w:color w:val="000000" w:themeColor="text1"/>
          <w:sz w:val="20"/>
          <w:szCs w:val="20"/>
        </w:rPr>
        <w:t>), genomic selection achieves prediction accuracies of 0.60</w:t>
      </w:r>
      <w:r w:rsidR="00195BC2">
        <w:rPr>
          <w:rFonts w:ascii="Arial" w:hAnsi="Arial" w:cs="Arial"/>
          <w:color w:val="000000" w:themeColor="text1"/>
          <w:sz w:val="20"/>
          <w:szCs w:val="20"/>
        </w:rPr>
        <w:t>-</w:t>
      </w:r>
      <w:r w:rsidRPr="005F3664">
        <w:rPr>
          <w:rFonts w:ascii="Arial" w:hAnsi="Arial" w:cs="Arial"/>
          <w:color w:val="000000" w:themeColor="text1"/>
          <w:sz w:val="20"/>
          <w:szCs w:val="20"/>
        </w:rPr>
        <w:t xml:space="preserve">0.80 for firmness, </w:t>
      </w:r>
      <w:proofErr w:type="spellStart"/>
      <w:r w:rsidRPr="005F3664">
        <w:rPr>
          <w:rFonts w:ascii="Arial" w:hAnsi="Arial" w:cs="Arial"/>
          <w:color w:val="000000" w:themeColor="text1"/>
          <w:sz w:val="20"/>
          <w:szCs w:val="20"/>
        </w:rPr>
        <w:t>color</w:t>
      </w:r>
      <w:proofErr w:type="spellEnd"/>
      <w:r w:rsidRPr="005F3664">
        <w:rPr>
          <w:rFonts w:ascii="Arial" w:hAnsi="Arial" w:cs="Arial"/>
          <w:color w:val="000000" w:themeColor="text1"/>
          <w:sz w:val="20"/>
          <w:szCs w:val="20"/>
        </w:rPr>
        <w:t>, and disease resistance, demonstrating feasibility of GS in complex polyploids (Whitaker et al., 2020).</w:t>
      </w:r>
    </w:p>
    <w:p w14:paraId="2800B622" w14:textId="1A41A4AC" w:rsidR="00B529D9" w:rsidRPr="005F3664" w:rsidRDefault="00B529D9" w:rsidP="00E53B33">
      <w:pPr>
        <w:spacing w:line="240" w:lineRule="auto"/>
        <w:jc w:val="both"/>
        <w:rPr>
          <w:rFonts w:ascii="Arial" w:hAnsi="Arial" w:cs="Arial"/>
          <w:b/>
          <w:bCs/>
        </w:rPr>
      </w:pPr>
      <w:r w:rsidRPr="005F3664">
        <w:rPr>
          <w:rFonts w:ascii="Arial" w:hAnsi="Arial" w:cs="Arial"/>
          <w:b/>
          <w:bCs/>
        </w:rPr>
        <w:t>8. Challenges and Research Gaps</w:t>
      </w:r>
    </w:p>
    <w:p w14:paraId="27A5D121" w14:textId="77777777" w:rsidR="00B529D9" w:rsidRPr="005F3664" w:rsidRDefault="00B529D9" w:rsidP="00E53B33">
      <w:pPr>
        <w:spacing w:line="240" w:lineRule="auto"/>
        <w:jc w:val="both"/>
        <w:rPr>
          <w:rFonts w:ascii="Arial" w:hAnsi="Arial" w:cs="Arial"/>
          <w:sz w:val="20"/>
          <w:szCs w:val="20"/>
        </w:rPr>
      </w:pPr>
      <w:r w:rsidRPr="005F3664">
        <w:rPr>
          <w:rFonts w:ascii="Arial" w:hAnsi="Arial" w:cs="Arial"/>
          <w:sz w:val="20"/>
          <w:szCs w:val="20"/>
        </w:rPr>
        <w:t>Despite major technological advances, significant biological, technical, regulatory, and socioeconomic challenges remain.</w:t>
      </w:r>
    </w:p>
    <w:p w14:paraId="1F54A8F2" w14:textId="77777777" w:rsidR="00B529D9" w:rsidRPr="005F3664" w:rsidRDefault="00B529D9" w:rsidP="00E53B33">
      <w:pPr>
        <w:spacing w:line="240" w:lineRule="auto"/>
        <w:jc w:val="both"/>
        <w:rPr>
          <w:rFonts w:ascii="Arial" w:hAnsi="Arial" w:cs="Arial"/>
          <w:sz w:val="20"/>
          <w:szCs w:val="20"/>
        </w:rPr>
      </w:pPr>
      <w:r w:rsidRPr="005F3664">
        <w:rPr>
          <w:rFonts w:ascii="Arial" w:hAnsi="Arial" w:cs="Arial"/>
          <w:sz w:val="20"/>
          <w:szCs w:val="20"/>
        </w:rPr>
        <w:t>Polyploidy and heterozygosity are fundamental biological constraints in many horticultural crops. Tetraploid potato, octoploid strawberry, and triploid banana complicate QTL resolution, allele dosage estimation in GWAS, candidate gene identification among homeologs, and allele-specific sgRNA design without off-target editing of similar loci. Although statistical models for polyploid GWAS and GS are improving, they remain less mature than diploid frameworks.</w:t>
      </w:r>
    </w:p>
    <w:p w14:paraId="0DE20A1C" w14:textId="77777777" w:rsidR="00B529D9" w:rsidRPr="005F3664" w:rsidRDefault="00B529D9" w:rsidP="00E53B33">
      <w:pPr>
        <w:spacing w:line="240" w:lineRule="auto"/>
        <w:jc w:val="both"/>
        <w:rPr>
          <w:rFonts w:ascii="Arial" w:hAnsi="Arial" w:cs="Arial"/>
          <w:sz w:val="20"/>
          <w:szCs w:val="20"/>
        </w:rPr>
      </w:pPr>
      <w:r w:rsidRPr="005F3664">
        <w:rPr>
          <w:rFonts w:ascii="Arial" w:hAnsi="Arial" w:cs="Arial"/>
          <w:sz w:val="20"/>
          <w:szCs w:val="20"/>
        </w:rPr>
        <w:lastRenderedPageBreak/>
        <w:t xml:space="preserve">Transformation efficiency and genotype dependence limit broad genome-editing deployment. Elite cultivars often show poor </w:t>
      </w:r>
      <w:r w:rsidRPr="005F3664">
        <w:rPr>
          <w:rFonts w:ascii="Arial" w:hAnsi="Arial" w:cs="Arial"/>
          <w:i/>
          <w:iCs/>
          <w:sz w:val="20"/>
          <w:szCs w:val="20"/>
        </w:rPr>
        <w:t>Agrobacterium</w:t>
      </w:r>
      <w:r w:rsidRPr="005F3664">
        <w:rPr>
          <w:rFonts w:ascii="Arial" w:hAnsi="Arial" w:cs="Arial"/>
          <w:sz w:val="20"/>
          <w:szCs w:val="20"/>
        </w:rPr>
        <w:t>-mediated transformation or regeneration capacity, necessitating genotype-specific optimisation. Emerging solutions include morphogenic regulators (BBM, WUS2), viral vectors (</w:t>
      </w:r>
      <w:proofErr w:type="spellStart"/>
      <w:r w:rsidRPr="005F3664">
        <w:rPr>
          <w:rFonts w:ascii="Arial" w:hAnsi="Arial" w:cs="Arial"/>
          <w:sz w:val="20"/>
          <w:szCs w:val="20"/>
        </w:rPr>
        <w:t>BeYDV</w:t>
      </w:r>
      <w:proofErr w:type="spellEnd"/>
      <w:r w:rsidRPr="005F3664">
        <w:rPr>
          <w:rFonts w:ascii="Arial" w:hAnsi="Arial" w:cs="Arial"/>
          <w:sz w:val="20"/>
          <w:szCs w:val="20"/>
        </w:rPr>
        <w:t>, TRV), nanoparticle delivery, and pollen-based transformation, though further refinement is required. While improved Cas variants and base editors reduce off-target activity, polyploid genomes necessitate routine whole-genome sequencing validation.</w:t>
      </w:r>
    </w:p>
    <w:p w14:paraId="33AA7E82" w14:textId="77777777" w:rsidR="00B529D9" w:rsidRPr="005F3664" w:rsidRDefault="00B529D9" w:rsidP="00E53B33">
      <w:pPr>
        <w:spacing w:line="240" w:lineRule="auto"/>
        <w:jc w:val="both"/>
        <w:rPr>
          <w:rFonts w:ascii="Arial" w:hAnsi="Arial" w:cs="Arial"/>
          <w:sz w:val="20"/>
          <w:szCs w:val="20"/>
        </w:rPr>
      </w:pPr>
      <w:r w:rsidRPr="005F3664">
        <w:rPr>
          <w:rFonts w:ascii="Arial" w:hAnsi="Arial" w:cs="Arial"/>
          <w:sz w:val="20"/>
          <w:szCs w:val="20"/>
        </w:rPr>
        <w:t>Regulatory heterogeneity presents a major deployment barrier. The US USDA-APHIS and Japan permit SDN-1 edits lacking foreign DNA, facilitating commercialisation, whereas the European Court of Justice classifies NGTs under GMO legislation, although the 2023 European Commission proposal signals potential reform. Consumer acceptance of CRISPR-edited crops is generally more favourable than for transgenic GMOs but remains context-dependent and requires transparent communication (Lucht, 2015). Intellectual property constraints surrounding CRISPR systems disproportionately burden public-sector and low- and middle-income country breeding programmes.</w:t>
      </w:r>
    </w:p>
    <w:p w14:paraId="55EFFC0F" w14:textId="776F5399" w:rsidR="00991B3B" w:rsidRPr="005F3664" w:rsidRDefault="00B529D9" w:rsidP="00E53B33">
      <w:pPr>
        <w:spacing w:line="240" w:lineRule="auto"/>
        <w:jc w:val="both"/>
        <w:rPr>
          <w:rFonts w:ascii="Arial" w:hAnsi="Arial" w:cs="Arial"/>
          <w:sz w:val="20"/>
          <w:szCs w:val="20"/>
        </w:rPr>
      </w:pPr>
      <w:r w:rsidRPr="005F3664">
        <w:rPr>
          <w:rFonts w:ascii="Arial" w:hAnsi="Arial" w:cs="Arial"/>
          <w:sz w:val="20"/>
          <w:szCs w:val="20"/>
        </w:rPr>
        <w:t>A critical equity gap persists in the underrepresentation of tropical and minor crops in genomic databases. While tomato and potato are extensively characterised, crops such as mango, papaya, jackfruit, and many indigenous vegetables lack adequate genomic infrastructure. Expanded international investment in reference genomes, pan-genomes, and functional annotation resources is essential to ensure equitable global access to precision breeding.</w:t>
      </w:r>
    </w:p>
    <w:p w14:paraId="66529C0D" w14:textId="77777777" w:rsidR="00F81250" w:rsidRPr="005F3664" w:rsidRDefault="00F81250" w:rsidP="00E53B33">
      <w:pPr>
        <w:spacing w:line="240" w:lineRule="auto"/>
        <w:jc w:val="both"/>
        <w:rPr>
          <w:rFonts w:ascii="Arial" w:hAnsi="Arial" w:cs="Arial"/>
          <w:b/>
          <w:bCs/>
          <w:sz w:val="24"/>
          <w:szCs w:val="24"/>
        </w:rPr>
      </w:pPr>
    </w:p>
    <w:p w14:paraId="53DAFC57" w14:textId="34E23D33" w:rsidR="009768BC" w:rsidRPr="005F3664" w:rsidRDefault="009768BC" w:rsidP="00E53B33">
      <w:pPr>
        <w:spacing w:line="240" w:lineRule="auto"/>
        <w:jc w:val="both"/>
        <w:rPr>
          <w:rFonts w:ascii="Arial" w:hAnsi="Arial" w:cs="Arial"/>
          <w:b/>
          <w:bCs/>
        </w:rPr>
      </w:pPr>
      <w:r w:rsidRPr="005F3664">
        <w:rPr>
          <w:rFonts w:ascii="Arial" w:hAnsi="Arial" w:cs="Arial"/>
          <w:b/>
          <w:bCs/>
        </w:rPr>
        <w:t>9. Future Perspectives</w:t>
      </w:r>
    </w:p>
    <w:p w14:paraId="188B9F2F" w14:textId="77777777" w:rsidR="00B529D9" w:rsidRPr="005F3664" w:rsidRDefault="00B529D9" w:rsidP="00E53B33">
      <w:pPr>
        <w:spacing w:line="240" w:lineRule="auto"/>
        <w:jc w:val="both"/>
        <w:rPr>
          <w:rFonts w:ascii="Arial" w:hAnsi="Arial" w:cs="Arial"/>
          <w:sz w:val="20"/>
          <w:szCs w:val="20"/>
        </w:rPr>
      </w:pPr>
      <w:r w:rsidRPr="005F3664">
        <w:rPr>
          <w:rFonts w:ascii="Arial" w:hAnsi="Arial" w:cs="Arial"/>
          <w:sz w:val="20"/>
          <w:szCs w:val="20"/>
        </w:rPr>
        <w:t>The coming decade will likely see convergence of artificial intelligence, pan-genomics, synthetic biology, and precision editing into a fully integrated breeding ecosystem. AI and deep learning are accelerating multi-omics integration, automated phenotyping, breeding optimisation, and sgRNA design, thereby compressing breeding cycles and increasing genetic gain. Digital twin crop models integrating genomic, physiological, environmental, and management data are emerging as in silico platforms for optimising breeding strategies prior to field validation (Crossa et al., 2017).</w:t>
      </w:r>
    </w:p>
    <w:p w14:paraId="3F669A6D" w14:textId="77777777" w:rsidR="00B529D9" w:rsidRPr="005F3664" w:rsidRDefault="00B529D9" w:rsidP="00E53B33">
      <w:pPr>
        <w:spacing w:line="240" w:lineRule="auto"/>
        <w:jc w:val="both"/>
        <w:rPr>
          <w:rFonts w:ascii="Arial" w:hAnsi="Arial" w:cs="Arial"/>
          <w:sz w:val="20"/>
          <w:szCs w:val="20"/>
        </w:rPr>
      </w:pPr>
      <w:r w:rsidRPr="005F3664">
        <w:rPr>
          <w:rFonts w:ascii="Arial" w:hAnsi="Arial" w:cs="Arial"/>
          <w:sz w:val="20"/>
          <w:szCs w:val="20"/>
        </w:rPr>
        <w:t xml:space="preserve">Pan-genome breeding, enabled by population-scale long-read sequencing, will systematically exploit core and accessory genomic diversity. Structural variants and previously hidden resistance or quality alleles can be </w:t>
      </w:r>
      <w:proofErr w:type="spellStart"/>
      <w:r w:rsidRPr="005F3664">
        <w:rPr>
          <w:rFonts w:ascii="Arial" w:hAnsi="Arial" w:cs="Arial"/>
          <w:sz w:val="20"/>
          <w:szCs w:val="20"/>
        </w:rPr>
        <w:t>introgressed</w:t>
      </w:r>
      <w:proofErr w:type="spellEnd"/>
      <w:r w:rsidRPr="005F3664">
        <w:rPr>
          <w:rFonts w:ascii="Arial" w:hAnsi="Arial" w:cs="Arial"/>
          <w:sz w:val="20"/>
          <w:szCs w:val="20"/>
        </w:rPr>
        <w:t xml:space="preserve"> via MABC or directly installed through allele conversion using precision editing. The combination of GWAS-derived loci and targeted editing in elite backgrounds may represent the most transformative near-term application.</w:t>
      </w:r>
    </w:p>
    <w:p w14:paraId="5E3F24F5" w14:textId="1672B563" w:rsidR="00B529D9" w:rsidRPr="005F3664" w:rsidRDefault="00B529D9" w:rsidP="00E53B33">
      <w:pPr>
        <w:spacing w:line="240" w:lineRule="auto"/>
        <w:jc w:val="both"/>
        <w:rPr>
          <w:rFonts w:ascii="Arial" w:hAnsi="Arial" w:cs="Arial"/>
          <w:sz w:val="20"/>
          <w:szCs w:val="20"/>
        </w:rPr>
      </w:pPr>
      <w:r w:rsidRPr="005F3664">
        <w:rPr>
          <w:rFonts w:ascii="Arial" w:hAnsi="Arial" w:cs="Arial"/>
          <w:sz w:val="20"/>
          <w:szCs w:val="20"/>
        </w:rPr>
        <w:t>De novo domestication using multiplex CRISPR editing of domestication genes offers the potential to develop new horticultural crops from wild species within 5</w:t>
      </w:r>
      <w:r w:rsidR="00195BC2">
        <w:rPr>
          <w:rFonts w:ascii="Arial" w:hAnsi="Arial" w:cs="Arial"/>
          <w:sz w:val="20"/>
          <w:szCs w:val="20"/>
        </w:rPr>
        <w:t>-</w:t>
      </w:r>
      <w:r w:rsidRPr="005F3664">
        <w:rPr>
          <w:rFonts w:ascii="Arial" w:hAnsi="Arial" w:cs="Arial"/>
          <w:sz w:val="20"/>
          <w:szCs w:val="20"/>
        </w:rPr>
        <w:t>10 years (</w:t>
      </w:r>
      <w:proofErr w:type="spellStart"/>
      <w:r w:rsidRPr="005F3664">
        <w:rPr>
          <w:rFonts w:ascii="Arial" w:hAnsi="Arial" w:cs="Arial"/>
          <w:sz w:val="20"/>
          <w:szCs w:val="20"/>
        </w:rPr>
        <w:t>Fernie</w:t>
      </w:r>
      <w:proofErr w:type="spellEnd"/>
      <w:r w:rsidRPr="005F3664">
        <w:rPr>
          <w:rFonts w:ascii="Arial" w:hAnsi="Arial" w:cs="Arial"/>
          <w:sz w:val="20"/>
          <w:szCs w:val="20"/>
        </w:rPr>
        <w:t xml:space="preserve"> and Yan, 2019; </w:t>
      </w:r>
      <w:proofErr w:type="spellStart"/>
      <w:r w:rsidRPr="005F3664">
        <w:rPr>
          <w:rFonts w:ascii="Arial" w:hAnsi="Arial" w:cs="Arial"/>
          <w:sz w:val="20"/>
          <w:szCs w:val="20"/>
        </w:rPr>
        <w:t>Zsogon</w:t>
      </w:r>
      <w:proofErr w:type="spellEnd"/>
      <w:r w:rsidRPr="005F3664">
        <w:rPr>
          <w:rFonts w:ascii="Arial" w:hAnsi="Arial" w:cs="Arial"/>
          <w:sz w:val="20"/>
          <w:szCs w:val="20"/>
        </w:rPr>
        <w:t xml:space="preserve"> et al., 2018). Climate-resilient breeding</w:t>
      </w:r>
      <w:r w:rsidR="005856F9" w:rsidRPr="005F3664">
        <w:rPr>
          <w:rFonts w:ascii="Arial" w:hAnsi="Arial" w:cs="Arial"/>
          <w:sz w:val="20"/>
          <w:szCs w:val="20"/>
        </w:rPr>
        <w:t>-</w:t>
      </w:r>
      <w:r w:rsidRPr="005F3664">
        <w:rPr>
          <w:rFonts w:ascii="Arial" w:hAnsi="Arial" w:cs="Arial"/>
          <w:sz w:val="20"/>
          <w:szCs w:val="20"/>
        </w:rPr>
        <w:t>combining multiplex editing of stress-response regulators with genomic selection for polygenic tolerance</w:t>
      </w:r>
      <w:r w:rsidR="005856F9" w:rsidRPr="005F3664">
        <w:rPr>
          <w:rFonts w:ascii="Arial" w:hAnsi="Arial" w:cs="Arial"/>
          <w:sz w:val="20"/>
          <w:szCs w:val="20"/>
        </w:rPr>
        <w:t>-</w:t>
      </w:r>
      <w:r w:rsidRPr="005F3664">
        <w:rPr>
          <w:rFonts w:ascii="Arial" w:hAnsi="Arial" w:cs="Arial"/>
          <w:sz w:val="20"/>
          <w:szCs w:val="20"/>
        </w:rPr>
        <w:t>will be a central priority under accelerating climate change. Expansion of urban and protected agriculture will further drive demand for precision-engineered varieties optimised for compact growth, LED efficiency, and rapid production cycles.</w:t>
      </w:r>
    </w:p>
    <w:p w14:paraId="06BE9A07" w14:textId="77777777" w:rsidR="009768BC" w:rsidRPr="005F3664" w:rsidRDefault="009768BC" w:rsidP="00E53B33">
      <w:pPr>
        <w:spacing w:line="240" w:lineRule="auto"/>
        <w:jc w:val="both"/>
        <w:rPr>
          <w:rFonts w:ascii="Arial" w:hAnsi="Arial" w:cs="Arial"/>
          <w:b/>
          <w:bCs/>
          <w:sz w:val="24"/>
          <w:szCs w:val="24"/>
        </w:rPr>
      </w:pPr>
      <w:r w:rsidRPr="005F3664">
        <w:rPr>
          <w:rFonts w:ascii="Arial" w:hAnsi="Arial" w:cs="Arial"/>
          <w:b/>
          <w:bCs/>
        </w:rPr>
        <w:t>10. Conclusion</w:t>
      </w:r>
    </w:p>
    <w:p w14:paraId="00C54300" w14:textId="77777777" w:rsidR="00B529D9" w:rsidRPr="005F3664" w:rsidRDefault="00B529D9" w:rsidP="00E53B33">
      <w:pPr>
        <w:tabs>
          <w:tab w:val="left" w:pos="3737"/>
        </w:tabs>
        <w:spacing w:line="240" w:lineRule="auto"/>
        <w:jc w:val="both"/>
        <w:rPr>
          <w:rFonts w:ascii="Arial" w:hAnsi="Arial" w:cs="Arial"/>
          <w:sz w:val="20"/>
          <w:szCs w:val="20"/>
        </w:rPr>
      </w:pPr>
      <w:r w:rsidRPr="005F3664">
        <w:rPr>
          <w:rFonts w:ascii="Arial" w:hAnsi="Arial" w:cs="Arial"/>
          <w:sz w:val="20"/>
          <w:szCs w:val="20"/>
        </w:rPr>
        <w:t>Horticultural breeding has shifted from phenotypic selection to genome-informed precision improvement through MAS, genomic selection, multi-omics, and CRISPR editing. These tools complement conventional breeding, enabling faster, more accurate development of superior varieties.</w:t>
      </w:r>
    </w:p>
    <w:p w14:paraId="55DE06AA" w14:textId="6066F1D0" w:rsidR="00B529D9" w:rsidRPr="005F3664" w:rsidRDefault="00B529D9" w:rsidP="00E53B33">
      <w:pPr>
        <w:tabs>
          <w:tab w:val="left" w:pos="3737"/>
        </w:tabs>
        <w:spacing w:line="240" w:lineRule="auto"/>
        <w:jc w:val="both"/>
        <w:rPr>
          <w:rFonts w:ascii="Arial" w:hAnsi="Arial" w:cs="Arial"/>
          <w:sz w:val="20"/>
          <w:szCs w:val="20"/>
        </w:rPr>
      </w:pPr>
      <w:r w:rsidRPr="005F3664">
        <w:rPr>
          <w:rFonts w:ascii="Arial" w:hAnsi="Arial" w:cs="Arial"/>
          <w:sz w:val="20"/>
          <w:szCs w:val="20"/>
        </w:rPr>
        <w:t>Realising their full potential requires stronger genomic infrastructure, regulatory clarity, improved transformation systems, and public trust. Integrated breeding approaches will be central to producing resilient, nutritious, and high-performing horticultural crops for future food security.</w:t>
      </w:r>
    </w:p>
    <w:p w14:paraId="3F6A2315" w14:textId="27C3542B" w:rsidR="005932AA" w:rsidRPr="005F3664" w:rsidRDefault="005932AA" w:rsidP="00E53B33">
      <w:pPr>
        <w:tabs>
          <w:tab w:val="left" w:pos="3737"/>
        </w:tabs>
        <w:spacing w:line="240" w:lineRule="auto"/>
        <w:jc w:val="both"/>
        <w:rPr>
          <w:rFonts w:ascii="Arial" w:hAnsi="Arial" w:cs="Arial"/>
          <w:b/>
          <w:bCs/>
        </w:rPr>
      </w:pPr>
      <w:r w:rsidRPr="005F3664">
        <w:rPr>
          <w:rFonts w:ascii="Arial" w:hAnsi="Arial" w:cs="Arial"/>
          <w:b/>
          <w:bCs/>
        </w:rPr>
        <w:t>References</w:t>
      </w:r>
    </w:p>
    <w:p w14:paraId="4D4B5A81" w14:textId="28574D2B" w:rsidR="00B25D7F" w:rsidRPr="00B25D7F" w:rsidRDefault="00B25D7F" w:rsidP="00B25D7F">
      <w:pPr>
        <w:tabs>
          <w:tab w:val="left" w:pos="3737"/>
        </w:tabs>
        <w:spacing w:line="240" w:lineRule="auto"/>
        <w:ind w:left="482" w:hanging="482"/>
        <w:jc w:val="both"/>
        <w:rPr>
          <w:rFonts w:ascii="Arial" w:hAnsi="Arial" w:cs="Arial"/>
          <w:sz w:val="20"/>
          <w:szCs w:val="20"/>
        </w:rPr>
      </w:pPr>
      <w:r w:rsidRPr="00B25D7F">
        <w:rPr>
          <w:rFonts w:ascii="Arial" w:hAnsi="Arial" w:cs="Arial"/>
          <w:sz w:val="20"/>
          <w:szCs w:val="20"/>
        </w:rPr>
        <w:t xml:space="preserve">Andersson, M., Turesson, H., Nicolia, A., Falt, A. S., Samuelsson, M., &amp; </w:t>
      </w:r>
      <w:proofErr w:type="spellStart"/>
      <w:r w:rsidRPr="00B25D7F">
        <w:rPr>
          <w:rFonts w:ascii="Arial" w:hAnsi="Arial" w:cs="Arial"/>
          <w:sz w:val="20"/>
          <w:szCs w:val="20"/>
        </w:rPr>
        <w:t>Hofvander</w:t>
      </w:r>
      <w:proofErr w:type="spellEnd"/>
      <w:r w:rsidRPr="00B25D7F">
        <w:rPr>
          <w:rFonts w:ascii="Arial" w:hAnsi="Arial" w:cs="Arial"/>
          <w:sz w:val="20"/>
          <w:szCs w:val="20"/>
        </w:rPr>
        <w:t>, P. (2017). Efficient targeted multiallelic mutagenesis in tetraploid potato (</w:t>
      </w:r>
      <w:r w:rsidRPr="00B25D7F">
        <w:rPr>
          <w:rFonts w:ascii="Arial" w:hAnsi="Arial" w:cs="Arial"/>
          <w:i/>
          <w:iCs/>
          <w:sz w:val="20"/>
          <w:szCs w:val="20"/>
        </w:rPr>
        <w:t>Solanum tuberosum</w:t>
      </w:r>
      <w:r w:rsidRPr="00B25D7F">
        <w:rPr>
          <w:rFonts w:ascii="Arial" w:hAnsi="Arial" w:cs="Arial"/>
          <w:sz w:val="20"/>
          <w:szCs w:val="20"/>
        </w:rPr>
        <w:t xml:space="preserve">) by transient CRISPR-Cas9 expression in protoplasts. </w:t>
      </w:r>
      <w:r w:rsidRPr="00B25D7F">
        <w:rPr>
          <w:rFonts w:ascii="Arial" w:hAnsi="Arial" w:cs="Arial"/>
          <w:i/>
          <w:iCs/>
          <w:sz w:val="20"/>
          <w:szCs w:val="20"/>
        </w:rPr>
        <w:t>Plant Cell Reports, 36</w:t>
      </w:r>
      <w:r w:rsidRPr="00B25D7F">
        <w:rPr>
          <w:rFonts w:ascii="Arial" w:hAnsi="Arial" w:cs="Arial"/>
          <w:sz w:val="20"/>
          <w:szCs w:val="20"/>
        </w:rPr>
        <w:t>(1), 117</w:t>
      </w:r>
      <w:r w:rsidR="00195BC2">
        <w:rPr>
          <w:rFonts w:ascii="Arial" w:hAnsi="Arial" w:cs="Arial"/>
          <w:sz w:val="20"/>
          <w:szCs w:val="20"/>
        </w:rPr>
        <w:t>-</w:t>
      </w:r>
      <w:r w:rsidRPr="00B25D7F">
        <w:rPr>
          <w:rFonts w:ascii="Arial" w:hAnsi="Arial" w:cs="Arial"/>
          <w:sz w:val="20"/>
          <w:szCs w:val="20"/>
        </w:rPr>
        <w:t xml:space="preserve">128. </w:t>
      </w:r>
      <w:hyperlink r:id="rId8" w:tgtFrame="_new" w:history="1">
        <w:r w:rsidRPr="00B25D7F">
          <w:rPr>
            <w:rStyle w:val="Hyperlink"/>
            <w:rFonts w:ascii="Arial" w:hAnsi="Arial" w:cs="Arial"/>
            <w:sz w:val="20"/>
            <w:szCs w:val="20"/>
          </w:rPr>
          <w:t>https://doi.org/10.1007/s00299-016-2062-3</w:t>
        </w:r>
      </w:hyperlink>
    </w:p>
    <w:p w14:paraId="5EDBDC5B" w14:textId="022D040A" w:rsidR="00B25D7F" w:rsidRPr="00B25D7F" w:rsidRDefault="00B25D7F" w:rsidP="00B25D7F">
      <w:pPr>
        <w:tabs>
          <w:tab w:val="left" w:pos="3737"/>
        </w:tabs>
        <w:spacing w:line="240" w:lineRule="auto"/>
        <w:ind w:left="482" w:hanging="482"/>
        <w:jc w:val="both"/>
        <w:rPr>
          <w:rFonts w:ascii="Arial" w:hAnsi="Arial" w:cs="Arial"/>
          <w:sz w:val="20"/>
          <w:szCs w:val="20"/>
        </w:rPr>
      </w:pPr>
      <w:r w:rsidRPr="00B25D7F">
        <w:rPr>
          <w:rFonts w:ascii="Arial" w:hAnsi="Arial" w:cs="Arial"/>
          <w:sz w:val="20"/>
          <w:szCs w:val="20"/>
        </w:rPr>
        <w:t xml:space="preserve">Anzalone, A. V., Randolph, P. B., Davis, J. R., Sousa, A. A., </w:t>
      </w:r>
      <w:proofErr w:type="spellStart"/>
      <w:r w:rsidRPr="00B25D7F">
        <w:rPr>
          <w:rFonts w:ascii="Arial" w:hAnsi="Arial" w:cs="Arial"/>
          <w:sz w:val="20"/>
          <w:szCs w:val="20"/>
        </w:rPr>
        <w:t>Koblan</w:t>
      </w:r>
      <w:proofErr w:type="spellEnd"/>
      <w:r w:rsidRPr="00B25D7F">
        <w:rPr>
          <w:rFonts w:ascii="Arial" w:hAnsi="Arial" w:cs="Arial"/>
          <w:sz w:val="20"/>
          <w:szCs w:val="20"/>
        </w:rPr>
        <w:t xml:space="preserve">, L. W., Levy, J. M., Chen, P. J., Wilson, C., Newby, G. A., Raguram, A., &amp; Liu, D. R. (2019). Search-and-replace genome editing </w:t>
      </w:r>
      <w:r w:rsidRPr="00B25D7F">
        <w:rPr>
          <w:rFonts w:ascii="Arial" w:hAnsi="Arial" w:cs="Arial"/>
          <w:sz w:val="20"/>
          <w:szCs w:val="20"/>
        </w:rPr>
        <w:lastRenderedPageBreak/>
        <w:t xml:space="preserve">without double-strand breaks or donor DNA. </w:t>
      </w:r>
      <w:r w:rsidRPr="00B25D7F">
        <w:rPr>
          <w:rFonts w:ascii="Arial" w:hAnsi="Arial" w:cs="Arial"/>
          <w:i/>
          <w:iCs/>
          <w:sz w:val="20"/>
          <w:szCs w:val="20"/>
        </w:rPr>
        <w:t>Nature, 576</w:t>
      </w:r>
      <w:r w:rsidRPr="00B25D7F">
        <w:rPr>
          <w:rFonts w:ascii="Arial" w:hAnsi="Arial" w:cs="Arial"/>
          <w:sz w:val="20"/>
          <w:szCs w:val="20"/>
        </w:rPr>
        <w:t>(7785), 149</w:t>
      </w:r>
      <w:r w:rsidR="00195BC2">
        <w:rPr>
          <w:rFonts w:ascii="Arial" w:hAnsi="Arial" w:cs="Arial"/>
          <w:sz w:val="20"/>
          <w:szCs w:val="20"/>
        </w:rPr>
        <w:t>-</w:t>
      </w:r>
      <w:r w:rsidRPr="00B25D7F">
        <w:rPr>
          <w:rFonts w:ascii="Arial" w:hAnsi="Arial" w:cs="Arial"/>
          <w:sz w:val="20"/>
          <w:szCs w:val="20"/>
        </w:rPr>
        <w:t xml:space="preserve">157. </w:t>
      </w:r>
      <w:hyperlink r:id="rId9" w:tgtFrame="_new" w:history="1">
        <w:r w:rsidRPr="00B25D7F">
          <w:rPr>
            <w:rStyle w:val="Hyperlink"/>
            <w:rFonts w:ascii="Arial" w:hAnsi="Arial" w:cs="Arial"/>
            <w:sz w:val="20"/>
            <w:szCs w:val="20"/>
          </w:rPr>
          <w:t>https://doi.org/10.1038/s41586-019-1711-4</w:t>
        </w:r>
      </w:hyperlink>
    </w:p>
    <w:p w14:paraId="33A17290" w14:textId="752F3057" w:rsidR="00B25D7F" w:rsidRPr="00B25D7F" w:rsidRDefault="00B25D7F" w:rsidP="00B25D7F">
      <w:pPr>
        <w:tabs>
          <w:tab w:val="left" w:pos="3737"/>
        </w:tabs>
        <w:spacing w:line="240" w:lineRule="auto"/>
        <w:ind w:left="482" w:hanging="482"/>
        <w:jc w:val="both"/>
        <w:rPr>
          <w:rFonts w:ascii="Arial" w:hAnsi="Arial" w:cs="Arial"/>
          <w:sz w:val="20"/>
          <w:szCs w:val="20"/>
        </w:rPr>
      </w:pPr>
      <w:r w:rsidRPr="004C0DDD">
        <w:rPr>
          <w:rFonts w:ascii="Arial" w:hAnsi="Arial" w:cs="Arial"/>
          <w:sz w:val="20"/>
          <w:szCs w:val="20"/>
          <w:lang w:val="da-DK"/>
        </w:rPr>
        <w:t xml:space="preserve">Anzalone, A. V., Koblan, L. W., &amp; Liu, D. R. (2020). </w:t>
      </w:r>
      <w:r w:rsidRPr="00B25D7F">
        <w:rPr>
          <w:rFonts w:ascii="Arial" w:hAnsi="Arial" w:cs="Arial"/>
          <w:sz w:val="20"/>
          <w:szCs w:val="20"/>
        </w:rPr>
        <w:t>Genome editing with CRISPR</w:t>
      </w:r>
      <w:r w:rsidR="00195BC2">
        <w:rPr>
          <w:rFonts w:ascii="Arial" w:hAnsi="Arial" w:cs="Arial"/>
          <w:sz w:val="20"/>
          <w:szCs w:val="20"/>
        </w:rPr>
        <w:t>-</w:t>
      </w:r>
      <w:r w:rsidRPr="00B25D7F">
        <w:rPr>
          <w:rFonts w:ascii="Arial" w:hAnsi="Arial" w:cs="Arial"/>
          <w:sz w:val="20"/>
          <w:szCs w:val="20"/>
        </w:rPr>
        <w:t xml:space="preserve">Cas nucleases, base editors, transposases and prime editors. </w:t>
      </w:r>
      <w:r w:rsidRPr="00B25D7F">
        <w:rPr>
          <w:rFonts w:ascii="Arial" w:hAnsi="Arial" w:cs="Arial"/>
          <w:i/>
          <w:iCs/>
          <w:sz w:val="20"/>
          <w:szCs w:val="20"/>
        </w:rPr>
        <w:t>Nature Biotechnology, 38</w:t>
      </w:r>
      <w:r w:rsidRPr="00B25D7F">
        <w:rPr>
          <w:rFonts w:ascii="Arial" w:hAnsi="Arial" w:cs="Arial"/>
          <w:sz w:val="20"/>
          <w:szCs w:val="20"/>
        </w:rPr>
        <w:t>(7), 824</w:t>
      </w:r>
      <w:r w:rsidR="00195BC2">
        <w:rPr>
          <w:rFonts w:ascii="Arial" w:hAnsi="Arial" w:cs="Arial"/>
          <w:sz w:val="20"/>
          <w:szCs w:val="20"/>
        </w:rPr>
        <w:t>-</w:t>
      </w:r>
      <w:r w:rsidRPr="00B25D7F">
        <w:rPr>
          <w:rFonts w:ascii="Arial" w:hAnsi="Arial" w:cs="Arial"/>
          <w:sz w:val="20"/>
          <w:szCs w:val="20"/>
        </w:rPr>
        <w:t xml:space="preserve">844. </w:t>
      </w:r>
      <w:hyperlink r:id="rId10" w:tgtFrame="_new" w:history="1">
        <w:r w:rsidRPr="00B25D7F">
          <w:rPr>
            <w:rStyle w:val="Hyperlink"/>
            <w:rFonts w:ascii="Arial" w:hAnsi="Arial" w:cs="Arial"/>
            <w:sz w:val="20"/>
            <w:szCs w:val="20"/>
          </w:rPr>
          <w:t>https://doi.org/10.1038/s41587-020-0561-9</w:t>
        </w:r>
      </w:hyperlink>
    </w:p>
    <w:p w14:paraId="53B4E08B" w14:textId="760FB300" w:rsidR="00B25D7F" w:rsidRPr="00B25D7F" w:rsidRDefault="00B25D7F" w:rsidP="00B25D7F">
      <w:pPr>
        <w:tabs>
          <w:tab w:val="left" w:pos="3737"/>
        </w:tabs>
        <w:spacing w:line="240" w:lineRule="auto"/>
        <w:ind w:left="482" w:hanging="482"/>
        <w:jc w:val="both"/>
        <w:rPr>
          <w:rFonts w:ascii="Arial" w:hAnsi="Arial" w:cs="Arial"/>
          <w:sz w:val="20"/>
          <w:szCs w:val="20"/>
        </w:rPr>
      </w:pPr>
      <w:r w:rsidRPr="00B25D7F">
        <w:rPr>
          <w:rFonts w:ascii="Arial" w:hAnsi="Arial" w:cs="Arial"/>
          <w:sz w:val="20"/>
          <w:szCs w:val="20"/>
        </w:rPr>
        <w:t xml:space="preserve">Araus, J. L., Kefauver, S. C., Zaman-Allah, M., Olsen, M. S., &amp; Cairns, J. E. (2018). Translating high-throughput phenotyping into genetic gain. </w:t>
      </w:r>
      <w:r w:rsidRPr="00B25D7F">
        <w:rPr>
          <w:rFonts w:ascii="Arial" w:hAnsi="Arial" w:cs="Arial"/>
          <w:i/>
          <w:iCs/>
          <w:sz w:val="20"/>
          <w:szCs w:val="20"/>
        </w:rPr>
        <w:t>Trends in Plant Science, 23</w:t>
      </w:r>
      <w:r w:rsidRPr="00B25D7F">
        <w:rPr>
          <w:rFonts w:ascii="Arial" w:hAnsi="Arial" w:cs="Arial"/>
          <w:sz w:val="20"/>
          <w:szCs w:val="20"/>
        </w:rPr>
        <w:t>(5), 451</w:t>
      </w:r>
      <w:r w:rsidR="00195BC2">
        <w:rPr>
          <w:rFonts w:ascii="Arial" w:hAnsi="Arial" w:cs="Arial"/>
          <w:sz w:val="20"/>
          <w:szCs w:val="20"/>
        </w:rPr>
        <w:t>-</w:t>
      </w:r>
      <w:r w:rsidRPr="00B25D7F">
        <w:rPr>
          <w:rFonts w:ascii="Arial" w:hAnsi="Arial" w:cs="Arial"/>
          <w:sz w:val="20"/>
          <w:szCs w:val="20"/>
        </w:rPr>
        <w:t xml:space="preserve">466. </w:t>
      </w:r>
      <w:hyperlink r:id="rId11" w:tgtFrame="_new" w:history="1">
        <w:r w:rsidRPr="00B25D7F">
          <w:rPr>
            <w:rStyle w:val="Hyperlink"/>
            <w:rFonts w:ascii="Arial" w:hAnsi="Arial" w:cs="Arial"/>
            <w:sz w:val="20"/>
            <w:szCs w:val="20"/>
          </w:rPr>
          <w:t>https://doi.org/10.1016/j.tplants.2018.02.001</w:t>
        </w:r>
      </w:hyperlink>
    </w:p>
    <w:p w14:paraId="5D17135B" w14:textId="66C94FD7" w:rsidR="00B25D7F" w:rsidRPr="00B25D7F" w:rsidRDefault="00B25D7F" w:rsidP="00B25D7F">
      <w:pPr>
        <w:tabs>
          <w:tab w:val="left" w:pos="3737"/>
        </w:tabs>
        <w:spacing w:line="240" w:lineRule="auto"/>
        <w:ind w:left="482" w:hanging="482"/>
        <w:jc w:val="both"/>
        <w:rPr>
          <w:rFonts w:ascii="Arial" w:hAnsi="Arial" w:cs="Arial"/>
          <w:sz w:val="20"/>
          <w:szCs w:val="20"/>
        </w:rPr>
      </w:pPr>
      <w:proofErr w:type="spellStart"/>
      <w:r w:rsidRPr="00B25D7F">
        <w:rPr>
          <w:rFonts w:ascii="Arial" w:hAnsi="Arial" w:cs="Arial"/>
          <w:sz w:val="20"/>
          <w:szCs w:val="20"/>
        </w:rPr>
        <w:t>Bortesi</w:t>
      </w:r>
      <w:proofErr w:type="spellEnd"/>
      <w:r w:rsidRPr="00B25D7F">
        <w:rPr>
          <w:rFonts w:ascii="Arial" w:hAnsi="Arial" w:cs="Arial"/>
          <w:sz w:val="20"/>
          <w:szCs w:val="20"/>
        </w:rPr>
        <w:t xml:space="preserve">, L., &amp; Fischer, R. (2015). The CRISPR/Cas9 system for plant genome editing and beyond. </w:t>
      </w:r>
      <w:r w:rsidRPr="00B25D7F">
        <w:rPr>
          <w:rFonts w:ascii="Arial" w:hAnsi="Arial" w:cs="Arial"/>
          <w:i/>
          <w:iCs/>
          <w:sz w:val="20"/>
          <w:szCs w:val="20"/>
        </w:rPr>
        <w:t>Biotechnology Advances, 33</w:t>
      </w:r>
      <w:r w:rsidRPr="00B25D7F">
        <w:rPr>
          <w:rFonts w:ascii="Arial" w:hAnsi="Arial" w:cs="Arial"/>
          <w:sz w:val="20"/>
          <w:szCs w:val="20"/>
        </w:rPr>
        <w:t>(1), 41</w:t>
      </w:r>
      <w:r w:rsidR="00195BC2">
        <w:rPr>
          <w:rFonts w:ascii="Arial" w:hAnsi="Arial" w:cs="Arial"/>
          <w:sz w:val="20"/>
          <w:szCs w:val="20"/>
        </w:rPr>
        <w:t>-</w:t>
      </w:r>
      <w:r w:rsidRPr="00B25D7F">
        <w:rPr>
          <w:rFonts w:ascii="Arial" w:hAnsi="Arial" w:cs="Arial"/>
          <w:sz w:val="20"/>
          <w:szCs w:val="20"/>
        </w:rPr>
        <w:t xml:space="preserve">52. </w:t>
      </w:r>
      <w:hyperlink r:id="rId12" w:tgtFrame="_new" w:history="1">
        <w:r w:rsidRPr="00B25D7F">
          <w:rPr>
            <w:rStyle w:val="Hyperlink"/>
            <w:rFonts w:ascii="Arial" w:hAnsi="Arial" w:cs="Arial"/>
            <w:sz w:val="20"/>
            <w:szCs w:val="20"/>
          </w:rPr>
          <w:t>https://doi.org/10.1016/j.biotechadv.2014.12.006</w:t>
        </w:r>
      </w:hyperlink>
    </w:p>
    <w:p w14:paraId="594E623F" w14:textId="77777777" w:rsidR="00B25D7F" w:rsidRPr="00B25D7F" w:rsidRDefault="00B25D7F" w:rsidP="00B25D7F">
      <w:pPr>
        <w:tabs>
          <w:tab w:val="left" w:pos="3737"/>
        </w:tabs>
        <w:spacing w:line="240" w:lineRule="auto"/>
        <w:ind w:left="482" w:hanging="482"/>
        <w:jc w:val="both"/>
        <w:rPr>
          <w:rFonts w:ascii="Arial" w:hAnsi="Arial" w:cs="Arial"/>
          <w:sz w:val="20"/>
          <w:szCs w:val="20"/>
        </w:rPr>
      </w:pPr>
      <w:r w:rsidRPr="00B25D7F">
        <w:rPr>
          <w:rFonts w:ascii="Arial" w:hAnsi="Arial" w:cs="Arial"/>
          <w:sz w:val="20"/>
          <w:szCs w:val="20"/>
        </w:rPr>
        <w:t xml:space="preserve">Cermak, T., Doyle, E. L., Christian, M., Wang, L., Zhang, Y., Schmidt, C., Baller, J. A., Somia, N. V., Bogdanove, A. J., &amp; </w:t>
      </w:r>
      <w:proofErr w:type="spellStart"/>
      <w:r w:rsidRPr="00B25D7F">
        <w:rPr>
          <w:rFonts w:ascii="Arial" w:hAnsi="Arial" w:cs="Arial"/>
          <w:sz w:val="20"/>
          <w:szCs w:val="20"/>
        </w:rPr>
        <w:t>Voytas</w:t>
      </w:r>
      <w:proofErr w:type="spellEnd"/>
      <w:r w:rsidRPr="00B25D7F">
        <w:rPr>
          <w:rFonts w:ascii="Arial" w:hAnsi="Arial" w:cs="Arial"/>
          <w:sz w:val="20"/>
          <w:szCs w:val="20"/>
        </w:rPr>
        <w:t xml:space="preserve">, D. F. (2011). Efficient design and assembly of custom TALEN and other TAL effector-based constructs for DNA targeting. </w:t>
      </w:r>
      <w:r w:rsidRPr="00B25D7F">
        <w:rPr>
          <w:rFonts w:ascii="Arial" w:hAnsi="Arial" w:cs="Arial"/>
          <w:i/>
          <w:iCs/>
          <w:sz w:val="20"/>
          <w:szCs w:val="20"/>
        </w:rPr>
        <w:t>Nucleic Acids Research, 39</w:t>
      </w:r>
      <w:r w:rsidRPr="00B25D7F">
        <w:rPr>
          <w:rFonts w:ascii="Arial" w:hAnsi="Arial" w:cs="Arial"/>
          <w:sz w:val="20"/>
          <w:szCs w:val="20"/>
        </w:rPr>
        <w:t xml:space="preserve">(12), e82. </w:t>
      </w:r>
      <w:hyperlink r:id="rId13" w:tgtFrame="_new" w:history="1">
        <w:r w:rsidRPr="00B25D7F">
          <w:rPr>
            <w:rStyle w:val="Hyperlink"/>
            <w:rFonts w:ascii="Arial" w:hAnsi="Arial" w:cs="Arial"/>
            <w:sz w:val="20"/>
            <w:szCs w:val="20"/>
          </w:rPr>
          <w:t>https://doi.org/10.1093/nar/gkr218</w:t>
        </w:r>
      </w:hyperlink>
    </w:p>
    <w:p w14:paraId="2F1C0313" w14:textId="310C214D" w:rsidR="00B25D7F" w:rsidRPr="00B25D7F" w:rsidRDefault="00B25D7F" w:rsidP="00B25D7F">
      <w:pPr>
        <w:tabs>
          <w:tab w:val="left" w:pos="3737"/>
        </w:tabs>
        <w:spacing w:line="240" w:lineRule="auto"/>
        <w:ind w:left="482" w:hanging="482"/>
        <w:jc w:val="both"/>
        <w:rPr>
          <w:rFonts w:ascii="Arial" w:hAnsi="Arial" w:cs="Arial"/>
          <w:sz w:val="20"/>
          <w:szCs w:val="20"/>
        </w:rPr>
      </w:pPr>
      <w:r w:rsidRPr="00B25D7F">
        <w:rPr>
          <w:rFonts w:ascii="Arial" w:hAnsi="Arial" w:cs="Arial"/>
          <w:sz w:val="20"/>
          <w:szCs w:val="20"/>
        </w:rPr>
        <w:t xml:space="preserve">Crossa, J., Pérez-Rodríguez, P., Cuevas, J., Montesinos-López, O., Jarquín, D., de los Campos, G., Burgueño, J., González-Camacho, J. M., Pérez-Elizalde, S., Beyene, Y., </w:t>
      </w:r>
      <w:proofErr w:type="spellStart"/>
      <w:r w:rsidRPr="00B25D7F">
        <w:rPr>
          <w:rFonts w:ascii="Arial" w:hAnsi="Arial" w:cs="Arial"/>
          <w:sz w:val="20"/>
          <w:szCs w:val="20"/>
        </w:rPr>
        <w:t>Dreisigacker</w:t>
      </w:r>
      <w:proofErr w:type="spellEnd"/>
      <w:r w:rsidRPr="00B25D7F">
        <w:rPr>
          <w:rFonts w:ascii="Arial" w:hAnsi="Arial" w:cs="Arial"/>
          <w:sz w:val="20"/>
          <w:szCs w:val="20"/>
        </w:rPr>
        <w:t xml:space="preserve">, S., Singh, R., Zhang, X., Gowda, M., </w:t>
      </w:r>
      <w:proofErr w:type="spellStart"/>
      <w:r w:rsidRPr="00B25D7F">
        <w:rPr>
          <w:rFonts w:ascii="Arial" w:hAnsi="Arial" w:cs="Arial"/>
          <w:sz w:val="20"/>
          <w:szCs w:val="20"/>
        </w:rPr>
        <w:t>Roorkiwal</w:t>
      </w:r>
      <w:proofErr w:type="spellEnd"/>
      <w:r w:rsidRPr="00B25D7F">
        <w:rPr>
          <w:rFonts w:ascii="Arial" w:hAnsi="Arial" w:cs="Arial"/>
          <w:sz w:val="20"/>
          <w:szCs w:val="20"/>
        </w:rPr>
        <w:t xml:space="preserve">, M., Rutkoski, J., &amp; Varshney, R. K. (2017). Genomic selection in plant breeding: Methods, models and perspectives. </w:t>
      </w:r>
      <w:r w:rsidRPr="00B25D7F">
        <w:rPr>
          <w:rFonts w:ascii="Arial" w:hAnsi="Arial" w:cs="Arial"/>
          <w:i/>
          <w:iCs/>
          <w:sz w:val="20"/>
          <w:szCs w:val="20"/>
        </w:rPr>
        <w:t>Trends in Plant Science, 22</w:t>
      </w:r>
      <w:r w:rsidRPr="00B25D7F">
        <w:rPr>
          <w:rFonts w:ascii="Arial" w:hAnsi="Arial" w:cs="Arial"/>
          <w:sz w:val="20"/>
          <w:szCs w:val="20"/>
        </w:rPr>
        <w:t>(11), 961</w:t>
      </w:r>
      <w:r w:rsidR="00195BC2">
        <w:rPr>
          <w:rFonts w:ascii="Arial" w:hAnsi="Arial" w:cs="Arial"/>
          <w:sz w:val="20"/>
          <w:szCs w:val="20"/>
        </w:rPr>
        <w:t>-</w:t>
      </w:r>
      <w:r w:rsidRPr="00B25D7F">
        <w:rPr>
          <w:rFonts w:ascii="Arial" w:hAnsi="Arial" w:cs="Arial"/>
          <w:sz w:val="20"/>
          <w:szCs w:val="20"/>
        </w:rPr>
        <w:t xml:space="preserve">975. </w:t>
      </w:r>
      <w:hyperlink r:id="rId14" w:tgtFrame="_new" w:history="1">
        <w:r w:rsidRPr="00B25D7F">
          <w:rPr>
            <w:rStyle w:val="Hyperlink"/>
            <w:rFonts w:ascii="Arial" w:hAnsi="Arial" w:cs="Arial"/>
            <w:sz w:val="20"/>
            <w:szCs w:val="20"/>
          </w:rPr>
          <w:t>https://doi.org/10.1016/j.tplants.2017.08.011</w:t>
        </w:r>
      </w:hyperlink>
    </w:p>
    <w:p w14:paraId="60AEB0DD" w14:textId="77777777" w:rsidR="00B25D7F" w:rsidRPr="00B25D7F" w:rsidRDefault="00B25D7F" w:rsidP="00B25D7F">
      <w:pPr>
        <w:tabs>
          <w:tab w:val="left" w:pos="3737"/>
        </w:tabs>
        <w:spacing w:line="240" w:lineRule="auto"/>
        <w:ind w:left="482" w:hanging="482"/>
        <w:jc w:val="both"/>
        <w:rPr>
          <w:rFonts w:ascii="Arial" w:hAnsi="Arial" w:cs="Arial"/>
          <w:sz w:val="20"/>
          <w:szCs w:val="20"/>
        </w:rPr>
      </w:pPr>
      <w:r w:rsidRPr="00B25D7F">
        <w:rPr>
          <w:rFonts w:ascii="Arial" w:hAnsi="Arial" w:cs="Arial"/>
          <w:sz w:val="20"/>
          <w:szCs w:val="20"/>
        </w:rPr>
        <w:t xml:space="preserve">Dale, J., James, A., Paul, J. Y., Khanna, H., Smith, M., Peraza-Echeverria, S., Garcia-Bastidas, F., Kema, G., Waterhouse, P., Mengersen, K., &amp; Harding, R. (2017). Transgenic Cavendish bananas with resistance to Fusarium wilt tropical race 4. </w:t>
      </w:r>
      <w:r w:rsidRPr="00B25D7F">
        <w:rPr>
          <w:rFonts w:ascii="Arial" w:hAnsi="Arial" w:cs="Arial"/>
          <w:i/>
          <w:iCs/>
          <w:sz w:val="20"/>
          <w:szCs w:val="20"/>
        </w:rPr>
        <w:t>Nature Communications, 8</w:t>
      </w:r>
      <w:r w:rsidRPr="00B25D7F">
        <w:rPr>
          <w:rFonts w:ascii="Arial" w:hAnsi="Arial" w:cs="Arial"/>
          <w:sz w:val="20"/>
          <w:szCs w:val="20"/>
        </w:rPr>
        <w:t xml:space="preserve">(1), 1496. </w:t>
      </w:r>
      <w:hyperlink r:id="rId15" w:tgtFrame="_new" w:history="1">
        <w:r w:rsidRPr="00B25D7F">
          <w:rPr>
            <w:rStyle w:val="Hyperlink"/>
            <w:rFonts w:ascii="Arial" w:hAnsi="Arial" w:cs="Arial"/>
            <w:sz w:val="20"/>
            <w:szCs w:val="20"/>
          </w:rPr>
          <w:t>https://doi.org/10.1038/s41467-017-01670-6</w:t>
        </w:r>
      </w:hyperlink>
    </w:p>
    <w:p w14:paraId="28C3FAA2" w14:textId="77777777" w:rsidR="00B25D7F" w:rsidRPr="00B25D7F" w:rsidRDefault="00B25D7F" w:rsidP="00B25D7F">
      <w:pPr>
        <w:tabs>
          <w:tab w:val="left" w:pos="3737"/>
        </w:tabs>
        <w:spacing w:line="240" w:lineRule="auto"/>
        <w:ind w:left="482" w:hanging="482"/>
        <w:jc w:val="both"/>
        <w:rPr>
          <w:rFonts w:ascii="Arial" w:hAnsi="Arial" w:cs="Arial"/>
          <w:sz w:val="20"/>
          <w:szCs w:val="20"/>
        </w:rPr>
      </w:pPr>
      <w:r w:rsidRPr="00B25D7F">
        <w:rPr>
          <w:rFonts w:ascii="Arial" w:hAnsi="Arial" w:cs="Arial"/>
          <w:sz w:val="20"/>
          <w:szCs w:val="20"/>
        </w:rPr>
        <w:t xml:space="preserve">Doudna, J. A., &amp; Charpentier, E. (2012). The new frontier of genome engineering with CRISPR-Cas9. </w:t>
      </w:r>
      <w:r w:rsidRPr="00B25D7F">
        <w:rPr>
          <w:rFonts w:ascii="Arial" w:hAnsi="Arial" w:cs="Arial"/>
          <w:i/>
          <w:iCs/>
          <w:sz w:val="20"/>
          <w:szCs w:val="20"/>
        </w:rPr>
        <w:t>Science, 346</w:t>
      </w:r>
      <w:r w:rsidRPr="00B25D7F">
        <w:rPr>
          <w:rFonts w:ascii="Arial" w:hAnsi="Arial" w:cs="Arial"/>
          <w:sz w:val="20"/>
          <w:szCs w:val="20"/>
        </w:rPr>
        <w:t xml:space="preserve">(6213), 1258096. </w:t>
      </w:r>
      <w:hyperlink r:id="rId16" w:tgtFrame="_new" w:history="1">
        <w:r w:rsidRPr="00B25D7F">
          <w:rPr>
            <w:rStyle w:val="Hyperlink"/>
            <w:rFonts w:ascii="Arial" w:hAnsi="Arial" w:cs="Arial"/>
            <w:sz w:val="20"/>
            <w:szCs w:val="20"/>
          </w:rPr>
          <w:t>https://doi.org/10.1126/science.1258096</w:t>
        </w:r>
      </w:hyperlink>
    </w:p>
    <w:p w14:paraId="2B77B847" w14:textId="23F6A744" w:rsidR="00B25D7F" w:rsidRPr="00B25D7F" w:rsidRDefault="00B25D7F" w:rsidP="00B25D7F">
      <w:pPr>
        <w:tabs>
          <w:tab w:val="left" w:pos="3737"/>
        </w:tabs>
        <w:spacing w:line="240" w:lineRule="auto"/>
        <w:ind w:left="482" w:hanging="482"/>
        <w:jc w:val="both"/>
        <w:rPr>
          <w:rFonts w:ascii="Arial" w:hAnsi="Arial" w:cs="Arial"/>
          <w:sz w:val="20"/>
          <w:szCs w:val="20"/>
        </w:rPr>
      </w:pPr>
      <w:r w:rsidRPr="00B25D7F">
        <w:rPr>
          <w:rFonts w:ascii="Arial" w:hAnsi="Arial" w:cs="Arial"/>
          <w:sz w:val="20"/>
          <w:szCs w:val="20"/>
        </w:rPr>
        <w:t xml:space="preserve">Ekesa, B., Van den Bergh, I., Blomme, G., &amp; De Langhe, E. (2020). Banana genetic diversity and its use in breeding. </w:t>
      </w:r>
      <w:r w:rsidRPr="00B25D7F">
        <w:rPr>
          <w:rFonts w:ascii="Arial" w:hAnsi="Arial" w:cs="Arial"/>
          <w:i/>
          <w:iCs/>
          <w:sz w:val="20"/>
          <w:szCs w:val="20"/>
        </w:rPr>
        <w:t xml:space="preserve">Acta </w:t>
      </w:r>
      <w:proofErr w:type="spellStart"/>
      <w:r w:rsidRPr="00B25D7F">
        <w:rPr>
          <w:rFonts w:ascii="Arial" w:hAnsi="Arial" w:cs="Arial"/>
          <w:i/>
          <w:iCs/>
          <w:sz w:val="20"/>
          <w:szCs w:val="20"/>
        </w:rPr>
        <w:t>Horticulturae</w:t>
      </w:r>
      <w:proofErr w:type="spellEnd"/>
      <w:r w:rsidRPr="00B25D7F">
        <w:rPr>
          <w:rFonts w:ascii="Arial" w:hAnsi="Arial" w:cs="Arial"/>
          <w:i/>
          <w:iCs/>
          <w:sz w:val="20"/>
          <w:szCs w:val="20"/>
        </w:rPr>
        <w:t>, 1272</w:t>
      </w:r>
      <w:r w:rsidRPr="00B25D7F">
        <w:rPr>
          <w:rFonts w:ascii="Arial" w:hAnsi="Arial" w:cs="Arial"/>
          <w:sz w:val="20"/>
          <w:szCs w:val="20"/>
        </w:rPr>
        <w:t>, 1</w:t>
      </w:r>
      <w:r w:rsidR="00195BC2">
        <w:rPr>
          <w:rFonts w:ascii="Arial" w:hAnsi="Arial" w:cs="Arial"/>
          <w:sz w:val="20"/>
          <w:szCs w:val="20"/>
        </w:rPr>
        <w:t>-</w:t>
      </w:r>
      <w:r w:rsidRPr="00B25D7F">
        <w:rPr>
          <w:rFonts w:ascii="Arial" w:hAnsi="Arial" w:cs="Arial"/>
          <w:sz w:val="20"/>
          <w:szCs w:val="20"/>
        </w:rPr>
        <w:t xml:space="preserve">12. </w:t>
      </w:r>
      <w:hyperlink r:id="rId17" w:tgtFrame="_new" w:history="1">
        <w:r w:rsidRPr="00B25D7F">
          <w:rPr>
            <w:rStyle w:val="Hyperlink"/>
            <w:rFonts w:ascii="Arial" w:hAnsi="Arial" w:cs="Arial"/>
            <w:sz w:val="20"/>
            <w:szCs w:val="20"/>
          </w:rPr>
          <w:t>https://doi.org/10.17660/ActaHortic.2020.1272.1</w:t>
        </w:r>
      </w:hyperlink>
    </w:p>
    <w:p w14:paraId="2AE5478C" w14:textId="4C5DCDC3" w:rsidR="00B25D7F" w:rsidRPr="00B25D7F" w:rsidRDefault="00B25D7F" w:rsidP="00B25D7F">
      <w:pPr>
        <w:tabs>
          <w:tab w:val="left" w:pos="3737"/>
        </w:tabs>
        <w:spacing w:line="240" w:lineRule="auto"/>
        <w:ind w:left="482" w:hanging="482"/>
        <w:jc w:val="both"/>
        <w:rPr>
          <w:rFonts w:ascii="Arial" w:hAnsi="Arial" w:cs="Arial"/>
          <w:sz w:val="20"/>
          <w:szCs w:val="20"/>
        </w:rPr>
      </w:pPr>
      <w:proofErr w:type="spellStart"/>
      <w:r w:rsidRPr="00B25D7F">
        <w:rPr>
          <w:rFonts w:ascii="Arial" w:hAnsi="Arial" w:cs="Arial"/>
          <w:sz w:val="20"/>
          <w:szCs w:val="20"/>
        </w:rPr>
        <w:t>Fernie</w:t>
      </w:r>
      <w:proofErr w:type="spellEnd"/>
      <w:r w:rsidRPr="00B25D7F">
        <w:rPr>
          <w:rFonts w:ascii="Arial" w:hAnsi="Arial" w:cs="Arial"/>
          <w:sz w:val="20"/>
          <w:szCs w:val="20"/>
        </w:rPr>
        <w:t xml:space="preserve">, A. R., &amp; Yan, J. (2019). De novo domestication: An alternative route toward new crops for the future. </w:t>
      </w:r>
      <w:r w:rsidRPr="00B25D7F">
        <w:rPr>
          <w:rFonts w:ascii="Arial" w:hAnsi="Arial" w:cs="Arial"/>
          <w:i/>
          <w:iCs/>
          <w:sz w:val="20"/>
          <w:szCs w:val="20"/>
        </w:rPr>
        <w:t>Molecular Plant, 12</w:t>
      </w:r>
      <w:r w:rsidRPr="00B25D7F">
        <w:rPr>
          <w:rFonts w:ascii="Arial" w:hAnsi="Arial" w:cs="Arial"/>
          <w:sz w:val="20"/>
          <w:szCs w:val="20"/>
        </w:rPr>
        <w:t>(5), 615</w:t>
      </w:r>
      <w:r w:rsidR="00195BC2">
        <w:rPr>
          <w:rFonts w:ascii="Arial" w:hAnsi="Arial" w:cs="Arial"/>
          <w:sz w:val="20"/>
          <w:szCs w:val="20"/>
        </w:rPr>
        <w:t>-</w:t>
      </w:r>
      <w:r w:rsidRPr="00B25D7F">
        <w:rPr>
          <w:rFonts w:ascii="Arial" w:hAnsi="Arial" w:cs="Arial"/>
          <w:sz w:val="20"/>
          <w:szCs w:val="20"/>
        </w:rPr>
        <w:t xml:space="preserve">631. </w:t>
      </w:r>
      <w:hyperlink r:id="rId18" w:tgtFrame="_new" w:history="1">
        <w:r w:rsidRPr="00B25D7F">
          <w:rPr>
            <w:rStyle w:val="Hyperlink"/>
            <w:rFonts w:ascii="Arial" w:hAnsi="Arial" w:cs="Arial"/>
            <w:sz w:val="20"/>
            <w:szCs w:val="20"/>
          </w:rPr>
          <w:t>https://doi.org/10.1016/j.molp.2019.03.016</w:t>
        </w:r>
      </w:hyperlink>
    </w:p>
    <w:p w14:paraId="38F691D6" w14:textId="5F401037" w:rsidR="00B25D7F" w:rsidRPr="00B25D7F" w:rsidRDefault="00B25D7F" w:rsidP="00B25D7F">
      <w:pPr>
        <w:tabs>
          <w:tab w:val="left" w:pos="3737"/>
        </w:tabs>
        <w:spacing w:line="240" w:lineRule="auto"/>
        <w:ind w:left="482" w:hanging="482"/>
        <w:jc w:val="both"/>
        <w:rPr>
          <w:rFonts w:ascii="Arial" w:hAnsi="Arial" w:cs="Arial"/>
          <w:sz w:val="20"/>
          <w:szCs w:val="20"/>
        </w:rPr>
      </w:pPr>
      <w:proofErr w:type="spellStart"/>
      <w:r w:rsidRPr="00B25D7F">
        <w:rPr>
          <w:rFonts w:ascii="Arial" w:hAnsi="Arial" w:cs="Arial"/>
          <w:sz w:val="20"/>
          <w:szCs w:val="20"/>
        </w:rPr>
        <w:t>Foolad</w:t>
      </w:r>
      <w:proofErr w:type="spellEnd"/>
      <w:r w:rsidRPr="00B25D7F">
        <w:rPr>
          <w:rFonts w:ascii="Arial" w:hAnsi="Arial" w:cs="Arial"/>
          <w:sz w:val="20"/>
          <w:szCs w:val="20"/>
        </w:rPr>
        <w:t xml:space="preserve">, M. R., Merk, H. L., &amp; Ashrafi, H. (2020). Genetics, genomics and breeding of late blight and early blight resistance in tomato. </w:t>
      </w:r>
      <w:r w:rsidRPr="00B25D7F">
        <w:rPr>
          <w:rFonts w:ascii="Arial" w:hAnsi="Arial" w:cs="Arial"/>
          <w:i/>
          <w:iCs/>
          <w:sz w:val="20"/>
          <w:szCs w:val="20"/>
        </w:rPr>
        <w:t>Critical Reviews in Plant Sciences, 27</w:t>
      </w:r>
      <w:r w:rsidRPr="00B25D7F">
        <w:rPr>
          <w:rFonts w:ascii="Arial" w:hAnsi="Arial" w:cs="Arial"/>
          <w:sz w:val="20"/>
          <w:szCs w:val="20"/>
        </w:rPr>
        <w:t>(6), 434</w:t>
      </w:r>
      <w:r w:rsidR="00195BC2">
        <w:rPr>
          <w:rFonts w:ascii="Arial" w:hAnsi="Arial" w:cs="Arial"/>
          <w:sz w:val="20"/>
          <w:szCs w:val="20"/>
        </w:rPr>
        <w:t>-</w:t>
      </w:r>
      <w:r w:rsidRPr="00B25D7F">
        <w:rPr>
          <w:rFonts w:ascii="Arial" w:hAnsi="Arial" w:cs="Arial"/>
          <w:sz w:val="20"/>
          <w:szCs w:val="20"/>
        </w:rPr>
        <w:t xml:space="preserve">473. </w:t>
      </w:r>
      <w:hyperlink r:id="rId19" w:tgtFrame="_new" w:history="1">
        <w:r w:rsidRPr="00B25D7F">
          <w:rPr>
            <w:rStyle w:val="Hyperlink"/>
            <w:rFonts w:ascii="Arial" w:hAnsi="Arial" w:cs="Arial"/>
            <w:sz w:val="20"/>
            <w:szCs w:val="20"/>
          </w:rPr>
          <w:t>https://doi.org/10.1080/07352680802364147</w:t>
        </w:r>
      </w:hyperlink>
    </w:p>
    <w:p w14:paraId="66459F9F" w14:textId="63C964F9" w:rsidR="00B25D7F" w:rsidRPr="004C0DDD" w:rsidRDefault="00B25D7F" w:rsidP="00B25D7F">
      <w:pPr>
        <w:tabs>
          <w:tab w:val="left" w:pos="3737"/>
        </w:tabs>
        <w:spacing w:line="240" w:lineRule="auto"/>
        <w:ind w:left="482" w:hanging="482"/>
        <w:jc w:val="both"/>
        <w:rPr>
          <w:rFonts w:ascii="Arial" w:hAnsi="Arial" w:cs="Arial"/>
          <w:sz w:val="20"/>
          <w:szCs w:val="20"/>
          <w:lang w:val="sv-SE"/>
        </w:rPr>
      </w:pPr>
      <w:r w:rsidRPr="00B25D7F">
        <w:rPr>
          <w:rFonts w:ascii="Arial" w:hAnsi="Arial" w:cs="Arial"/>
          <w:sz w:val="20"/>
          <w:szCs w:val="20"/>
        </w:rPr>
        <w:t xml:space="preserve">Gao, L., Gonda, I., Sun, H., Ma, Q., Bao, K., Tieman, D. M., Burzynski-Chang, E. A., Fish, T. L., Stromberg, K. A., Sacks, G. L., </w:t>
      </w:r>
      <w:proofErr w:type="spellStart"/>
      <w:r w:rsidRPr="00B25D7F">
        <w:rPr>
          <w:rFonts w:ascii="Arial" w:hAnsi="Arial" w:cs="Arial"/>
          <w:sz w:val="20"/>
          <w:szCs w:val="20"/>
        </w:rPr>
        <w:t>Thannhauser</w:t>
      </w:r>
      <w:proofErr w:type="spellEnd"/>
      <w:r w:rsidRPr="00B25D7F">
        <w:rPr>
          <w:rFonts w:ascii="Arial" w:hAnsi="Arial" w:cs="Arial"/>
          <w:sz w:val="20"/>
          <w:szCs w:val="20"/>
        </w:rPr>
        <w:t xml:space="preserve">, T. W., </w:t>
      </w:r>
      <w:proofErr w:type="spellStart"/>
      <w:r w:rsidRPr="00B25D7F">
        <w:rPr>
          <w:rFonts w:ascii="Arial" w:hAnsi="Arial" w:cs="Arial"/>
          <w:sz w:val="20"/>
          <w:szCs w:val="20"/>
        </w:rPr>
        <w:t>Foolad</w:t>
      </w:r>
      <w:proofErr w:type="spellEnd"/>
      <w:r w:rsidRPr="00B25D7F">
        <w:rPr>
          <w:rFonts w:ascii="Arial" w:hAnsi="Arial" w:cs="Arial"/>
          <w:sz w:val="20"/>
          <w:szCs w:val="20"/>
        </w:rPr>
        <w:t xml:space="preserve">, M. R., Diez, M. J., Blanca, J., Cañizares, J., Xu, Y., van der Knaap, E., Huang, S., Klee, H. J., &amp; Fei, Z. (2019). The tomato pan-genome uncovers new genes and a rare allele regulating fruit </w:t>
      </w:r>
      <w:proofErr w:type="spellStart"/>
      <w:r w:rsidRPr="00B25D7F">
        <w:rPr>
          <w:rFonts w:ascii="Arial" w:hAnsi="Arial" w:cs="Arial"/>
          <w:sz w:val="20"/>
          <w:szCs w:val="20"/>
        </w:rPr>
        <w:t>flavor</w:t>
      </w:r>
      <w:proofErr w:type="spellEnd"/>
      <w:r w:rsidRPr="00B25D7F">
        <w:rPr>
          <w:rFonts w:ascii="Arial" w:hAnsi="Arial" w:cs="Arial"/>
          <w:sz w:val="20"/>
          <w:szCs w:val="20"/>
        </w:rPr>
        <w:t xml:space="preserve">. </w:t>
      </w:r>
      <w:r w:rsidRPr="004C0DDD">
        <w:rPr>
          <w:rFonts w:ascii="Arial" w:hAnsi="Arial" w:cs="Arial"/>
          <w:i/>
          <w:iCs/>
          <w:sz w:val="20"/>
          <w:szCs w:val="20"/>
          <w:lang w:val="sv-SE"/>
        </w:rPr>
        <w:t>Nature Genetics, 51</w:t>
      </w:r>
      <w:r w:rsidRPr="004C0DDD">
        <w:rPr>
          <w:rFonts w:ascii="Arial" w:hAnsi="Arial" w:cs="Arial"/>
          <w:sz w:val="20"/>
          <w:szCs w:val="20"/>
          <w:lang w:val="sv-SE"/>
        </w:rPr>
        <w:t>(6), 1044</w:t>
      </w:r>
      <w:r w:rsidR="00195BC2">
        <w:rPr>
          <w:rFonts w:ascii="Arial" w:hAnsi="Arial" w:cs="Arial"/>
          <w:sz w:val="20"/>
          <w:szCs w:val="20"/>
          <w:lang w:val="sv-SE"/>
        </w:rPr>
        <w:t>-</w:t>
      </w:r>
      <w:r w:rsidRPr="004C0DDD">
        <w:rPr>
          <w:rFonts w:ascii="Arial" w:hAnsi="Arial" w:cs="Arial"/>
          <w:sz w:val="20"/>
          <w:szCs w:val="20"/>
          <w:lang w:val="sv-SE"/>
        </w:rPr>
        <w:t xml:space="preserve">1051. </w:t>
      </w:r>
      <w:hyperlink r:id="rId20" w:tgtFrame="_new" w:history="1">
        <w:r w:rsidRPr="004C0DDD">
          <w:rPr>
            <w:rStyle w:val="Hyperlink"/>
            <w:rFonts w:ascii="Arial" w:hAnsi="Arial" w:cs="Arial"/>
            <w:sz w:val="20"/>
            <w:szCs w:val="20"/>
            <w:lang w:val="sv-SE"/>
          </w:rPr>
          <w:t>https://doi.org/10.1038/s41588-019-0410-2</w:t>
        </w:r>
      </w:hyperlink>
    </w:p>
    <w:p w14:paraId="180991A6" w14:textId="144FC676" w:rsidR="00B25D7F" w:rsidRPr="004C0DDD" w:rsidRDefault="00B25D7F" w:rsidP="00B25D7F">
      <w:pPr>
        <w:tabs>
          <w:tab w:val="left" w:pos="3737"/>
        </w:tabs>
        <w:spacing w:line="240" w:lineRule="auto"/>
        <w:ind w:left="482" w:hanging="482"/>
        <w:jc w:val="both"/>
        <w:rPr>
          <w:rFonts w:ascii="Arial" w:hAnsi="Arial" w:cs="Arial"/>
          <w:sz w:val="20"/>
          <w:szCs w:val="20"/>
          <w:lang w:val="sv-SE"/>
        </w:rPr>
      </w:pPr>
      <w:r w:rsidRPr="004C0DDD">
        <w:rPr>
          <w:rFonts w:ascii="Arial" w:hAnsi="Arial" w:cs="Arial"/>
          <w:sz w:val="20"/>
          <w:szCs w:val="20"/>
          <w:lang w:val="sv-SE"/>
        </w:rPr>
        <w:t xml:space="preserve">Gaudelli, N. M., Komor, A. C., Rees, H. A., Packer, M. S., Badran, A. H., Bryson, D. I., &amp; Liu, D. R. (2017). </w:t>
      </w:r>
      <w:r w:rsidRPr="00B25D7F">
        <w:rPr>
          <w:rFonts w:ascii="Arial" w:hAnsi="Arial" w:cs="Arial"/>
          <w:sz w:val="20"/>
          <w:szCs w:val="20"/>
        </w:rPr>
        <w:t xml:space="preserve">Programmable base editing of A·T to G·C in genomic DNA without DNA cleavage. </w:t>
      </w:r>
      <w:r w:rsidRPr="004C0DDD">
        <w:rPr>
          <w:rFonts w:ascii="Arial" w:hAnsi="Arial" w:cs="Arial"/>
          <w:i/>
          <w:iCs/>
          <w:sz w:val="20"/>
          <w:szCs w:val="20"/>
          <w:lang w:val="sv-SE"/>
        </w:rPr>
        <w:t>Nature, 551</w:t>
      </w:r>
      <w:r w:rsidRPr="004C0DDD">
        <w:rPr>
          <w:rFonts w:ascii="Arial" w:hAnsi="Arial" w:cs="Arial"/>
          <w:sz w:val="20"/>
          <w:szCs w:val="20"/>
          <w:lang w:val="sv-SE"/>
        </w:rPr>
        <w:t>(7681), 464</w:t>
      </w:r>
      <w:r w:rsidR="00195BC2">
        <w:rPr>
          <w:rFonts w:ascii="Arial" w:hAnsi="Arial" w:cs="Arial"/>
          <w:sz w:val="20"/>
          <w:szCs w:val="20"/>
          <w:lang w:val="sv-SE"/>
        </w:rPr>
        <w:t>-</w:t>
      </w:r>
      <w:r w:rsidRPr="004C0DDD">
        <w:rPr>
          <w:rFonts w:ascii="Arial" w:hAnsi="Arial" w:cs="Arial"/>
          <w:sz w:val="20"/>
          <w:szCs w:val="20"/>
          <w:lang w:val="sv-SE"/>
        </w:rPr>
        <w:t xml:space="preserve">471. </w:t>
      </w:r>
      <w:hyperlink r:id="rId21" w:tgtFrame="_new" w:history="1">
        <w:r w:rsidRPr="004C0DDD">
          <w:rPr>
            <w:rStyle w:val="Hyperlink"/>
            <w:rFonts w:ascii="Arial" w:hAnsi="Arial" w:cs="Arial"/>
            <w:sz w:val="20"/>
            <w:szCs w:val="20"/>
            <w:lang w:val="sv-SE"/>
          </w:rPr>
          <w:t>https://doi.org/10.1038/nature24644</w:t>
        </w:r>
      </w:hyperlink>
    </w:p>
    <w:p w14:paraId="42253C96" w14:textId="77777777" w:rsidR="00B25D7F" w:rsidRPr="00B25D7F" w:rsidRDefault="00B25D7F" w:rsidP="00B25D7F">
      <w:pPr>
        <w:tabs>
          <w:tab w:val="left" w:pos="3737"/>
        </w:tabs>
        <w:spacing w:line="240" w:lineRule="auto"/>
        <w:ind w:left="482" w:hanging="482"/>
        <w:jc w:val="both"/>
        <w:rPr>
          <w:rFonts w:ascii="Arial" w:hAnsi="Arial" w:cs="Arial"/>
          <w:sz w:val="20"/>
          <w:szCs w:val="20"/>
        </w:rPr>
      </w:pPr>
      <w:r w:rsidRPr="004C0DDD">
        <w:rPr>
          <w:rFonts w:ascii="Arial" w:hAnsi="Arial" w:cs="Arial"/>
          <w:sz w:val="20"/>
          <w:szCs w:val="20"/>
          <w:lang w:val="sv-SE"/>
        </w:rPr>
        <w:t xml:space="preserve">González, M. N., Massa, G. A., Andersson, M., Turesson, H., Olsson, N., Falt, A. S., Storani, L., Décima Oneto, C. A., Hofvander, P., &amp; Feingold, S. E. (2020). </w:t>
      </w:r>
      <w:r w:rsidRPr="00B25D7F">
        <w:rPr>
          <w:rFonts w:ascii="Arial" w:hAnsi="Arial" w:cs="Arial"/>
          <w:sz w:val="20"/>
          <w:szCs w:val="20"/>
        </w:rPr>
        <w:t xml:space="preserve">Reduced enzymatic browning in potato tubers by specific editing of a polyphenol oxidase gene via ribonucleoprotein complexes delivery of the CRISPR/Cas9 system. </w:t>
      </w:r>
      <w:r w:rsidRPr="00B25D7F">
        <w:rPr>
          <w:rFonts w:ascii="Arial" w:hAnsi="Arial" w:cs="Arial"/>
          <w:i/>
          <w:iCs/>
          <w:sz w:val="20"/>
          <w:szCs w:val="20"/>
        </w:rPr>
        <w:t>Frontiers in Plant Science, 10</w:t>
      </w:r>
      <w:r w:rsidRPr="00B25D7F">
        <w:rPr>
          <w:rFonts w:ascii="Arial" w:hAnsi="Arial" w:cs="Arial"/>
          <w:sz w:val="20"/>
          <w:szCs w:val="20"/>
        </w:rPr>
        <w:t xml:space="preserve">, 1649. </w:t>
      </w:r>
      <w:hyperlink r:id="rId22" w:tgtFrame="_new" w:history="1">
        <w:r w:rsidRPr="00B25D7F">
          <w:rPr>
            <w:rStyle w:val="Hyperlink"/>
            <w:rFonts w:ascii="Arial" w:hAnsi="Arial" w:cs="Arial"/>
            <w:sz w:val="20"/>
            <w:szCs w:val="20"/>
          </w:rPr>
          <w:t>https://doi.org/10.3389/fpls.2019.01649</w:t>
        </w:r>
      </w:hyperlink>
    </w:p>
    <w:p w14:paraId="29921192" w14:textId="0D7C83BC" w:rsidR="00B25D7F" w:rsidRPr="004C0DDD" w:rsidRDefault="00B25D7F" w:rsidP="00B25D7F">
      <w:pPr>
        <w:tabs>
          <w:tab w:val="left" w:pos="3737"/>
        </w:tabs>
        <w:spacing w:line="240" w:lineRule="auto"/>
        <w:ind w:left="482" w:hanging="482"/>
        <w:jc w:val="both"/>
        <w:rPr>
          <w:rFonts w:ascii="Arial" w:hAnsi="Arial" w:cs="Arial"/>
          <w:sz w:val="20"/>
          <w:szCs w:val="20"/>
          <w:lang w:val="sv-SE"/>
        </w:rPr>
      </w:pPr>
      <w:r w:rsidRPr="00B25D7F">
        <w:rPr>
          <w:rFonts w:ascii="Arial" w:hAnsi="Arial" w:cs="Arial"/>
          <w:sz w:val="20"/>
          <w:szCs w:val="20"/>
        </w:rPr>
        <w:t xml:space="preserve">Hospital, F. (2005). Selection in backcross programmes. </w:t>
      </w:r>
      <w:r w:rsidRPr="00B25D7F">
        <w:rPr>
          <w:rFonts w:ascii="Arial" w:hAnsi="Arial" w:cs="Arial"/>
          <w:i/>
          <w:iCs/>
          <w:sz w:val="20"/>
          <w:szCs w:val="20"/>
        </w:rPr>
        <w:t>Philosophical Transactions of the Royal Society B: Biological Sciences, 360</w:t>
      </w:r>
      <w:r w:rsidRPr="00B25D7F">
        <w:rPr>
          <w:rFonts w:ascii="Arial" w:hAnsi="Arial" w:cs="Arial"/>
          <w:sz w:val="20"/>
          <w:szCs w:val="20"/>
        </w:rPr>
        <w:t>(1459), 1503</w:t>
      </w:r>
      <w:r w:rsidR="00195BC2">
        <w:rPr>
          <w:rFonts w:ascii="Arial" w:hAnsi="Arial" w:cs="Arial"/>
          <w:sz w:val="20"/>
          <w:szCs w:val="20"/>
        </w:rPr>
        <w:t>-</w:t>
      </w:r>
      <w:r w:rsidRPr="00B25D7F">
        <w:rPr>
          <w:rFonts w:ascii="Arial" w:hAnsi="Arial" w:cs="Arial"/>
          <w:sz w:val="20"/>
          <w:szCs w:val="20"/>
        </w:rPr>
        <w:t xml:space="preserve">1511. </w:t>
      </w:r>
      <w:hyperlink r:id="rId23" w:tgtFrame="_new" w:history="1">
        <w:r w:rsidRPr="004C0DDD">
          <w:rPr>
            <w:rStyle w:val="Hyperlink"/>
            <w:rFonts w:ascii="Arial" w:hAnsi="Arial" w:cs="Arial"/>
            <w:sz w:val="20"/>
            <w:szCs w:val="20"/>
            <w:lang w:val="sv-SE"/>
          </w:rPr>
          <w:t>https://doi.org/10.1098/rstb.2005.1670</w:t>
        </w:r>
      </w:hyperlink>
    </w:p>
    <w:p w14:paraId="63B8E807" w14:textId="1839B684" w:rsidR="00B25D7F" w:rsidRPr="00B25D7F" w:rsidRDefault="00B25D7F" w:rsidP="00B25D7F">
      <w:pPr>
        <w:tabs>
          <w:tab w:val="left" w:pos="3737"/>
        </w:tabs>
        <w:spacing w:line="240" w:lineRule="auto"/>
        <w:ind w:left="482" w:hanging="482"/>
        <w:jc w:val="both"/>
        <w:rPr>
          <w:rFonts w:ascii="Arial" w:hAnsi="Arial" w:cs="Arial"/>
          <w:sz w:val="20"/>
          <w:szCs w:val="20"/>
        </w:rPr>
      </w:pPr>
      <w:r w:rsidRPr="004C0DDD">
        <w:rPr>
          <w:rFonts w:ascii="Arial" w:hAnsi="Arial" w:cs="Arial"/>
          <w:sz w:val="20"/>
          <w:szCs w:val="20"/>
          <w:lang w:val="sv-SE"/>
        </w:rPr>
        <w:t xml:space="preserve">Hu, B., Li, D., Liu, X., Qi, J., Liao, D., Wu, S., Chen, H., Jin, Y., &amp; Liu, J. (2017). </w:t>
      </w:r>
      <w:r w:rsidRPr="00B25D7F">
        <w:rPr>
          <w:rFonts w:ascii="Arial" w:hAnsi="Arial" w:cs="Arial"/>
          <w:sz w:val="20"/>
          <w:szCs w:val="20"/>
        </w:rPr>
        <w:t xml:space="preserve">Engineering non-transgenic </w:t>
      </w:r>
      <w:proofErr w:type="spellStart"/>
      <w:r w:rsidRPr="00B25D7F">
        <w:rPr>
          <w:rFonts w:ascii="Arial" w:hAnsi="Arial" w:cs="Arial"/>
          <w:sz w:val="20"/>
          <w:szCs w:val="20"/>
        </w:rPr>
        <w:t>gynoecious</w:t>
      </w:r>
      <w:proofErr w:type="spellEnd"/>
      <w:r w:rsidRPr="00B25D7F">
        <w:rPr>
          <w:rFonts w:ascii="Arial" w:hAnsi="Arial" w:cs="Arial"/>
          <w:sz w:val="20"/>
          <w:szCs w:val="20"/>
        </w:rPr>
        <w:t xml:space="preserve"> cucumber using an improved transformation protocol and homologous </w:t>
      </w:r>
      <w:r w:rsidRPr="00B25D7F">
        <w:rPr>
          <w:rFonts w:ascii="Arial" w:hAnsi="Arial" w:cs="Arial"/>
          <w:sz w:val="20"/>
          <w:szCs w:val="20"/>
        </w:rPr>
        <w:lastRenderedPageBreak/>
        <w:t xml:space="preserve">recombination-based gene editing. </w:t>
      </w:r>
      <w:r w:rsidRPr="00B25D7F">
        <w:rPr>
          <w:rFonts w:ascii="Arial" w:hAnsi="Arial" w:cs="Arial"/>
          <w:i/>
          <w:iCs/>
          <w:sz w:val="20"/>
          <w:szCs w:val="20"/>
        </w:rPr>
        <w:t>Molecular Plant, 10</w:t>
      </w:r>
      <w:r w:rsidRPr="00B25D7F">
        <w:rPr>
          <w:rFonts w:ascii="Arial" w:hAnsi="Arial" w:cs="Arial"/>
          <w:sz w:val="20"/>
          <w:szCs w:val="20"/>
        </w:rPr>
        <w:t>(12), 1575</w:t>
      </w:r>
      <w:r w:rsidR="00195BC2">
        <w:rPr>
          <w:rFonts w:ascii="Arial" w:hAnsi="Arial" w:cs="Arial"/>
          <w:sz w:val="20"/>
          <w:szCs w:val="20"/>
        </w:rPr>
        <w:t>-</w:t>
      </w:r>
      <w:r w:rsidRPr="00B25D7F">
        <w:rPr>
          <w:rFonts w:ascii="Arial" w:hAnsi="Arial" w:cs="Arial"/>
          <w:sz w:val="20"/>
          <w:szCs w:val="20"/>
        </w:rPr>
        <w:t xml:space="preserve">1578. </w:t>
      </w:r>
      <w:hyperlink r:id="rId24" w:tgtFrame="_new" w:history="1">
        <w:r w:rsidRPr="00B25D7F">
          <w:rPr>
            <w:rStyle w:val="Hyperlink"/>
            <w:rFonts w:ascii="Arial" w:hAnsi="Arial" w:cs="Arial"/>
            <w:sz w:val="20"/>
            <w:szCs w:val="20"/>
          </w:rPr>
          <w:t>https://doi.org/10.1016/j.molp.2017.10.007</w:t>
        </w:r>
      </w:hyperlink>
    </w:p>
    <w:p w14:paraId="47AA3427" w14:textId="49BFC54D" w:rsidR="00B25D7F" w:rsidRPr="00B25D7F" w:rsidRDefault="00B25D7F" w:rsidP="00B25D7F">
      <w:pPr>
        <w:tabs>
          <w:tab w:val="left" w:pos="3737"/>
        </w:tabs>
        <w:spacing w:line="240" w:lineRule="auto"/>
        <w:ind w:left="482" w:hanging="482"/>
        <w:jc w:val="both"/>
        <w:rPr>
          <w:rFonts w:ascii="Arial" w:hAnsi="Arial" w:cs="Arial"/>
          <w:sz w:val="20"/>
          <w:szCs w:val="20"/>
        </w:rPr>
      </w:pPr>
      <w:r w:rsidRPr="00B25D7F">
        <w:rPr>
          <w:rFonts w:ascii="Arial" w:hAnsi="Arial" w:cs="Arial"/>
          <w:sz w:val="20"/>
          <w:szCs w:val="20"/>
        </w:rPr>
        <w:t xml:space="preserve">Huang, X., &amp; Han, B. (2014). Natural variations and genome-wide association studies in crop plants. </w:t>
      </w:r>
      <w:r w:rsidRPr="00B25D7F">
        <w:rPr>
          <w:rFonts w:ascii="Arial" w:hAnsi="Arial" w:cs="Arial"/>
          <w:i/>
          <w:iCs/>
          <w:sz w:val="20"/>
          <w:szCs w:val="20"/>
        </w:rPr>
        <w:t>Annual Review of Plant Biology, 65</w:t>
      </w:r>
      <w:r w:rsidRPr="00B25D7F">
        <w:rPr>
          <w:rFonts w:ascii="Arial" w:hAnsi="Arial" w:cs="Arial"/>
          <w:sz w:val="20"/>
          <w:szCs w:val="20"/>
        </w:rPr>
        <w:t>, 531</w:t>
      </w:r>
      <w:r w:rsidR="00195BC2">
        <w:rPr>
          <w:rFonts w:ascii="Arial" w:hAnsi="Arial" w:cs="Arial"/>
          <w:sz w:val="20"/>
          <w:szCs w:val="20"/>
        </w:rPr>
        <w:t>-</w:t>
      </w:r>
      <w:r w:rsidRPr="00B25D7F">
        <w:rPr>
          <w:rFonts w:ascii="Arial" w:hAnsi="Arial" w:cs="Arial"/>
          <w:sz w:val="20"/>
          <w:szCs w:val="20"/>
        </w:rPr>
        <w:t xml:space="preserve">551. </w:t>
      </w:r>
      <w:hyperlink r:id="rId25" w:tgtFrame="_new" w:history="1">
        <w:r w:rsidRPr="00B25D7F">
          <w:rPr>
            <w:rStyle w:val="Hyperlink"/>
            <w:rFonts w:ascii="Arial" w:hAnsi="Arial" w:cs="Arial"/>
            <w:sz w:val="20"/>
            <w:szCs w:val="20"/>
          </w:rPr>
          <w:t>https://doi.org/10.1146/annurev-arplant-050213-035715</w:t>
        </w:r>
      </w:hyperlink>
    </w:p>
    <w:p w14:paraId="450D2E77" w14:textId="09019E22" w:rsidR="00B25D7F" w:rsidRPr="00B25D7F" w:rsidRDefault="00B25D7F" w:rsidP="00B25D7F">
      <w:pPr>
        <w:tabs>
          <w:tab w:val="left" w:pos="3737"/>
        </w:tabs>
        <w:spacing w:line="240" w:lineRule="auto"/>
        <w:ind w:left="482" w:hanging="482"/>
        <w:jc w:val="both"/>
        <w:rPr>
          <w:rFonts w:ascii="Arial" w:hAnsi="Arial" w:cs="Arial"/>
          <w:sz w:val="20"/>
          <w:szCs w:val="20"/>
        </w:rPr>
      </w:pPr>
      <w:r w:rsidRPr="00B25D7F">
        <w:rPr>
          <w:rFonts w:ascii="Arial" w:hAnsi="Arial" w:cs="Arial"/>
          <w:sz w:val="20"/>
          <w:szCs w:val="20"/>
        </w:rPr>
        <w:t xml:space="preserve">Ji, Y., Scott, J. W., Schuster, D. J., &amp; Maxwell, D. P. (2007). Molecular mapping of Ty-4, a new tomato yellow leaf curl virus resistance locus on chromosome 3 of tomato. </w:t>
      </w:r>
      <w:r w:rsidRPr="00B25D7F">
        <w:rPr>
          <w:rFonts w:ascii="Arial" w:hAnsi="Arial" w:cs="Arial"/>
          <w:i/>
          <w:iCs/>
          <w:sz w:val="20"/>
          <w:szCs w:val="20"/>
        </w:rPr>
        <w:t>Journal of the American Society for Horticultural Science, 132</w:t>
      </w:r>
      <w:r w:rsidRPr="00B25D7F">
        <w:rPr>
          <w:rFonts w:ascii="Arial" w:hAnsi="Arial" w:cs="Arial"/>
          <w:sz w:val="20"/>
          <w:szCs w:val="20"/>
        </w:rPr>
        <w:t>(6), 814</w:t>
      </w:r>
      <w:r w:rsidR="00195BC2">
        <w:rPr>
          <w:rFonts w:ascii="Arial" w:hAnsi="Arial" w:cs="Arial"/>
          <w:sz w:val="20"/>
          <w:szCs w:val="20"/>
        </w:rPr>
        <w:t>-</w:t>
      </w:r>
      <w:r w:rsidRPr="00B25D7F">
        <w:rPr>
          <w:rFonts w:ascii="Arial" w:hAnsi="Arial" w:cs="Arial"/>
          <w:sz w:val="20"/>
          <w:szCs w:val="20"/>
        </w:rPr>
        <w:t xml:space="preserve">819. </w:t>
      </w:r>
      <w:hyperlink r:id="rId26" w:tgtFrame="_new" w:history="1">
        <w:r w:rsidRPr="00B25D7F">
          <w:rPr>
            <w:rStyle w:val="Hyperlink"/>
            <w:rFonts w:ascii="Arial" w:hAnsi="Arial" w:cs="Arial"/>
            <w:sz w:val="20"/>
            <w:szCs w:val="20"/>
          </w:rPr>
          <w:t>https://doi.org/10.21273/JASHS.132.6.814</w:t>
        </w:r>
      </w:hyperlink>
    </w:p>
    <w:p w14:paraId="25BC73FB" w14:textId="3D0C0888" w:rsidR="00B25D7F" w:rsidRPr="00B25D7F" w:rsidRDefault="00B25D7F" w:rsidP="00B25D7F">
      <w:pPr>
        <w:tabs>
          <w:tab w:val="left" w:pos="3737"/>
        </w:tabs>
        <w:spacing w:line="240" w:lineRule="auto"/>
        <w:ind w:left="482" w:hanging="482"/>
        <w:jc w:val="both"/>
        <w:rPr>
          <w:rFonts w:ascii="Arial" w:hAnsi="Arial" w:cs="Arial"/>
          <w:sz w:val="20"/>
          <w:szCs w:val="20"/>
        </w:rPr>
      </w:pPr>
      <w:r w:rsidRPr="00B25D7F">
        <w:rPr>
          <w:rFonts w:ascii="Arial" w:hAnsi="Arial" w:cs="Arial"/>
          <w:sz w:val="20"/>
          <w:szCs w:val="20"/>
        </w:rPr>
        <w:t xml:space="preserve">Jia, H., Orbovic, V., Jones, J. B., &amp; Wang, N. (2017). Modification of the PthA4 effector binding elements in type I </w:t>
      </w:r>
      <w:r w:rsidRPr="00B25D7F">
        <w:rPr>
          <w:rFonts w:ascii="Arial" w:hAnsi="Arial" w:cs="Arial"/>
          <w:i/>
          <w:iCs/>
          <w:sz w:val="20"/>
          <w:szCs w:val="20"/>
        </w:rPr>
        <w:t>CsLOB1</w:t>
      </w:r>
      <w:r w:rsidRPr="00B25D7F">
        <w:rPr>
          <w:rFonts w:ascii="Arial" w:hAnsi="Arial" w:cs="Arial"/>
          <w:sz w:val="20"/>
          <w:szCs w:val="20"/>
        </w:rPr>
        <w:t xml:space="preserve"> promoter using Cas9/sgRNA to produce transgenic Duncan grapefruit alleviating </w:t>
      </w:r>
      <w:r w:rsidRPr="00B25D7F">
        <w:rPr>
          <w:rFonts w:ascii="Arial" w:hAnsi="Arial" w:cs="Arial"/>
          <w:i/>
          <w:iCs/>
          <w:sz w:val="20"/>
          <w:szCs w:val="20"/>
        </w:rPr>
        <w:t>XccΔpthA4</w:t>
      </w:r>
      <w:r w:rsidRPr="00B25D7F">
        <w:rPr>
          <w:rFonts w:ascii="Arial" w:hAnsi="Arial" w:cs="Arial"/>
          <w:sz w:val="20"/>
          <w:szCs w:val="20"/>
        </w:rPr>
        <w:t xml:space="preserve">-elicited canker symptoms. </w:t>
      </w:r>
      <w:r w:rsidRPr="00B25D7F">
        <w:rPr>
          <w:rFonts w:ascii="Arial" w:hAnsi="Arial" w:cs="Arial"/>
          <w:i/>
          <w:iCs/>
          <w:sz w:val="20"/>
          <w:szCs w:val="20"/>
        </w:rPr>
        <w:t>Plant Biotechnology Journal, 14</w:t>
      </w:r>
      <w:r w:rsidRPr="00B25D7F">
        <w:rPr>
          <w:rFonts w:ascii="Arial" w:hAnsi="Arial" w:cs="Arial"/>
          <w:sz w:val="20"/>
          <w:szCs w:val="20"/>
        </w:rPr>
        <w:t>(5), 1291</w:t>
      </w:r>
      <w:r w:rsidR="00195BC2">
        <w:rPr>
          <w:rFonts w:ascii="Arial" w:hAnsi="Arial" w:cs="Arial"/>
          <w:sz w:val="20"/>
          <w:szCs w:val="20"/>
        </w:rPr>
        <w:t>-</w:t>
      </w:r>
      <w:r w:rsidRPr="00B25D7F">
        <w:rPr>
          <w:rFonts w:ascii="Arial" w:hAnsi="Arial" w:cs="Arial"/>
          <w:sz w:val="20"/>
          <w:szCs w:val="20"/>
        </w:rPr>
        <w:t xml:space="preserve">1301. </w:t>
      </w:r>
      <w:hyperlink r:id="rId27" w:tgtFrame="_new" w:history="1">
        <w:r w:rsidRPr="00B25D7F">
          <w:rPr>
            <w:rStyle w:val="Hyperlink"/>
            <w:rFonts w:ascii="Arial" w:hAnsi="Arial" w:cs="Arial"/>
            <w:sz w:val="20"/>
            <w:szCs w:val="20"/>
          </w:rPr>
          <w:t>https://doi.org/10.1111/pbi.12495</w:t>
        </w:r>
      </w:hyperlink>
    </w:p>
    <w:p w14:paraId="49BA3B7A" w14:textId="77777777" w:rsidR="00B25D7F" w:rsidRPr="00B25D7F" w:rsidRDefault="00B25D7F" w:rsidP="00B25D7F">
      <w:pPr>
        <w:tabs>
          <w:tab w:val="left" w:pos="3737"/>
        </w:tabs>
        <w:spacing w:line="240" w:lineRule="auto"/>
        <w:ind w:left="482" w:hanging="482"/>
        <w:jc w:val="both"/>
        <w:rPr>
          <w:rFonts w:ascii="Arial" w:hAnsi="Arial" w:cs="Arial"/>
          <w:sz w:val="20"/>
          <w:szCs w:val="20"/>
        </w:rPr>
      </w:pPr>
      <w:r w:rsidRPr="00B25D7F">
        <w:rPr>
          <w:rFonts w:ascii="Arial" w:hAnsi="Arial" w:cs="Arial"/>
          <w:sz w:val="20"/>
          <w:szCs w:val="20"/>
        </w:rPr>
        <w:t xml:space="preserve">Kim, S., Park, J., Yeom, S. I., Kim, Y. M., Seo, E., Kim, K. T., Kim, M. S., Lee, J. M., Cheong, K., Shin, H. S., Kim, S. B., Han, K., Lee, J., Park, M., Lee, H. A., Lee, H. Y., Lee, Y., Oh, S., &amp; Choi, D. (2018). New reference genome sequences of hot pepper reveal the massive evolution of plant disease-resistance genes by retroduplication. </w:t>
      </w:r>
      <w:r w:rsidRPr="00B25D7F">
        <w:rPr>
          <w:rFonts w:ascii="Arial" w:hAnsi="Arial" w:cs="Arial"/>
          <w:i/>
          <w:iCs/>
          <w:sz w:val="20"/>
          <w:szCs w:val="20"/>
        </w:rPr>
        <w:t>Genome Biology, 18</w:t>
      </w:r>
      <w:r w:rsidRPr="00B25D7F">
        <w:rPr>
          <w:rFonts w:ascii="Arial" w:hAnsi="Arial" w:cs="Arial"/>
          <w:sz w:val="20"/>
          <w:szCs w:val="20"/>
        </w:rPr>
        <w:t xml:space="preserve">(1), 210. </w:t>
      </w:r>
      <w:hyperlink r:id="rId28" w:tgtFrame="_new" w:history="1">
        <w:r w:rsidRPr="00B25D7F">
          <w:rPr>
            <w:rStyle w:val="Hyperlink"/>
            <w:rFonts w:ascii="Arial" w:hAnsi="Arial" w:cs="Arial"/>
            <w:sz w:val="20"/>
            <w:szCs w:val="20"/>
          </w:rPr>
          <w:t>https://doi.org/10.1186/s13059-017-1341-9</w:t>
        </w:r>
      </w:hyperlink>
    </w:p>
    <w:p w14:paraId="08888241" w14:textId="34721045" w:rsidR="00B25D7F" w:rsidRPr="00B25D7F" w:rsidRDefault="00B25D7F" w:rsidP="00B25D7F">
      <w:pPr>
        <w:tabs>
          <w:tab w:val="left" w:pos="3737"/>
        </w:tabs>
        <w:spacing w:line="240" w:lineRule="auto"/>
        <w:ind w:left="482" w:hanging="482"/>
        <w:jc w:val="both"/>
        <w:rPr>
          <w:rFonts w:ascii="Arial" w:hAnsi="Arial" w:cs="Arial"/>
          <w:sz w:val="20"/>
          <w:szCs w:val="20"/>
        </w:rPr>
      </w:pPr>
      <w:r w:rsidRPr="00B25D7F">
        <w:rPr>
          <w:rFonts w:ascii="Arial" w:hAnsi="Arial" w:cs="Arial"/>
          <w:sz w:val="20"/>
          <w:szCs w:val="20"/>
        </w:rPr>
        <w:t xml:space="preserve">Komor, A. C., Kim, Y. B., Packer, M. S., </w:t>
      </w:r>
      <w:proofErr w:type="spellStart"/>
      <w:r w:rsidRPr="00B25D7F">
        <w:rPr>
          <w:rFonts w:ascii="Arial" w:hAnsi="Arial" w:cs="Arial"/>
          <w:sz w:val="20"/>
          <w:szCs w:val="20"/>
        </w:rPr>
        <w:t>Zuris</w:t>
      </w:r>
      <w:proofErr w:type="spellEnd"/>
      <w:r w:rsidRPr="00B25D7F">
        <w:rPr>
          <w:rFonts w:ascii="Arial" w:hAnsi="Arial" w:cs="Arial"/>
          <w:sz w:val="20"/>
          <w:szCs w:val="20"/>
        </w:rPr>
        <w:t xml:space="preserve">, J. A., &amp; Liu, D. R. (2016). Programmable editing of a target base in genomic DNA without double-stranded DNA cleavage. </w:t>
      </w:r>
      <w:r w:rsidRPr="00B25D7F">
        <w:rPr>
          <w:rFonts w:ascii="Arial" w:hAnsi="Arial" w:cs="Arial"/>
          <w:i/>
          <w:iCs/>
          <w:sz w:val="20"/>
          <w:szCs w:val="20"/>
        </w:rPr>
        <w:t>Nature, 533</w:t>
      </w:r>
      <w:r w:rsidRPr="00B25D7F">
        <w:rPr>
          <w:rFonts w:ascii="Arial" w:hAnsi="Arial" w:cs="Arial"/>
          <w:sz w:val="20"/>
          <w:szCs w:val="20"/>
        </w:rPr>
        <w:t>(7603), 420</w:t>
      </w:r>
      <w:r w:rsidR="00195BC2">
        <w:rPr>
          <w:rFonts w:ascii="Arial" w:hAnsi="Arial" w:cs="Arial"/>
          <w:sz w:val="20"/>
          <w:szCs w:val="20"/>
        </w:rPr>
        <w:t>-</w:t>
      </w:r>
      <w:r w:rsidRPr="00B25D7F">
        <w:rPr>
          <w:rFonts w:ascii="Arial" w:hAnsi="Arial" w:cs="Arial"/>
          <w:sz w:val="20"/>
          <w:szCs w:val="20"/>
        </w:rPr>
        <w:t xml:space="preserve">424. </w:t>
      </w:r>
      <w:hyperlink r:id="rId29" w:tgtFrame="_new" w:history="1">
        <w:r w:rsidRPr="00B25D7F">
          <w:rPr>
            <w:rStyle w:val="Hyperlink"/>
            <w:rFonts w:ascii="Arial" w:hAnsi="Arial" w:cs="Arial"/>
            <w:sz w:val="20"/>
            <w:szCs w:val="20"/>
          </w:rPr>
          <w:t>https://doi.org/10.1038/nature17946</w:t>
        </w:r>
      </w:hyperlink>
    </w:p>
    <w:p w14:paraId="77F99D4D" w14:textId="77777777" w:rsidR="00B25D7F" w:rsidRPr="00B25D7F" w:rsidRDefault="00B25D7F" w:rsidP="00B25D7F">
      <w:pPr>
        <w:tabs>
          <w:tab w:val="left" w:pos="3737"/>
        </w:tabs>
        <w:spacing w:line="240" w:lineRule="auto"/>
        <w:ind w:left="482" w:hanging="482"/>
        <w:jc w:val="both"/>
        <w:rPr>
          <w:rFonts w:ascii="Arial" w:hAnsi="Arial" w:cs="Arial"/>
          <w:sz w:val="20"/>
          <w:szCs w:val="20"/>
        </w:rPr>
      </w:pPr>
      <w:r w:rsidRPr="00B25D7F">
        <w:rPr>
          <w:rFonts w:ascii="Arial" w:hAnsi="Arial" w:cs="Arial"/>
          <w:sz w:val="20"/>
          <w:szCs w:val="20"/>
        </w:rPr>
        <w:t xml:space="preserve">Kumar, S., </w:t>
      </w:r>
      <w:proofErr w:type="spellStart"/>
      <w:r w:rsidRPr="00B25D7F">
        <w:rPr>
          <w:rFonts w:ascii="Arial" w:hAnsi="Arial" w:cs="Arial"/>
          <w:sz w:val="20"/>
          <w:szCs w:val="20"/>
        </w:rPr>
        <w:t>Chagné</w:t>
      </w:r>
      <w:proofErr w:type="spellEnd"/>
      <w:r w:rsidRPr="00B25D7F">
        <w:rPr>
          <w:rFonts w:ascii="Arial" w:hAnsi="Arial" w:cs="Arial"/>
          <w:sz w:val="20"/>
          <w:szCs w:val="20"/>
        </w:rPr>
        <w:t>, D., Bink, M. C., Volz, R. K., Whitworth, C., &amp; Carlisle, C. (2012). Genomic selection for fruit quality traits in apple (</w:t>
      </w:r>
      <w:r w:rsidRPr="00B25D7F">
        <w:rPr>
          <w:rFonts w:ascii="Arial" w:hAnsi="Arial" w:cs="Arial"/>
          <w:i/>
          <w:iCs/>
          <w:sz w:val="20"/>
          <w:szCs w:val="20"/>
        </w:rPr>
        <w:t>Malus × domestica</w:t>
      </w:r>
      <w:r w:rsidRPr="00B25D7F">
        <w:rPr>
          <w:rFonts w:ascii="Arial" w:hAnsi="Arial" w:cs="Arial"/>
          <w:sz w:val="20"/>
          <w:szCs w:val="20"/>
        </w:rPr>
        <w:t xml:space="preserve"> Borkh.). </w:t>
      </w:r>
      <w:r w:rsidRPr="00B25D7F">
        <w:rPr>
          <w:rFonts w:ascii="Arial" w:hAnsi="Arial" w:cs="Arial"/>
          <w:i/>
          <w:iCs/>
          <w:sz w:val="20"/>
          <w:szCs w:val="20"/>
        </w:rPr>
        <w:t>PLOS ONE, 7</w:t>
      </w:r>
      <w:r w:rsidRPr="00B25D7F">
        <w:rPr>
          <w:rFonts w:ascii="Arial" w:hAnsi="Arial" w:cs="Arial"/>
          <w:sz w:val="20"/>
          <w:szCs w:val="20"/>
        </w:rPr>
        <w:t xml:space="preserve">(5), e36674. </w:t>
      </w:r>
      <w:hyperlink r:id="rId30" w:tgtFrame="_new" w:history="1">
        <w:r w:rsidRPr="00B25D7F">
          <w:rPr>
            <w:rStyle w:val="Hyperlink"/>
            <w:rFonts w:ascii="Arial" w:hAnsi="Arial" w:cs="Arial"/>
            <w:sz w:val="20"/>
            <w:szCs w:val="20"/>
          </w:rPr>
          <w:t>https://doi.org/10.1371/journal.pone.0036674</w:t>
        </w:r>
      </w:hyperlink>
    </w:p>
    <w:p w14:paraId="3E147AD3" w14:textId="77777777" w:rsidR="00B25D7F" w:rsidRPr="00B25D7F" w:rsidRDefault="00B25D7F" w:rsidP="00B25D7F">
      <w:pPr>
        <w:tabs>
          <w:tab w:val="left" w:pos="3737"/>
        </w:tabs>
        <w:spacing w:line="240" w:lineRule="auto"/>
        <w:ind w:left="482" w:hanging="482"/>
        <w:jc w:val="both"/>
        <w:rPr>
          <w:rFonts w:ascii="Arial" w:hAnsi="Arial" w:cs="Arial"/>
          <w:sz w:val="20"/>
          <w:szCs w:val="20"/>
        </w:rPr>
      </w:pPr>
      <w:r w:rsidRPr="00B25D7F">
        <w:rPr>
          <w:rFonts w:ascii="Arial" w:hAnsi="Arial" w:cs="Arial"/>
          <w:sz w:val="20"/>
          <w:szCs w:val="20"/>
        </w:rPr>
        <w:t xml:space="preserve">Li, C., Zong, Y., Wang, Y., Jin, S., Zhang, D., Song, Q., Zhang, R., &amp; Gao, C. (2018). Expanded base editing in rice and wheat using a Cas9-adenosine deaminase fusion. </w:t>
      </w:r>
      <w:r w:rsidRPr="00B25D7F">
        <w:rPr>
          <w:rFonts w:ascii="Arial" w:hAnsi="Arial" w:cs="Arial"/>
          <w:i/>
          <w:iCs/>
          <w:sz w:val="20"/>
          <w:szCs w:val="20"/>
        </w:rPr>
        <w:t>Genome Biology, 19</w:t>
      </w:r>
      <w:r w:rsidRPr="00B25D7F">
        <w:rPr>
          <w:rFonts w:ascii="Arial" w:hAnsi="Arial" w:cs="Arial"/>
          <w:sz w:val="20"/>
          <w:szCs w:val="20"/>
        </w:rPr>
        <w:t xml:space="preserve">(1), 59. </w:t>
      </w:r>
      <w:hyperlink r:id="rId31" w:tgtFrame="_new" w:history="1">
        <w:r w:rsidRPr="00B25D7F">
          <w:rPr>
            <w:rStyle w:val="Hyperlink"/>
            <w:rFonts w:ascii="Arial" w:hAnsi="Arial" w:cs="Arial"/>
            <w:sz w:val="20"/>
            <w:szCs w:val="20"/>
          </w:rPr>
          <w:t>https://doi.org/10.1186/s13059-018-1443-z</w:t>
        </w:r>
      </w:hyperlink>
    </w:p>
    <w:p w14:paraId="32B8C134" w14:textId="29FD9F53" w:rsidR="00B25D7F" w:rsidRPr="00B25D7F" w:rsidRDefault="00B25D7F" w:rsidP="00B25D7F">
      <w:pPr>
        <w:tabs>
          <w:tab w:val="left" w:pos="3737"/>
        </w:tabs>
        <w:spacing w:line="240" w:lineRule="auto"/>
        <w:ind w:left="482" w:hanging="482"/>
        <w:jc w:val="both"/>
        <w:rPr>
          <w:rFonts w:ascii="Arial" w:hAnsi="Arial" w:cs="Arial"/>
          <w:sz w:val="20"/>
          <w:szCs w:val="20"/>
        </w:rPr>
      </w:pPr>
      <w:r w:rsidRPr="00B25D7F">
        <w:rPr>
          <w:rFonts w:ascii="Arial" w:hAnsi="Arial" w:cs="Arial"/>
          <w:sz w:val="20"/>
          <w:szCs w:val="20"/>
        </w:rPr>
        <w:t xml:space="preserve">Lin, Q., Zong, Y., Xue, C., Wang, S., Jin, S., Zhu, Z., Wang, Y., Anzalone, A. V., Raguram, A., Doman, J. L., Liu, D. R., &amp; Gao, C. (2020). Prime genome editing in rice and wheat. </w:t>
      </w:r>
      <w:r w:rsidRPr="00B25D7F">
        <w:rPr>
          <w:rFonts w:ascii="Arial" w:hAnsi="Arial" w:cs="Arial"/>
          <w:i/>
          <w:iCs/>
          <w:sz w:val="20"/>
          <w:szCs w:val="20"/>
        </w:rPr>
        <w:t>Nature Biotechnology, 38</w:t>
      </w:r>
      <w:r w:rsidRPr="00B25D7F">
        <w:rPr>
          <w:rFonts w:ascii="Arial" w:hAnsi="Arial" w:cs="Arial"/>
          <w:sz w:val="20"/>
          <w:szCs w:val="20"/>
        </w:rPr>
        <w:t>(5), 582</w:t>
      </w:r>
      <w:r w:rsidR="00195BC2">
        <w:rPr>
          <w:rFonts w:ascii="Arial" w:hAnsi="Arial" w:cs="Arial"/>
          <w:sz w:val="20"/>
          <w:szCs w:val="20"/>
        </w:rPr>
        <w:t>-</w:t>
      </w:r>
      <w:r w:rsidRPr="00B25D7F">
        <w:rPr>
          <w:rFonts w:ascii="Arial" w:hAnsi="Arial" w:cs="Arial"/>
          <w:sz w:val="20"/>
          <w:szCs w:val="20"/>
        </w:rPr>
        <w:t xml:space="preserve">585. </w:t>
      </w:r>
      <w:hyperlink r:id="rId32" w:tgtFrame="_new" w:history="1">
        <w:r w:rsidRPr="00B25D7F">
          <w:rPr>
            <w:rStyle w:val="Hyperlink"/>
            <w:rFonts w:ascii="Arial" w:hAnsi="Arial" w:cs="Arial"/>
            <w:sz w:val="20"/>
            <w:szCs w:val="20"/>
          </w:rPr>
          <w:t>https://doi.org/10.1038/s41587-020-0455-x</w:t>
        </w:r>
      </w:hyperlink>
    </w:p>
    <w:p w14:paraId="74D8A57B" w14:textId="0808A8A0" w:rsidR="00B25D7F" w:rsidRPr="00B25D7F" w:rsidRDefault="00B25D7F" w:rsidP="00B25D7F">
      <w:pPr>
        <w:tabs>
          <w:tab w:val="left" w:pos="3737"/>
        </w:tabs>
        <w:spacing w:line="240" w:lineRule="auto"/>
        <w:ind w:left="482" w:hanging="482"/>
        <w:jc w:val="both"/>
        <w:rPr>
          <w:rFonts w:ascii="Arial" w:hAnsi="Arial" w:cs="Arial"/>
          <w:sz w:val="20"/>
          <w:szCs w:val="20"/>
        </w:rPr>
      </w:pPr>
      <w:r w:rsidRPr="00B25D7F">
        <w:rPr>
          <w:rFonts w:ascii="Arial" w:hAnsi="Arial" w:cs="Arial"/>
          <w:sz w:val="20"/>
          <w:szCs w:val="20"/>
        </w:rPr>
        <w:t>Lindqvist-</w:t>
      </w:r>
      <w:proofErr w:type="spellStart"/>
      <w:r w:rsidRPr="00B25D7F">
        <w:rPr>
          <w:rFonts w:ascii="Arial" w:hAnsi="Arial" w:cs="Arial"/>
          <w:sz w:val="20"/>
          <w:szCs w:val="20"/>
        </w:rPr>
        <w:t>Kreuze</w:t>
      </w:r>
      <w:proofErr w:type="spellEnd"/>
      <w:r w:rsidRPr="00B25D7F">
        <w:rPr>
          <w:rFonts w:ascii="Arial" w:hAnsi="Arial" w:cs="Arial"/>
          <w:sz w:val="20"/>
          <w:szCs w:val="20"/>
        </w:rPr>
        <w:t xml:space="preserve">, H., Gastelo, M., Perez, W., Forbes, G. A., de Boeck, B., </w:t>
      </w:r>
      <w:proofErr w:type="spellStart"/>
      <w:r w:rsidRPr="00B25D7F">
        <w:rPr>
          <w:rFonts w:ascii="Arial" w:hAnsi="Arial" w:cs="Arial"/>
          <w:sz w:val="20"/>
          <w:szCs w:val="20"/>
        </w:rPr>
        <w:t>Bonierbale</w:t>
      </w:r>
      <w:proofErr w:type="spellEnd"/>
      <w:r w:rsidRPr="00B25D7F">
        <w:rPr>
          <w:rFonts w:ascii="Arial" w:hAnsi="Arial" w:cs="Arial"/>
          <w:sz w:val="20"/>
          <w:szCs w:val="20"/>
        </w:rPr>
        <w:t xml:space="preserve">, M., &amp; Ghislain, M. (2020). Phenotypic stability and genome-wide association study of late blight resistance in potato genotypes evaluated under diverse environments. </w:t>
      </w:r>
      <w:r w:rsidRPr="00B25D7F">
        <w:rPr>
          <w:rFonts w:ascii="Arial" w:hAnsi="Arial" w:cs="Arial"/>
          <w:i/>
          <w:iCs/>
          <w:sz w:val="20"/>
          <w:szCs w:val="20"/>
        </w:rPr>
        <w:t>Phytopathology, 104</w:t>
      </w:r>
      <w:r w:rsidRPr="00B25D7F">
        <w:rPr>
          <w:rFonts w:ascii="Arial" w:hAnsi="Arial" w:cs="Arial"/>
          <w:sz w:val="20"/>
          <w:szCs w:val="20"/>
        </w:rPr>
        <w:t>(6), 624</w:t>
      </w:r>
      <w:r w:rsidR="00195BC2">
        <w:rPr>
          <w:rFonts w:ascii="Arial" w:hAnsi="Arial" w:cs="Arial"/>
          <w:sz w:val="20"/>
          <w:szCs w:val="20"/>
        </w:rPr>
        <w:t>-</w:t>
      </w:r>
      <w:r w:rsidRPr="00B25D7F">
        <w:rPr>
          <w:rFonts w:ascii="Arial" w:hAnsi="Arial" w:cs="Arial"/>
          <w:sz w:val="20"/>
          <w:szCs w:val="20"/>
        </w:rPr>
        <w:t xml:space="preserve">633. </w:t>
      </w:r>
      <w:hyperlink r:id="rId33" w:tgtFrame="_new" w:history="1">
        <w:r w:rsidRPr="00B25D7F">
          <w:rPr>
            <w:rStyle w:val="Hyperlink"/>
            <w:rFonts w:ascii="Arial" w:hAnsi="Arial" w:cs="Arial"/>
            <w:sz w:val="20"/>
            <w:szCs w:val="20"/>
          </w:rPr>
          <w:t>https://doi.org/10.1094/PHYTO-03-13-0073-R</w:t>
        </w:r>
      </w:hyperlink>
    </w:p>
    <w:p w14:paraId="3651455D" w14:textId="767CA0A4" w:rsidR="00B25D7F" w:rsidRPr="00B25D7F" w:rsidRDefault="00B25D7F" w:rsidP="00B25D7F">
      <w:pPr>
        <w:tabs>
          <w:tab w:val="left" w:pos="3737"/>
        </w:tabs>
        <w:spacing w:line="240" w:lineRule="auto"/>
        <w:ind w:left="482" w:hanging="482"/>
        <w:jc w:val="both"/>
        <w:rPr>
          <w:rFonts w:ascii="Arial" w:hAnsi="Arial" w:cs="Arial"/>
          <w:sz w:val="20"/>
          <w:szCs w:val="20"/>
        </w:rPr>
      </w:pPr>
      <w:r w:rsidRPr="00B25D7F">
        <w:rPr>
          <w:rFonts w:ascii="Arial" w:hAnsi="Arial" w:cs="Arial"/>
          <w:sz w:val="20"/>
          <w:szCs w:val="20"/>
        </w:rPr>
        <w:t xml:space="preserve">Lucht, J. M. (2015). Public acceptance of plant biotechnology and GM crops. </w:t>
      </w:r>
      <w:r w:rsidRPr="00B25D7F">
        <w:rPr>
          <w:rFonts w:ascii="Arial" w:hAnsi="Arial" w:cs="Arial"/>
          <w:i/>
          <w:iCs/>
          <w:sz w:val="20"/>
          <w:szCs w:val="20"/>
        </w:rPr>
        <w:t>Viruses, 7</w:t>
      </w:r>
      <w:r w:rsidRPr="00B25D7F">
        <w:rPr>
          <w:rFonts w:ascii="Arial" w:hAnsi="Arial" w:cs="Arial"/>
          <w:sz w:val="20"/>
          <w:szCs w:val="20"/>
        </w:rPr>
        <w:t>(8), 4254</w:t>
      </w:r>
      <w:r w:rsidR="00195BC2">
        <w:rPr>
          <w:rFonts w:ascii="Arial" w:hAnsi="Arial" w:cs="Arial"/>
          <w:sz w:val="20"/>
          <w:szCs w:val="20"/>
        </w:rPr>
        <w:t>-</w:t>
      </w:r>
      <w:r w:rsidRPr="00B25D7F">
        <w:rPr>
          <w:rFonts w:ascii="Arial" w:hAnsi="Arial" w:cs="Arial"/>
          <w:sz w:val="20"/>
          <w:szCs w:val="20"/>
        </w:rPr>
        <w:t xml:space="preserve">4281. </w:t>
      </w:r>
      <w:hyperlink r:id="rId34" w:tgtFrame="_new" w:history="1">
        <w:r w:rsidRPr="00B25D7F">
          <w:rPr>
            <w:rStyle w:val="Hyperlink"/>
            <w:rFonts w:ascii="Arial" w:hAnsi="Arial" w:cs="Arial"/>
            <w:sz w:val="20"/>
            <w:szCs w:val="20"/>
          </w:rPr>
          <w:t>https://doi.org/10.3390/v7082819</w:t>
        </w:r>
      </w:hyperlink>
    </w:p>
    <w:p w14:paraId="66DEC6FE" w14:textId="77777777" w:rsidR="00B25D7F" w:rsidRPr="00B25D7F" w:rsidRDefault="00B25D7F" w:rsidP="00B25D7F">
      <w:pPr>
        <w:tabs>
          <w:tab w:val="left" w:pos="3737"/>
        </w:tabs>
        <w:spacing w:line="240" w:lineRule="auto"/>
        <w:ind w:left="482" w:hanging="482"/>
        <w:jc w:val="both"/>
        <w:rPr>
          <w:rFonts w:ascii="Arial" w:hAnsi="Arial" w:cs="Arial"/>
          <w:sz w:val="20"/>
          <w:szCs w:val="20"/>
        </w:rPr>
      </w:pPr>
      <w:proofErr w:type="spellStart"/>
      <w:r w:rsidRPr="00B25D7F">
        <w:rPr>
          <w:rFonts w:ascii="Arial" w:hAnsi="Arial" w:cs="Arial"/>
          <w:sz w:val="20"/>
          <w:szCs w:val="20"/>
        </w:rPr>
        <w:t>Malnoy</w:t>
      </w:r>
      <w:proofErr w:type="spellEnd"/>
      <w:r w:rsidRPr="00B25D7F">
        <w:rPr>
          <w:rFonts w:ascii="Arial" w:hAnsi="Arial" w:cs="Arial"/>
          <w:sz w:val="20"/>
          <w:szCs w:val="20"/>
        </w:rPr>
        <w:t xml:space="preserve">, M., Viola, R., Jung, M. H., Koo, O. J., Kim, S., Kim, J. S., Velasco, R., &amp; Nagamangala Kanchiswamy, C. (2016). DNA-free genetically edited grapevine and apple protoplasts using CRISPR/Cas9 ribonucleoproteins. </w:t>
      </w:r>
      <w:r w:rsidRPr="00B25D7F">
        <w:rPr>
          <w:rFonts w:ascii="Arial" w:hAnsi="Arial" w:cs="Arial"/>
          <w:i/>
          <w:iCs/>
          <w:sz w:val="20"/>
          <w:szCs w:val="20"/>
        </w:rPr>
        <w:t>Frontiers in Plant Science, 7</w:t>
      </w:r>
      <w:r w:rsidRPr="00B25D7F">
        <w:rPr>
          <w:rFonts w:ascii="Arial" w:hAnsi="Arial" w:cs="Arial"/>
          <w:sz w:val="20"/>
          <w:szCs w:val="20"/>
        </w:rPr>
        <w:t xml:space="preserve">, 1904. </w:t>
      </w:r>
      <w:hyperlink r:id="rId35" w:tgtFrame="_new" w:history="1">
        <w:r w:rsidRPr="00B25D7F">
          <w:rPr>
            <w:rStyle w:val="Hyperlink"/>
            <w:rFonts w:ascii="Arial" w:hAnsi="Arial" w:cs="Arial"/>
            <w:sz w:val="20"/>
            <w:szCs w:val="20"/>
          </w:rPr>
          <w:t>https://doi.org/10.3389/fpls.2016.01904</w:t>
        </w:r>
      </w:hyperlink>
    </w:p>
    <w:p w14:paraId="0B84DFAF" w14:textId="71896045" w:rsidR="00B25D7F" w:rsidRPr="00B25D7F" w:rsidRDefault="00B25D7F" w:rsidP="00B25D7F">
      <w:pPr>
        <w:tabs>
          <w:tab w:val="left" w:pos="3737"/>
        </w:tabs>
        <w:spacing w:line="240" w:lineRule="auto"/>
        <w:ind w:left="482" w:hanging="482"/>
        <w:jc w:val="both"/>
        <w:rPr>
          <w:rFonts w:ascii="Arial" w:hAnsi="Arial" w:cs="Arial"/>
          <w:sz w:val="20"/>
          <w:szCs w:val="20"/>
        </w:rPr>
      </w:pPr>
      <w:r w:rsidRPr="00B25D7F">
        <w:rPr>
          <w:rFonts w:ascii="Arial" w:hAnsi="Arial" w:cs="Arial"/>
          <w:sz w:val="20"/>
          <w:szCs w:val="20"/>
        </w:rPr>
        <w:t xml:space="preserve">Meuwissen, T. H., Hayes, B. J., &amp; Goddard, M. E. (2001). Prediction of total genetic value using genome-wide dense marker maps. </w:t>
      </w:r>
      <w:r w:rsidRPr="00B25D7F">
        <w:rPr>
          <w:rFonts w:ascii="Arial" w:hAnsi="Arial" w:cs="Arial"/>
          <w:i/>
          <w:iCs/>
          <w:sz w:val="20"/>
          <w:szCs w:val="20"/>
        </w:rPr>
        <w:t>Genetics, 157</w:t>
      </w:r>
      <w:r w:rsidRPr="00B25D7F">
        <w:rPr>
          <w:rFonts w:ascii="Arial" w:hAnsi="Arial" w:cs="Arial"/>
          <w:sz w:val="20"/>
          <w:szCs w:val="20"/>
        </w:rPr>
        <w:t>(4), 1819</w:t>
      </w:r>
      <w:r w:rsidR="00195BC2">
        <w:rPr>
          <w:rFonts w:ascii="Arial" w:hAnsi="Arial" w:cs="Arial"/>
          <w:sz w:val="20"/>
          <w:szCs w:val="20"/>
        </w:rPr>
        <w:t>-</w:t>
      </w:r>
      <w:r w:rsidRPr="00B25D7F">
        <w:rPr>
          <w:rFonts w:ascii="Arial" w:hAnsi="Arial" w:cs="Arial"/>
          <w:sz w:val="20"/>
          <w:szCs w:val="20"/>
        </w:rPr>
        <w:t xml:space="preserve">1829. </w:t>
      </w:r>
      <w:hyperlink r:id="rId36" w:tgtFrame="_new" w:history="1">
        <w:r w:rsidRPr="00B25D7F">
          <w:rPr>
            <w:rStyle w:val="Hyperlink"/>
            <w:rFonts w:ascii="Arial" w:hAnsi="Arial" w:cs="Arial"/>
            <w:sz w:val="20"/>
            <w:szCs w:val="20"/>
          </w:rPr>
          <w:t>https://doi.org/10.1093/genetics/157.4.1819</w:t>
        </w:r>
      </w:hyperlink>
    </w:p>
    <w:p w14:paraId="3A20AD25" w14:textId="77777777" w:rsidR="005F3664" w:rsidRPr="005F3664" w:rsidRDefault="005F3664" w:rsidP="005F3664">
      <w:pPr>
        <w:tabs>
          <w:tab w:val="left" w:pos="3737"/>
        </w:tabs>
        <w:spacing w:line="240" w:lineRule="auto"/>
        <w:ind w:left="482" w:hanging="482"/>
        <w:jc w:val="both"/>
        <w:rPr>
          <w:rFonts w:ascii="Arial" w:hAnsi="Arial" w:cs="Arial"/>
          <w:sz w:val="20"/>
          <w:szCs w:val="20"/>
        </w:rPr>
      </w:pPr>
      <w:r w:rsidRPr="005F3664">
        <w:rPr>
          <w:rFonts w:ascii="Arial" w:hAnsi="Arial" w:cs="Arial"/>
          <w:sz w:val="20"/>
          <w:szCs w:val="20"/>
        </w:rPr>
        <w:t xml:space="preserve">Nonaka, S., Arai, C., Takayama, M., </w:t>
      </w:r>
      <w:proofErr w:type="spellStart"/>
      <w:r w:rsidRPr="005F3664">
        <w:rPr>
          <w:rFonts w:ascii="Arial" w:hAnsi="Arial" w:cs="Arial"/>
          <w:sz w:val="20"/>
          <w:szCs w:val="20"/>
        </w:rPr>
        <w:t>Matsukura</w:t>
      </w:r>
      <w:proofErr w:type="spellEnd"/>
      <w:r w:rsidRPr="005F3664">
        <w:rPr>
          <w:rFonts w:ascii="Arial" w:hAnsi="Arial" w:cs="Arial"/>
          <w:sz w:val="20"/>
          <w:szCs w:val="20"/>
        </w:rPr>
        <w:t xml:space="preserve">, C., &amp; Ezura, H. (2017). Efficient increase of gamma-aminobutyric acid (GABA) content in tomato fruits by targeted mutagenesis. </w:t>
      </w:r>
      <w:r w:rsidRPr="005F3664">
        <w:rPr>
          <w:rFonts w:ascii="Arial" w:hAnsi="Arial" w:cs="Arial"/>
          <w:i/>
          <w:iCs/>
          <w:sz w:val="20"/>
          <w:szCs w:val="20"/>
        </w:rPr>
        <w:t>Scientific Reports, 7</w:t>
      </w:r>
      <w:r w:rsidRPr="005F3664">
        <w:rPr>
          <w:rFonts w:ascii="Arial" w:hAnsi="Arial" w:cs="Arial"/>
          <w:sz w:val="20"/>
          <w:szCs w:val="20"/>
        </w:rPr>
        <w:t xml:space="preserve">(1), 7805. </w:t>
      </w:r>
      <w:hyperlink r:id="rId37" w:tgtFrame="_new" w:history="1">
        <w:r w:rsidRPr="005F3664">
          <w:rPr>
            <w:rStyle w:val="Hyperlink"/>
            <w:rFonts w:ascii="Arial" w:hAnsi="Arial" w:cs="Arial"/>
            <w:sz w:val="20"/>
            <w:szCs w:val="20"/>
          </w:rPr>
          <w:t>https://doi.org/10.1038/s41598-017-06400-y</w:t>
        </w:r>
      </w:hyperlink>
    </w:p>
    <w:p w14:paraId="129F3D4F" w14:textId="1A1E450E" w:rsidR="005F3664" w:rsidRPr="005F3664" w:rsidRDefault="005F3664" w:rsidP="005F3664">
      <w:pPr>
        <w:tabs>
          <w:tab w:val="left" w:pos="3737"/>
        </w:tabs>
        <w:spacing w:line="240" w:lineRule="auto"/>
        <w:ind w:left="482" w:hanging="482"/>
        <w:jc w:val="both"/>
        <w:rPr>
          <w:rFonts w:ascii="Arial" w:hAnsi="Arial" w:cs="Arial"/>
          <w:sz w:val="20"/>
          <w:szCs w:val="20"/>
        </w:rPr>
      </w:pPr>
      <w:r w:rsidRPr="005F3664">
        <w:rPr>
          <w:rFonts w:ascii="Arial" w:hAnsi="Arial" w:cs="Arial"/>
          <w:sz w:val="20"/>
          <w:szCs w:val="20"/>
        </w:rPr>
        <w:t xml:space="preserve">Scheben, A., Wolter, F., Batley, J., Puchta, H., &amp; Edwards, D. (2017). Towards CRISPR/Cas crops: Bringing together genomics and genome editing. </w:t>
      </w:r>
      <w:r w:rsidRPr="005F3664">
        <w:rPr>
          <w:rFonts w:ascii="Arial" w:hAnsi="Arial" w:cs="Arial"/>
          <w:i/>
          <w:iCs/>
          <w:sz w:val="20"/>
          <w:szCs w:val="20"/>
        </w:rPr>
        <w:t>New Phytologist, 216</w:t>
      </w:r>
      <w:r w:rsidRPr="005F3664">
        <w:rPr>
          <w:rFonts w:ascii="Arial" w:hAnsi="Arial" w:cs="Arial"/>
          <w:sz w:val="20"/>
          <w:szCs w:val="20"/>
        </w:rPr>
        <w:t>(3), 682</w:t>
      </w:r>
      <w:r w:rsidR="00195BC2">
        <w:rPr>
          <w:rFonts w:ascii="Arial" w:hAnsi="Arial" w:cs="Arial"/>
          <w:sz w:val="20"/>
          <w:szCs w:val="20"/>
        </w:rPr>
        <w:t>-</w:t>
      </w:r>
      <w:r w:rsidRPr="005F3664">
        <w:rPr>
          <w:rFonts w:ascii="Arial" w:hAnsi="Arial" w:cs="Arial"/>
          <w:sz w:val="20"/>
          <w:szCs w:val="20"/>
        </w:rPr>
        <w:t xml:space="preserve">698. </w:t>
      </w:r>
      <w:hyperlink r:id="rId38" w:tgtFrame="_new" w:history="1">
        <w:r w:rsidRPr="005F3664">
          <w:rPr>
            <w:rStyle w:val="Hyperlink"/>
            <w:rFonts w:ascii="Arial" w:hAnsi="Arial" w:cs="Arial"/>
            <w:sz w:val="20"/>
            <w:szCs w:val="20"/>
          </w:rPr>
          <w:t>https://doi.org/10.1111/nph.14702</w:t>
        </w:r>
      </w:hyperlink>
    </w:p>
    <w:p w14:paraId="01FFC383" w14:textId="795439E7" w:rsidR="005F3664" w:rsidRPr="005F3664" w:rsidRDefault="005F3664" w:rsidP="005F3664">
      <w:pPr>
        <w:tabs>
          <w:tab w:val="left" w:pos="3737"/>
        </w:tabs>
        <w:spacing w:line="240" w:lineRule="auto"/>
        <w:ind w:left="482" w:hanging="482"/>
        <w:jc w:val="both"/>
        <w:rPr>
          <w:rFonts w:ascii="Arial" w:hAnsi="Arial" w:cs="Arial"/>
          <w:sz w:val="20"/>
          <w:szCs w:val="20"/>
        </w:rPr>
      </w:pPr>
      <w:r w:rsidRPr="005F3664">
        <w:rPr>
          <w:rFonts w:ascii="Arial" w:hAnsi="Arial" w:cs="Arial"/>
          <w:sz w:val="20"/>
          <w:szCs w:val="20"/>
        </w:rPr>
        <w:t xml:space="preserve">Soyk, S., Müller, N. A., Park, S. J., Schmalenbach, I., Jiang, K., Hayama, R., Zhang, L., Van Eck, J., Jiménez-Gómez, J. M., &amp; Lippman, Z. B. (2017). Variation in the flowering gene </w:t>
      </w:r>
      <w:r w:rsidRPr="005F3664">
        <w:rPr>
          <w:rFonts w:ascii="Arial" w:hAnsi="Arial" w:cs="Arial"/>
          <w:i/>
          <w:iCs/>
          <w:sz w:val="20"/>
          <w:szCs w:val="20"/>
        </w:rPr>
        <w:t xml:space="preserve">SELF PRUNING </w:t>
      </w:r>
      <w:r w:rsidRPr="005F3664">
        <w:rPr>
          <w:rFonts w:ascii="Arial" w:hAnsi="Arial" w:cs="Arial"/>
          <w:i/>
          <w:iCs/>
          <w:sz w:val="20"/>
          <w:szCs w:val="20"/>
        </w:rPr>
        <w:lastRenderedPageBreak/>
        <w:t>5G</w:t>
      </w:r>
      <w:r w:rsidRPr="005F3664">
        <w:rPr>
          <w:rFonts w:ascii="Arial" w:hAnsi="Arial" w:cs="Arial"/>
          <w:sz w:val="20"/>
          <w:szCs w:val="20"/>
        </w:rPr>
        <w:t xml:space="preserve"> promotes day-neutrality and early yield in tomato. </w:t>
      </w:r>
      <w:r w:rsidRPr="005F3664">
        <w:rPr>
          <w:rFonts w:ascii="Arial" w:hAnsi="Arial" w:cs="Arial"/>
          <w:i/>
          <w:iCs/>
          <w:sz w:val="20"/>
          <w:szCs w:val="20"/>
        </w:rPr>
        <w:t>Nature Genetics, 49</w:t>
      </w:r>
      <w:r w:rsidRPr="005F3664">
        <w:rPr>
          <w:rFonts w:ascii="Arial" w:hAnsi="Arial" w:cs="Arial"/>
          <w:sz w:val="20"/>
          <w:szCs w:val="20"/>
        </w:rPr>
        <w:t>(1), 162</w:t>
      </w:r>
      <w:r w:rsidR="00195BC2">
        <w:rPr>
          <w:rFonts w:ascii="Arial" w:hAnsi="Arial" w:cs="Arial"/>
          <w:sz w:val="20"/>
          <w:szCs w:val="20"/>
        </w:rPr>
        <w:t>-</w:t>
      </w:r>
      <w:r w:rsidRPr="005F3664">
        <w:rPr>
          <w:rFonts w:ascii="Arial" w:hAnsi="Arial" w:cs="Arial"/>
          <w:sz w:val="20"/>
          <w:szCs w:val="20"/>
        </w:rPr>
        <w:t xml:space="preserve">168. </w:t>
      </w:r>
      <w:hyperlink r:id="rId39" w:tgtFrame="_new" w:history="1">
        <w:r w:rsidRPr="005F3664">
          <w:rPr>
            <w:rStyle w:val="Hyperlink"/>
            <w:rFonts w:ascii="Arial" w:hAnsi="Arial" w:cs="Arial"/>
            <w:sz w:val="20"/>
            <w:szCs w:val="20"/>
          </w:rPr>
          <w:t>https://doi.org/10.1038/ng.3733</w:t>
        </w:r>
      </w:hyperlink>
    </w:p>
    <w:p w14:paraId="4BFC3AD3" w14:textId="77777777" w:rsidR="005F3664" w:rsidRPr="005F3664" w:rsidRDefault="005F3664" w:rsidP="005F3664">
      <w:pPr>
        <w:tabs>
          <w:tab w:val="left" w:pos="3737"/>
        </w:tabs>
        <w:spacing w:line="240" w:lineRule="auto"/>
        <w:ind w:left="482" w:hanging="482"/>
        <w:jc w:val="both"/>
        <w:rPr>
          <w:rFonts w:ascii="Arial" w:hAnsi="Arial" w:cs="Arial"/>
          <w:sz w:val="20"/>
          <w:szCs w:val="20"/>
        </w:rPr>
      </w:pPr>
      <w:r w:rsidRPr="005F3664">
        <w:rPr>
          <w:rFonts w:ascii="Arial" w:hAnsi="Arial" w:cs="Arial"/>
          <w:sz w:val="20"/>
          <w:szCs w:val="20"/>
        </w:rPr>
        <w:t xml:space="preserve">Sruthi, T., Wayal, Y. V., Khatana, J. P., Sravya, N., Laxmi, P. S., Muradi, K. B., Teja, V. S., </w:t>
      </w:r>
      <w:proofErr w:type="spellStart"/>
      <w:r w:rsidRPr="005F3664">
        <w:rPr>
          <w:rFonts w:ascii="Arial" w:hAnsi="Arial" w:cs="Arial"/>
          <w:sz w:val="20"/>
          <w:szCs w:val="20"/>
        </w:rPr>
        <w:t>Babarao</w:t>
      </w:r>
      <w:proofErr w:type="spellEnd"/>
      <w:r w:rsidRPr="005F3664">
        <w:rPr>
          <w:rFonts w:ascii="Arial" w:hAnsi="Arial" w:cs="Arial"/>
          <w:sz w:val="20"/>
          <w:szCs w:val="20"/>
        </w:rPr>
        <w:t xml:space="preserve">, D. S., Keshavrao, C. B., &amp; </w:t>
      </w:r>
      <w:proofErr w:type="spellStart"/>
      <w:r w:rsidRPr="005F3664">
        <w:rPr>
          <w:rFonts w:ascii="Arial" w:hAnsi="Arial" w:cs="Arial"/>
          <w:sz w:val="20"/>
          <w:szCs w:val="20"/>
        </w:rPr>
        <w:t>Totawar</w:t>
      </w:r>
      <w:proofErr w:type="spellEnd"/>
      <w:r w:rsidRPr="005F3664">
        <w:rPr>
          <w:rFonts w:ascii="Arial" w:hAnsi="Arial" w:cs="Arial"/>
          <w:sz w:val="20"/>
          <w:szCs w:val="20"/>
        </w:rPr>
        <w:t xml:space="preserve">, H. M. (2026). CRISPR-mediated RNA editing: Mechanisms, agricultural applications, and therapeutic development. </w:t>
      </w:r>
      <w:hyperlink r:id="rId40" w:tgtFrame="_new" w:history="1">
        <w:r w:rsidRPr="005F3664">
          <w:rPr>
            <w:rStyle w:val="Hyperlink"/>
            <w:rFonts w:ascii="Arial" w:hAnsi="Arial" w:cs="Arial"/>
            <w:sz w:val="20"/>
            <w:szCs w:val="20"/>
          </w:rPr>
          <w:t>https://doi.org/10.33545/2664844X.2026.v8.i2a.1161</w:t>
        </w:r>
      </w:hyperlink>
    </w:p>
    <w:p w14:paraId="2669A060" w14:textId="02082078" w:rsidR="005F3664" w:rsidRPr="005F3664" w:rsidRDefault="005F3664" w:rsidP="005F3664">
      <w:pPr>
        <w:tabs>
          <w:tab w:val="left" w:pos="3737"/>
        </w:tabs>
        <w:spacing w:line="240" w:lineRule="auto"/>
        <w:ind w:left="482" w:hanging="482"/>
        <w:jc w:val="both"/>
        <w:rPr>
          <w:rFonts w:ascii="Arial" w:hAnsi="Arial" w:cs="Arial"/>
          <w:sz w:val="20"/>
          <w:szCs w:val="20"/>
        </w:rPr>
      </w:pPr>
      <w:r w:rsidRPr="005F3664">
        <w:rPr>
          <w:rFonts w:ascii="Arial" w:hAnsi="Arial" w:cs="Arial"/>
          <w:sz w:val="20"/>
          <w:szCs w:val="20"/>
        </w:rPr>
        <w:t xml:space="preserve">Takagi, H., Abe, A., Yoshida, K., Kosugi, S., Natsume, S., Mitsuoka, C., Uemura, A., </w:t>
      </w:r>
      <w:proofErr w:type="spellStart"/>
      <w:r w:rsidRPr="005F3664">
        <w:rPr>
          <w:rFonts w:ascii="Arial" w:hAnsi="Arial" w:cs="Arial"/>
          <w:sz w:val="20"/>
          <w:szCs w:val="20"/>
        </w:rPr>
        <w:t>Utsushi</w:t>
      </w:r>
      <w:proofErr w:type="spellEnd"/>
      <w:r w:rsidRPr="005F3664">
        <w:rPr>
          <w:rFonts w:ascii="Arial" w:hAnsi="Arial" w:cs="Arial"/>
          <w:sz w:val="20"/>
          <w:szCs w:val="20"/>
        </w:rPr>
        <w:t>, H., Tamiru, M., Takuno, S., Innan, H., Cano, L. M., Kamoun, S., &amp; Terauchi, R. (2013). QTL-</w:t>
      </w:r>
      <w:proofErr w:type="spellStart"/>
      <w:r w:rsidRPr="005F3664">
        <w:rPr>
          <w:rFonts w:ascii="Arial" w:hAnsi="Arial" w:cs="Arial"/>
          <w:sz w:val="20"/>
          <w:szCs w:val="20"/>
        </w:rPr>
        <w:t>seq</w:t>
      </w:r>
      <w:proofErr w:type="spellEnd"/>
      <w:r w:rsidRPr="005F3664">
        <w:rPr>
          <w:rFonts w:ascii="Arial" w:hAnsi="Arial" w:cs="Arial"/>
          <w:sz w:val="20"/>
          <w:szCs w:val="20"/>
        </w:rPr>
        <w:t xml:space="preserve">: Rapid mapping of quantitative trait loci in rice by whole genome resequencing of DNA from two bulked populations. </w:t>
      </w:r>
      <w:r w:rsidRPr="005F3664">
        <w:rPr>
          <w:rFonts w:ascii="Arial" w:hAnsi="Arial" w:cs="Arial"/>
          <w:i/>
          <w:iCs/>
          <w:sz w:val="20"/>
          <w:szCs w:val="20"/>
        </w:rPr>
        <w:t>The Plant Journal, 74</w:t>
      </w:r>
      <w:r w:rsidRPr="005F3664">
        <w:rPr>
          <w:rFonts w:ascii="Arial" w:hAnsi="Arial" w:cs="Arial"/>
          <w:sz w:val="20"/>
          <w:szCs w:val="20"/>
        </w:rPr>
        <w:t>(1), 174</w:t>
      </w:r>
      <w:r w:rsidR="00195BC2">
        <w:rPr>
          <w:rFonts w:ascii="Arial" w:hAnsi="Arial" w:cs="Arial"/>
          <w:sz w:val="20"/>
          <w:szCs w:val="20"/>
        </w:rPr>
        <w:t>-</w:t>
      </w:r>
      <w:r w:rsidRPr="005F3664">
        <w:rPr>
          <w:rFonts w:ascii="Arial" w:hAnsi="Arial" w:cs="Arial"/>
          <w:sz w:val="20"/>
          <w:szCs w:val="20"/>
        </w:rPr>
        <w:t xml:space="preserve">183. </w:t>
      </w:r>
      <w:hyperlink r:id="rId41" w:tgtFrame="_new" w:history="1">
        <w:r w:rsidRPr="005F3664">
          <w:rPr>
            <w:rStyle w:val="Hyperlink"/>
            <w:rFonts w:ascii="Arial" w:hAnsi="Arial" w:cs="Arial"/>
            <w:sz w:val="20"/>
            <w:szCs w:val="20"/>
          </w:rPr>
          <w:t>https://doi.org/10.1111/tpj.12105</w:t>
        </w:r>
      </w:hyperlink>
    </w:p>
    <w:p w14:paraId="3D3A46B0" w14:textId="794A6D11" w:rsidR="005F3664" w:rsidRPr="005F3664" w:rsidRDefault="005F3664" w:rsidP="005F3664">
      <w:pPr>
        <w:tabs>
          <w:tab w:val="left" w:pos="3737"/>
        </w:tabs>
        <w:spacing w:line="240" w:lineRule="auto"/>
        <w:ind w:left="482" w:hanging="482"/>
        <w:jc w:val="both"/>
        <w:rPr>
          <w:rFonts w:ascii="Arial" w:hAnsi="Arial" w:cs="Arial"/>
          <w:sz w:val="20"/>
          <w:szCs w:val="20"/>
        </w:rPr>
      </w:pPr>
      <w:r w:rsidRPr="005F3664">
        <w:rPr>
          <w:rFonts w:ascii="Arial" w:hAnsi="Arial" w:cs="Arial"/>
          <w:sz w:val="20"/>
          <w:szCs w:val="20"/>
        </w:rPr>
        <w:t xml:space="preserve">Tian, S., Jiang, L., Gao, Q., Zhang, J., Zong, M., Zhang, H., Ren, Y., Guo, S., Gong, G., Liu, F., &amp; Xu, Y. (2017). Efficient CRISPR/Cas9-based gene knockout in watermelon. </w:t>
      </w:r>
      <w:r w:rsidRPr="005F3664">
        <w:rPr>
          <w:rFonts w:ascii="Arial" w:hAnsi="Arial" w:cs="Arial"/>
          <w:i/>
          <w:iCs/>
          <w:sz w:val="20"/>
          <w:szCs w:val="20"/>
        </w:rPr>
        <w:t>Plant Cell Reports, 36</w:t>
      </w:r>
      <w:r w:rsidRPr="005F3664">
        <w:rPr>
          <w:rFonts w:ascii="Arial" w:hAnsi="Arial" w:cs="Arial"/>
          <w:sz w:val="20"/>
          <w:szCs w:val="20"/>
        </w:rPr>
        <w:t>(3), 399</w:t>
      </w:r>
      <w:r w:rsidR="00195BC2">
        <w:rPr>
          <w:rFonts w:ascii="Arial" w:hAnsi="Arial" w:cs="Arial"/>
          <w:sz w:val="20"/>
          <w:szCs w:val="20"/>
        </w:rPr>
        <w:t>-</w:t>
      </w:r>
      <w:r w:rsidRPr="005F3664">
        <w:rPr>
          <w:rFonts w:ascii="Arial" w:hAnsi="Arial" w:cs="Arial"/>
          <w:sz w:val="20"/>
          <w:szCs w:val="20"/>
        </w:rPr>
        <w:t xml:space="preserve">406. </w:t>
      </w:r>
      <w:hyperlink r:id="rId42" w:tgtFrame="_new" w:history="1">
        <w:r w:rsidRPr="005F3664">
          <w:rPr>
            <w:rStyle w:val="Hyperlink"/>
            <w:rFonts w:ascii="Arial" w:hAnsi="Arial" w:cs="Arial"/>
            <w:sz w:val="20"/>
            <w:szCs w:val="20"/>
          </w:rPr>
          <w:t>https://doi.org/10.1007/s00299-016-2089-5</w:t>
        </w:r>
      </w:hyperlink>
    </w:p>
    <w:p w14:paraId="7FB6902C" w14:textId="3DF6010B" w:rsidR="005F3664" w:rsidRPr="005F3664" w:rsidRDefault="005F3664" w:rsidP="005F3664">
      <w:pPr>
        <w:tabs>
          <w:tab w:val="left" w:pos="3737"/>
        </w:tabs>
        <w:spacing w:line="240" w:lineRule="auto"/>
        <w:ind w:left="482" w:hanging="482"/>
        <w:jc w:val="both"/>
        <w:rPr>
          <w:rFonts w:ascii="Arial" w:hAnsi="Arial" w:cs="Arial"/>
          <w:sz w:val="20"/>
          <w:szCs w:val="20"/>
        </w:rPr>
      </w:pPr>
      <w:r w:rsidRPr="005F3664">
        <w:rPr>
          <w:rFonts w:ascii="Arial" w:hAnsi="Arial" w:cs="Arial"/>
          <w:sz w:val="20"/>
          <w:szCs w:val="20"/>
        </w:rPr>
        <w:t xml:space="preserve">Tieman, D., Zhu, G., Resende, M. F., Lin, T., Nguyen, C., Bies, D., Rambla, J. L., Beltran, K. S., Taylor, M., Zhang, B., Ikeda, H., Liu, Z., Fisher, J., Zemach, I., Monforte, A., Zamir, D., Granell, A., Kirst, M., Huang, S., &amp; Klee, H. (2017). A chemical genetic roadmap to improved tomato </w:t>
      </w:r>
      <w:proofErr w:type="spellStart"/>
      <w:r w:rsidRPr="005F3664">
        <w:rPr>
          <w:rFonts w:ascii="Arial" w:hAnsi="Arial" w:cs="Arial"/>
          <w:sz w:val="20"/>
          <w:szCs w:val="20"/>
        </w:rPr>
        <w:t>flavor</w:t>
      </w:r>
      <w:proofErr w:type="spellEnd"/>
      <w:r w:rsidRPr="005F3664">
        <w:rPr>
          <w:rFonts w:ascii="Arial" w:hAnsi="Arial" w:cs="Arial"/>
          <w:sz w:val="20"/>
          <w:szCs w:val="20"/>
        </w:rPr>
        <w:t xml:space="preserve">. </w:t>
      </w:r>
      <w:r w:rsidRPr="005F3664">
        <w:rPr>
          <w:rFonts w:ascii="Arial" w:hAnsi="Arial" w:cs="Arial"/>
          <w:i/>
          <w:iCs/>
          <w:sz w:val="20"/>
          <w:szCs w:val="20"/>
        </w:rPr>
        <w:t>Science, 355</w:t>
      </w:r>
      <w:r w:rsidRPr="005F3664">
        <w:rPr>
          <w:rFonts w:ascii="Arial" w:hAnsi="Arial" w:cs="Arial"/>
          <w:sz w:val="20"/>
          <w:szCs w:val="20"/>
        </w:rPr>
        <w:t>(6323), 391</w:t>
      </w:r>
      <w:r w:rsidR="00195BC2">
        <w:rPr>
          <w:rFonts w:ascii="Arial" w:hAnsi="Arial" w:cs="Arial"/>
          <w:sz w:val="20"/>
          <w:szCs w:val="20"/>
        </w:rPr>
        <w:t>-</w:t>
      </w:r>
      <w:r w:rsidRPr="005F3664">
        <w:rPr>
          <w:rFonts w:ascii="Arial" w:hAnsi="Arial" w:cs="Arial"/>
          <w:sz w:val="20"/>
          <w:szCs w:val="20"/>
        </w:rPr>
        <w:t xml:space="preserve">394. </w:t>
      </w:r>
      <w:hyperlink r:id="rId43" w:tgtFrame="_new" w:history="1">
        <w:r w:rsidRPr="005F3664">
          <w:rPr>
            <w:rStyle w:val="Hyperlink"/>
            <w:rFonts w:ascii="Arial" w:hAnsi="Arial" w:cs="Arial"/>
            <w:sz w:val="20"/>
            <w:szCs w:val="20"/>
          </w:rPr>
          <w:t>https://doi.org/10.1126/science.aal1556</w:t>
        </w:r>
      </w:hyperlink>
    </w:p>
    <w:p w14:paraId="19C5D7B5" w14:textId="1BE0DBE3" w:rsidR="005F3664" w:rsidRPr="005F3664" w:rsidRDefault="005F3664" w:rsidP="005F3664">
      <w:pPr>
        <w:tabs>
          <w:tab w:val="left" w:pos="3737"/>
        </w:tabs>
        <w:spacing w:line="240" w:lineRule="auto"/>
        <w:ind w:left="482" w:hanging="482"/>
        <w:jc w:val="both"/>
        <w:rPr>
          <w:rFonts w:ascii="Arial" w:hAnsi="Arial" w:cs="Arial"/>
          <w:sz w:val="20"/>
          <w:szCs w:val="20"/>
        </w:rPr>
      </w:pPr>
      <w:proofErr w:type="spellStart"/>
      <w:r w:rsidRPr="005F3664">
        <w:rPr>
          <w:rFonts w:ascii="Arial" w:hAnsi="Arial" w:cs="Arial"/>
          <w:sz w:val="20"/>
          <w:szCs w:val="20"/>
        </w:rPr>
        <w:t>Uluisik</w:t>
      </w:r>
      <w:proofErr w:type="spellEnd"/>
      <w:r w:rsidRPr="005F3664">
        <w:rPr>
          <w:rFonts w:ascii="Arial" w:hAnsi="Arial" w:cs="Arial"/>
          <w:sz w:val="20"/>
          <w:szCs w:val="20"/>
        </w:rPr>
        <w:t xml:space="preserve">, S., Chapman, N. H., Smith, R., Poole, M., Adams, G., Gillis, R. B., Tucker, G. A., Seymour, G. B., &amp; Bhatt, S. M. (2016). Genetic improvement of tomato by targeted control of fruit softening. </w:t>
      </w:r>
      <w:r w:rsidRPr="005F3664">
        <w:rPr>
          <w:rFonts w:ascii="Arial" w:hAnsi="Arial" w:cs="Arial"/>
          <w:i/>
          <w:iCs/>
          <w:sz w:val="20"/>
          <w:szCs w:val="20"/>
        </w:rPr>
        <w:t>Nature Biotechnology, 34</w:t>
      </w:r>
      <w:r w:rsidRPr="005F3664">
        <w:rPr>
          <w:rFonts w:ascii="Arial" w:hAnsi="Arial" w:cs="Arial"/>
          <w:sz w:val="20"/>
          <w:szCs w:val="20"/>
        </w:rPr>
        <w:t>(9), 950</w:t>
      </w:r>
      <w:r w:rsidR="00195BC2">
        <w:rPr>
          <w:rFonts w:ascii="Arial" w:hAnsi="Arial" w:cs="Arial"/>
          <w:sz w:val="20"/>
          <w:szCs w:val="20"/>
        </w:rPr>
        <w:t>-</w:t>
      </w:r>
      <w:r w:rsidRPr="005F3664">
        <w:rPr>
          <w:rFonts w:ascii="Arial" w:hAnsi="Arial" w:cs="Arial"/>
          <w:sz w:val="20"/>
          <w:szCs w:val="20"/>
        </w:rPr>
        <w:t xml:space="preserve">952. </w:t>
      </w:r>
      <w:hyperlink r:id="rId44" w:tgtFrame="_new" w:history="1">
        <w:r w:rsidRPr="005F3664">
          <w:rPr>
            <w:rStyle w:val="Hyperlink"/>
            <w:rFonts w:ascii="Arial" w:hAnsi="Arial" w:cs="Arial"/>
            <w:sz w:val="20"/>
            <w:szCs w:val="20"/>
          </w:rPr>
          <w:t>https://doi.org/10.1038/nbt.3611</w:t>
        </w:r>
      </w:hyperlink>
    </w:p>
    <w:p w14:paraId="55F0E7A3" w14:textId="77777777" w:rsidR="005F3664" w:rsidRPr="005F3664" w:rsidRDefault="005F3664" w:rsidP="005F3664">
      <w:pPr>
        <w:tabs>
          <w:tab w:val="left" w:pos="3737"/>
        </w:tabs>
        <w:spacing w:line="240" w:lineRule="auto"/>
        <w:ind w:left="482" w:hanging="482"/>
        <w:jc w:val="both"/>
        <w:rPr>
          <w:rFonts w:ascii="Arial" w:hAnsi="Arial" w:cs="Arial"/>
          <w:sz w:val="20"/>
          <w:szCs w:val="20"/>
        </w:rPr>
      </w:pPr>
      <w:r w:rsidRPr="005F3664">
        <w:rPr>
          <w:rFonts w:ascii="Arial" w:hAnsi="Arial" w:cs="Arial"/>
          <w:sz w:val="20"/>
          <w:szCs w:val="20"/>
        </w:rPr>
        <w:t xml:space="preserve">Varshney, R. K., </w:t>
      </w:r>
      <w:proofErr w:type="spellStart"/>
      <w:r w:rsidRPr="005F3664">
        <w:rPr>
          <w:rFonts w:ascii="Arial" w:hAnsi="Arial" w:cs="Arial"/>
          <w:sz w:val="20"/>
          <w:szCs w:val="20"/>
        </w:rPr>
        <w:t>Roorkiwal</w:t>
      </w:r>
      <w:proofErr w:type="spellEnd"/>
      <w:r w:rsidRPr="005F3664">
        <w:rPr>
          <w:rFonts w:ascii="Arial" w:hAnsi="Arial" w:cs="Arial"/>
          <w:sz w:val="20"/>
          <w:szCs w:val="20"/>
        </w:rPr>
        <w:t xml:space="preserve">, M., &amp; Sorrells, M. E. (Eds.). (2018). </w:t>
      </w:r>
      <w:r w:rsidRPr="005F3664">
        <w:rPr>
          <w:rFonts w:ascii="Arial" w:hAnsi="Arial" w:cs="Arial"/>
          <w:i/>
          <w:iCs/>
          <w:sz w:val="20"/>
          <w:szCs w:val="20"/>
        </w:rPr>
        <w:t>Genomic selection for crop improvement</w:t>
      </w:r>
      <w:r w:rsidRPr="005F3664">
        <w:rPr>
          <w:rFonts w:ascii="Arial" w:hAnsi="Arial" w:cs="Arial"/>
          <w:sz w:val="20"/>
          <w:szCs w:val="20"/>
        </w:rPr>
        <w:t xml:space="preserve">. Springer. </w:t>
      </w:r>
      <w:hyperlink r:id="rId45" w:tgtFrame="_new" w:history="1">
        <w:r w:rsidRPr="005F3664">
          <w:rPr>
            <w:rStyle w:val="Hyperlink"/>
            <w:rFonts w:ascii="Arial" w:hAnsi="Arial" w:cs="Arial"/>
            <w:sz w:val="20"/>
            <w:szCs w:val="20"/>
          </w:rPr>
          <w:t>https://doi.org/10.1007/978-3-319-63170-7</w:t>
        </w:r>
      </w:hyperlink>
    </w:p>
    <w:p w14:paraId="15F32A7D" w14:textId="3593A78B" w:rsidR="005F3664" w:rsidRPr="004C0DDD" w:rsidRDefault="005F3664" w:rsidP="005F3664">
      <w:pPr>
        <w:tabs>
          <w:tab w:val="left" w:pos="3737"/>
        </w:tabs>
        <w:spacing w:line="240" w:lineRule="auto"/>
        <w:ind w:left="482" w:hanging="482"/>
        <w:jc w:val="both"/>
        <w:rPr>
          <w:rFonts w:ascii="Arial" w:hAnsi="Arial" w:cs="Arial"/>
          <w:sz w:val="20"/>
          <w:szCs w:val="20"/>
          <w:lang w:val="sv-SE"/>
        </w:rPr>
      </w:pPr>
      <w:r w:rsidRPr="005F3664">
        <w:rPr>
          <w:rFonts w:ascii="Arial" w:hAnsi="Arial" w:cs="Arial"/>
          <w:sz w:val="20"/>
          <w:szCs w:val="20"/>
        </w:rPr>
        <w:t xml:space="preserve">Watson, A., Ghosh, S., Williams, M. J., Cuddy, W. S., Simmonds, J., Rey, M. D., Hatta, M. A. M., Hinchliffe, A., Steed, A., Reynolds, D., Adamski, N. M., Breakspear, A., Korolev, A., Rayner, T., Dixon, L. E., Riaz, A., Martin, W., Ryan, M., Edwards, D., &amp; Hickey, L. T. (2018). Speed breeding is a powerful tool to accelerate crop research and breeding. </w:t>
      </w:r>
      <w:r w:rsidRPr="004C0DDD">
        <w:rPr>
          <w:rFonts w:ascii="Arial" w:hAnsi="Arial" w:cs="Arial"/>
          <w:i/>
          <w:iCs/>
          <w:sz w:val="20"/>
          <w:szCs w:val="20"/>
          <w:lang w:val="sv-SE"/>
        </w:rPr>
        <w:t>Nature Plants, 4</w:t>
      </w:r>
      <w:r w:rsidRPr="004C0DDD">
        <w:rPr>
          <w:rFonts w:ascii="Arial" w:hAnsi="Arial" w:cs="Arial"/>
          <w:sz w:val="20"/>
          <w:szCs w:val="20"/>
          <w:lang w:val="sv-SE"/>
        </w:rPr>
        <w:t>(1), 23</w:t>
      </w:r>
      <w:r w:rsidR="00195BC2">
        <w:rPr>
          <w:rFonts w:ascii="Arial" w:hAnsi="Arial" w:cs="Arial"/>
          <w:sz w:val="20"/>
          <w:szCs w:val="20"/>
          <w:lang w:val="sv-SE"/>
        </w:rPr>
        <w:t>-</w:t>
      </w:r>
      <w:r w:rsidRPr="004C0DDD">
        <w:rPr>
          <w:rFonts w:ascii="Arial" w:hAnsi="Arial" w:cs="Arial"/>
          <w:sz w:val="20"/>
          <w:szCs w:val="20"/>
          <w:lang w:val="sv-SE"/>
        </w:rPr>
        <w:t xml:space="preserve">29. </w:t>
      </w:r>
      <w:hyperlink r:id="rId46" w:tgtFrame="_new" w:history="1">
        <w:r w:rsidRPr="004C0DDD">
          <w:rPr>
            <w:rStyle w:val="Hyperlink"/>
            <w:rFonts w:ascii="Arial" w:hAnsi="Arial" w:cs="Arial"/>
            <w:sz w:val="20"/>
            <w:szCs w:val="20"/>
            <w:lang w:val="sv-SE"/>
          </w:rPr>
          <w:t>https://doi.org/10.1038/s41477-017-0083-8</w:t>
        </w:r>
      </w:hyperlink>
    </w:p>
    <w:p w14:paraId="2CB1C1D2" w14:textId="77777777" w:rsidR="005F3664" w:rsidRPr="005F3664" w:rsidRDefault="005F3664" w:rsidP="005F3664">
      <w:pPr>
        <w:tabs>
          <w:tab w:val="left" w:pos="3737"/>
        </w:tabs>
        <w:spacing w:line="240" w:lineRule="auto"/>
        <w:ind w:left="482" w:hanging="482"/>
        <w:jc w:val="both"/>
        <w:rPr>
          <w:rFonts w:ascii="Arial" w:hAnsi="Arial" w:cs="Arial"/>
          <w:sz w:val="20"/>
          <w:szCs w:val="20"/>
        </w:rPr>
      </w:pPr>
      <w:r w:rsidRPr="004C0DDD">
        <w:rPr>
          <w:rFonts w:ascii="Arial" w:hAnsi="Arial" w:cs="Arial"/>
          <w:sz w:val="20"/>
          <w:szCs w:val="20"/>
          <w:lang w:val="sv-SE"/>
        </w:rPr>
        <w:t xml:space="preserve">Whitaker, V. M., Knapp, S. J., Hardigan, M. A., Edger, P. P., Slovin, J. P., Bassil, N. V., Hummer, K. E., Dhingra, A., Lee, S., Jung, S., Main, D., Barbey, C. R., Verma, S., &amp; Feldmann, M. J. (2020). </w:t>
      </w:r>
      <w:r w:rsidRPr="005F3664">
        <w:rPr>
          <w:rFonts w:ascii="Arial" w:hAnsi="Arial" w:cs="Arial"/>
          <w:sz w:val="20"/>
          <w:szCs w:val="20"/>
        </w:rPr>
        <w:t xml:space="preserve">A roadmap for research in octoploid strawberry. </w:t>
      </w:r>
      <w:r w:rsidRPr="005F3664">
        <w:rPr>
          <w:rFonts w:ascii="Arial" w:hAnsi="Arial" w:cs="Arial"/>
          <w:i/>
          <w:iCs/>
          <w:sz w:val="20"/>
          <w:szCs w:val="20"/>
        </w:rPr>
        <w:t>Horticulture Research, 7</w:t>
      </w:r>
      <w:r w:rsidRPr="005F3664">
        <w:rPr>
          <w:rFonts w:ascii="Arial" w:hAnsi="Arial" w:cs="Arial"/>
          <w:sz w:val="20"/>
          <w:szCs w:val="20"/>
        </w:rPr>
        <w:t xml:space="preserve">(1), 33. </w:t>
      </w:r>
      <w:hyperlink r:id="rId47" w:tgtFrame="_new" w:history="1">
        <w:r w:rsidRPr="005F3664">
          <w:rPr>
            <w:rStyle w:val="Hyperlink"/>
            <w:rFonts w:ascii="Arial" w:hAnsi="Arial" w:cs="Arial"/>
            <w:sz w:val="20"/>
            <w:szCs w:val="20"/>
          </w:rPr>
          <w:t>https://doi.org/10.1038/s41438-020-0252-2</w:t>
        </w:r>
      </w:hyperlink>
    </w:p>
    <w:p w14:paraId="3A6568E9" w14:textId="38F80A66" w:rsidR="005F3664" w:rsidRPr="005F3664" w:rsidRDefault="005F3664" w:rsidP="005F3664">
      <w:pPr>
        <w:tabs>
          <w:tab w:val="left" w:pos="3737"/>
        </w:tabs>
        <w:spacing w:line="240" w:lineRule="auto"/>
        <w:ind w:left="482" w:hanging="482"/>
        <w:jc w:val="both"/>
        <w:rPr>
          <w:rFonts w:ascii="Arial" w:hAnsi="Arial" w:cs="Arial"/>
          <w:sz w:val="20"/>
          <w:szCs w:val="20"/>
        </w:rPr>
      </w:pPr>
      <w:r w:rsidRPr="005F3664">
        <w:rPr>
          <w:rFonts w:ascii="Arial" w:hAnsi="Arial" w:cs="Arial"/>
          <w:sz w:val="20"/>
          <w:szCs w:val="20"/>
        </w:rPr>
        <w:t xml:space="preserve">Xu, Y., &amp; Crouch, J. H. (2008). Marker-assisted selection in plant breeding: From publications to practice. </w:t>
      </w:r>
      <w:r w:rsidRPr="005F3664">
        <w:rPr>
          <w:rFonts w:ascii="Arial" w:hAnsi="Arial" w:cs="Arial"/>
          <w:i/>
          <w:iCs/>
          <w:sz w:val="20"/>
          <w:szCs w:val="20"/>
        </w:rPr>
        <w:t>Crop Science, 48</w:t>
      </w:r>
      <w:r w:rsidRPr="005F3664">
        <w:rPr>
          <w:rFonts w:ascii="Arial" w:hAnsi="Arial" w:cs="Arial"/>
          <w:sz w:val="20"/>
          <w:szCs w:val="20"/>
        </w:rPr>
        <w:t>(2), 391</w:t>
      </w:r>
      <w:r w:rsidR="00195BC2">
        <w:rPr>
          <w:rFonts w:ascii="Arial" w:hAnsi="Arial" w:cs="Arial"/>
          <w:sz w:val="20"/>
          <w:szCs w:val="20"/>
        </w:rPr>
        <w:t>-</w:t>
      </w:r>
      <w:r w:rsidRPr="005F3664">
        <w:rPr>
          <w:rFonts w:ascii="Arial" w:hAnsi="Arial" w:cs="Arial"/>
          <w:sz w:val="20"/>
          <w:szCs w:val="20"/>
        </w:rPr>
        <w:t xml:space="preserve">407. </w:t>
      </w:r>
      <w:hyperlink r:id="rId48" w:tgtFrame="_new" w:history="1">
        <w:r w:rsidRPr="005F3664">
          <w:rPr>
            <w:rStyle w:val="Hyperlink"/>
            <w:rFonts w:ascii="Arial" w:hAnsi="Arial" w:cs="Arial"/>
            <w:sz w:val="20"/>
            <w:szCs w:val="20"/>
          </w:rPr>
          <w:t>https://doi.org/10.2135/cropsci2007.04.0191</w:t>
        </w:r>
      </w:hyperlink>
    </w:p>
    <w:p w14:paraId="5F768164" w14:textId="704505FE" w:rsidR="005F3664" w:rsidRPr="005F3664" w:rsidRDefault="005F3664" w:rsidP="005F3664">
      <w:pPr>
        <w:tabs>
          <w:tab w:val="left" w:pos="3737"/>
        </w:tabs>
        <w:spacing w:line="240" w:lineRule="auto"/>
        <w:ind w:left="482" w:hanging="482"/>
        <w:jc w:val="both"/>
        <w:rPr>
          <w:rFonts w:ascii="Arial" w:hAnsi="Arial" w:cs="Arial"/>
          <w:sz w:val="20"/>
          <w:szCs w:val="20"/>
        </w:rPr>
      </w:pPr>
      <w:proofErr w:type="spellStart"/>
      <w:r w:rsidRPr="005F3664">
        <w:rPr>
          <w:rFonts w:ascii="Arial" w:hAnsi="Arial" w:cs="Arial"/>
          <w:sz w:val="20"/>
          <w:szCs w:val="20"/>
        </w:rPr>
        <w:t>Zsögön</w:t>
      </w:r>
      <w:proofErr w:type="spellEnd"/>
      <w:r w:rsidRPr="005F3664">
        <w:rPr>
          <w:rFonts w:ascii="Arial" w:hAnsi="Arial" w:cs="Arial"/>
          <w:sz w:val="20"/>
          <w:szCs w:val="20"/>
        </w:rPr>
        <w:t xml:space="preserve">, A., Čermák, T., Naves, E. R., </w:t>
      </w:r>
      <w:proofErr w:type="spellStart"/>
      <w:r w:rsidRPr="005F3664">
        <w:rPr>
          <w:rFonts w:ascii="Arial" w:hAnsi="Arial" w:cs="Arial"/>
          <w:sz w:val="20"/>
          <w:szCs w:val="20"/>
        </w:rPr>
        <w:t>Notini</w:t>
      </w:r>
      <w:proofErr w:type="spellEnd"/>
      <w:r w:rsidRPr="005F3664">
        <w:rPr>
          <w:rFonts w:ascii="Arial" w:hAnsi="Arial" w:cs="Arial"/>
          <w:sz w:val="20"/>
          <w:szCs w:val="20"/>
        </w:rPr>
        <w:t xml:space="preserve">, M. M., Edel, K. H., </w:t>
      </w:r>
      <w:proofErr w:type="spellStart"/>
      <w:r w:rsidRPr="005F3664">
        <w:rPr>
          <w:rFonts w:ascii="Arial" w:hAnsi="Arial" w:cs="Arial"/>
          <w:sz w:val="20"/>
          <w:szCs w:val="20"/>
        </w:rPr>
        <w:t>Weinl</w:t>
      </w:r>
      <w:proofErr w:type="spellEnd"/>
      <w:r w:rsidRPr="005F3664">
        <w:rPr>
          <w:rFonts w:ascii="Arial" w:hAnsi="Arial" w:cs="Arial"/>
          <w:sz w:val="20"/>
          <w:szCs w:val="20"/>
        </w:rPr>
        <w:t xml:space="preserve">, S., Freschi, L., </w:t>
      </w:r>
      <w:proofErr w:type="spellStart"/>
      <w:r w:rsidRPr="005F3664">
        <w:rPr>
          <w:rFonts w:ascii="Arial" w:hAnsi="Arial" w:cs="Arial"/>
          <w:sz w:val="20"/>
          <w:szCs w:val="20"/>
        </w:rPr>
        <w:t>Voytas</w:t>
      </w:r>
      <w:proofErr w:type="spellEnd"/>
      <w:r w:rsidRPr="005F3664">
        <w:rPr>
          <w:rFonts w:ascii="Arial" w:hAnsi="Arial" w:cs="Arial"/>
          <w:sz w:val="20"/>
          <w:szCs w:val="20"/>
        </w:rPr>
        <w:t xml:space="preserve">, D. F., Kudla, J., &amp; Peres, L. E. P. (2018). De novo domestication of wild tomato using genome editing. </w:t>
      </w:r>
      <w:r w:rsidRPr="005F3664">
        <w:rPr>
          <w:rFonts w:ascii="Arial" w:hAnsi="Arial" w:cs="Arial"/>
          <w:i/>
          <w:iCs/>
          <w:sz w:val="20"/>
          <w:szCs w:val="20"/>
        </w:rPr>
        <w:t>Nature Biotechnology, 36</w:t>
      </w:r>
      <w:r w:rsidRPr="005F3664">
        <w:rPr>
          <w:rFonts w:ascii="Arial" w:hAnsi="Arial" w:cs="Arial"/>
          <w:sz w:val="20"/>
          <w:szCs w:val="20"/>
        </w:rPr>
        <w:t>(12), 1211</w:t>
      </w:r>
      <w:r w:rsidR="00195BC2">
        <w:rPr>
          <w:rFonts w:ascii="Arial" w:hAnsi="Arial" w:cs="Arial"/>
          <w:sz w:val="20"/>
          <w:szCs w:val="20"/>
        </w:rPr>
        <w:t>-</w:t>
      </w:r>
      <w:r w:rsidRPr="005F3664">
        <w:rPr>
          <w:rFonts w:ascii="Arial" w:hAnsi="Arial" w:cs="Arial"/>
          <w:sz w:val="20"/>
          <w:szCs w:val="20"/>
        </w:rPr>
        <w:t xml:space="preserve">1216. </w:t>
      </w:r>
      <w:hyperlink r:id="rId49" w:tgtFrame="_new" w:history="1">
        <w:r w:rsidRPr="005F3664">
          <w:rPr>
            <w:rStyle w:val="Hyperlink"/>
            <w:rFonts w:ascii="Arial" w:hAnsi="Arial" w:cs="Arial"/>
            <w:sz w:val="20"/>
            <w:szCs w:val="20"/>
          </w:rPr>
          <w:t>https://doi.org/10.1038/nbt.4272</w:t>
        </w:r>
      </w:hyperlink>
    </w:p>
    <w:p w14:paraId="41B2821F" w14:textId="77777777" w:rsidR="00B529D9" w:rsidRPr="005F3664" w:rsidRDefault="00B529D9" w:rsidP="00E53B33">
      <w:pPr>
        <w:tabs>
          <w:tab w:val="left" w:pos="3737"/>
        </w:tabs>
        <w:spacing w:line="240" w:lineRule="auto"/>
        <w:ind w:left="482" w:hanging="482"/>
        <w:jc w:val="both"/>
        <w:rPr>
          <w:rFonts w:ascii="Arial" w:hAnsi="Arial" w:cs="Arial"/>
          <w:vanish/>
        </w:rPr>
      </w:pPr>
      <w:r w:rsidRPr="005F3664">
        <w:rPr>
          <w:rFonts w:ascii="Arial" w:hAnsi="Arial" w:cs="Arial"/>
          <w:vanish/>
        </w:rPr>
        <w:t>Bottom of Form</w:t>
      </w:r>
    </w:p>
    <w:p w14:paraId="262E0E0F" w14:textId="77777777" w:rsidR="00A12FC2" w:rsidRPr="005F3664" w:rsidRDefault="00A12FC2" w:rsidP="00E53B33">
      <w:pPr>
        <w:tabs>
          <w:tab w:val="left" w:pos="3737"/>
        </w:tabs>
        <w:spacing w:line="240" w:lineRule="auto"/>
        <w:ind w:left="482" w:hanging="482"/>
        <w:jc w:val="both"/>
        <w:rPr>
          <w:rFonts w:ascii="Arial" w:hAnsi="Arial" w:cs="Arial"/>
        </w:rPr>
      </w:pPr>
    </w:p>
    <w:sectPr w:rsidR="00A12FC2" w:rsidRPr="005F3664">
      <w:headerReference w:type="even" r:id="rId50"/>
      <w:headerReference w:type="default" r:id="rId51"/>
      <w:footerReference w:type="even" r:id="rId52"/>
      <w:footerReference w:type="default" r:id="rId53"/>
      <w:headerReference w:type="first" r:id="rId54"/>
      <w:footerReference w:type="first" r:id="rId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1B1E66" w14:textId="77777777" w:rsidR="00FB7E67" w:rsidRDefault="00FB7E67" w:rsidP="00392B28">
      <w:pPr>
        <w:spacing w:after="0" w:line="240" w:lineRule="auto"/>
      </w:pPr>
      <w:r>
        <w:separator/>
      </w:r>
    </w:p>
  </w:endnote>
  <w:endnote w:type="continuationSeparator" w:id="0">
    <w:p w14:paraId="26317BDD" w14:textId="77777777" w:rsidR="00FB7E67" w:rsidRDefault="00FB7E67" w:rsidP="00392B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B05FA" w14:textId="77777777" w:rsidR="00392B28" w:rsidRDefault="00392B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BF38B7" w14:textId="77777777" w:rsidR="00392B28" w:rsidRDefault="00392B2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2B3627" w14:textId="77777777" w:rsidR="00392B28" w:rsidRDefault="00392B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F6D77F" w14:textId="77777777" w:rsidR="00FB7E67" w:rsidRDefault="00FB7E67" w:rsidP="00392B28">
      <w:pPr>
        <w:spacing w:after="0" w:line="240" w:lineRule="auto"/>
      </w:pPr>
      <w:r>
        <w:separator/>
      </w:r>
    </w:p>
  </w:footnote>
  <w:footnote w:type="continuationSeparator" w:id="0">
    <w:p w14:paraId="23811080" w14:textId="77777777" w:rsidR="00FB7E67" w:rsidRDefault="00FB7E67" w:rsidP="00392B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F5E72E" w14:textId="3A4D9C63" w:rsidR="00392B28" w:rsidRDefault="00392B28">
    <w:pPr>
      <w:pStyle w:val="Header"/>
    </w:pPr>
    <w:r>
      <w:rPr>
        <w:noProof/>
      </w:rPr>
      <w:pict w14:anchorId="3A7875D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4738470" o:spid="_x0000_s2050" type="#_x0000_t136" style="position:absolute;margin-left:0;margin-top:0;width:535.3pt;height:100.95pt;rotation:315;z-index:-251655168;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61A06E" w14:textId="6EAB7925" w:rsidR="00392B28" w:rsidRDefault="00392B28">
    <w:pPr>
      <w:pStyle w:val="Header"/>
    </w:pPr>
    <w:r>
      <w:rPr>
        <w:noProof/>
      </w:rPr>
      <w:pict w14:anchorId="3F5D059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4738471" o:spid="_x0000_s2051" type="#_x0000_t136" style="position:absolute;margin-left:0;margin-top:0;width:535.3pt;height:100.95pt;rotation:315;z-index:-251653120;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60040C" w14:textId="50603511" w:rsidR="00392B28" w:rsidRDefault="00392B28">
    <w:pPr>
      <w:pStyle w:val="Header"/>
    </w:pPr>
    <w:r>
      <w:rPr>
        <w:noProof/>
      </w:rPr>
      <w:pict w14:anchorId="1BF2E5A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4738469" o:spid="_x0000_s2049" type="#_x0000_t136" style="position:absolute;margin-left:0;margin-top:0;width:535.3pt;height:100.95pt;rotation:315;z-index:-251657216;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039C6"/>
    <w:multiLevelType w:val="hybridMultilevel"/>
    <w:tmpl w:val="7112291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4A7A6A24"/>
    <w:multiLevelType w:val="multilevel"/>
    <w:tmpl w:val="4632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3CF4CB0"/>
    <w:multiLevelType w:val="multilevel"/>
    <w:tmpl w:val="77568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051"/>
    <w:rsid w:val="001213FE"/>
    <w:rsid w:val="00195BC2"/>
    <w:rsid w:val="00230FDE"/>
    <w:rsid w:val="00292E1A"/>
    <w:rsid w:val="00345E27"/>
    <w:rsid w:val="00351C6D"/>
    <w:rsid w:val="003876C2"/>
    <w:rsid w:val="00392B28"/>
    <w:rsid w:val="003C59B7"/>
    <w:rsid w:val="004C0DDD"/>
    <w:rsid w:val="004C1AB0"/>
    <w:rsid w:val="0051097E"/>
    <w:rsid w:val="00514D20"/>
    <w:rsid w:val="00537D60"/>
    <w:rsid w:val="00545E80"/>
    <w:rsid w:val="005856F9"/>
    <w:rsid w:val="005932AA"/>
    <w:rsid w:val="005B3010"/>
    <w:rsid w:val="005F3664"/>
    <w:rsid w:val="00612FF4"/>
    <w:rsid w:val="006769A4"/>
    <w:rsid w:val="006A341C"/>
    <w:rsid w:val="00831536"/>
    <w:rsid w:val="009768BC"/>
    <w:rsid w:val="00980AE4"/>
    <w:rsid w:val="00991B3B"/>
    <w:rsid w:val="009B6472"/>
    <w:rsid w:val="009C34BF"/>
    <w:rsid w:val="009C7D0F"/>
    <w:rsid w:val="009E67CB"/>
    <w:rsid w:val="00A12FC2"/>
    <w:rsid w:val="00A255F6"/>
    <w:rsid w:val="00B25D7F"/>
    <w:rsid w:val="00B529D9"/>
    <w:rsid w:val="00B64137"/>
    <w:rsid w:val="00B9058F"/>
    <w:rsid w:val="00B92BEE"/>
    <w:rsid w:val="00BA458F"/>
    <w:rsid w:val="00BD32E2"/>
    <w:rsid w:val="00C11235"/>
    <w:rsid w:val="00C14FAC"/>
    <w:rsid w:val="00C233D8"/>
    <w:rsid w:val="00C815FE"/>
    <w:rsid w:val="00CE4171"/>
    <w:rsid w:val="00CF2F22"/>
    <w:rsid w:val="00DC19BE"/>
    <w:rsid w:val="00DF5667"/>
    <w:rsid w:val="00E1451C"/>
    <w:rsid w:val="00E53B33"/>
    <w:rsid w:val="00ED70A4"/>
    <w:rsid w:val="00EE50DD"/>
    <w:rsid w:val="00F15708"/>
    <w:rsid w:val="00F15F56"/>
    <w:rsid w:val="00F66459"/>
    <w:rsid w:val="00F81250"/>
    <w:rsid w:val="00F82BCB"/>
    <w:rsid w:val="00F90021"/>
    <w:rsid w:val="00FA5051"/>
    <w:rsid w:val="00FB7E67"/>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8F849A7"/>
  <w15:chartTrackingRefBased/>
  <w15:docId w15:val="{6E9845D2-B7FF-4646-932D-02372AE20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5051"/>
    <w:pPr>
      <w:ind w:left="720"/>
      <w:contextualSpacing/>
    </w:pPr>
  </w:style>
  <w:style w:type="table" w:styleId="TableGridLight">
    <w:name w:val="Grid Table Light"/>
    <w:basedOn w:val="TableNormal"/>
    <w:uiPriority w:val="40"/>
    <w:rsid w:val="003876C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39"/>
    <w:rsid w:val="003876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B6472"/>
    <w:rPr>
      <w:color w:val="0563C1" w:themeColor="hyperlink"/>
      <w:u w:val="single"/>
    </w:rPr>
  </w:style>
  <w:style w:type="character" w:styleId="UnresolvedMention">
    <w:name w:val="Unresolved Mention"/>
    <w:basedOn w:val="DefaultParagraphFont"/>
    <w:uiPriority w:val="99"/>
    <w:semiHidden/>
    <w:unhideWhenUsed/>
    <w:rsid w:val="009B6472"/>
    <w:rPr>
      <w:color w:val="605E5C"/>
      <w:shd w:val="clear" w:color="auto" w:fill="E1DFDD"/>
    </w:rPr>
  </w:style>
  <w:style w:type="paragraph" w:styleId="Header">
    <w:name w:val="header"/>
    <w:basedOn w:val="Normal"/>
    <w:link w:val="HeaderChar"/>
    <w:uiPriority w:val="99"/>
    <w:unhideWhenUsed/>
    <w:rsid w:val="00392B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2B28"/>
  </w:style>
  <w:style w:type="paragraph" w:styleId="Footer">
    <w:name w:val="footer"/>
    <w:basedOn w:val="Normal"/>
    <w:link w:val="FooterChar"/>
    <w:uiPriority w:val="99"/>
    <w:unhideWhenUsed/>
    <w:rsid w:val="00392B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2B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54210">
      <w:bodyDiv w:val="1"/>
      <w:marLeft w:val="0"/>
      <w:marRight w:val="0"/>
      <w:marTop w:val="0"/>
      <w:marBottom w:val="0"/>
      <w:divBdr>
        <w:top w:val="none" w:sz="0" w:space="0" w:color="auto"/>
        <w:left w:val="none" w:sz="0" w:space="0" w:color="auto"/>
        <w:bottom w:val="none" w:sz="0" w:space="0" w:color="auto"/>
        <w:right w:val="none" w:sz="0" w:space="0" w:color="auto"/>
      </w:divBdr>
    </w:div>
    <w:div w:id="40638794">
      <w:bodyDiv w:val="1"/>
      <w:marLeft w:val="0"/>
      <w:marRight w:val="0"/>
      <w:marTop w:val="0"/>
      <w:marBottom w:val="0"/>
      <w:divBdr>
        <w:top w:val="none" w:sz="0" w:space="0" w:color="auto"/>
        <w:left w:val="none" w:sz="0" w:space="0" w:color="auto"/>
        <w:bottom w:val="none" w:sz="0" w:space="0" w:color="auto"/>
        <w:right w:val="none" w:sz="0" w:space="0" w:color="auto"/>
      </w:divBdr>
    </w:div>
    <w:div w:id="47611331">
      <w:bodyDiv w:val="1"/>
      <w:marLeft w:val="0"/>
      <w:marRight w:val="0"/>
      <w:marTop w:val="0"/>
      <w:marBottom w:val="0"/>
      <w:divBdr>
        <w:top w:val="none" w:sz="0" w:space="0" w:color="auto"/>
        <w:left w:val="none" w:sz="0" w:space="0" w:color="auto"/>
        <w:bottom w:val="none" w:sz="0" w:space="0" w:color="auto"/>
        <w:right w:val="none" w:sz="0" w:space="0" w:color="auto"/>
      </w:divBdr>
    </w:div>
    <w:div w:id="84302740">
      <w:bodyDiv w:val="1"/>
      <w:marLeft w:val="0"/>
      <w:marRight w:val="0"/>
      <w:marTop w:val="0"/>
      <w:marBottom w:val="0"/>
      <w:divBdr>
        <w:top w:val="none" w:sz="0" w:space="0" w:color="auto"/>
        <w:left w:val="none" w:sz="0" w:space="0" w:color="auto"/>
        <w:bottom w:val="none" w:sz="0" w:space="0" w:color="auto"/>
        <w:right w:val="none" w:sz="0" w:space="0" w:color="auto"/>
      </w:divBdr>
    </w:div>
    <w:div w:id="177086772">
      <w:bodyDiv w:val="1"/>
      <w:marLeft w:val="0"/>
      <w:marRight w:val="0"/>
      <w:marTop w:val="0"/>
      <w:marBottom w:val="0"/>
      <w:divBdr>
        <w:top w:val="none" w:sz="0" w:space="0" w:color="auto"/>
        <w:left w:val="none" w:sz="0" w:space="0" w:color="auto"/>
        <w:bottom w:val="none" w:sz="0" w:space="0" w:color="auto"/>
        <w:right w:val="none" w:sz="0" w:space="0" w:color="auto"/>
      </w:divBdr>
    </w:div>
    <w:div w:id="184709598">
      <w:bodyDiv w:val="1"/>
      <w:marLeft w:val="0"/>
      <w:marRight w:val="0"/>
      <w:marTop w:val="0"/>
      <w:marBottom w:val="0"/>
      <w:divBdr>
        <w:top w:val="none" w:sz="0" w:space="0" w:color="auto"/>
        <w:left w:val="none" w:sz="0" w:space="0" w:color="auto"/>
        <w:bottom w:val="none" w:sz="0" w:space="0" w:color="auto"/>
        <w:right w:val="none" w:sz="0" w:space="0" w:color="auto"/>
      </w:divBdr>
    </w:div>
    <w:div w:id="431899470">
      <w:bodyDiv w:val="1"/>
      <w:marLeft w:val="0"/>
      <w:marRight w:val="0"/>
      <w:marTop w:val="0"/>
      <w:marBottom w:val="0"/>
      <w:divBdr>
        <w:top w:val="none" w:sz="0" w:space="0" w:color="auto"/>
        <w:left w:val="none" w:sz="0" w:space="0" w:color="auto"/>
        <w:bottom w:val="none" w:sz="0" w:space="0" w:color="auto"/>
        <w:right w:val="none" w:sz="0" w:space="0" w:color="auto"/>
      </w:divBdr>
    </w:div>
    <w:div w:id="442769528">
      <w:bodyDiv w:val="1"/>
      <w:marLeft w:val="0"/>
      <w:marRight w:val="0"/>
      <w:marTop w:val="0"/>
      <w:marBottom w:val="0"/>
      <w:divBdr>
        <w:top w:val="none" w:sz="0" w:space="0" w:color="auto"/>
        <w:left w:val="none" w:sz="0" w:space="0" w:color="auto"/>
        <w:bottom w:val="none" w:sz="0" w:space="0" w:color="auto"/>
        <w:right w:val="none" w:sz="0" w:space="0" w:color="auto"/>
      </w:divBdr>
    </w:div>
    <w:div w:id="527567907">
      <w:bodyDiv w:val="1"/>
      <w:marLeft w:val="0"/>
      <w:marRight w:val="0"/>
      <w:marTop w:val="0"/>
      <w:marBottom w:val="0"/>
      <w:divBdr>
        <w:top w:val="none" w:sz="0" w:space="0" w:color="auto"/>
        <w:left w:val="none" w:sz="0" w:space="0" w:color="auto"/>
        <w:bottom w:val="none" w:sz="0" w:space="0" w:color="auto"/>
        <w:right w:val="none" w:sz="0" w:space="0" w:color="auto"/>
      </w:divBdr>
      <w:divsChild>
        <w:div w:id="1467091632">
          <w:marLeft w:val="0"/>
          <w:marRight w:val="0"/>
          <w:marTop w:val="0"/>
          <w:marBottom w:val="0"/>
          <w:divBdr>
            <w:top w:val="none" w:sz="0" w:space="0" w:color="auto"/>
            <w:left w:val="none" w:sz="0" w:space="0" w:color="auto"/>
            <w:bottom w:val="none" w:sz="0" w:space="0" w:color="auto"/>
            <w:right w:val="none" w:sz="0" w:space="0" w:color="auto"/>
          </w:divBdr>
          <w:divsChild>
            <w:div w:id="1556356430">
              <w:marLeft w:val="0"/>
              <w:marRight w:val="0"/>
              <w:marTop w:val="0"/>
              <w:marBottom w:val="0"/>
              <w:divBdr>
                <w:top w:val="none" w:sz="0" w:space="0" w:color="auto"/>
                <w:left w:val="none" w:sz="0" w:space="0" w:color="auto"/>
                <w:bottom w:val="none" w:sz="0" w:space="0" w:color="auto"/>
                <w:right w:val="none" w:sz="0" w:space="0" w:color="auto"/>
              </w:divBdr>
              <w:divsChild>
                <w:div w:id="1715084162">
                  <w:marLeft w:val="0"/>
                  <w:marRight w:val="0"/>
                  <w:marTop w:val="0"/>
                  <w:marBottom w:val="0"/>
                  <w:divBdr>
                    <w:top w:val="none" w:sz="0" w:space="0" w:color="auto"/>
                    <w:left w:val="none" w:sz="0" w:space="0" w:color="auto"/>
                    <w:bottom w:val="none" w:sz="0" w:space="0" w:color="auto"/>
                    <w:right w:val="none" w:sz="0" w:space="0" w:color="auto"/>
                  </w:divBdr>
                  <w:divsChild>
                    <w:div w:id="522282114">
                      <w:marLeft w:val="0"/>
                      <w:marRight w:val="0"/>
                      <w:marTop w:val="0"/>
                      <w:marBottom w:val="0"/>
                      <w:divBdr>
                        <w:top w:val="none" w:sz="0" w:space="0" w:color="auto"/>
                        <w:left w:val="none" w:sz="0" w:space="0" w:color="auto"/>
                        <w:bottom w:val="none" w:sz="0" w:space="0" w:color="auto"/>
                        <w:right w:val="none" w:sz="0" w:space="0" w:color="auto"/>
                      </w:divBdr>
                      <w:divsChild>
                        <w:div w:id="660231255">
                          <w:marLeft w:val="0"/>
                          <w:marRight w:val="0"/>
                          <w:marTop w:val="0"/>
                          <w:marBottom w:val="0"/>
                          <w:divBdr>
                            <w:top w:val="none" w:sz="0" w:space="0" w:color="auto"/>
                            <w:left w:val="none" w:sz="0" w:space="0" w:color="auto"/>
                            <w:bottom w:val="none" w:sz="0" w:space="0" w:color="auto"/>
                            <w:right w:val="none" w:sz="0" w:space="0" w:color="auto"/>
                          </w:divBdr>
                          <w:divsChild>
                            <w:div w:id="1387342215">
                              <w:marLeft w:val="0"/>
                              <w:marRight w:val="0"/>
                              <w:marTop w:val="0"/>
                              <w:marBottom w:val="0"/>
                              <w:divBdr>
                                <w:top w:val="none" w:sz="0" w:space="0" w:color="auto"/>
                                <w:left w:val="none" w:sz="0" w:space="0" w:color="auto"/>
                                <w:bottom w:val="none" w:sz="0" w:space="0" w:color="auto"/>
                                <w:right w:val="none" w:sz="0" w:space="0" w:color="auto"/>
                              </w:divBdr>
                              <w:divsChild>
                                <w:div w:id="1436746891">
                                  <w:marLeft w:val="0"/>
                                  <w:marRight w:val="0"/>
                                  <w:marTop w:val="0"/>
                                  <w:marBottom w:val="0"/>
                                  <w:divBdr>
                                    <w:top w:val="none" w:sz="0" w:space="0" w:color="auto"/>
                                    <w:left w:val="none" w:sz="0" w:space="0" w:color="auto"/>
                                    <w:bottom w:val="none" w:sz="0" w:space="0" w:color="auto"/>
                                    <w:right w:val="none" w:sz="0" w:space="0" w:color="auto"/>
                                  </w:divBdr>
                                  <w:divsChild>
                                    <w:div w:id="833374760">
                                      <w:marLeft w:val="0"/>
                                      <w:marRight w:val="0"/>
                                      <w:marTop w:val="0"/>
                                      <w:marBottom w:val="0"/>
                                      <w:divBdr>
                                        <w:top w:val="none" w:sz="0" w:space="0" w:color="auto"/>
                                        <w:left w:val="none" w:sz="0" w:space="0" w:color="auto"/>
                                        <w:bottom w:val="none" w:sz="0" w:space="0" w:color="auto"/>
                                        <w:right w:val="none" w:sz="0" w:space="0" w:color="auto"/>
                                      </w:divBdr>
                                      <w:divsChild>
                                        <w:div w:id="1535196699">
                                          <w:marLeft w:val="0"/>
                                          <w:marRight w:val="0"/>
                                          <w:marTop w:val="0"/>
                                          <w:marBottom w:val="0"/>
                                          <w:divBdr>
                                            <w:top w:val="none" w:sz="0" w:space="0" w:color="auto"/>
                                            <w:left w:val="none" w:sz="0" w:space="0" w:color="auto"/>
                                            <w:bottom w:val="none" w:sz="0" w:space="0" w:color="auto"/>
                                            <w:right w:val="none" w:sz="0" w:space="0" w:color="auto"/>
                                          </w:divBdr>
                                          <w:divsChild>
                                            <w:div w:id="542596615">
                                              <w:marLeft w:val="0"/>
                                              <w:marRight w:val="0"/>
                                              <w:marTop w:val="0"/>
                                              <w:marBottom w:val="0"/>
                                              <w:divBdr>
                                                <w:top w:val="none" w:sz="0" w:space="0" w:color="auto"/>
                                                <w:left w:val="none" w:sz="0" w:space="0" w:color="auto"/>
                                                <w:bottom w:val="none" w:sz="0" w:space="0" w:color="auto"/>
                                                <w:right w:val="none" w:sz="0" w:space="0" w:color="auto"/>
                                              </w:divBdr>
                                              <w:divsChild>
                                                <w:div w:id="955327231">
                                                  <w:marLeft w:val="0"/>
                                                  <w:marRight w:val="0"/>
                                                  <w:marTop w:val="0"/>
                                                  <w:marBottom w:val="0"/>
                                                  <w:divBdr>
                                                    <w:top w:val="none" w:sz="0" w:space="0" w:color="auto"/>
                                                    <w:left w:val="none" w:sz="0" w:space="0" w:color="auto"/>
                                                    <w:bottom w:val="none" w:sz="0" w:space="0" w:color="auto"/>
                                                    <w:right w:val="none" w:sz="0" w:space="0" w:color="auto"/>
                                                  </w:divBdr>
                                                  <w:divsChild>
                                                    <w:div w:id="585305944">
                                                      <w:marLeft w:val="0"/>
                                                      <w:marRight w:val="0"/>
                                                      <w:marTop w:val="0"/>
                                                      <w:marBottom w:val="0"/>
                                                      <w:divBdr>
                                                        <w:top w:val="none" w:sz="0" w:space="0" w:color="auto"/>
                                                        <w:left w:val="none" w:sz="0" w:space="0" w:color="auto"/>
                                                        <w:bottom w:val="none" w:sz="0" w:space="0" w:color="auto"/>
                                                        <w:right w:val="none" w:sz="0" w:space="0" w:color="auto"/>
                                                      </w:divBdr>
                                                      <w:divsChild>
                                                        <w:div w:id="537427190">
                                                          <w:marLeft w:val="0"/>
                                                          <w:marRight w:val="0"/>
                                                          <w:marTop w:val="0"/>
                                                          <w:marBottom w:val="0"/>
                                                          <w:divBdr>
                                                            <w:top w:val="none" w:sz="0" w:space="0" w:color="auto"/>
                                                            <w:left w:val="none" w:sz="0" w:space="0" w:color="auto"/>
                                                            <w:bottom w:val="none" w:sz="0" w:space="0" w:color="auto"/>
                                                            <w:right w:val="none" w:sz="0" w:space="0" w:color="auto"/>
                                                          </w:divBdr>
                                                          <w:divsChild>
                                                            <w:div w:id="1942640390">
                                                              <w:marLeft w:val="0"/>
                                                              <w:marRight w:val="0"/>
                                                              <w:marTop w:val="0"/>
                                                              <w:marBottom w:val="0"/>
                                                              <w:divBdr>
                                                                <w:top w:val="none" w:sz="0" w:space="0" w:color="auto"/>
                                                                <w:left w:val="none" w:sz="0" w:space="0" w:color="auto"/>
                                                                <w:bottom w:val="none" w:sz="0" w:space="0" w:color="auto"/>
                                                                <w:right w:val="none" w:sz="0" w:space="0" w:color="auto"/>
                                                              </w:divBdr>
                                                              <w:divsChild>
                                                                <w:div w:id="371030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4001944">
                                      <w:marLeft w:val="0"/>
                                      <w:marRight w:val="0"/>
                                      <w:marTop w:val="0"/>
                                      <w:marBottom w:val="0"/>
                                      <w:divBdr>
                                        <w:top w:val="none" w:sz="0" w:space="0" w:color="auto"/>
                                        <w:left w:val="none" w:sz="0" w:space="0" w:color="auto"/>
                                        <w:bottom w:val="none" w:sz="0" w:space="0" w:color="auto"/>
                                        <w:right w:val="none" w:sz="0" w:space="0" w:color="auto"/>
                                      </w:divBdr>
                                      <w:divsChild>
                                        <w:div w:id="69738239">
                                          <w:marLeft w:val="0"/>
                                          <w:marRight w:val="0"/>
                                          <w:marTop w:val="0"/>
                                          <w:marBottom w:val="0"/>
                                          <w:divBdr>
                                            <w:top w:val="none" w:sz="0" w:space="0" w:color="auto"/>
                                            <w:left w:val="none" w:sz="0" w:space="0" w:color="auto"/>
                                            <w:bottom w:val="none" w:sz="0" w:space="0" w:color="auto"/>
                                            <w:right w:val="none" w:sz="0" w:space="0" w:color="auto"/>
                                          </w:divBdr>
                                          <w:divsChild>
                                            <w:div w:id="710423305">
                                              <w:marLeft w:val="0"/>
                                              <w:marRight w:val="0"/>
                                              <w:marTop w:val="0"/>
                                              <w:marBottom w:val="0"/>
                                              <w:divBdr>
                                                <w:top w:val="none" w:sz="0" w:space="0" w:color="auto"/>
                                                <w:left w:val="none" w:sz="0" w:space="0" w:color="auto"/>
                                                <w:bottom w:val="none" w:sz="0" w:space="0" w:color="auto"/>
                                                <w:right w:val="none" w:sz="0" w:space="0" w:color="auto"/>
                                              </w:divBdr>
                                              <w:divsChild>
                                                <w:div w:id="1933972049">
                                                  <w:marLeft w:val="0"/>
                                                  <w:marRight w:val="0"/>
                                                  <w:marTop w:val="0"/>
                                                  <w:marBottom w:val="0"/>
                                                  <w:divBdr>
                                                    <w:top w:val="none" w:sz="0" w:space="0" w:color="auto"/>
                                                    <w:left w:val="none" w:sz="0" w:space="0" w:color="auto"/>
                                                    <w:bottom w:val="none" w:sz="0" w:space="0" w:color="auto"/>
                                                    <w:right w:val="none" w:sz="0" w:space="0" w:color="auto"/>
                                                  </w:divBdr>
                                                  <w:divsChild>
                                                    <w:div w:id="1130316998">
                                                      <w:marLeft w:val="0"/>
                                                      <w:marRight w:val="0"/>
                                                      <w:marTop w:val="0"/>
                                                      <w:marBottom w:val="0"/>
                                                      <w:divBdr>
                                                        <w:top w:val="none" w:sz="0" w:space="0" w:color="auto"/>
                                                        <w:left w:val="none" w:sz="0" w:space="0" w:color="auto"/>
                                                        <w:bottom w:val="none" w:sz="0" w:space="0" w:color="auto"/>
                                                        <w:right w:val="none" w:sz="0" w:space="0" w:color="auto"/>
                                                      </w:divBdr>
                                                      <w:divsChild>
                                                        <w:div w:id="1051002635">
                                                          <w:marLeft w:val="0"/>
                                                          <w:marRight w:val="0"/>
                                                          <w:marTop w:val="0"/>
                                                          <w:marBottom w:val="0"/>
                                                          <w:divBdr>
                                                            <w:top w:val="none" w:sz="0" w:space="0" w:color="auto"/>
                                                            <w:left w:val="none" w:sz="0" w:space="0" w:color="auto"/>
                                                            <w:bottom w:val="none" w:sz="0" w:space="0" w:color="auto"/>
                                                            <w:right w:val="none" w:sz="0" w:space="0" w:color="auto"/>
                                                          </w:divBdr>
                                                          <w:divsChild>
                                                            <w:div w:id="2041120787">
                                                              <w:marLeft w:val="0"/>
                                                              <w:marRight w:val="0"/>
                                                              <w:marTop w:val="0"/>
                                                              <w:marBottom w:val="0"/>
                                                              <w:divBdr>
                                                                <w:top w:val="none" w:sz="0" w:space="0" w:color="auto"/>
                                                                <w:left w:val="none" w:sz="0" w:space="0" w:color="auto"/>
                                                                <w:bottom w:val="none" w:sz="0" w:space="0" w:color="auto"/>
                                                                <w:right w:val="none" w:sz="0" w:space="0" w:color="auto"/>
                                                              </w:divBdr>
                                                              <w:divsChild>
                                                                <w:div w:id="1948999136">
                                                                  <w:marLeft w:val="0"/>
                                                                  <w:marRight w:val="0"/>
                                                                  <w:marTop w:val="0"/>
                                                                  <w:marBottom w:val="0"/>
                                                                  <w:divBdr>
                                                                    <w:top w:val="none" w:sz="0" w:space="0" w:color="auto"/>
                                                                    <w:left w:val="none" w:sz="0" w:space="0" w:color="auto"/>
                                                                    <w:bottom w:val="none" w:sz="0" w:space="0" w:color="auto"/>
                                                                    <w:right w:val="none" w:sz="0" w:space="0" w:color="auto"/>
                                                                  </w:divBdr>
                                                                  <w:divsChild>
                                                                    <w:div w:id="1098209052">
                                                                      <w:marLeft w:val="0"/>
                                                                      <w:marRight w:val="0"/>
                                                                      <w:marTop w:val="0"/>
                                                                      <w:marBottom w:val="0"/>
                                                                      <w:divBdr>
                                                                        <w:top w:val="none" w:sz="0" w:space="0" w:color="auto"/>
                                                                        <w:left w:val="none" w:sz="0" w:space="0" w:color="auto"/>
                                                                        <w:bottom w:val="none" w:sz="0" w:space="0" w:color="auto"/>
                                                                        <w:right w:val="none" w:sz="0" w:space="0" w:color="auto"/>
                                                                      </w:divBdr>
                                                                      <w:divsChild>
                                                                        <w:div w:id="131103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54143758">
      <w:bodyDiv w:val="1"/>
      <w:marLeft w:val="0"/>
      <w:marRight w:val="0"/>
      <w:marTop w:val="0"/>
      <w:marBottom w:val="0"/>
      <w:divBdr>
        <w:top w:val="none" w:sz="0" w:space="0" w:color="auto"/>
        <w:left w:val="none" w:sz="0" w:space="0" w:color="auto"/>
        <w:bottom w:val="none" w:sz="0" w:space="0" w:color="auto"/>
        <w:right w:val="none" w:sz="0" w:space="0" w:color="auto"/>
      </w:divBdr>
    </w:div>
    <w:div w:id="764303119">
      <w:bodyDiv w:val="1"/>
      <w:marLeft w:val="0"/>
      <w:marRight w:val="0"/>
      <w:marTop w:val="0"/>
      <w:marBottom w:val="0"/>
      <w:divBdr>
        <w:top w:val="none" w:sz="0" w:space="0" w:color="auto"/>
        <w:left w:val="none" w:sz="0" w:space="0" w:color="auto"/>
        <w:bottom w:val="none" w:sz="0" w:space="0" w:color="auto"/>
        <w:right w:val="none" w:sz="0" w:space="0" w:color="auto"/>
      </w:divBdr>
    </w:div>
    <w:div w:id="774132642">
      <w:bodyDiv w:val="1"/>
      <w:marLeft w:val="0"/>
      <w:marRight w:val="0"/>
      <w:marTop w:val="0"/>
      <w:marBottom w:val="0"/>
      <w:divBdr>
        <w:top w:val="none" w:sz="0" w:space="0" w:color="auto"/>
        <w:left w:val="none" w:sz="0" w:space="0" w:color="auto"/>
        <w:bottom w:val="none" w:sz="0" w:space="0" w:color="auto"/>
        <w:right w:val="none" w:sz="0" w:space="0" w:color="auto"/>
      </w:divBdr>
      <w:divsChild>
        <w:div w:id="1202745556">
          <w:marLeft w:val="0"/>
          <w:marRight w:val="0"/>
          <w:marTop w:val="0"/>
          <w:marBottom w:val="0"/>
          <w:divBdr>
            <w:top w:val="none" w:sz="0" w:space="0" w:color="auto"/>
            <w:left w:val="none" w:sz="0" w:space="0" w:color="auto"/>
            <w:bottom w:val="none" w:sz="0" w:space="0" w:color="auto"/>
            <w:right w:val="none" w:sz="0" w:space="0" w:color="auto"/>
          </w:divBdr>
          <w:divsChild>
            <w:div w:id="1410155607">
              <w:marLeft w:val="0"/>
              <w:marRight w:val="0"/>
              <w:marTop w:val="0"/>
              <w:marBottom w:val="0"/>
              <w:divBdr>
                <w:top w:val="none" w:sz="0" w:space="0" w:color="auto"/>
                <w:left w:val="none" w:sz="0" w:space="0" w:color="auto"/>
                <w:bottom w:val="none" w:sz="0" w:space="0" w:color="auto"/>
                <w:right w:val="none" w:sz="0" w:space="0" w:color="auto"/>
              </w:divBdr>
              <w:divsChild>
                <w:div w:id="1766918277">
                  <w:marLeft w:val="0"/>
                  <w:marRight w:val="0"/>
                  <w:marTop w:val="0"/>
                  <w:marBottom w:val="0"/>
                  <w:divBdr>
                    <w:top w:val="none" w:sz="0" w:space="0" w:color="auto"/>
                    <w:left w:val="none" w:sz="0" w:space="0" w:color="auto"/>
                    <w:bottom w:val="none" w:sz="0" w:space="0" w:color="auto"/>
                    <w:right w:val="none" w:sz="0" w:space="0" w:color="auto"/>
                  </w:divBdr>
                  <w:divsChild>
                    <w:div w:id="1227256859">
                      <w:marLeft w:val="0"/>
                      <w:marRight w:val="0"/>
                      <w:marTop w:val="0"/>
                      <w:marBottom w:val="0"/>
                      <w:divBdr>
                        <w:top w:val="none" w:sz="0" w:space="0" w:color="auto"/>
                        <w:left w:val="none" w:sz="0" w:space="0" w:color="auto"/>
                        <w:bottom w:val="none" w:sz="0" w:space="0" w:color="auto"/>
                        <w:right w:val="none" w:sz="0" w:space="0" w:color="auto"/>
                      </w:divBdr>
                      <w:divsChild>
                        <w:div w:id="1049450611">
                          <w:marLeft w:val="0"/>
                          <w:marRight w:val="0"/>
                          <w:marTop w:val="0"/>
                          <w:marBottom w:val="0"/>
                          <w:divBdr>
                            <w:top w:val="none" w:sz="0" w:space="0" w:color="auto"/>
                            <w:left w:val="none" w:sz="0" w:space="0" w:color="auto"/>
                            <w:bottom w:val="none" w:sz="0" w:space="0" w:color="auto"/>
                            <w:right w:val="none" w:sz="0" w:space="0" w:color="auto"/>
                          </w:divBdr>
                          <w:divsChild>
                            <w:div w:id="1728409226">
                              <w:marLeft w:val="0"/>
                              <w:marRight w:val="0"/>
                              <w:marTop w:val="0"/>
                              <w:marBottom w:val="0"/>
                              <w:divBdr>
                                <w:top w:val="none" w:sz="0" w:space="0" w:color="auto"/>
                                <w:left w:val="none" w:sz="0" w:space="0" w:color="auto"/>
                                <w:bottom w:val="none" w:sz="0" w:space="0" w:color="auto"/>
                                <w:right w:val="none" w:sz="0" w:space="0" w:color="auto"/>
                              </w:divBdr>
                              <w:divsChild>
                                <w:div w:id="9201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0343800">
      <w:bodyDiv w:val="1"/>
      <w:marLeft w:val="0"/>
      <w:marRight w:val="0"/>
      <w:marTop w:val="0"/>
      <w:marBottom w:val="0"/>
      <w:divBdr>
        <w:top w:val="none" w:sz="0" w:space="0" w:color="auto"/>
        <w:left w:val="none" w:sz="0" w:space="0" w:color="auto"/>
        <w:bottom w:val="none" w:sz="0" w:space="0" w:color="auto"/>
        <w:right w:val="none" w:sz="0" w:space="0" w:color="auto"/>
      </w:divBdr>
    </w:div>
    <w:div w:id="784423457">
      <w:bodyDiv w:val="1"/>
      <w:marLeft w:val="0"/>
      <w:marRight w:val="0"/>
      <w:marTop w:val="0"/>
      <w:marBottom w:val="0"/>
      <w:divBdr>
        <w:top w:val="none" w:sz="0" w:space="0" w:color="auto"/>
        <w:left w:val="none" w:sz="0" w:space="0" w:color="auto"/>
        <w:bottom w:val="none" w:sz="0" w:space="0" w:color="auto"/>
        <w:right w:val="none" w:sz="0" w:space="0" w:color="auto"/>
      </w:divBdr>
    </w:div>
    <w:div w:id="905840055">
      <w:bodyDiv w:val="1"/>
      <w:marLeft w:val="0"/>
      <w:marRight w:val="0"/>
      <w:marTop w:val="0"/>
      <w:marBottom w:val="0"/>
      <w:divBdr>
        <w:top w:val="none" w:sz="0" w:space="0" w:color="auto"/>
        <w:left w:val="none" w:sz="0" w:space="0" w:color="auto"/>
        <w:bottom w:val="none" w:sz="0" w:space="0" w:color="auto"/>
        <w:right w:val="none" w:sz="0" w:space="0" w:color="auto"/>
      </w:divBdr>
    </w:div>
    <w:div w:id="930551934">
      <w:bodyDiv w:val="1"/>
      <w:marLeft w:val="0"/>
      <w:marRight w:val="0"/>
      <w:marTop w:val="0"/>
      <w:marBottom w:val="0"/>
      <w:divBdr>
        <w:top w:val="none" w:sz="0" w:space="0" w:color="auto"/>
        <w:left w:val="none" w:sz="0" w:space="0" w:color="auto"/>
        <w:bottom w:val="none" w:sz="0" w:space="0" w:color="auto"/>
        <w:right w:val="none" w:sz="0" w:space="0" w:color="auto"/>
      </w:divBdr>
      <w:divsChild>
        <w:div w:id="1897275192">
          <w:marLeft w:val="0"/>
          <w:marRight w:val="0"/>
          <w:marTop w:val="0"/>
          <w:marBottom w:val="0"/>
          <w:divBdr>
            <w:top w:val="none" w:sz="0" w:space="0" w:color="auto"/>
            <w:left w:val="none" w:sz="0" w:space="0" w:color="auto"/>
            <w:bottom w:val="none" w:sz="0" w:space="0" w:color="auto"/>
            <w:right w:val="none" w:sz="0" w:space="0" w:color="auto"/>
          </w:divBdr>
          <w:divsChild>
            <w:div w:id="941499711">
              <w:marLeft w:val="0"/>
              <w:marRight w:val="0"/>
              <w:marTop w:val="0"/>
              <w:marBottom w:val="0"/>
              <w:divBdr>
                <w:top w:val="none" w:sz="0" w:space="0" w:color="auto"/>
                <w:left w:val="none" w:sz="0" w:space="0" w:color="auto"/>
                <w:bottom w:val="none" w:sz="0" w:space="0" w:color="auto"/>
                <w:right w:val="none" w:sz="0" w:space="0" w:color="auto"/>
              </w:divBdr>
              <w:divsChild>
                <w:div w:id="435103181">
                  <w:marLeft w:val="0"/>
                  <w:marRight w:val="0"/>
                  <w:marTop w:val="0"/>
                  <w:marBottom w:val="0"/>
                  <w:divBdr>
                    <w:top w:val="none" w:sz="0" w:space="0" w:color="auto"/>
                    <w:left w:val="none" w:sz="0" w:space="0" w:color="auto"/>
                    <w:bottom w:val="none" w:sz="0" w:space="0" w:color="auto"/>
                    <w:right w:val="none" w:sz="0" w:space="0" w:color="auto"/>
                  </w:divBdr>
                  <w:divsChild>
                    <w:div w:id="1368291637">
                      <w:marLeft w:val="0"/>
                      <w:marRight w:val="0"/>
                      <w:marTop w:val="0"/>
                      <w:marBottom w:val="0"/>
                      <w:divBdr>
                        <w:top w:val="none" w:sz="0" w:space="0" w:color="auto"/>
                        <w:left w:val="none" w:sz="0" w:space="0" w:color="auto"/>
                        <w:bottom w:val="none" w:sz="0" w:space="0" w:color="auto"/>
                        <w:right w:val="none" w:sz="0" w:space="0" w:color="auto"/>
                      </w:divBdr>
                      <w:divsChild>
                        <w:div w:id="704335216">
                          <w:marLeft w:val="0"/>
                          <w:marRight w:val="0"/>
                          <w:marTop w:val="0"/>
                          <w:marBottom w:val="0"/>
                          <w:divBdr>
                            <w:top w:val="none" w:sz="0" w:space="0" w:color="auto"/>
                            <w:left w:val="none" w:sz="0" w:space="0" w:color="auto"/>
                            <w:bottom w:val="none" w:sz="0" w:space="0" w:color="auto"/>
                            <w:right w:val="none" w:sz="0" w:space="0" w:color="auto"/>
                          </w:divBdr>
                          <w:divsChild>
                            <w:div w:id="1157764769">
                              <w:marLeft w:val="0"/>
                              <w:marRight w:val="0"/>
                              <w:marTop w:val="0"/>
                              <w:marBottom w:val="0"/>
                              <w:divBdr>
                                <w:top w:val="none" w:sz="0" w:space="0" w:color="auto"/>
                                <w:left w:val="none" w:sz="0" w:space="0" w:color="auto"/>
                                <w:bottom w:val="none" w:sz="0" w:space="0" w:color="auto"/>
                                <w:right w:val="none" w:sz="0" w:space="0" w:color="auto"/>
                              </w:divBdr>
                              <w:divsChild>
                                <w:div w:id="812678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1573085">
      <w:bodyDiv w:val="1"/>
      <w:marLeft w:val="0"/>
      <w:marRight w:val="0"/>
      <w:marTop w:val="0"/>
      <w:marBottom w:val="0"/>
      <w:divBdr>
        <w:top w:val="none" w:sz="0" w:space="0" w:color="auto"/>
        <w:left w:val="none" w:sz="0" w:space="0" w:color="auto"/>
        <w:bottom w:val="none" w:sz="0" w:space="0" w:color="auto"/>
        <w:right w:val="none" w:sz="0" w:space="0" w:color="auto"/>
      </w:divBdr>
    </w:div>
    <w:div w:id="970748967">
      <w:bodyDiv w:val="1"/>
      <w:marLeft w:val="0"/>
      <w:marRight w:val="0"/>
      <w:marTop w:val="0"/>
      <w:marBottom w:val="0"/>
      <w:divBdr>
        <w:top w:val="none" w:sz="0" w:space="0" w:color="auto"/>
        <w:left w:val="none" w:sz="0" w:space="0" w:color="auto"/>
        <w:bottom w:val="none" w:sz="0" w:space="0" w:color="auto"/>
        <w:right w:val="none" w:sz="0" w:space="0" w:color="auto"/>
      </w:divBdr>
    </w:div>
    <w:div w:id="972641364">
      <w:bodyDiv w:val="1"/>
      <w:marLeft w:val="0"/>
      <w:marRight w:val="0"/>
      <w:marTop w:val="0"/>
      <w:marBottom w:val="0"/>
      <w:divBdr>
        <w:top w:val="none" w:sz="0" w:space="0" w:color="auto"/>
        <w:left w:val="none" w:sz="0" w:space="0" w:color="auto"/>
        <w:bottom w:val="none" w:sz="0" w:space="0" w:color="auto"/>
        <w:right w:val="none" w:sz="0" w:space="0" w:color="auto"/>
      </w:divBdr>
    </w:div>
    <w:div w:id="978654239">
      <w:bodyDiv w:val="1"/>
      <w:marLeft w:val="0"/>
      <w:marRight w:val="0"/>
      <w:marTop w:val="0"/>
      <w:marBottom w:val="0"/>
      <w:divBdr>
        <w:top w:val="none" w:sz="0" w:space="0" w:color="auto"/>
        <w:left w:val="none" w:sz="0" w:space="0" w:color="auto"/>
        <w:bottom w:val="none" w:sz="0" w:space="0" w:color="auto"/>
        <w:right w:val="none" w:sz="0" w:space="0" w:color="auto"/>
      </w:divBdr>
    </w:div>
    <w:div w:id="999427545">
      <w:bodyDiv w:val="1"/>
      <w:marLeft w:val="0"/>
      <w:marRight w:val="0"/>
      <w:marTop w:val="0"/>
      <w:marBottom w:val="0"/>
      <w:divBdr>
        <w:top w:val="none" w:sz="0" w:space="0" w:color="auto"/>
        <w:left w:val="none" w:sz="0" w:space="0" w:color="auto"/>
        <w:bottom w:val="none" w:sz="0" w:space="0" w:color="auto"/>
        <w:right w:val="none" w:sz="0" w:space="0" w:color="auto"/>
      </w:divBdr>
    </w:div>
    <w:div w:id="1191644933">
      <w:bodyDiv w:val="1"/>
      <w:marLeft w:val="0"/>
      <w:marRight w:val="0"/>
      <w:marTop w:val="0"/>
      <w:marBottom w:val="0"/>
      <w:divBdr>
        <w:top w:val="none" w:sz="0" w:space="0" w:color="auto"/>
        <w:left w:val="none" w:sz="0" w:space="0" w:color="auto"/>
        <w:bottom w:val="none" w:sz="0" w:space="0" w:color="auto"/>
        <w:right w:val="none" w:sz="0" w:space="0" w:color="auto"/>
      </w:divBdr>
    </w:div>
    <w:div w:id="1315455384">
      <w:bodyDiv w:val="1"/>
      <w:marLeft w:val="0"/>
      <w:marRight w:val="0"/>
      <w:marTop w:val="0"/>
      <w:marBottom w:val="0"/>
      <w:divBdr>
        <w:top w:val="none" w:sz="0" w:space="0" w:color="auto"/>
        <w:left w:val="none" w:sz="0" w:space="0" w:color="auto"/>
        <w:bottom w:val="none" w:sz="0" w:space="0" w:color="auto"/>
        <w:right w:val="none" w:sz="0" w:space="0" w:color="auto"/>
      </w:divBdr>
      <w:divsChild>
        <w:div w:id="1725786532">
          <w:marLeft w:val="0"/>
          <w:marRight w:val="0"/>
          <w:marTop w:val="0"/>
          <w:marBottom w:val="0"/>
          <w:divBdr>
            <w:top w:val="none" w:sz="0" w:space="0" w:color="auto"/>
            <w:left w:val="none" w:sz="0" w:space="0" w:color="auto"/>
            <w:bottom w:val="none" w:sz="0" w:space="0" w:color="auto"/>
            <w:right w:val="none" w:sz="0" w:space="0" w:color="auto"/>
          </w:divBdr>
          <w:divsChild>
            <w:div w:id="995886216">
              <w:marLeft w:val="0"/>
              <w:marRight w:val="0"/>
              <w:marTop w:val="0"/>
              <w:marBottom w:val="0"/>
              <w:divBdr>
                <w:top w:val="none" w:sz="0" w:space="0" w:color="auto"/>
                <w:left w:val="none" w:sz="0" w:space="0" w:color="auto"/>
                <w:bottom w:val="none" w:sz="0" w:space="0" w:color="auto"/>
                <w:right w:val="none" w:sz="0" w:space="0" w:color="auto"/>
              </w:divBdr>
              <w:divsChild>
                <w:div w:id="1870795011">
                  <w:marLeft w:val="0"/>
                  <w:marRight w:val="0"/>
                  <w:marTop w:val="0"/>
                  <w:marBottom w:val="0"/>
                  <w:divBdr>
                    <w:top w:val="none" w:sz="0" w:space="0" w:color="auto"/>
                    <w:left w:val="none" w:sz="0" w:space="0" w:color="auto"/>
                    <w:bottom w:val="none" w:sz="0" w:space="0" w:color="auto"/>
                    <w:right w:val="none" w:sz="0" w:space="0" w:color="auto"/>
                  </w:divBdr>
                  <w:divsChild>
                    <w:div w:id="1351905764">
                      <w:marLeft w:val="0"/>
                      <w:marRight w:val="0"/>
                      <w:marTop w:val="0"/>
                      <w:marBottom w:val="0"/>
                      <w:divBdr>
                        <w:top w:val="none" w:sz="0" w:space="0" w:color="auto"/>
                        <w:left w:val="none" w:sz="0" w:space="0" w:color="auto"/>
                        <w:bottom w:val="none" w:sz="0" w:space="0" w:color="auto"/>
                        <w:right w:val="none" w:sz="0" w:space="0" w:color="auto"/>
                      </w:divBdr>
                      <w:divsChild>
                        <w:div w:id="1726952207">
                          <w:marLeft w:val="0"/>
                          <w:marRight w:val="0"/>
                          <w:marTop w:val="0"/>
                          <w:marBottom w:val="0"/>
                          <w:divBdr>
                            <w:top w:val="none" w:sz="0" w:space="0" w:color="auto"/>
                            <w:left w:val="none" w:sz="0" w:space="0" w:color="auto"/>
                            <w:bottom w:val="none" w:sz="0" w:space="0" w:color="auto"/>
                            <w:right w:val="none" w:sz="0" w:space="0" w:color="auto"/>
                          </w:divBdr>
                          <w:divsChild>
                            <w:div w:id="1089353181">
                              <w:marLeft w:val="0"/>
                              <w:marRight w:val="0"/>
                              <w:marTop w:val="0"/>
                              <w:marBottom w:val="0"/>
                              <w:divBdr>
                                <w:top w:val="none" w:sz="0" w:space="0" w:color="auto"/>
                                <w:left w:val="none" w:sz="0" w:space="0" w:color="auto"/>
                                <w:bottom w:val="none" w:sz="0" w:space="0" w:color="auto"/>
                                <w:right w:val="none" w:sz="0" w:space="0" w:color="auto"/>
                              </w:divBdr>
                              <w:divsChild>
                                <w:div w:id="1166554064">
                                  <w:marLeft w:val="0"/>
                                  <w:marRight w:val="0"/>
                                  <w:marTop w:val="0"/>
                                  <w:marBottom w:val="0"/>
                                  <w:divBdr>
                                    <w:top w:val="none" w:sz="0" w:space="0" w:color="auto"/>
                                    <w:left w:val="none" w:sz="0" w:space="0" w:color="auto"/>
                                    <w:bottom w:val="none" w:sz="0" w:space="0" w:color="auto"/>
                                    <w:right w:val="none" w:sz="0" w:space="0" w:color="auto"/>
                                  </w:divBdr>
                                  <w:divsChild>
                                    <w:div w:id="983703288">
                                      <w:marLeft w:val="0"/>
                                      <w:marRight w:val="0"/>
                                      <w:marTop w:val="0"/>
                                      <w:marBottom w:val="0"/>
                                      <w:divBdr>
                                        <w:top w:val="none" w:sz="0" w:space="0" w:color="auto"/>
                                        <w:left w:val="none" w:sz="0" w:space="0" w:color="auto"/>
                                        <w:bottom w:val="none" w:sz="0" w:space="0" w:color="auto"/>
                                        <w:right w:val="none" w:sz="0" w:space="0" w:color="auto"/>
                                      </w:divBdr>
                                      <w:divsChild>
                                        <w:div w:id="1200819312">
                                          <w:marLeft w:val="0"/>
                                          <w:marRight w:val="0"/>
                                          <w:marTop w:val="0"/>
                                          <w:marBottom w:val="0"/>
                                          <w:divBdr>
                                            <w:top w:val="none" w:sz="0" w:space="0" w:color="auto"/>
                                            <w:left w:val="none" w:sz="0" w:space="0" w:color="auto"/>
                                            <w:bottom w:val="none" w:sz="0" w:space="0" w:color="auto"/>
                                            <w:right w:val="none" w:sz="0" w:space="0" w:color="auto"/>
                                          </w:divBdr>
                                          <w:divsChild>
                                            <w:div w:id="1523202674">
                                              <w:marLeft w:val="0"/>
                                              <w:marRight w:val="0"/>
                                              <w:marTop w:val="0"/>
                                              <w:marBottom w:val="0"/>
                                              <w:divBdr>
                                                <w:top w:val="none" w:sz="0" w:space="0" w:color="auto"/>
                                                <w:left w:val="none" w:sz="0" w:space="0" w:color="auto"/>
                                                <w:bottom w:val="none" w:sz="0" w:space="0" w:color="auto"/>
                                                <w:right w:val="none" w:sz="0" w:space="0" w:color="auto"/>
                                              </w:divBdr>
                                              <w:divsChild>
                                                <w:div w:id="882835605">
                                                  <w:marLeft w:val="0"/>
                                                  <w:marRight w:val="0"/>
                                                  <w:marTop w:val="0"/>
                                                  <w:marBottom w:val="0"/>
                                                  <w:divBdr>
                                                    <w:top w:val="none" w:sz="0" w:space="0" w:color="auto"/>
                                                    <w:left w:val="none" w:sz="0" w:space="0" w:color="auto"/>
                                                    <w:bottom w:val="none" w:sz="0" w:space="0" w:color="auto"/>
                                                    <w:right w:val="none" w:sz="0" w:space="0" w:color="auto"/>
                                                  </w:divBdr>
                                                  <w:divsChild>
                                                    <w:div w:id="805464233">
                                                      <w:marLeft w:val="0"/>
                                                      <w:marRight w:val="0"/>
                                                      <w:marTop w:val="0"/>
                                                      <w:marBottom w:val="0"/>
                                                      <w:divBdr>
                                                        <w:top w:val="none" w:sz="0" w:space="0" w:color="auto"/>
                                                        <w:left w:val="none" w:sz="0" w:space="0" w:color="auto"/>
                                                        <w:bottom w:val="none" w:sz="0" w:space="0" w:color="auto"/>
                                                        <w:right w:val="none" w:sz="0" w:space="0" w:color="auto"/>
                                                      </w:divBdr>
                                                      <w:divsChild>
                                                        <w:div w:id="1489906469">
                                                          <w:marLeft w:val="0"/>
                                                          <w:marRight w:val="0"/>
                                                          <w:marTop w:val="0"/>
                                                          <w:marBottom w:val="0"/>
                                                          <w:divBdr>
                                                            <w:top w:val="none" w:sz="0" w:space="0" w:color="auto"/>
                                                            <w:left w:val="none" w:sz="0" w:space="0" w:color="auto"/>
                                                            <w:bottom w:val="none" w:sz="0" w:space="0" w:color="auto"/>
                                                            <w:right w:val="none" w:sz="0" w:space="0" w:color="auto"/>
                                                          </w:divBdr>
                                                          <w:divsChild>
                                                            <w:div w:id="2125688779">
                                                              <w:marLeft w:val="0"/>
                                                              <w:marRight w:val="0"/>
                                                              <w:marTop w:val="0"/>
                                                              <w:marBottom w:val="0"/>
                                                              <w:divBdr>
                                                                <w:top w:val="none" w:sz="0" w:space="0" w:color="auto"/>
                                                                <w:left w:val="none" w:sz="0" w:space="0" w:color="auto"/>
                                                                <w:bottom w:val="none" w:sz="0" w:space="0" w:color="auto"/>
                                                                <w:right w:val="none" w:sz="0" w:space="0" w:color="auto"/>
                                                              </w:divBdr>
                                                              <w:divsChild>
                                                                <w:div w:id="1912233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6599835">
                                      <w:marLeft w:val="0"/>
                                      <w:marRight w:val="0"/>
                                      <w:marTop w:val="0"/>
                                      <w:marBottom w:val="0"/>
                                      <w:divBdr>
                                        <w:top w:val="none" w:sz="0" w:space="0" w:color="auto"/>
                                        <w:left w:val="none" w:sz="0" w:space="0" w:color="auto"/>
                                        <w:bottom w:val="none" w:sz="0" w:space="0" w:color="auto"/>
                                        <w:right w:val="none" w:sz="0" w:space="0" w:color="auto"/>
                                      </w:divBdr>
                                      <w:divsChild>
                                        <w:div w:id="1001665005">
                                          <w:marLeft w:val="0"/>
                                          <w:marRight w:val="0"/>
                                          <w:marTop w:val="0"/>
                                          <w:marBottom w:val="0"/>
                                          <w:divBdr>
                                            <w:top w:val="none" w:sz="0" w:space="0" w:color="auto"/>
                                            <w:left w:val="none" w:sz="0" w:space="0" w:color="auto"/>
                                            <w:bottom w:val="none" w:sz="0" w:space="0" w:color="auto"/>
                                            <w:right w:val="none" w:sz="0" w:space="0" w:color="auto"/>
                                          </w:divBdr>
                                          <w:divsChild>
                                            <w:div w:id="1378243011">
                                              <w:marLeft w:val="0"/>
                                              <w:marRight w:val="0"/>
                                              <w:marTop w:val="0"/>
                                              <w:marBottom w:val="0"/>
                                              <w:divBdr>
                                                <w:top w:val="none" w:sz="0" w:space="0" w:color="auto"/>
                                                <w:left w:val="none" w:sz="0" w:space="0" w:color="auto"/>
                                                <w:bottom w:val="none" w:sz="0" w:space="0" w:color="auto"/>
                                                <w:right w:val="none" w:sz="0" w:space="0" w:color="auto"/>
                                              </w:divBdr>
                                              <w:divsChild>
                                                <w:div w:id="299965371">
                                                  <w:marLeft w:val="0"/>
                                                  <w:marRight w:val="0"/>
                                                  <w:marTop w:val="0"/>
                                                  <w:marBottom w:val="0"/>
                                                  <w:divBdr>
                                                    <w:top w:val="none" w:sz="0" w:space="0" w:color="auto"/>
                                                    <w:left w:val="none" w:sz="0" w:space="0" w:color="auto"/>
                                                    <w:bottom w:val="none" w:sz="0" w:space="0" w:color="auto"/>
                                                    <w:right w:val="none" w:sz="0" w:space="0" w:color="auto"/>
                                                  </w:divBdr>
                                                  <w:divsChild>
                                                    <w:div w:id="2081559710">
                                                      <w:marLeft w:val="0"/>
                                                      <w:marRight w:val="0"/>
                                                      <w:marTop w:val="0"/>
                                                      <w:marBottom w:val="0"/>
                                                      <w:divBdr>
                                                        <w:top w:val="none" w:sz="0" w:space="0" w:color="auto"/>
                                                        <w:left w:val="none" w:sz="0" w:space="0" w:color="auto"/>
                                                        <w:bottom w:val="none" w:sz="0" w:space="0" w:color="auto"/>
                                                        <w:right w:val="none" w:sz="0" w:space="0" w:color="auto"/>
                                                      </w:divBdr>
                                                      <w:divsChild>
                                                        <w:div w:id="1708793277">
                                                          <w:marLeft w:val="0"/>
                                                          <w:marRight w:val="0"/>
                                                          <w:marTop w:val="0"/>
                                                          <w:marBottom w:val="0"/>
                                                          <w:divBdr>
                                                            <w:top w:val="none" w:sz="0" w:space="0" w:color="auto"/>
                                                            <w:left w:val="none" w:sz="0" w:space="0" w:color="auto"/>
                                                            <w:bottom w:val="none" w:sz="0" w:space="0" w:color="auto"/>
                                                            <w:right w:val="none" w:sz="0" w:space="0" w:color="auto"/>
                                                          </w:divBdr>
                                                          <w:divsChild>
                                                            <w:div w:id="1202281121">
                                                              <w:marLeft w:val="0"/>
                                                              <w:marRight w:val="0"/>
                                                              <w:marTop w:val="0"/>
                                                              <w:marBottom w:val="0"/>
                                                              <w:divBdr>
                                                                <w:top w:val="none" w:sz="0" w:space="0" w:color="auto"/>
                                                                <w:left w:val="none" w:sz="0" w:space="0" w:color="auto"/>
                                                                <w:bottom w:val="none" w:sz="0" w:space="0" w:color="auto"/>
                                                                <w:right w:val="none" w:sz="0" w:space="0" w:color="auto"/>
                                                              </w:divBdr>
                                                              <w:divsChild>
                                                                <w:div w:id="791218015">
                                                                  <w:marLeft w:val="0"/>
                                                                  <w:marRight w:val="0"/>
                                                                  <w:marTop w:val="0"/>
                                                                  <w:marBottom w:val="0"/>
                                                                  <w:divBdr>
                                                                    <w:top w:val="none" w:sz="0" w:space="0" w:color="auto"/>
                                                                    <w:left w:val="none" w:sz="0" w:space="0" w:color="auto"/>
                                                                    <w:bottom w:val="none" w:sz="0" w:space="0" w:color="auto"/>
                                                                    <w:right w:val="none" w:sz="0" w:space="0" w:color="auto"/>
                                                                  </w:divBdr>
                                                                  <w:divsChild>
                                                                    <w:div w:id="1928927645">
                                                                      <w:marLeft w:val="0"/>
                                                                      <w:marRight w:val="0"/>
                                                                      <w:marTop w:val="0"/>
                                                                      <w:marBottom w:val="0"/>
                                                                      <w:divBdr>
                                                                        <w:top w:val="none" w:sz="0" w:space="0" w:color="auto"/>
                                                                        <w:left w:val="none" w:sz="0" w:space="0" w:color="auto"/>
                                                                        <w:bottom w:val="none" w:sz="0" w:space="0" w:color="auto"/>
                                                                        <w:right w:val="none" w:sz="0" w:space="0" w:color="auto"/>
                                                                      </w:divBdr>
                                                                      <w:divsChild>
                                                                        <w:div w:id="434984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29014653">
      <w:bodyDiv w:val="1"/>
      <w:marLeft w:val="0"/>
      <w:marRight w:val="0"/>
      <w:marTop w:val="0"/>
      <w:marBottom w:val="0"/>
      <w:divBdr>
        <w:top w:val="none" w:sz="0" w:space="0" w:color="auto"/>
        <w:left w:val="none" w:sz="0" w:space="0" w:color="auto"/>
        <w:bottom w:val="none" w:sz="0" w:space="0" w:color="auto"/>
        <w:right w:val="none" w:sz="0" w:space="0" w:color="auto"/>
      </w:divBdr>
    </w:div>
    <w:div w:id="1410231678">
      <w:bodyDiv w:val="1"/>
      <w:marLeft w:val="0"/>
      <w:marRight w:val="0"/>
      <w:marTop w:val="0"/>
      <w:marBottom w:val="0"/>
      <w:divBdr>
        <w:top w:val="none" w:sz="0" w:space="0" w:color="auto"/>
        <w:left w:val="none" w:sz="0" w:space="0" w:color="auto"/>
        <w:bottom w:val="none" w:sz="0" w:space="0" w:color="auto"/>
        <w:right w:val="none" w:sz="0" w:space="0" w:color="auto"/>
      </w:divBdr>
    </w:div>
    <w:div w:id="1584414141">
      <w:bodyDiv w:val="1"/>
      <w:marLeft w:val="0"/>
      <w:marRight w:val="0"/>
      <w:marTop w:val="0"/>
      <w:marBottom w:val="0"/>
      <w:divBdr>
        <w:top w:val="none" w:sz="0" w:space="0" w:color="auto"/>
        <w:left w:val="none" w:sz="0" w:space="0" w:color="auto"/>
        <w:bottom w:val="none" w:sz="0" w:space="0" w:color="auto"/>
        <w:right w:val="none" w:sz="0" w:space="0" w:color="auto"/>
      </w:divBdr>
    </w:div>
    <w:div w:id="1644043315">
      <w:bodyDiv w:val="1"/>
      <w:marLeft w:val="0"/>
      <w:marRight w:val="0"/>
      <w:marTop w:val="0"/>
      <w:marBottom w:val="0"/>
      <w:divBdr>
        <w:top w:val="none" w:sz="0" w:space="0" w:color="auto"/>
        <w:left w:val="none" w:sz="0" w:space="0" w:color="auto"/>
        <w:bottom w:val="none" w:sz="0" w:space="0" w:color="auto"/>
        <w:right w:val="none" w:sz="0" w:space="0" w:color="auto"/>
      </w:divBdr>
    </w:div>
    <w:div w:id="1675910915">
      <w:bodyDiv w:val="1"/>
      <w:marLeft w:val="0"/>
      <w:marRight w:val="0"/>
      <w:marTop w:val="0"/>
      <w:marBottom w:val="0"/>
      <w:divBdr>
        <w:top w:val="none" w:sz="0" w:space="0" w:color="auto"/>
        <w:left w:val="none" w:sz="0" w:space="0" w:color="auto"/>
        <w:bottom w:val="none" w:sz="0" w:space="0" w:color="auto"/>
        <w:right w:val="none" w:sz="0" w:space="0" w:color="auto"/>
      </w:divBdr>
    </w:div>
    <w:div w:id="1757558350">
      <w:bodyDiv w:val="1"/>
      <w:marLeft w:val="0"/>
      <w:marRight w:val="0"/>
      <w:marTop w:val="0"/>
      <w:marBottom w:val="0"/>
      <w:divBdr>
        <w:top w:val="none" w:sz="0" w:space="0" w:color="auto"/>
        <w:left w:val="none" w:sz="0" w:space="0" w:color="auto"/>
        <w:bottom w:val="none" w:sz="0" w:space="0" w:color="auto"/>
        <w:right w:val="none" w:sz="0" w:space="0" w:color="auto"/>
      </w:divBdr>
    </w:div>
    <w:div w:id="1807121794">
      <w:bodyDiv w:val="1"/>
      <w:marLeft w:val="0"/>
      <w:marRight w:val="0"/>
      <w:marTop w:val="0"/>
      <w:marBottom w:val="0"/>
      <w:divBdr>
        <w:top w:val="none" w:sz="0" w:space="0" w:color="auto"/>
        <w:left w:val="none" w:sz="0" w:space="0" w:color="auto"/>
        <w:bottom w:val="none" w:sz="0" w:space="0" w:color="auto"/>
        <w:right w:val="none" w:sz="0" w:space="0" w:color="auto"/>
      </w:divBdr>
    </w:div>
    <w:div w:id="1894999439">
      <w:bodyDiv w:val="1"/>
      <w:marLeft w:val="0"/>
      <w:marRight w:val="0"/>
      <w:marTop w:val="0"/>
      <w:marBottom w:val="0"/>
      <w:divBdr>
        <w:top w:val="none" w:sz="0" w:space="0" w:color="auto"/>
        <w:left w:val="none" w:sz="0" w:space="0" w:color="auto"/>
        <w:bottom w:val="none" w:sz="0" w:space="0" w:color="auto"/>
        <w:right w:val="none" w:sz="0" w:space="0" w:color="auto"/>
      </w:divBdr>
    </w:div>
    <w:div w:id="1936591476">
      <w:bodyDiv w:val="1"/>
      <w:marLeft w:val="0"/>
      <w:marRight w:val="0"/>
      <w:marTop w:val="0"/>
      <w:marBottom w:val="0"/>
      <w:divBdr>
        <w:top w:val="none" w:sz="0" w:space="0" w:color="auto"/>
        <w:left w:val="none" w:sz="0" w:space="0" w:color="auto"/>
        <w:bottom w:val="none" w:sz="0" w:space="0" w:color="auto"/>
        <w:right w:val="none" w:sz="0" w:space="0" w:color="auto"/>
      </w:divBdr>
    </w:div>
    <w:div w:id="1948468760">
      <w:bodyDiv w:val="1"/>
      <w:marLeft w:val="0"/>
      <w:marRight w:val="0"/>
      <w:marTop w:val="0"/>
      <w:marBottom w:val="0"/>
      <w:divBdr>
        <w:top w:val="none" w:sz="0" w:space="0" w:color="auto"/>
        <w:left w:val="none" w:sz="0" w:space="0" w:color="auto"/>
        <w:bottom w:val="none" w:sz="0" w:space="0" w:color="auto"/>
        <w:right w:val="none" w:sz="0" w:space="0" w:color="auto"/>
      </w:divBdr>
    </w:div>
    <w:div w:id="1960212299">
      <w:bodyDiv w:val="1"/>
      <w:marLeft w:val="0"/>
      <w:marRight w:val="0"/>
      <w:marTop w:val="0"/>
      <w:marBottom w:val="0"/>
      <w:divBdr>
        <w:top w:val="none" w:sz="0" w:space="0" w:color="auto"/>
        <w:left w:val="none" w:sz="0" w:space="0" w:color="auto"/>
        <w:bottom w:val="none" w:sz="0" w:space="0" w:color="auto"/>
        <w:right w:val="none" w:sz="0" w:space="0" w:color="auto"/>
      </w:divBdr>
    </w:div>
    <w:div w:id="1966153830">
      <w:bodyDiv w:val="1"/>
      <w:marLeft w:val="0"/>
      <w:marRight w:val="0"/>
      <w:marTop w:val="0"/>
      <w:marBottom w:val="0"/>
      <w:divBdr>
        <w:top w:val="none" w:sz="0" w:space="0" w:color="auto"/>
        <w:left w:val="none" w:sz="0" w:space="0" w:color="auto"/>
        <w:bottom w:val="none" w:sz="0" w:space="0" w:color="auto"/>
        <w:right w:val="none" w:sz="0" w:space="0" w:color="auto"/>
      </w:divBdr>
    </w:div>
    <w:div w:id="2147118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93/nar/gkr218" TargetMode="External"/><Relationship Id="rId18" Type="http://schemas.openxmlformats.org/officeDocument/2006/relationships/hyperlink" Target="https://doi.org/10.1016/j.molp.2019.03.016" TargetMode="External"/><Relationship Id="rId26" Type="http://schemas.openxmlformats.org/officeDocument/2006/relationships/hyperlink" Target="https://doi.org/10.21273/JASHS.132.6.814" TargetMode="External"/><Relationship Id="rId39" Type="http://schemas.openxmlformats.org/officeDocument/2006/relationships/hyperlink" Target="https://doi.org/10.1038/ng.3733" TargetMode="External"/><Relationship Id="rId21" Type="http://schemas.openxmlformats.org/officeDocument/2006/relationships/hyperlink" Target="https://doi.org/10.1038/nature24644" TargetMode="External"/><Relationship Id="rId34" Type="http://schemas.openxmlformats.org/officeDocument/2006/relationships/hyperlink" Target="https://doi.org/10.3390/v7082819" TargetMode="External"/><Relationship Id="rId42" Type="http://schemas.openxmlformats.org/officeDocument/2006/relationships/hyperlink" Target="https://doi.org/10.1007/s00299-016-2089-5" TargetMode="External"/><Relationship Id="rId47" Type="http://schemas.openxmlformats.org/officeDocument/2006/relationships/hyperlink" Target="https://doi.org/10.1038/s41438-020-0252-2" TargetMode="External"/><Relationship Id="rId50" Type="http://schemas.openxmlformats.org/officeDocument/2006/relationships/header" Target="header1.xml"/><Relationship Id="rId55"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126/science.1258096" TargetMode="External"/><Relationship Id="rId29" Type="http://schemas.openxmlformats.org/officeDocument/2006/relationships/hyperlink" Target="https://doi.org/10.1038/nature17946" TargetMode="External"/><Relationship Id="rId11" Type="http://schemas.openxmlformats.org/officeDocument/2006/relationships/hyperlink" Target="https://doi.org/10.1016/j.tplants.2018.02.001" TargetMode="External"/><Relationship Id="rId24" Type="http://schemas.openxmlformats.org/officeDocument/2006/relationships/hyperlink" Target="https://doi.org/10.1016/j.molp.2017.10.007" TargetMode="External"/><Relationship Id="rId32" Type="http://schemas.openxmlformats.org/officeDocument/2006/relationships/hyperlink" Target="https://doi.org/10.1038/s41587-020-0455-x" TargetMode="External"/><Relationship Id="rId37" Type="http://schemas.openxmlformats.org/officeDocument/2006/relationships/hyperlink" Target="https://doi.org/10.1038/s41598-017-06400-y" TargetMode="External"/><Relationship Id="rId40" Type="http://schemas.openxmlformats.org/officeDocument/2006/relationships/hyperlink" Target="https://doi.org/10.33545/2664844X.2026.v8.i2a.1161" TargetMode="External"/><Relationship Id="rId45" Type="http://schemas.openxmlformats.org/officeDocument/2006/relationships/hyperlink" Target="https://doi.org/10.1007/978-3-319-63170-7" TargetMode="External"/><Relationship Id="rId53" Type="http://schemas.openxmlformats.org/officeDocument/2006/relationships/footer" Target="footer2.xml"/><Relationship Id="rId5" Type="http://schemas.openxmlformats.org/officeDocument/2006/relationships/webSettings" Target="webSettings.xml"/><Relationship Id="rId19" Type="http://schemas.openxmlformats.org/officeDocument/2006/relationships/hyperlink" Target="https://doi.org/10.1080/07352680802364147" TargetMode="External"/><Relationship Id="rId4" Type="http://schemas.openxmlformats.org/officeDocument/2006/relationships/settings" Target="settings.xml"/><Relationship Id="rId9" Type="http://schemas.openxmlformats.org/officeDocument/2006/relationships/hyperlink" Target="https://doi.org/10.1038/s41586-019-1711-4" TargetMode="External"/><Relationship Id="rId14" Type="http://schemas.openxmlformats.org/officeDocument/2006/relationships/hyperlink" Target="https://doi.org/10.1016/j.tplants.2017.08.011" TargetMode="External"/><Relationship Id="rId22" Type="http://schemas.openxmlformats.org/officeDocument/2006/relationships/hyperlink" Target="https://doi.org/10.3389/fpls.2019.01649" TargetMode="External"/><Relationship Id="rId27" Type="http://schemas.openxmlformats.org/officeDocument/2006/relationships/hyperlink" Target="https://doi.org/10.1111/pbi.12495" TargetMode="External"/><Relationship Id="rId30" Type="http://schemas.openxmlformats.org/officeDocument/2006/relationships/hyperlink" Target="https://doi.org/10.1371/journal.pone.0036674" TargetMode="External"/><Relationship Id="rId35" Type="http://schemas.openxmlformats.org/officeDocument/2006/relationships/hyperlink" Target="https://doi.org/10.3389/fpls.2016.01904" TargetMode="External"/><Relationship Id="rId43" Type="http://schemas.openxmlformats.org/officeDocument/2006/relationships/hyperlink" Target="https://doi.org/10.1126/science.aal1556" TargetMode="External"/><Relationship Id="rId48" Type="http://schemas.openxmlformats.org/officeDocument/2006/relationships/hyperlink" Target="https://doi.org/10.2135/cropsci2007.04.0191" TargetMode="External"/><Relationship Id="rId56" Type="http://schemas.openxmlformats.org/officeDocument/2006/relationships/fontTable" Target="fontTable.xml"/><Relationship Id="rId8" Type="http://schemas.openxmlformats.org/officeDocument/2006/relationships/hyperlink" Target="https://doi.org/10.1007/s00299-016-2062-3" TargetMode="External"/><Relationship Id="rId51" Type="http://schemas.openxmlformats.org/officeDocument/2006/relationships/header" Target="header2.xml"/><Relationship Id="rId3" Type="http://schemas.openxmlformats.org/officeDocument/2006/relationships/styles" Target="styles.xml"/><Relationship Id="rId12" Type="http://schemas.openxmlformats.org/officeDocument/2006/relationships/hyperlink" Target="https://doi.org/10.1016/j.biotechadv.2014.12.006" TargetMode="External"/><Relationship Id="rId17" Type="http://schemas.openxmlformats.org/officeDocument/2006/relationships/hyperlink" Target="https://doi.org/10.17660/ActaHortic.2020.1272.1" TargetMode="External"/><Relationship Id="rId25" Type="http://schemas.openxmlformats.org/officeDocument/2006/relationships/hyperlink" Target="https://doi.org/10.1146/annurev-arplant-050213-035715" TargetMode="External"/><Relationship Id="rId33" Type="http://schemas.openxmlformats.org/officeDocument/2006/relationships/hyperlink" Target="https://doi.org/10.1094/PHYTO-03-13-0073-R" TargetMode="External"/><Relationship Id="rId38" Type="http://schemas.openxmlformats.org/officeDocument/2006/relationships/hyperlink" Target="https://doi.org/10.1111/nph.14702" TargetMode="External"/><Relationship Id="rId46" Type="http://schemas.openxmlformats.org/officeDocument/2006/relationships/hyperlink" Target="https://doi.org/10.1038/s41477-017-0083-8" TargetMode="External"/><Relationship Id="rId20" Type="http://schemas.openxmlformats.org/officeDocument/2006/relationships/hyperlink" Target="https://doi.org/10.1038/s41588-019-0410-2" TargetMode="External"/><Relationship Id="rId41" Type="http://schemas.openxmlformats.org/officeDocument/2006/relationships/hyperlink" Target="https://doi.org/10.1111/tpj.12105" TargetMode="External"/><Relationship Id="rId54"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038/s41467-017-01670-6" TargetMode="External"/><Relationship Id="rId23" Type="http://schemas.openxmlformats.org/officeDocument/2006/relationships/hyperlink" Target="https://doi.org/10.1098/rstb.2005.1670" TargetMode="External"/><Relationship Id="rId28" Type="http://schemas.openxmlformats.org/officeDocument/2006/relationships/hyperlink" Target="https://doi.org/10.1186/s13059-017-1341-9" TargetMode="External"/><Relationship Id="rId36" Type="http://schemas.openxmlformats.org/officeDocument/2006/relationships/hyperlink" Target="https://doi.org/10.1093/genetics/157.4.1819" TargetMode="External"/><Relationship Id="rId49" Type="http://schemas.openxmlformats.org/officeDocument/2006/relationships/hyperlink" Target="https://doi.org/10.1038/nbt.4272" TargetMode="External"/><Relationship Id="rId57" Type="http://schemas.openxmlformats.org/officeDocument/2006/relationships/theme" Target="theme/theme1.xml"/><Relationship Id="rId10" Type="http://schemas.openxmlformats.org/officeDocument/2006/relationships/hyperlink" Target="https://doi.org/10.1038/s41587-020-0561-9" TargetMode="External"/><Relationship Id="rId31" Type="http://schemas.openxmlformats.org/officeDocument/2006/relationships/hyperlink" Target="https://doi.org/10.1186/s13059-018-1443-z" TargetMode="External"/><Relationship Id="rId44" Type="http://schemas.openxmlformats.org/officeDocument/2006/relationships/hyperlink" Target="https://doi.org/10.1038/nbt.3611" TargetMode="External"/><Relationship Id="rId5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E152F6-49E1-486C-8036-08544FCAD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16</Pages>
  <Words>9705</Words>
  <Characters>55323</Characters>
  <Application>Microsoft Office Word</Application>
  <DocSecurity>0</DocSecurity>
  <Lines>461</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yogeshwayal363@gmail.com</dc:creator>
  <cp:keywords/>
  <dc:description/>
  <cp:lastModifiedBy>SDI 1084</cp:lastModifiedBy>
  <cp:revision>32</cp:revision>
  <dcterms:created xsi:type="dcterms:W3CDTF">2026-02-23T16:13:00Z</dcterms:created>
  <dcterms:modified xsi:type="dcterms:W3CDTF">2026-02-26T13:06:00Z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e5e3bde1-0f13-4ba1-9b2c-61d5f6db4bd3</vt:lpwstr>
  </property>
</Properties>
</file>