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37B042" w14:textId="77777777" w:rsidR="007B7250" w:rsidRPr="007B7250" w:rsidRDefault="007B7250" w:rsidP="007B7250">
      <w:pPr>
        <w:jc w:val="right"/>
        <w:rPr>
          <w:rFonts w:ascii="Arial" w:hAnsi="Arial" w:cs="Arial"/>
          <w:b/>
          <w:bCs/>
          <w:i/>
          <w:iCs/>
          <w:sz w:val="36"/>
          <w:szCs w:val="36"/>
          <w:u w:val="single"/>
        </w:rPr>
      </w:pPr>
      <w:bookmarkStart w:id="0" w:name="_Hlk223787663"/>
      <w:r w:rsidRPr="007B7250">
        <w:rPr>
          <w:rFonts w:ascii="Arial" w:hAnsi="Arial" w:cs="Arial"/>
          <w:b/>
          <w:bCs/>
          <w:i/>
          <w:iCs/>
          <w:sz w:val="36"/>
          <w:szCs w:val="36"/>
          <w:u w:val="single"/>
        </w:rPr>
        <w:t>Original Research Article</w:t>
      </w:r>
    </w:p>
    <w:p w14:paraId="025BE66F" w14:textId="77777777" w:rsidR="002941E1" w:rsidRPr="00307A66" w:rsidRDefault="002C338E" w:rsidP="008E70E1">
      <w:pPr>
        <w:jc w:val="right"/>
        <w:rPr>
          <w:rFonts w:ascii="Arial" w:hAnsi="Arial" w:cs="Arial"/>
          <w:sz w:val="36"/>
          <w:szCs w:val="36"/>
        </w:rPr>
      </w:pPr>
      <w:r w:rsidRPr="00307A66">
        <w:rPr>
          <w:rFonts w:ascii="Arial" w:hAnsi="Arial" w:cs="Arial"/>
          <w:b/>
          <w:sz w:val="36"/>
          <w:szCs w:val="36"/>
        </w:rPr>
        <w:t>ASSOCIATION BETWEEN ABO BLOOD GROUPS AND LIPID PROFILE OF APPARENTLY HEALTHY INDIVIDUALS IN ENUGU METROPOLIS.</w:t>
      </w:r>
    </w:p>
    <w:p w14:paraId="1AA3EBAC" w14:textId="77777777" w:rsidR="002941E1" w:rsidRPr="00307A66" w:rsidRDefault="002C338E" w:rsidP="008E70E1">
      <w:pPr>
        <w:rPr>
          <w:rFonts w:ascii="Arial" w:hAnsi="Arial" w:cs="Arial"/>
          <w:sz w:val="20"/>
        </w:rPr>
      </w:pPr>
      <w:r w:rsidRPr="00307A66">
        <w:rPr>
          <w:rFonts w:ascii="Arial" w:hAnsi="Arial" w:cs="Arial"/>
          <w:b/>
          <w:sz w:val="20"/>
        </w:rPr>
        <w:t xml:space="preserve"> </w:t>
      </w:r>
    </w:p>
    <w:p w14:paraId="210F3432" w14:textId="32A436EF" w:rsidR="002941E1" w:rsidRDefault="002941E1" w:rsidP="008E70E1">
      <w:pPr>
        <w:rPr>
          <w:rFonts w:ascii="Arial" w:hAnsi="Arial" w:cs="Arial"/>
          <w:sz w:val="20"/>
        </w:rPr>
      </w:pPr>
    </w:p>
    <w:p w14:paraId="60DC34E1" w14:textId="77777777" w:rsidR="00581421" w:rsidRPr="00307A66" w:rsidRDefault="00581421" w:rsidP="008E70E1">
      <w:pPr>
        <w:rPr>
          <w:rFonts w:ascii="Arial" w:hAnsi="Arial" w:cs="Arial"/>
          <w:sz w:val="20"/>
        </w:rPr>
      </w:pPr>
    </w:p>
    <w:p w14:paraId="663902B2" w14:textId="77777777" w:rsidR="002941E1" w:rsidRPr="00307A66" w:rsidRDefault="002C338E" w:rsidP="008E70E1">
      <w:pPr>
        <w:rPr>
          <w:rFonts w:ascii="Arial" w:hAnsi="Arial" w:cs="Arial"/>
          <w:sz w:val="20"/>
        </w:rPr>
      </w:pPr>
      <w:r w:rsidRPr="00307A66">
        <w:rPr>
          <w:rFonts w:ascii="Arial" w:hAnsi="Arial" w:cs="Arial"/>
          <w:b/>
          <w:sz w:val="20"/>
        </w:rPr>
        <w:t>ABSTRACT</w:t>
      </w:r>
    </w:p>
    <w:p w14:paraId="4E91A01D" w14:textId="77777777" w:rsidR="00DA5D4B" w:rsidRDefault="00DA5D4B" w:rsidP="00DA5D4B">
      <w:pPr>
        <w:rPr>
          <w:rFonts w:ascii="Arial" w:hAnsi="Arial" w:cs="Arial"/>
          <w:sz w:val="20"/>
        </w:rPr>
      </w:pPr>
      <w:r w:rsidRPr="00365BF2">
        <w:rPr>
          <w:rFonts w:ascii="Arial" w:hAnsi="Arial" w:cs="Arial"/>
          <w:b/>
          <w:bCs/>
          <w:sz w:val="20"/>
        </w:rPr>
        <w:t>Aims:</w:t>
      </w:r>
      <w:r w:rsidRPr="00DA5D4B">
        <w:rPr>
          <w:rFonts w:ascii="Arial" w:hAnsi="Arial" w:cs="Arial"/>
          <w:sz w:val="20"/>
        </w:rPr>
        <w:t xml:space="preserve"> This study aimed to determine the percentage distribution of ABO blood groups and investigate the association between these blood groups and serum lipid profiles among apparently healthy individuals in the Enugu metropolis</w:t>
      </w:r>
    </w:p>
    <w:p w14:paraId="1C6FFD64" w14:textId="195AE1B5" w:rsidR="00DA5D4B" w:rsidRPr="00DA5D4B" w:rsidRDefault="00DA5D4B" w:rsidP="00DA5D4B">
      <w:pPr>
        <w:rPr>
          <w:rFonts w:ascii="Arial" w:hAnsi="Arial" w:cs="Arial"/>
          <w:sz w:val="20"/>
        </w:rPr>
      </w:pPr>
      <w:r w:rsidRPr="00DA5D4B">
        <w:rPr>
          <w:rFonts w:ascii="Arial" w:hAnsi="Arial" w:cs="Arial"/>
          <w:b/>
          <w:bCs/>
          <w:sz w:val="20"/>
        </w:rPr>
        <w:t>Study design:</w:t>
      </w:r>
      <w:r w:rsidRPr="00DA5D4B">
        <w:rPr>
          <w:rFonts w:ascii="Arial" w:hAnsi="Arial" w:cs="Arial"/>
          <w:sz w:val="20"/>
        </w:rPr>
        <w:t xml:space="preserve"> Cross-sectional study</w:t>
      </w:r>
    </w:p>
    <w:p w14:paraId="587FDF40" w14:textId="38EDB27D" w:rsidR="00DA5D4B" w:rsidRPr="00DA5D4B" w:rsidRDefault="004369A6" w:rsidP="00DA5D4B">
      <w:pPr>
        <w:rPr>
          <w:rFonts w:ascii="Arial" w:hAnsi="Arial" w:cs="Arial"/>
          <w:sz w:val="20"/>
        </w:rPr>
      </w:pPr>
      <w:r>
        <w:rPr>
          <w:rFonts w:ascii="Arial" w:hAnsi="Arial" w:cs="Arial"/>
          <w:b/>
          <w:bCs/>
          <w:sz w:val="20"/>
        </w:rPr>
        <w:t>Study area</w:t>
      </w:r>
      <w:r w:rsidR="00DA5D4B" w:rsidRPr="00DA5D4B">
        <w:rPr>
          <w:rFonts w:ascii="Arial" w:hAnsi="Arial" w:cs="Arial"/>
          <w:sz w:val="20"/>
        </w:rPr>
        <w:t>: Enugu Metropolis, Nigeria</w:t>
      </w:r>
      <w:r>
        <w:rPr>
          <w:rFonts w:ascii="Arial" w:hAnsi="Arial" w:cs="Arial"/>
          <w:sz w:val="20"/>
        </w:rPr>
        <w:t>.</w:t>
      </w:r>
    </w:p>
    <w:p w14:paraId="58F4465F" w14:textId="77777777" w:rsidR="00DA5D4B" w:rsidRDefault="00DA5D4B" w:rsidP="00DA5D4B">
      <w:pPr>
        <w:rPr>
          <w:rFonts w:ascii="Arial" w:hAnsi="Arial" w:cs="Arial"/>
          <w:sz w:val="20"/>
        </w:rPr>
      </w:pPr>
      <w:r w:rsidRPr="00DA5D4B">
        <w:rPr>
          <w:rFonts w:ascii="Arial" w:hAnsi="Arial" w:cs="Arial"/>
          <w:b/>
          <w:bCs/>
          <w:sz w:val="20"/>
        </w:rPr>
        <w:t>Methodology:</w:t>
      </w:r>
      <w:r w:rsidRPr="00DA5D4B">
        <w:rPr>
          <w:rFonts w:ascii="Arial" w:hAnsi="Arial" w:cs="Arial"/>
          <w:sz w:val="20"/>
        </w:rPr>
        <w:t xml:space="preserve"> A total of 104 apparently healthy subjects (55 males, 49 females) aged 18 years and above were recruited via simple random sampling</w:t>
      </w:r>
      <w:r>
        <w:rPr>
          <w:rFonts w:ascii="Arial" w:hAnsi="Arial" w:cs="Arial"/>
          <w:sz w:val="20"/>
        </w:rPr>
        <w:t>.</w:t>
      </w:r>
      <w:r w:rsidRPr="00DA5D4B">
        <w:rPr>
          <w:rFonts w:ascii="Arial" w:hAnsi="Arial" w:cs="Arial"/>
          <w:sz w:val="20"/>
        </w:rPr>
        <w:t xml:space="preserve"> Structured questionnaires were used to collect biodata, and fasting blood samples were analyzed for ABO blood group antigens and lipid profile parameters, including total cholesterol (TC), high-density lipoprotein cholesterol (HDLC), low-density lipoprotein cholesterol (LDLC), very-low-density lipoprotein cholesterol (VLDLC), and triglycerides (TG)</w:t>
      </w:r>
      <w:r>
        <w:rPr>
          <w:rFonts w:ascii="Arial" w:hAnsi="Arial" w:cs="Arial"/>
          <w:sz w:val="20"/>
        </w:rPr>
        <w:t xml:space="preserve">. </w:t>
      </w:r>
      <w:r w:rsidRPr="00DA5D4B">
        <w:rPr>
          <w:rFonts w:ascii="Arial" w:hAnsi="Arial" w:cs="Arial"/>
          <w:sz w:val="20"/>
        </w:rPr>
        <w:t>Data were analyzed using student’s t-test and one-way analysis of variance (ANOVA), with significance set at P&lt;.05</w:t>
      </w:r>
      <w:r>
        <w:rPr>
          <w:rFonts w:ascii="Arial" w:hAnsi="Arial" w:cs="Arial"/>
          <w:sz w:val="20"/>
        </w:rPr>
        <w:t>.</w:t>
      </w:r>
    </w:p>
    <w:p w14:paraId="16516A4A" w14:textId="28ADB741" w:rsidR="00DA5D4B" w:rsidRPr="00DA5D4B" w:rsidRDefault="00DA5D4B" w:rsidP="00DA5D4B">
      <w:pPr>
        <w:rPr>
          <w:rFonts w:ascii="Arial" w:hAnsi="Arial" w:cs="Arial"/>
          <w:sz w:val="20"/>
        </w:rPr>
      </w:pPr>
      <w:r w:rsidRPr="00DA5D4B">
        <w:rPr>
          <w:rFonts w:ascii="Arial" w:hAnsi="Arial" w:cs="Arial"/>
          <w:b/>
          <w:bCs/>
          <w:sz w:val="20"/>
        </w:rPr>
        <w:t>Results:</w:t>
      </w:r>
      <w:r w:rsidRPr="00DA5D4B">
        <w:rPr>
          <w:rFonts w:ascii="Arial" w:hAnsi="Arial" w:cs="Arial"/>
          <w:sz w:val="20"/>
        </w:rPr>
        <w:t xml:space="preserve"> The blood group distribution was 56.7% for Group O, 25.0% for Group A, 15.4% for Group B, and 2.9% for Group AB</w:t>
      </w:r>
      <w:r w:rsidR="00365BF2">
        <w:rPr>
          <w:rFonts w:ascii="Arial" w:hAnsi="Arial" w:cs="Arial"/>
          <w:sz w:val="20"/>
        </w:rPr>
        <w:t xml:space="preserve">. </w:t>
      </w:r>
      <w:r w:rsidRPr="00DA5D4B">
        <w:rPr>
          <w:rFonts w:ascii="Arial" w:hAnsi="Arial" w:cs="Arial"/>
          <w:sz w:val="20"/>
        </w:rPr>
        <w:t xml:space="preserve">No statistically significant differences were observed in the mean values of TC (P=.63), HDLC (P=.44), LDLC (P=.77), VLDLC (P=.93), and TG (P=.99) when comparing blood </w:t>
      </w:r>
      <w:r w:rsidR="00AB1640" w:rsidRPr="00DA5D4B">
        <w:rPr>
          <w:rFonts w:ascii="Arial" w:hAnsi="Arial" w:cs="Arial"/>
          <w:sz w:val="20"/>
        </w:rPr>
        <w:t>groups,</w:t>
      </w:r>
      <w:r w:rsidRPr="00DA5D4B">
        <w:rPr>
          <w:rFonts w:ascii="Arial" w:hAnsi="Arial" w:cs="Arial"/>
          <w:sz w:val="20"/>
        </w:rPr>
        <w:t xml:space="preserve"> A, AB, and O. Similarly, no significant differences existed between male and female subjects across most parameters (P&gt;.05); however, statistically significant differences in LDLC and HDLC were uniquely identified within individuals belonging to blood group B</w:t>
      </w:r>
      <w:r w:rsidR="00365BF2">
        <w:rPr>
          <w:rFonts w:ascii="Arial" w:hAnsi="Arial" w:cs="Arial"/>
          <w:sz w:val="20"/>
        </w:rPr>
        <w:t>.</w:t>
      </w:r>
    </w:p>
    <w:p w14:paraId="35F4088A" w14:textId="5FAD9695" w:rsidR="00DA5D4B" w:rsidRDefault="00DA5D4B" w:rsidP="00DA5D4B">
      <w:pPr>
        <w:rPr>
          <w:rFonts w:ascii="Arial" w:hAnsi="Arial" w:cs="Arial"/>
          <w:sz w:val="20"/>
        </w:rPr>
      </w:pPr>
      <w:r w:rsidRPr="00365BF2">
        <w:rPr>
          <w:rFonts w:ascii="Arial" w:hAnsi="Arial" w:cs="Arial"/>
          <w:b/>
          <w:bCs/>
          <w:sz w:val="20"/>
        </w:rPr>
        <w:t>Conclusion:</w:t>
      </w:r>
      <w:r w:rsidRPr="00DA5D4B">
        <w:rPr>
          <w:rFonts w:ascii="Arial" w:hAnsi="Arial" w:cs="Arial"/>
          <w:sz w:val="20"/>
        </w:rPr>
        <w:t xml:space="preserve"> The findings suggest that ABO blood group antigens do not exert a marked effect on serum lipid profiles among apparently healthy individuals in the Enugu metropolis. Consequently, the inherited ABO phenotype may not be a primary independent risk factor for dyslipidemia-related cardiovascular diseases in this population, though gender-specific variations exist within Group B</w:t>
      </w:r>
      <w:r w:rsidR="003A7246">
        <w:rPr>
          <w:rFonts w:ascii="Arial" w:hAnsi="Arial" w:cs="Arial"/>
          <w:sz w:val="20"/>
        </w:rPr>
        <w:t>.</w:t>
      </w:r>
    </w:p>
    <w:p w14:paraId="2176CEBD" w14:textId="77777777" w:rsidR="004369A6" w:rsidRPr="00DA5D4B" w:rsidRDefault="004369A6" w:rsidP="00DA5D4B">
      <w:pPr>
        <w:rPr>
          <w:rFonts w:ascii="Arial" w:hAnsi="Arial" w:cs="Arial"/>
          <w:sz w:val="20"/>
        </w:rPr>
      </w:pPr>
    </w:p>
    <w:p w14:paraId="5F5DA98D" w14:textId="64A17F71" w:rsidR="00DA5D4B" w:rsidRDefault="00DA5D4B" w:rsidP="00DA5D4B">
      <w:pPr>
        <w:rPr>
          <w:rFonts w:ascii="Arial" w:hAnsi="Arial" w:cs="Arial"/>
          <w:i/>
          <w:iCs/>
          <w:sz w:val="20"/>
        </w:rPr>
      </w:pPr>
      <w:r w:rsidRPr="003A7246">
        <w:rPr>
          <w:rFonts w:ascii="Arial" w:hAnsi="Arial" w:cs="Arial"/>
          <w:i/>
          <w:iCs/>
          <w:sz w:val="20"/>
        </w:rPr>
        <w:t>Keywords: ABO Blood Group, Lipid Profile, Enugu Metropolis, Cholesterol, Triglycerides</w:t>
      </w:r>
    </w:p>
    <w:p w14:paraId="2DEA030B" w14:textId="65E5DEC2" w:rsidR="002941E1" w:rsidRPr="004369A6" w:rsidRDefault="002941E1" w:rsidP="008E70E1">
      <w:pPr>
        <w:rPr>
          <w:rFonts w:ascii="Arial" w:hAnsi="Arial" w:cs="Arial"/>
          <w:sz w:val="20"/>
        </w:rPr>
      </w:pPr>
    </w:p>
    <w:p w14:paraId="3E9F97DC" w14:textId="77777777" w:rsidR="004369A6" w:rsidRPr="004369A6" w:rsidRDefault="004369A6" w:rsidP="008E70E1">
      <w:pPr>
        <w:rPr>
          <w:rFonts w:ascii="Arial" w:hAnsi="Arial" w:cs="Arial"/>
          <w:sz w:val="20"/>
        </w:rPr>
      </w:pPr>
    </w:p>
    <w:p w14:paraId="52A9B704" w14:textId="3F329004" w:rsidR="008E70E1" w:rsidRPr="00307A66" w:rsidRDefault="008E70E1" w:rsidP="008E70E1">
      <w:pPr>
        <w:pStyle w:val="BodyText"/>
        <w:spacing w:before="82"/>
        <w:ind w:right="696"/>
        <w:rPr>
          <w:rFonts w:ascii="Arial" w:hAnsi="Arial" w:cs="Arial"/>
          <w:b/>
          <w:bCs/>
          <w:sz w:val="22"/>
          <w:szCs w:val="22"/>
        </w:rPr>
      </w:pPr>
      <w:r w:rsidRPr="00307A66">
        <w:rPr>
          <w:rFonts w:ascii="Arial" w:hAnsi="Arial" w:cs="Arial"/>
          <w:b/>
          <w:bCs/>
          <w:sz w:val="22"/>
          <w:szCs w:val="22"/>
        </w:rPr>
        <w:t>INTRODUCTION</w:t>
      </w:r>
    </w:p>
    <w:p w14:paraId="37243118" w14:textId="77777777"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Human blood group antigens are complex glycoproteins and glycolipids expressed not only on the surface of red blood cells but across a diverse range of human tissues, including the epithelium, sensory neurons, platelets, and vascular endothelium (Ewald &amp; Sumner, 2018). </w:t>
      </w:r>
      <w:r w:rsidRPr="00610F3D">
        <w:rPr>
          <w:rFonts w:ascii="Arial" w:eastAsia="Georgia" w:hAnsi="Arial" w:cs="Arial"/>
          <w:sz w:val="20"/>
          <w:lang w:eastAsia="en-US"/>
        </w:rPr>
        <w:lastRenderedPageBreak/>
        <w:t>These human ABO blood type antigens exhibit alternative phenotypes and genetically derived glycoconjugate structures that play an active role in cellular physiology and pathology (Abegaz, 2021). At the molecular level, the ABO locus encodes specific glycosyltransferase activities; the A and B alleles convert the precursor H antigen into either A or B determinants by adding an extra saccharide unit—specifically N-</w:t>
      </w:r>
      <w:proofErr w:type="spellStart"/>
      <w:r w:rsidRPr="00610F3D">
        <w:rPr>
          <w:rFonts w:ascii="Arial" w:eastAsia="Georgia" w:hAnsi="Arial" w:cs="Arial"/>
          <w:sz w:val="20"/>
          <w:lang w:eastAsia="en-US"/>
        </w:rPr>
        <w:t>acetylgalactosamine</w:t>
      </w:r>
      <w:proofErr w:type="spellEnd"/>
      <w:r w:rsidRPr="00610F3D">
        <w:rPr>
          <w:rFonts w:ascii="Arial" w:eastAsia="Georgia" w:hAnsi="Arial" w:cs="Arial"/>
          <w:sz w:val="20"/>
          <w:lang w:eastAsia="en-US"/>
        </w:rPr>
        <w:t xml:space="preserve"> for Group A and galactose for Group B—whereas Group </w:t>
      </w:r>
      <w:proofErr w:type="spellStart"/>
      <w:r w:rsidRPr="00610F3D">
        <w:rPr>
          <w:rFonts w:ascii="Arial" w:eastAsia="Georgia" w:hAnsi="Arial" w:cs="Arial"/>
          <w:sz w:val="20"/>
          <w:lang w:eastAsia="en-US"/>
        </w:rPr>
        <w:t>O</w:t>
      </w:r>
      <w:proofErr w:type="spellEnd"/>
      <w:r w:rsidRPr="00610F3D">
        <w:rPr>
          <w:rFonts w:ascii="Arial" w:eastAsia="Georgia" w:hAnsi="Arial" w:cs="Arial"/>
          <w:sz w:val="20"/>
          <w:lang w:eastAsia="en-US"/>
        </w:rPr>
        <w:t xml:space="preserve"> individuals lack these transferase enzymes and express the basic, unchanged H antigen (de Mattos, 2016).</w:t>
      </w:r>
    </w:p>
    <w:p w14:paraId="027C3226" w14:textId="0A6D661C"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The ABO and Rh systems remain the most clinically significant blood group classifications (</w:t>
      </w:r>
      <w:proofErr w:type="spellStart"/>
      <w:r w:rsidRPr="00610F3D">
        <w:rPr>
          <w:rFonts w:ascii="Arial" w:eastAsia="Georgia" w:hAnsi="Arial" w:cs="Arial"/>
          <w:sz w:val="20"/>
          <w:lang w:eastAsia="en-US"/>
        </w:rPr>
        <w:t>Ristovska</w:t>
      </w:r>
      <w:proofErr w:type="spellEnd"/>
      <w:r w:rsidRPr="00610F3D">
        <w:rPr>
          <w:rFonts w:ascii="Arial" w:eastAsia="Georgia" w:hAnsi="Arial" w:cs="Arial"/>
          <w:sz w:val="20"/>
          <w:lang w:eastAsia="en-US"/>
        </w:rPr>
        <w:t xml:space="preserve">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2022). Karl Landsteiner first described the ABO blood group in 1900, a discovery that marked the inception of modern blood banking and transfusion medicine (Noor &amp; Asmaa, 2024). This classification is based on the inherited presence or absence of specific antigenic substances and their corresponding agglutinins: Type A blood possesses A antigens and anti-B antibodies; Type B possesses B antigens and anti-A antibodies; Type AB carries both antigens but no antibodies; and Type O carries neither antigen but possesses both A and B antibodies (Branch, 2015). Beyond their immunological role, the clinical significance of the ABO system is now known to extend far beyond the laboratory, correlating with the pathogenesis of several systemic diseases (Abegaz, 2021; Noor &amp; Asmaa, 2024).</w:t>
      </w:r>
    </w:p>
    <w:p w14:paraId="719C99C5" w14:textId="01740DBB"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A growing area of clinical interest is the interaction between these inherited phenotypes and metabolic markers, particularly lipids. Lipids are small hydrophobic molecules that serve as structural elements in biological membranes, energy reservoirs, and signaling molecules in cellular response pathways (Santos &amp; Preta, 2018). In modern clinical practice, the "lipid profile"—comprising total cholesterol (TC), high-density lipoprotein cholesterol (HDL-C), low-density lipoprotein cholesterol (LDL-C), triglycerides (TG), and very-low-density lipoprotein cholesterol (VLDL-C)—is a routine tool for cardiovascular risk prediction (Nimisha, 2015). Although lipids are physiological necessities, abnormal concentrations contribute significantly to the progression of atherosclerosis (Linton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xml:space="preserve">., 2019). These abnormalities can be </w:t>
      </w:r>
      <w:proofErr w:type="spellStart"/>
      <w:r w:rsidRPr="00610F3D">
        <w:rPr>
          <w:rFonts w:ascii="Arial" w:eastAsia="Georgia" w:hAnsi="Arial" w:cs="Arial"/>
          <w:sz w:val="20"/>
          <w:lang w:eastAsia="en-US"/>
        </w:rPr>
        <w:t>assessed</w:t>
      </w:r>
      <w:proofErr w:type="spellEnd"/>
      <w:r w:rsidRPr="00610F3D">
        <w:rPr>
          <w:rFonts w:ascii="Arial" w:eastAsia="Georgia" w:hAnsi="Arial" w:cs="Arial"/>
          <w:sz w:val="20"/>
          <w:lang w:eastAsia="en-US"/>
        </w:rPr>
        <w:t xml:space="preserve"> via a lipid profile panel, which serves as a critical broad medical screening tool for identifying cardiovascular risk (Vickers, 2019).</w:t>
      </w:r>
    </w:p>
    <w:p w14:paraId="1FC3FCBA" w14:textId="1381F6C3"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Accumulating evidence suggests that ABO blood types may modulate these cardiovascular risks. In non-O individuals, plasma levels of the factor VIII–von Willebrand factor (</w:t>
      </w:r>
      <w:proofErr w:type="spellStart"/>
      <w:r w:rsidRPr="00610F3D">
        <w:rPr>
          <w:rFonts w:ascii="Arial" w:eastAsia="Georgia" w:hAnsi="Arial" w:cs="Arial"/>
          <w:sz w:val="20"/>
          <w:lang w:eastAsia="en-US"/>
        </w:rPr>
        <w:t>vWF</w:t>
      </w:r>
      <w:proofErr w:type="spellEnd"/>
      <w:r w:rsidRPr="00610F3D">
        <w:rPr>
          <w:rFonts w:ascii="Arial" w:eastAsia="Georgia" w:hAnsi="Arial" w:cs="Arial"/>
          <w:sz w:val="20"/>
          <w:lang w:eastAsia="en-US"/>
        </w:rPr>
        <w:t xml:space="preserve">) complex are approximately 25% higher than in Group </w:t>
      </w:r>
      <w:proofErr w:type="spellStart"/>
      <w:r w:rsidRPr="00610F3D">
        <w:rPr>
          <w:rFonts w:ascii="Arial" w:eastAsia="Georgia" w:hAnsi="Arial" w:cs="Arial"/>
          <w:sz w:val="20"/>
          <w:lang w:eastAsia="en-US"/>
        </w:rPr>
        <w:t>O</w:t>
      </w:r>
      <w:proofErr w:type="spellEnd"/>
      <w:r w:rsidRPr="00610F3D">
        <w:rPr>
          <w:rFonts w:ascii="Arial" w:eastAsia="Georgia" w:hAnsi="Arial" w:cs="Arial"/>
          <w:sz w:val="20"/>
          <w:lang w:eastAsia="en-US"/>
        </w:rPr>
        <w:t xml:space="preserve"> individuals (Neshat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2024). These elevated factor VIII–</w:t>
      </w:r>
      <w:proofErr w:type="spellStart"/>
      <w:r w:rsidRPr="00610F3D">
        <w:rPr>
          <w:rFonts w:ascii="Arial" w:eastAsia="Georgia" w:hAnsi="Arial" w:cs="Arial"/>
          <w:sz w:val="20"/>
          <w:lang w:eastAsia="en-US"/>
        </w:rPr>
        <w:t>vWF</w:t>
      </w:r>
      <w:proofErr w:type="spellEnd"/>
      <w:r w:rsidRPr="00610F3D">
        <w:rPr>
          <w:rFonts w:ascii="Arial" w:eastAsia="Georgia" w:hAnsi="Arial" w:cs="Arial"/>
          <w:sz w:val="20"/>
          <w:lang w:eastAsia="en-US"/>
        </w:rPr>
        <w:t xml:space="preserve"> levels are a recognized risk factor for coronary heart disease (CHD) (Zhao &amp; Schooling, 2018). Furthermore, reports suggest that ABO blood groups are associated with the risk of ischemic heart diseases and the development of severe atherosclerosis (Neshat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2023). Specifically, studies have indicated that individuals with blood group A may be more predisposed to cardiovascular disease, while Group O may act as a protective anti-atherogenic factor (Shahid, 2019).</w:t>
      </w:r>
    </w:p>
    <w:p w14:paraId="47BC1EC2" w14:textId="7FFE175A" w:rsidR="008E70E1"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Despite these global observations, the susceptibility to various diseases—including cancer, cardiovascular disorders, and infections—often shows variability across different populations (Than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xml:space="preserve">., 2011). In a regional context such as the Enugu metropolis, understanding the local distribution of blood groups and their association with lipid parameters is vital for identifying cardiovascular risk among apparently healthy individuals. Risk factors for developing cardiovascular diseases are known to be proportional to the levels of TC, LDL-C, and TG, while HDL-C maintains an inverse relationship due to its protective role in reverse </w:t>
      </w:r>
      <w:r w:rsidRPr="00610F3D">
        <w:rPr>
          <w:rFonts w:ascii="Arial" w:eastAsia="Georgia" w:hAnsi="Arial" w:cs="Arial"/>
          <w:sz w:val="20"/>
          <w:lang w:eastAsia="en-US"/>
        </w:rPr>
        <w:lastRenderedPageBreak/>
        <w:t>cholesterol transport. Therefore, this study aims to determine the association between ABO blood groups and lipid profiles in the Enugu metropolis. By evaluating the level of dyslipidemia among different ABO phenotypes, this research seeks to clarify whether inherited blood antigens exert a marked effect on serum lipids to enhance primary prevention strategies within this Nigerian population.</w:t>
      </w:r>
    </w:p>
    <w:p w14:paraId="78786E76" w14:textId="77777777" w:rsidR="00610F3D" w:rsidRPr="00307A66" w:rsidRDefault="00610F3D" w:rsidP="00610F3D">
      <w:pPr>
        <w:rPr>
          <w:rFonts w:ascii="Arial" w:eastAsia="Georgia" w:hAnsi="Arial" w:cs="Arial"/>
          <w:sz w:val="20"/>
          <w:lang w:eastAsia="en-US"/>
        </w:rPr>
      </w:pPr>
    </w:p>
    <w:p w14:paraId="06D0431E" w14:textId="5C75ADDC" w:rsidR="008E70E1" w:rsidRPr="00307A66" w:rsidRDefault="008E70E1" w:rsidP="008E70E1">
      <w:pPr>
        <w:rPr>
          <w:rFonts w:ascii="Arial" w:eastAsia="Georgia" w:hAnsi="Arial" w:cs="Arial"/>
          <w:b/>
          <w:bCs/>
          <w:sz w:val="20"/>
          <w:lang w:eastAsia="en-US"/>
        </w:rPr>
      </w:pPr>
      <w:r w:rsidRPr="00307A66">
        <w:rPr>
          <w:rFonts w:ascii="Arial" w:eastAsia="Georgia" w:hAnsi="Arial" w:cs="Arial"/>
          <w:b/>
          <w:bCs/>
          <w:sz w:val="20"/>
          <w:lang w:eastAsia="en-US"/>
        </w:rPr>
        <w:t>MATERIALS AND METHODS</w:t>
      </w:r>
    </w:p>
    <w:p w14:paraId="299BC3A4" w14:textId="77777777" w:rsidR="00785A95" w:rsidRPr="00307A66" w:rsidRDefault="00785A95" w:rsidP="008E70E1">
      <w:pPr>
        <w:rPr>
          <w:rFonts w:ascii="Arial" w:eastAsia="Georgia" w:hAnsi="Arial" w:cs="Arial"/>
          <w:b/>
          <w:bCs/>
          <w:sz w:val="20"/>
          <w:lang w:eastAsia="en-US"/>
        </w:rPr>
      </w:pPr>
    </w:p>
    <w:p w14:paraId="0DE64127" w14:textId="4E81B948"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Study Area</w:t>
      </w:r>
      <w:r w:rsidR="008C3759" w:rsidRPr="00307A66">
        <w:rPr>
          <w:rFonts w:ascii="Arial" w:eastAsia="Georgia" w:hAnsi="Arial" w:cs="Arial"/>
          <w:b/>
          <w:bCs/>
          <w:sz w:val="20"/>
          <w:lang w:eastAsia="en-US"/>
        </w:rPr>
        <w:t>:</w:t>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This study was carried out in Enugu metropolis located in the southeast of the country with population size of 3,267,837. Enugu state spreads its border to the state of Kogi and Benue to the north, Ebonyi to the east, Abia and Imo to the south and Anambra to the west, covering an area of around 7,161km</w:t>
      </w:r>
      <w:r w:rsidRPr="00231F3D">
        <w:rPr>
          <w:rFonts w:ascii="Arial" w:eastAsia="Georgia" w:hAnsi="Arial" w:cs="Arial"/>
          <w:sz w:val="20"/>
          <w:vertAlign w:val="superscript"/>
          <w:lang w:eastAsia="en-US"/>
        </w:rPr>
        <w:t>2</w:t>
      </w:r>
      <w:r w:rsidRPr="00307A66">
        <w:rPr>
          <w:rFonts w:ascii="Arial" w:eastAsia="Georgia" w:hAnsi="Arial" w:cs="Arial"/>
          <w:sz w:val="20"/>
          <w:lang w:eastAsia="en-US"/>
        </w:rPr>
        <w:t xml:space="preserve"> (Chukwudi, 2017). The inhabitants are mainly civil servant, students and business people.</w:t>
      </w:r>
    </w:p>
    <w:p w14:paraId="27EDEAAE" w14:textId="77777777" w:rsidR="00785A95" w:rsidRPr="00307A66" w:rsidRDefault="00785A95" w:rsidP="008E70E1">
      <w:pPr>
        <w:rPr>
          <w:rFonts w:ascii="Arial" w:eastAsia="Georgia" w:hAnsi="Arial" w:cs="Arial"/>
          <w:b/>
          <w:bCs/>
          <w:sz w:val="20"/>
          <w:lang w:eastAsia="en-US"/>
        </w:rPr>
      </w:pPr>
    </w:p>
    <w:p w14:paraId="17E29846" w14:textId="57AD2193"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Sample size:</w:t>
      </w:r>
      <w:r w:rsidRPr="00307A66">
        <w:rPr>
          <w:rFonts w:ascii="Arial" w:eastAsia="Georgia" w:hAnsi="Arial" w:cs="Arial"/>
          <w:b/>
          <w:bCs/>
          <w:sz w:val="20"/>
          <w:lang w:eastAsia="en-US"/>
        </w:rPr>
        <w:tab/>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A standard statistical formula (</w:t>
      </w:r>
      <w:proofErr w:type="spellStart"/>
      <w:r w:rsidRPr="00307A66">
        <w:rPr>
          <w:rFonts w:ascii="Arial" w:eastAsia="Georgia" w:hAnsi="Arial" w:cs="Arial"/>
          <w:sz w:val="20"/>
          <w:lang w:eastAsia="en-US"/>
        </w:rPr>
        <w:t>Araoye</w:t>
      </w:r>
      <w:proofErr w:type="spellEnd"/>
      <w:r w:rsidRPr="00307A66">
        <w:rPr>
          <w:rFonts w:ascii="Arial" w:eastAsia="Georgia" w:hAnsi="Arial" w:cs="Arial"/>
          <w:sz w:val="20"/>
          <w:lang w:eastAsia="en-US"/>
        </w:rPr>
        <w:t>, 2004) was used to determine the sample size as follows: -</w:t>
      </w:r>
    </w:p>
    <w:p w14:paraId="6AF8635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r>
      <w:r w:rsidRPr="00307A66">
        <w:rPr>
          <w:rFonts w:ascii="Arial" w:eastAsia="Georgia" w:hAnsi="Arial" w:cs="Arial"/>
          <w:sz w:val="20"/>
          <w:u w:val="single"/>
          <w:lang w:eastAsia="en-US"/>
        </w:rPr>
        <w:t>Za</w:t>
      </w:r>
      <w:r w:rsidRPr="00231F3D">
        <w:rPr>
          <w:rFonts w:ascii="Arial" w:eastAsia="Georgia" w:hAnsi="Arial" w:cs="Arial"/>
          <w:sz w:val="20"/>
          <w:u w:val="single"/>
          <w:vertAlign w:val="superscript"/>
          <w:lang w:eastAsia="en-US"/>
        </w:rPr>
        <w:t>2</w:t>
      </w:r>
      <w:r w:rsidRPr="00307A66">
        <w:rPr>
          <w:rFonts w:ascii="Arial" w:eastAsia="Georgia" w:hAnsi="Arial" w:cs="Arial"/>
          <w:sz w:val="20"/>
          <w:u w:val="single"/>
          <w:lang w:eastAsia="en-US"/>
        </w:rPr>
        <w:t>P(1-p)</w:t>
      </w:r>
    </w:p>
    <w:p w14:paraId="5608A78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t xml:space="preserve">     d</w:t>
      </w:r>
      <w:r w:rsidRPr="00231F3D">
        <w:rPr>
          <w:rFonts w:ascii="Arial" w:eastAsia="Georgia" w:hAnsi="Arial" w:cs="Arial"/>
          <w:sz w:val="20"/>
          <w:vertAlign w:val="superscript"/>
          <w:lang w:eastAsia="en-US"/>
        </w:rPr>
        <w:t>2</w:t>
      </w:r>
    </w:p>
    <w:p w14:paraId="250F971F"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Where:</w:t>
      </w:r>
    </w:p>
    <w:p w14:paraId="62255920"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Sample size</w:t>
      </w:r>
      <w:r w:rsidRPr="00307A66">
        <w:rPr>
          <w:rFonts w:ascii="Arial" w:eastAsia="Georgia" w:hAnsi="Arial" w:cs="Arial"/>
          <w:sz w:val="20"/>
          <w:lang w:eastAsia="en-US"/>
        </w:rPr>
        <w:tab/>
      </w:r>
    </w:p>
    <w:p w14:paraId="4DD90AC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Za</w:t>
      </w:r>
      <w:r w:rsidRPr="00307A66">
        <w:rPr>
          <w:rFonts w:ascii="Arial" w:eastAsia="Georgia" w:hAnsi="Arial" w:cs="Arial"/>
          <w:sz w:val="20"/>
          <w:lang w:eastAsia="en-US"/>
        </w:rPr>
        <w:tab/>
        <w:t>=</w:t>
      </w:r>
      <w:r w:rsidRPr="00307A66">
        <w:rPr>
          <w:rFonts w:ascii="Arial" w:eastAsia="Georgia" w:hAnsi="Arial" w:cs="Arial"/>
          <w:sz w:val="20"/>
          <w:lang w:eastAsia="en-US"/>
        </w:rPr>
        <w:tab/>
        <w:t xml:space="preserve">Significant level which is set at 95% confidence interval </w:t>
      </w:r>
    </w:p>
    <w:p w14:paraId="1A801CB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t>(1.96)</w:t>
      </w:r>
    </w:p>
    <w:p w14:paraId="3FDA3B79"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P</w:t>
      </w:r>
      <w:r w:rsidRPr="00307A66">
        <w:rPr>
          <w:rFonts w:ascii="Arial" w:eastAsia="Georgia" w:hAnsi="Arial" w:cs="Arial"/>
          <w:sz w:val="20"/>
          <w:lang w:eastAsia="en-US"/>
        </w:rPr>
        <w:tab/>
        <w:t>=</w:t>
      </w:r>
      <w:r w:rsidRPr="00307A66">
        <w:rPr>
          <w:rFonts w:ascii="Arial" w:eastAsia="Georgia" w:hAnsi="Arial" w:cs="Arial"/>
          <w:sz w:val="20"/>
          <w:lang w:eastAsia="en-US"/>
        </w:rPr>
        <w:tab/>
        <w:t>Proportion of target population estimated</w:t>
      </w:r>
    </w:p>
    <w:p w14:paraId="32286421"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d</w:t>
      </w:r>
      <w:r w:rsidRPr="00307A66">
        <w:rPr>
          <w:rFonts w:ascii="Arial" w:eastAsia="Georgia" w:hAnsi="Arial" w:cs="Arial"/>
          <w:sz w:val="20"/>
          <w:lang w:eastAsia="en-US"/>
        </w:rPr>
        <w:tab/>
        <w:t>=</w:t>
      </w:r>
      <w:r w:rsidRPr="00307A66">
        <w:rPr>
          <w:rFonts w:ascii="Arial" w:eastAsia="Georgia" w:hAnsi="Arial" w:cs="Arial"/>
          <w:sz w:val="20"/>
          <w:lang w:eastAsia="en-US"/>
        </w:rPr>
        <w:tab/>
        <w:t>Margin of error tolerated (5% i.e. 0.05)</w:t>
      </w:r>
    </w:p>
    <w:p w14:paraId="5296114A"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 xml:space="preserve">Therefore, using 0.05 proportion derived from study and 0.05 as absolute </w:t>
      </w:r>
    </w:p>
    <w:p w14:paraId="622232C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error, the sample size will be calculated as follows: -</w:t>
      </w:r>
    </w:p>
    <w:p w14:paraId="5502CF8A"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(1.98)2 x 0.05)</w:t>
      </w:r>
      <w:proofErr w:type="gramStart"/>
      <w:r w:rsidRPr="00307A66">
        <w:rPr>
          <w:rFonts w:ascii="Arial" w:eastAsia="Georgia" w:hAnsi="Arial" w:cs="Arial"/>
          <w:sz w:val="20"/>
          <w:lang w:eastAsia="en-US"/>
        </w:rPr>
        <w:t>/(</w:t>
      </w:r>
      <w:proofErr w:type="gramEnd"/>
      <w:r w:rsidRPr="00307A66">
        <w:rPr>
          <w:rFonts w:ascii="Arial" w:eastAsia="Georgia" w:hAnsi="Arial" w:cs="Arial"/>
          <w:sz w:val="20"/>
          <w:lang w:eastAsia="en-US"/>
        </w:rPr>
        <w:t>0.05)2</w:t>
      </w:r>
    </w:p>
    <w:p w14:paraId="67E0B367"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3.8416 x 0.05)/0.0025</w:t>
      </w:r>
    </w:p>
    <w:p w14:paraId="324F6131"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3.8416 x 0.05 x 380</w:t>
      </w:r>
    </w:p>
    <w:p w14:paraId="2A50686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 xml:space="preserve">72.99 + 10%.  Attrition </w:t>
      </w:r>
    </w:p>
    <w:p w14:paraId="69C2C5FB"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72.99 + 7.299</w:t>
      </w:r>
    </w:p>
    <w:p w14:paraId="70322AB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80.289</w:t>
      </w:r>
    </w:p>
    <w:p w14:paraId="4F9D83F9"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The study population therefore targeted a minimum of 80 subjects.</w:t>
      </w:r>
    </w:p>
    <w:p w14:paraId="54967B67" w14:textId="77777777" w:rsidR="00785A95" w:rsidRPr="00307A66" w:rsidRDefault="00785A95" w:rsidP="008E70E1">
      <w:pPr>
        <w:rPr>
          <w:rFonts w:ascii="Arial" w:eastAsia="Georgia" w:hAnsi="Arial" w:cs="Arial"/>
          <w:b/>
          <w:bCs/>
          <w:sz w:val="20"/>
          <w:lang w:eastAsia="en-US"/>
        </w:rPr>
      </w:pPr>
    </w:p>
    <w:p w14:paraId="79660177" w14:textId="6D50ECBA"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Subjects</w:t>
      </w:r>
      <w:r w:rsidR="00713410" w:rsidRPr="00307A66">
        <w:rPr>
          <w:rFonts w:ascii="Arial" w:eastAsia="Georgia" w:hAnsi="Arial" w:cs="Arial"/>
          <w:b/>
          <w:bCs/>
          <w:sz w:val="20"/>
          <w:lang w:eastAsia="en-US"/>
        </w:rPr>
        <w:t>:</w:t>
      </w:r>
      <w:r w:rsidR="00713410" w:rsidRPr="00307A66">
        <w:rPr>
          <w:rFonts w:ascii="Arial" w:eastAsia="Georgia" w:hAnsi="Arial" w:cs="Arial"/>
          <w:sz w:val="20"/>
          <w:lang w:eastAsia="en-US"/>
        </w:rPr>
        <w:t xml:space="preserve"> </w:t>
      </w:r>
      <w:r w:rsidRPr="00307A66">
        <w:rPr>
          <w:rFonts w:ascii="Arial" w:eastAsia="Georgia" w:hAnsi="Arial" w:cs="Arial"/>
          <w:sz w:val="20"/>
          <w:lang w:eastAsia="en-US"/>
        </w:rPr>
        <w:t xml:space="preserve">The study was carried out on a total number of 104 apparently healthy subjects. The study population consists of 59 blood group O, 26 blood group A, 16 blood group B and 3 blood group AB individuals from Enugu metropolis between the age of 18 years and above. Informed consent was obtained from each participant. Questionnaires were distributed for collection of specific information from each participant in the study, and dully filled by the participants with the assistance of the researcher. </w:t>
      </w:r>
    </w:p>
    <w:p w14:paraId="71003870" w14:textId="77777777" w:rsidR="00785A95" w:rsidRPr="00307A66" w:rsidRDefault="00785A95" w:rsidP="008E70E1">
      <w:pPr>
        <w:rPr>
          <w:rFonts w:ascii="Arial" w:eastAsia="Georgia" w:hAnsi="Arial" w:cs="Arial"/>
          <w:b/>
          <w:bCs/>
          <w:sz w:val="20"/>
          <w:lang w:eastAsia="en-US"/>
        </w:rPr>
      </w:pPr>
    </w:p>
    <w:p w14:paraId="58A46CBE" w14:textId="2C09048C"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Inclusion criteria include:</w:t>
      </w:r>
      <w:r w:rsidR="00713410" w:rsidRPr="00307A66">
        <w:rPr>
          <w:rFonts w:ascii="Arial" w:eastAsia="Georgia" w:hAnsi="Arial" w:cs="Arial"/>
          <w:b/>
          <w:bCs/>
          <w:sz w:val="20"/>
          <w:lang w:eastAsia="en-US"/>
        </w:rPr>
        <w:t xml:space="preserve"> </w:t>
      </w:r>
      <w:r w:rsidR="00713410" w:rsidRPr="00307A66">
        <w:rPr>
          <w:rFonts w:ascii="Arial" w:eastAsia="Georgia" w:hAnsi="Arial" w:cs="Arial"/>
          <w:sz w:val="20"/>
          <w:lang w:eastAsia="en-US"/>
        </w:rPr>
        <w:t>I</w:t>
      </w:r>
      <w:r w:rsidRPr="00307A66">
        <w:rPr>
          <w:rFonts w:ascii="Arial" w:eastAsia="Georgia" w:hAnsi="Arial" w:cs="Arial"/>
          <w:sz w:val="20"/>
          <w:lang w:eastAsia="en-US"/>
        </w:rPr>
        <w:t>ndividual must belong to any of the human ABO blood group (A, B, AB, &amp; O)</w:t>
      </w:r>
      <w:r w:rsidR="00713410" w:rsidRPr="00307A66">
        <w:rPr>
          <w:rFonts w:ascii="Arial" w:eastAsia="Georgia" w:hAnsi="Arial" w:cs="Arial"/>
          <w:sz w:val="20"/>
          <w:lang w:eastAsia="en-US"/>
        </w:rPr>
        <w:t xml:space="preserve">, </w:t>
      </w:r>
      <w:r w:rsidRPr="00307A66">
        <w:rPr>
          <w:rFonts w:ascii="Arial" w:eastAsia="Georgia" w:hAnsi="Arial" w:cs="Arial"/>
          <w:sz w:val="20"/>
          <w:lang w:eastAsia="en-US"/>
        </w:rPr>
        <w:t>be apparently healthy</w:t>
      </w:r>
      <w:r w:rsidR="00713410" w:rsidRPr="00307A66">
        <w:rPr>
          <w:rFonts w:ascii="Arial" w:eastAsia="Georgia" w:hAnsi="Arial" w:cs="Arial"/>
          <w:sz w:val="20"/>
          <w:lang w:eastAsia="en-US"/>
        </w:rPr>
        <w:t xml:space="preserve">, </w:t>
      </w:r>
      <w:r w:rsidRPr="00307A66">
        <w:rPr>
          <w:rFonts w:ascii="Arial" w:eastAsia="Georgia" w:hAnsi="Arial" w:cs="Arial"/>
          <w:sz w:val="20"/>
          <w:lang w:eastAsia="en-US"/>
        </w:rPr>
        <w:t>must have the age of 18 years and above</w:t>
      </w:r>
      <w:r w:rsidR="00713410" w:rsidRPr="00307A66">
        <w:rPr>
          <w:rFonts w:ascii="Arial" w:eastAsia="Georgia" w:hAnsi="Arial" w:cs="Arial"/>
          <w:sz w:val="20"/>
          <w:lang w:eastAsia="en-US"/>
        </w:rPr>
        <w:t>.</w:t>
      </w:r>
    </w:p>
    <w:p w14:paraId="07970639" w14:textId="77777777" w:rsidR="00785A95" w:rsidRPr="00307A66" w:rsidRDefault="00785A95" w:rsidP="008E70E1">
      <w:pPr>
        <w:rPr>
          <w:rFonts w:ascii="Arial" w:eastAsia="Georgia" w:hAnsi="Arial" w:cs="Arial"/>
          <w:b/>
          <w:bCs/>
          <w:sz w:val="20"/>
          <w:lang w:eastAsia="en-US"/>
        </w:rPr>
      </w:pPr>
    </w:p>
    <w:p w14:paraId="586DF4C7" w14:textId="308208C4"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lastRenderedPageBreak/>
        <w:t>Exclusion criteria include:</w:t>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A smoker</w:t>
      </w:r>
      <w:r w:rsidR="00713410" w:rsidRPr="00307A66">
        <w:rPr>
          <w:rFonts w:ascii="Arial" w:eastAsia="Georgia" w:hAnsi="Arial" w:cs="Arial"/>
          <w:sz w:val="20"/>
          <w:lang w:eastAsia="en-US"/>
        </w:rPr>
        <w:t>, d</w:t>
      </w:r>
      <w:r w:rsidRPr="00307A66">
        <w:rPr>
          <w:rFonts w:ascii="Arial" w:eastAsia="Georgia" w:hAnsi="Arial" w:cs="Arial"/>
          <w:sz w:val="20"/>
          <w:lang w:eastAsia="en-US"/>
        </w:rPr>
        <w:t>iabetic individual</w:t>
      </w:r>
      <w:r w:rsidR="00713410" w:rsidRPr="00307A66">
        <w:rPr>
          <w:rFonts w:ascii="Arial" w:eastAsia="Georgia" w:hAnsi="Arial" w:cs="Arial"/>
          <w:sz w:val="20"/>
          <w:lang w:eastAsia="en-US"/>
        </w:rPr>
        <w:t>, a</w:t>
      </w:r>
      <w:r w:rsidRPr="00307A66">
        <w:rPr>
          <w:rFonts w:ascii="Arial" w:eastAsia="Georgia" w:hAnsi="Arial" w:cs="Arial"/>
          <w:sz w:val="20"/>
          <w:lang w:eastAsia="en-US"/>
        </w:rPr>
        <w:t>n alcoholic</w:t>
      </w:r>
      <w:r w:rsidR="00713410" w:rsidRPr="00307A66">
        <w:rPr>
          <w:rFonts w:ascii="Arial" w:eastAsia="Georgia" w:hAnsi="Arial" w:cs="Arial"/>
          <w:sz w:val="20"/>
          <w:lang w:eastAsia="en-US"/>
        </w:rPr>
        <w:t>, p</w:t>
      </w:r>
      <w:r w:rsidRPr="00307A66">
        <w:rPr>
          <w:rFonts w:ascii="Arial" w:eastAsia="Georgia" w:hAnsi="Arial" w:cs="Arial"/>
          <w:sz w:val="20"/>
          <w:lang w:eastAsia="en-US"/>
        </w:rPr>
        <w:t>regnancy</w:t>
      </w:r>
      <w:r w:rsidR="00713410" w:rsidRPr="00307A66">
        <w:rPr>
          <w:rFonts w:ascii="Arial" w:eastAsia="Georgia" w:hAnsi="Arial" w:cs="Arial"/>
          <w:sz w:val="20"/>
          <w:lang w:eastAsia="en-US"/>
        </w:rPr>
        <w:t>, s</w:t>
      </w:r>
      <w:r w:rsidRPr="00307A66">
        <w:rPr>
          <w:rFonts w:ascii="Arial" w:eastAsia="Georgia" w:hAnsi="Arial" w:cs="Arial"/>
          <w:sz w:val="20"/>
          <w:lang w:eastAsia="en-US"/>
        </w:rPr>
        <w:t>ubject with age less than 18 years.</w:t>
      </w:r>
    </w:p>
    <w:p w14:paraId="069F88A8" w14:textId="77777777" w:rsidR="00785A95" w:rsidRPr="00307A66" w:rsidRDefault="00785A95" w:rsidP="008E70E1">
      <w:pPr>
        <w:rPr>
          <w:rFonts w:ascii="Arial" w:eastAsia="Georgia" w:hAnsi="Arial" w:cs="Arial"/>
          <w:b/>
          <w:bCs/>
          <w:sz w:val="20"/>
          <w:lang w:eastAsia="en-US"/>
        </w:rPr>
      </w:pPr>
    </w:p>
    <w:p w14:paraId="27D92C82" w14:textId="47D662F7" w:rsidR="008E70E1" w:rsidRPr="00307A66" w:rsidRDefault="008E70E1" w:rsidP="008E70E1">
      <w:pPr>
        <w:rPr>
          <w:rFonts w:ascii="Arial" w:eastAsia="Georgia" w:hAnsi="Arial" w:cs="Arial"/>
          <w:b/>
          <w:bCs/>
          <w:sz w:val="20"/>
          <w:lang w:eastAsia="en-US"/>
        </w:rPr>
      </w:pPr>
      <w:r w:rsidRPr="00307A66">
        <w:rPr>
          <w:rFonts w:ascii="Arial" w:eastAsia="Georgia" w:hAnsi="Arial" w:cs="Arial"/>
          <w:b/>
          <w:bCs/>
          <w:sz w:val="20"/>
          <w:lang w:eastAsia="en-US"/>
        </w:rPr>
        <w:t>Sampling Technique:</w:t>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 xml:space="preserve">Blood sample was collected after an overnight fast of 8 - 12 hours from the subjects by a qualified phlebotomist using a sterile needle and disposable syringe. Two specimen bottles were used for each subject. Anticoagulant bottles containing K2 EDTA for blood grouping test and plain container for lipid profile assay. Fasting blood sample (5ml) was collected by clean </w:t>
      </w:r>
      <w:proofErr w:type="spellStart"/>
      <w:r w:rsidRPr="00307A66">
        <w:rPr>
          <w:rFonts w:ascii="Arial" w:eastAsia="Georgia" w:hAnsi="Arial" w:cs="Arial"/>
          <w:sz w:val="20"/>
          <w:lang w:eastAsia="en-US"/>
        </w:rPr>
        <w:t>venepuncture</w:t>
      </w:r>
      <w:proofErr w:type="spellEnd"/>
      <w:r w:rsidRPr="00307A66">
        <w:rPr>
          <w:rFonts w:ascii="Arial" w:eastAsia="Georgia" w:hAnsi="Arial" w:cs="Arial"/>
          <w:sz w:val="20"/>
          <w:lang w:eastAsia="en-US"/>
        </w:rPr>
        <w:t xml:space="preserve"> from the ante-cubital fossa into already labeled bottles, without undue pressure to either the arm or the plunger of the syringe. The samples in the K2 EDTA anticoagulant bottles were tested immediately for blood group using commercially prepared anti-sera (anti-A, anti-B, anti-AB and anti-D). The blood samples in a plain container were centrifuged at 4000rpm for 10 minutes. The serum was separated into a clean dry plain container and stored frozen until analysis of the lipid profile (TG, TC HDL, LDL) was done at room temperature.</w:t>
      </w:r>
    </w:p>
    <w:p w14:paraId="0AF48795" w14:textId="77777777" w:rsidR="00785A95" w:rsidRPr="00307A66" w:rsidRDefault="00785A95" w:rsidP="008E70E1">
      <w:pPr>
        <w:rPr>
          <w:rFonts w:ascii="Arial" w:eastAsia="Georgia" w:hAnsi="Arial" w:cs="Arial"/>
          <w:b/>
          <w:bCs/>
          <w:sz w:val="20"/>
          <w:lang w:eastAsia="en-US"/>
        </w:rPr>
      </w:pPr>
    </w:p>
    <w:p w14:paraId="79EAB17A" w14:textId="314A503A" w:rsidR="001D4D5F"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Laboratory Analysis</w:t>
      </w:r>
      <w:r w:rsidR="00713410" w:rsidRPr="00307A66">
        <w:rPr>
          <w:rFonts w:ascii="Arial" w:eastAsia="Georgia" w:hAnsi="Arial" w:cs="Arial"/>
          <w:b/>
          <w:bCs/>
          <w:sz w:val="20"/>
          <w:lang w:eastAsia="en-US"/>
        </w:rPr>
        <w:t>:</w:t>
      </w:r>
      <w:r w:rsidR="001D4D5F" w:rsidRPr="00307A66">
        <w:rPr>
          <w:rFonts w:ascii="Arial" w:eastAsia="Georgia" w:hAnsi="Arial" w:cs="Arial"/>
          <w:b/>
          <w:bCs/>
          <w:sz w:val="20"/>
          <w:lang w:eastAsia="en-US"/>
        </w:rPr>
        <w:t xml:space="preserve"> </w:t>
      </w:r>
      <w:r w:rsidRPr="00307A66">
        <w:rPr>
          <w:rFonts w:ascii="Arial" w:eastAsia="Georgia" w:hAnsi="Arial" w:cs="Arial"/>
          <w:sz w:val="20"/>
          <w:lang w:eastAsia="en-US"/>
        </w:rPr>
        <w:t>Determination of serum total cholesterol</w:t>
      </w:r>
      <w:r w:rsidR="001D4D5F" w:rsidRPr="00307A66">
        <w:rPr>
          <w:rFonts w:ascii="Arial" w:eastAsia="Georgia" w:hAnsi="Arial" w:cs="Arial"/>
          <w:sz w:val="20"/>
          <w:lang w:eastAsia="en-US"/>
        </w:rPr>
        <w:t xml:space="preserve">, triglyceride, HDL, LDL, and VLDL </w:t>
      </w:r>
      <w:r w:rsidRPr="00307A66">
        <w:rPr>
          <w:rFonts w:ascii="Arial" w:eastAsia="Georgia" w:hAnsi="Arial" w:cs="Arial"/>
          <w:sz w:val="20"/>
          <w:lang w:eastAsia="en-US"/>
        </w:rPr>
        <w:t>was done</w:t>
      </w:r>
      <w:r w:rsidR="00094AC9" w:rsidRPr="00307A66">
        <w:rPr>
          <w:rFonts w:ascii="Arial" w:eastAsia="Georgia" w:hAnsi="Arial" w:cs="Arial"/>
          <w:sz w:val="20"/>
          <w:lang w:eastAsia="en-US"/>
        </w:rPr>
        <w:t xml:space="preserve"> by enzymatic</w:t>
      </w:r>
      <w:r w:rsidRPr="00307A66">
        <w:rPr>
          <w:rFonts w:ascii="Arial" w:eastAsia="Georgia" w:hAnsi="Arial" w:cs="Arial"/>
          <w:sz w:val="20"/>
          <w:lang w:eastAsia="en-US"/>
        </w:rPr>
        <w:t xml:space="preserve"> </w:t>
      </w:r>
      <w:r w:rsidR="00094AC9" w:rsidRPr="00307A66">
        <w:rPr>
          <w:rFonts w:ascii="Arial" w:eastAsia="Georgia" w:hAnsi="Arial" w:cs="Arial"/>
          <w:sz w:val="20"/>
          <w:lang w:eastAsia="en-US"/>
        </w:rPr>
        <w:t>method</w:t>
      </w:r>
      <w:r w:rsidR="001D4D5F" w:rsidRPr="00307A66">
        <w:rPr>
          <w:rFonts w:ascii="Arial" w:eastAsia="Georgia" w:hAnsi="Arial" w:cs="Arial"/>
          <w:sz w:val="20"/>
          <w:lang w:eastAsia="en-US"/>
        </w:rPr>
        <w:t>.</w:t>
      </w:r>
    </w:p>
    <w:p w14:paraId="04207B07" w14:textId="77777777" w:rsidR="00785A95" w:rsidRPr="00307A66" w:rsidRDefault="00785A95" w:rsidP="008E70E1">
      <w:pPr>
        <w:rPr>
          <w:rFonts w:ascii="Arial" w:eastAsia="Georgia" w:hAnsi="Arial" w:cs="Arial"/>
          <w:b/>
          <w:bCs/>
          <w:sz w:val="20"/>
          <w:lang w:eastAsia="en-US"/>
        </w:rPr>
      </w:pPr>
    </w:p>
    <w:p w14:paraId="5DAB80A4" w14:textId="62020FAE"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Statistical Analysis</w:t>
      </w:r>
      <w:r w:rsidR="001D4D5F" w:rsidRPr="00307A66">
        <w:rPr>
          <w:rFonts w:ascii="Arial" w:eastAsia="Georgia" w:hAnsi="Arial" w:cs="Arial"/>
          <w:b/>
          <w:bCs/>
          <w:sz w:val="20"/>
          <w:lang w:eastAsia="en-US"/>
        </w:rPr>
        <w:t xml:space="preserve">: </w:t>
      </w:r>
      <w:r w:rsidRPr="00307A66">
        <w:rPr>
          <w:rFonts w:ascii="Arial" w:eastAsia="Georgia" w:hAnsi="Arial" w:cs="Arial"/>
          <w:sz w:val="20"/>
          <w:lang w:eastAsia="en-US"/>
        </w:rPr>
        <w:t>Data obtained from this study was analyzed using the Statistical Package for Social Science (SPSS) version 25 of window IBM Inc. Chicago, IL, USA.</w:t>
      </w:r>
      <w:r w:rsidR="001D4D5F" w:rsidRPr="00307A66">
        <w:rPr>
          <w:rFonts w:ascii="Arial" w:eastAsia="Georgia" w:hAnsi="Arial" w:cs="Arial"/>
          <w:sz w:val="20"/>
          <w:lang w:eastAsia="en-US"/>
        </w:rPr>
        <w:t xml:space="preserve"> </w:t>
      </w:r>
      <w:r w:rsidRPr="00307A66">
        <w:rPr>
          <w:rFonts w:ascii="Arial" w:eastAsia="Georgia" w:hAnsi="Arial" w:cs="Arial"/>
          <w:sz w:val="20"/>
          <w:lang w:eastAsia="en-US"/>
        </w:rPr>
        <w:t>Data was presented as mean and standard deviations.  Students t-test was used to calculated difference between means. One-way analysis of variance (ANOVA) was used to estimate difference between group means</w:t>
      </w:r>
    </w:p>
    <w:p w14:paraId="2D6D19E6" w14:textId="77777777" w:rsidR="001D4D5F" w:rsidRPr="00307A66" w:rsidRDefault="001D4D5F" w:rsidP="008E70E1">
      <w:pPr>
        <w:rPr>
          <w:rFonts w:ascii="Arial" w:hAnsi="Arial" w:cs="Arial"/>
          <w:lang w:eastAsia="en-US"/>
        </w:rPr>
      </w:pPr>
    </w:p>
    <w:p w14:paraId="457F7A5F" w14:textId="5333AC16" w:rsidR="002941E1" w:rsidRPr="00307A66" w:rsidRDefault="008E70E1" w:rsidP="008E70E1">
      <w:pPr>
        <w:rPr>
          <w:rFonts w:ascii="Arial" w:hAnsi="Arial" w:cs="Arial"/>
          <w:b/>
          <w:sz w:val="20"/>
        </w:rPr>
      </w:pPr>
      <w:r w:rsidRPr="00307A66">
        <w:rPr>
          <w:rFonts w:ascii="Arial" w:hAnsi="Arial" w:cs="Arial"/>
          <w:b/>
          <w:sz w:val="20"/>
        </w:rPr>
        <w:t>RESULTS</w:t>
      </w:r>
    </w:p>
    <w:p w14:paraId="46867756" w14:textId="069E2E9B" w:rsidR="002941E1" w:rsidRPr="00307A66" w:rsidRDefault="00DD3D81" w:rsidP="008E70E1">
      <w:pPr>
        <w:autoSpaceDE w:val="0"/>
        <w:autoSpaceDN w:val="0"/>
        <w:adjustRightInd w:val="0"/>
        <w:rPr>
          <w:rFonts w:ascii="Arial" w:hAnsi="Arial" w:cs="Arial"/>
          <w:sz w:val="20"/>
        </w:rPr>
      </w:pPr>
      <w:r w:rsidRPr="00307A66">
        <w:rPr>
          <w:rFonts w:ascii="Arial" w:hAnsi="Arial" w:cs="Arial"/>
          <w:sz w:val="20"/>
        </w:rPr>
        <w:t>In seen in table 1, a</w:t>
      </w:r>
      <w:r w:rsidR="002C338E" w:rsidRPr="00307A66">
        <w:rPr>
          <w:rFonts w:ascii="Arial" w:hAnsi="Arial" w:cs="Arial"/>
          <w:sz w:val="20"/>
        </w:rPr>
        <w:t xml:space="preserve"> total number of 104 subjects (55 male and 49 female) participated in the study. The general characteristics of subjects showed that 53% and</w:t>
      </w:r>
      <w:r w:rsidR="00A928F3" w:rsidRPr="00307A66">
        <w:rPr>
          <w:rFonts w:ascii="Arial" w:hAnsi="Arial" w:cs="Arial"/>
          <w:sz w:val="20"/>
        </w:rPr>
        <w:t xml:space="preserve"> </w:t>
      </w:r>
      <w:r w:rsidR="002C338E" w:rsidRPr="00307A66">
        <w:rPr>
          <w:rFonts w:ascii="Arial" w:hAnsi="Arial" w:cs="Arial"/>
          <w:sz w:val="20"/>
        </w:rPr>
        <w:t>47% of the respondent were male and female respectively with different blood group. In the table 1</w:t>
      </w:r>
      <w:r w:rsidR="002C338E" w:rsidRPr="00307A66">
        <w:rPr>
          <w:rFonts w:ascii="Arial" w:hAnsi="Arial" w:cs="Arial"/>
          <w:b/>
          <w:sz w:val="20"/>
        </w:rPr>
        <w:t xml:space="preserve">, </w:t>
      </w:r>
      <w:r w:rsidR="002C338E" w:rsidRPr="00307A66">
        <w:rPr>
          <w:rFonts w:ascii="Arial" w:hAnsi="Arial" w:cs="Arial"/>
          <w:sz w:val="20"/>
        </w:rPr>
        <w:t xml:space="preserve">it can be observed that there </w:t>
      </w:r>
      <w:r w:rsidRPr="00307A66">
        <w:rPr>
          <w:rFonts w:ascii="Arial" w:hAnsi="Arial" w:cs="Arial"/>
          <w:sz w:val="20"/>
        </w:rPr>
        <w:t>was</w:t>
      </w:r>
      <w:r w:rsidR="002C338E" w:rsidRPr="00307A66">
        <w:rPr>
          <w:rFonts w:ascii="Arial" w:hAnsi="Arial" w:cs="Arial"/>
          <w:sz w:val="20"/>
        </w:rPr>
        <w:t xml:space="preserve"> no statistically significant difference (P – value &gt; 0.05) in Age, TC, HDLC, LDLC, VDLC, TG in the table when the male subjects where compared with the female Subjects.</w:t>
      </w:r>
    </w:p>
    <w:p w14:paraId="3BCE7DD0" w14:textId="7D6EB0E5" w:rsidR="002941E1" w:rsidRPr="00307A66" w:rsidRDefault="002C338E" w:rsidP="008E70E1">
      <w:pPr>
        <w:autoSpaceDE w:val="0"/>
        <w:autoSpaceDN w:val="0"/>
        <w:adjustRightInd w:val="0"/>
        <w:rPr>
          <w:rFonts w:ascii="Arial" w:hAnsi="Arial" w:cs="Arial"/>
          <w:sz w:val="20"/>
        </w:rPr>
      </w:pPr>
      <w:r w:rsidRPr="00307A66">
        <w:rPr>
          <w:rFonts w:ascii="Arial" w:hAnsi="Arial" w:cs="Arial"/>
          <w:b/>
          <w:sz w:val="20"/>
        </w:rPr>
        <w:t xml:space="preserve">Table 1 </w:t>
      </w:r>
      <w:r w:rsidR="00560C2E" w:rsidRPr="00307A66">
        <w:rPr>
          <w:rFonts w:ascii="Arial" w:hAnsi="Arial" w:cs="Arial"/>
          <w:b/>
          <w:sz w:val="20"/>
        </w:rPr>
        <w:t>Assessing the mean levels</w:t>
      </w:r>
      <w:r w:rsidRPr="00307A66">
        <w:rPr>
          <w:rFonts w:ascii="Arial" w:hAnsi="Arial" w:cs="Arial"/>
          <w:b/>
          <w:sz w:val="20"/>
        </w:rPr>
        <w:t xml:space="preserve"> of Age, TC, HDLC, LDLC, VDLC, </w:t>
      </w:r>
      <w:r w:rsidR="00560C2E" w:rsidRPr="00307A66">
        <w:rPr>
          <w:rFonts w:ascii="Arial" w:hAnsi="Arial" w:cs="Arial"/>
          <w:b/>
          <w:sz w:val="20"/>
        </w:rPr>
        <w:t xml:space="preserve">and </w:t>
      </w:r>
      <w:r w:rsidRPr="00307A66">
        <w:rPr>
          <w:rFonts w:ascii="Arial" w:hAnsi="Arial" w:cs="Arial"/>
          <w:b/>
          <w:sz w:val="20"/>
        </w:rPr>
        <w:t xml:space="preserve">TG </w:t>
      </w:r>
      <w:r w:rsidR="00560C2E" w:rsidRPr="00307A66">
        <w:rPr>
          <w:rFonts w:ascii="Arial" w:hAnsi="Arial" w:cs="Arial"/>
          <w:b/>
          <w:sz w:val="20"/>
        </w:rPr>
        <w:t>across the</w:t>
      </w:r>
      <w:r w:rsidRPr="00307A66">
        <w:rPr>
          <w:rFonts w:ascii="Arial" w:hAnsi="Arial" w:cs="Arial"/>
          <w:b/>
          <w:sz w:val="20"/>
        </w:rPr>
        <w:t xml:space="preserve"> male </w:t>
      </w:r>
      <w:r w:rsidR="00560C2E" w:rsidRPr="00307A66">
        <w:rPr>
          <w:rFonts w:ascii="Arial" w:hAnsi="Arial" w:cs="Arial"/>
          <w:b/>
          <w:sz w:val="20"/>
        </w:rPr>
        <w:t>and</w:t>
      </w:r>
      <w:r w:rsidRPr="00307A66">
        <w:rPr>
          <w:rFonts w:ascii="Arial" w:hAnsi="Arial" w:cs="Arial"/>
          <w:b/>
          <w:sz w:val="20"/>
        </w:rPr>
        <w:t xml:space="preserve"> female</w:t>
      </w:r>
      <w:r w:rsidR="00560C2E" w:rsidRPr="00307A66">
        <w:rPr>
          <w:rFonts w:ascii="Arial" w:hAnsi="Arial" w:cs="Arial"/>
          <w:b/>
          <w:sz w:val="20"/>
        </w:rPr>
        <w:t xml:space="preserve"> participants</w:t>
      </w:r>
    </w:p>
    <w:p w14:paraId="5856235E" w14:textId="56AA5411" w:rsidR="00A928F3" w:rsidRPr="00307A66" w:rsidRDefault="00A928F3" w:rsidP="008E70E1">
      <w:pPr>
        <w:rPr>
          <w:rFonts w:ascii="Arial" w:hAnsi="Arial" w:cs="Arial"/>
          <w:b/>
          <w:sz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1713"/>
        <w:gridCol w:w="1753"/>
        <w:gridCol w:w="1899"/>
        <w:gridCol w:w="1326"/>
      </w:tblGrid>
      <w:tr w:rsidR="00A928F3" w:rsidRPr="00307A66" w14:paraId="09FCFF84" w14:textId="77777777" w:rsidTr="00AE0821">
        <w:tc>
          <w:tcPr>
            <w:tcW w:w="1831" w:type="dxa"/>
            <w:tcBorders>
              <w:top w:val="single" w:sz="4" w:space="0" w:color="auto"/>
              <w:bottom w:val="single" w:sz="4" w:space="0" w:color="auto"/>
            </w:tcBorders>
          </w:tcPr>
          <w:p w14:paraId="6821BFEA" w14:textId="2B6FA297" w:rsidR="00A928F3" w:rsidRPr="00307A66" w:rsidRDefault="00A928F3" w:rsidP="008E70E1">
            <w:pPr>
              <w:rPr>
                <w:rFonts w:ascii="Arial" w:hAnsi="Arial" w:cs="Arial"/>
                <w:b/>
                <w:sz w:val="20"/>
              </w:rPr>
            </w:pPr>
            <w:r w:rsidRPr="00307A66">
              <w:rPr>
                <w:rFonts w:ascii="Arial" w:hAnsi="Arial" w:cs="Arial"/>
                <w:b/>
                <w:sz w:val="20"/>
              </w:rPr>
              <w:t>Variables</w:t>
            </w:r>
          </w:p>
        </w:tc>
        <w:tc>
          <w:tcPr>
            <w:tcW w:w="1713" w:type="dxa"/>
            <w:tcBorders>
              <w:top w:val="single" w:sz="4" w:space="0" w:color="auto"/>
              <w:bottom w:val="single" w:sz="4" w:space="0" w:color="auto"/>
            </w:tcBorders>
          </w:tcPr>
          <w:p w14:paraId="71CC73D5" w14:textId="5036D8C1" w:rsidR="00A928F3" w:rsidRPr="00307A66" w:rsidRDefault="00A928F3" w:rsidP="008E70E1">
            <w:pPr>
              <w:rPr>
                <w:rFonts w:ascii="Arial" w:hAnsi="Arial" w:cs="Arial"/>
                <w:b/>
                <w:sz w:val="20"/>
              </w:rPr>
            </w:pPr>
            <w:r w:rsidRPr="00307A66">
              <w:rPr>
                <w:rFonts w:ascii="Arial" w:hAnsi="Arial" w:cs="Arial"/>
                <w:b/>
                <w:sz w:val="20"/>
              </w:rPr>
              <w:t>Male (n=55) Mean ± SD</w:t>
            </w:r>
          </w:p>
        </w:tc>
        <w:tc>
          <w:tcPr>
            <w:tcW w:w="1753" w:type="dxa"/>
            <w:tcBorders>
              <w:top w:val="single" w:sz="4" w:space="0" w:color="auto"/>
              <w:bottom w:val="single" w:sz="4" w:space="0" w:color="auto"/>
            </w:tcBorders>
          </w:tcPr>
          <w:p w14:paraId="506AE58C" w14:textId="77777777" w:rsidR="00A928F3" w:rsidRPr="00307A66" w:rsidRDefault="00A928F3" w:rsidP="008E70E1">
            <w:pPr>
              <w:rPr>
                <w:rFonts w:ascii="Arial" w:hAnsi="Arial" w:cs="Arial"/>
                <w:b/>
                <w:sz w:val="20"/>
              </w:rPr>
            </w:pPr>
            <w:r w:rsidRPr="00307A66">
              <w:rPr>
                <w:rFonts w:ascii="Arial" w:hAnsi="Arial" w:cs="Arial"/>
                <w:b/>
                <w:sz w:val="20"/>
              </w:rPr>
              <w:t>Female (n-49)</w:t>
            </w:r>
          </w:p>
          <w:p w14:paraId="4B84ADEF" w14:textId="51D29C22" w:rsidR="00A928F3" w:rsidRPr="00307A66" w:rsidRDefault="00A928F3" w:rsidP="008E70E1">
            <w:pPr>
              <w:rPr>
                <w:rFonts w:ascii="Arial" w:hAnsi="Arial" w:cs="Arial"/>
                <w:b/>
                <w:sz w:val="20"/>
              </w:rPr>
            </w:pPr>
            <w:r w:rsidRPr="00307A66">
              <w:rPr>
                <w:rFonts w:ascii="Arial" w:hAnsi="Arial" w:cs="Arial"/>
                <w:b/>
                <w:sz w:val="20"/>
              </w:rPr>
              <w:t>Mean ± SD</w:t>
            </w:r>
          </w:p>
        </w:tc>
        <w:tc>
          <w:tcPr>
            <w:tcW w:w="1899" w:type="dxa"/>
            <w:tcBorders>
              <w:top w:val="single" w:sz="4" w:space="0" w:color="auto"/>
              <w:bottom w:val="single" w:sz="4" w:space="0" w:color="auto"/>
            </w:tcBorders>
          </w:tcPr>
          <w:p w14:paraId="48923984" w14:textId="77777777" w:rsidR="00A928F3" w:rsidRPr="00307A66" w:rsidRDefault="00A928F3" w:rsidP="008E70E1">
            <w:pPr>
              <w:rPr>
                <w:rFonts w:ascii="Arial" w:hAnsi="Arial" w:cs="Arial"/>
                <w:b/>
                <w:sz w:val="20"/>
              </w:rPr>
            </w:pPr>
            <w:r w:rsidRPr="00307A66">
              <w:rPr>
                <w:rFonts w:ascii="Arial" w:hAnsi="Arial" w:cs="Arial"/>
                <w:b/>
                <w:sz w:val="20"/>
              </w:rPr>
              <w:t>Total (n=104)</w:t>
            </w:r>
          </w:p>
          <w:p w14:paraId="35DE2C9D" w14:textId="1FD485B6" w:rsidR="00A928F3" w:rsidRPr="00307A66" w:rsidRDefault="00A928F3" w:rsidP="008E70E1">
            <w:pPr>
              <w:rPr>
                <w:rFonts w:ascii="Arial" w:hAnsi="Arial" w:cs="Arial"/>
                <w:b/>
                <w:sz w:val="20"/>
              </w:rPr>
            </w:pPr>
            <w:r w:rsidRPr="00307A66">
              <w:rPr>
                <w:rFonts w:ascii="Arial" w:hAnsi="Arial" w:cs="Arial"/>
                <w:b/>
                <w:sz w:val="20"/>
              </w:rPr>
              <w:t>Mean ± SD</w:t>
            </w:r>
          </w:p>
        </w:tc>
        <w:tc>
          <w:tcPr>
            <w:tcW w:w="1326" w:type="dxa"/>
            <w:tcBorders>
              <w:top w:val="single" w:sz="4" w:space="0" w:color="auto"/>
              <w:bottom w:val="single" w:sz="4" w:space="0" w:color="auto"/>
            </w:tcBorders>
          </w:tcPr>
          <w:p w14:paraId="3C1197E5" w14:textId="5965EA66" w:rsidR="00A928F3" w:rsidRPr="00307A66" w:rsidRDefault="00A928F3" w:rsidP="008E70E1">
            <w:pPr>
              <w:rPr>
                <w:rFonts w:ascii="Arial" w:hAnsi="Arial" w:cs="Arial"/>
                <w:b/>
                <w:sz w:val="20"/>
              </w:rPr>
            </w:pPr>
            <w:r w:rsidRPr="00307A66">
              <w:rPr>
                <w:rFonts w:ascii="Arial" w:hAnsi="Arial" w:cs="Arial"/>
                <w:b/>
                <w:sz w:val="20"/>
              </w:rPr>
              <w:t>p-value</w:t>
            </w:r>
          </w:p>
        </w:tc>
      </w:tr>
      <w:tr w:rsidR="00A928F3" w:rsidRPr="00307A66" w14:paraId="73B7AD8C" w14:textId="77777777" w:rsidTr="00AE0821">
        <w:tc>
          <w:tcPr>
            <w:tcW w:w="1831" w:type="dxa"/>
            <w:tcBorders>
              <w:top w:val="single" w:sz="4" w:space="0" w:color="auto"/>
            </w:tcBorders>
          </w:tcPr>
          <w:p w14:paraId="49E31DD4" w14:textId="78EEFCA8" w:rsidR="00A928F3" w:rsidRPr="00307A66" w:rsidRDefault="00A928F3" w:rsidP="008E70E1">
            <w:pPr>
              <w:rPr>
                <w:rFonts w:ascii="Arial" w:hAnsi="Arial" w:cs="Arial"/>
                <w:b/>
                <w:sz w:val="20"/>
              </w:rPr>
            </w:pPr>
            <w:r w:rsidRPr="00307A66">
              <w:rPr>
                <w:rFonts w:ascii="Arial" w:hAnsi="Arial" w:cs="Arial"/>
                <w:b/>
                <w:sz w:val="20"/>
              </w:rPr>
              <w:t xml:space="preserve">Age </w:t>
            </w:r>
            <w:r w:rsidRPr="00307A66">
              <w:rPr>
                <w:rFonts w:ascii="Arial" w:hAnsi="Arial" w:cs="Arial"/>
                <w:bCs/>
                <w:sz w:val="20"/>
              </w:rPr>
              <w:t>(years)</w:t>
            </w:r>
          </w:p>
        </w:tc>
        <w:tc>
          <w:tcPr>
            <w:tcW w:w="1713" w:type="dxa"/>
            <w:tcBorders>
              <w:top w:val="single" w:sz="4" w:space="0" w:color="auto"/>
            </w:tcBorders>
          </w:tcPr>
          <w:p w14:paraId="28FC34AB" w14:textId="7DC02052" w:rsidR="00A928F3" w:rsidRPr="00307A66" w:rsidRDefault="00A928F3" w:rsidP="008E70E1">
            <w:pPr>
              <w:rPr>
                <w:rFonts w:ascii="Arial" w:hAnsi="Arial" w:cs="Arial"/>
                <w:bCs/>
                <w:sz w:val="20"/>
              </w:rPr>
            </w:pPr>
            <w:r w:rsidRPr="00307A66">
              <w:rPr>
                <w:rFonts w:ascii="Arial" w:hAnsi="Arial" w:cs="Arial"/>
                <w:bCs/>
                <w:sz w:val="20"/>
              </w:rPr>
              <w:t>54.16 ± 11.72</w:t>
            </w:r>
          </w:p>
        </w:tc>
        <w:tc>
          <w:tcPr>
            <w:tcW w:w="1753" w:type="dxa"/>
            <w:tcBorders>
              <w:top w:val="single" w:sz="4" w:space="0" w:color="auto"/>
            </w:tcBorders>
          </w:tcPr>
          <w:p w14:paraId="6E7D581D" w14:textId="6DD65FFE" w:rsidR="00A928F3" w:rsidRPr="00307A66" w:rsidRDefault="00A928F3" w:rsidP="008E70E1">
            <w:pPr>
              <w:rPr>
                <w:rFonts w:ascii="Arial" w:hAnsi="Arial" w:cs="Arial"/>
                <w:bCs/>
                <w:sz w:val="20"/>
              </w:rPr>
            </w:pPr>
            <w:r w:rsidRPr="00307A66">
              <w:rPr>
                <w:rFonts w:ascii="Arial" w:hAnsi="Arial" w:cs="Arial"/>
                <w:bCs/>
                <w:sz w:val="20"/>
              </w:rPr>
              <w:t>49.14 ± 15.57</w:t>
            </w:r>
          </w:p>
        </w:tc>
        <w:tc>
          <w:tcPr>
            <w:tcW w:w="1899" w:type="dxa"/>
            <w:tcBorders>
              <w:top w:val="single" w:sz="4" w:space="0" w:color="auto"/>
            </w:tcBorders>
          </w:tcPr>
          <w:p w14:paraId="00AC306B" w14:textId="1093FC73" w:rsidR="00A928F3" w:rsidRPr="00307A66" w:rsidRDefault="00A928F3" w:rsidP="008E70E1">
            <w:pPr>
              <w:rPr>
                <w:rFonts w:ascii="Arial" w:hAnsi="Arial" w:cs="Arial"/>
                <w:bCs/>
                <w:sz w:val="20"/>
              </w:rPr>
            </w:pPr>
            <w:r w:rsidRPr="00307A66">
              <w:rPr>
                <w:rFonts w:ascii="Arial" w:hAnsi="Arial" w:cs="Arial"/>
                <w:bCs/>
                <w:sz w:val="20"/>
              </w:rPr>
              <w:t>51.80 ± 13.83</w:t>
            </w:r>
          </w:p>
        </w:tc>
        <w:tc>
          <w:tcPr>
            <w:tcW w:w="1326" w:type="dxa"/>
            <w:tcBorders>
              <w:top w:val="single" w:sz="4" w:space="0" w:color="auto"/>
            </w:tcBorders>
          </w:tcPr>
          <w:p w14:paraId="59AA4220" w14:textId="2B61B824" w:rsidR="00A928F3" w:rsidRPr="00307A66" w:rsidRDefault="00A928F3" w:rsidP="008E70E1">
            <w:pPr>
              <w:rPr>
                <w:rFonts w:ascii="Arial" w:hAnsi="Arial" w:cs="Arial"/>
                <w:bCs/>
                <w:sz w:val="20"/>
              </w:rPr>
            </w:pPr>
            <w:r w:rsidRPr="00307A66">
              <w:rPr>
                <w:rFonts w:ascii="Arial" w:hAnsi="Arial" w:cs="Arial"/>
                <w:bCs/>
                <w:sz w:val="20"/>
              </w:rPr>
              <w:t>0.064</w:t>
            </w:r>
          </w:p>
        </w:tc>
      </w:tr>
      <w:tr w:rsidR="00A928F3" w:rsidRPr="00307A66" w14:paraId="5FB965E6" w14:textId="77777777" w:rsidTr="00AE0821">
        <w:tc>
          <w:tcPr>
            <w:tcW w:w="1831" w:type="dxa"/>
          </w:tcPr>
          <w:p w14:paraId="6F94204C" w14:textId="2FAF27B1" w:rsidR="00A928F3" w:rsidRPr="00307A66" w:rsidRDefault="00A928F3" w:rsidP="008E70E1">
            <w:pPr>
              <w:rPr>
                <w:rFonts w:ascii="Arial" w:hAnsi="Arial" w:cs="Arial"/>
                <w:b/>
                <w:sz w:val="20"/>
              </w:rPr>
            </w:pPr>
            <w:r w:rsidRPr="00307A66">
              <w:rPr>
                <w:rFonts w:ascii="Arial" w:hAnsi="Arial" w:cs="Arial"/>
                <w:b/>
                <w:sz w:val="20"/>
              </w:rPr>
              <w:t xml:space="preserve">TC </w:t>
            </w:r>
            <w:r w:rsidRPr="00307A66">
              <w:rPr>
                <w:rFonts w:ascii="Arial" w:hAnsi="Arial" w:cs="Arial"/>
                <w:bCs/>
                <w:sz w:val="20"/>
              </w:rPr>
              <w:t>(mmol/l)</w:t>
            </w:r>
          </w:p>
        </w:tc>
        <w:tc>
          <w:tcPr>
            <w:tcW w:w="1713" w:type="dxa"/>
          </w:tcPr>
          <w:p w14:paraId="20A7FCEC" w14:textId="00C54B70" w:rsidR="00A928F3" w:rsidRPr="00307A66" w:rsidRDefault="00DD3D81" w:rsidP="008E70E1">
            <w:pPr>
              <w:rPr>
                <w:rFonts w:ascii="Arial" w:hAnsi="Arial" w:cs="Arial"/>
                <w:b/>
                <w:sz w:val="20"/>
              </w:rPr>
            </w:pPr>
            <w:r w:rsidRPr="00307A66">
              <w:rPr>
                <w:rFonts w:ascii="Arial" w:hAnsi="Arial" w:cs="Arial"/>
                <w:bCs/>
                <w:sz w:val="20"/>
              </w:rPr>
              <w:t>5.36 ± 1.00</w:t>
            </w:r>
          </w:p>
        </w:tc>
        <w:tc>
          <w:tcPr>
            <w:tcW w:w="1753" w:type="dxa"/>
          </w:tcPr>
          <w:p w14:paraId="679EA035" w14:textId="453F5E3D" w:rsidR="00A928F3" w:rsidRPr="00307A66" w:rsidRDefault="00DD3D81" w:rsidP="008E70E1">
            <w:pPr>
              <w:rPr>
                <w:rFonts w:ascii="Arial" w:hAnsi="Arial" w:cs="Arial"/>
                <w:bCs/>
                <w:sz w:val="20"/>
              </w:rPr>
            </w:pPr>
            <w:r w:rsidRPr="00307A66">
              <w:rPr>
                <w:rFonts w:ascii="Arial" w:hAnsi="Arial" w:cs="Arial"/>
                <w:bCs/>
                <w:sz w:val="20"/>
              </w:rPr>
              <w:t>5.32 ± 0.95</w:t>
            </w:r>
          </w:p>
        </w:tc>
        <w:tc>
          <w:tcPr>
            <w:tcW w:w="1899" w:type="dxa"/>
          </w:tcPr>
          <w:p w14:paraId="2D5F37AA" w14:textId="2430DD09" w:rsidR="00A928F3" w:rsidRPr="00307A66" w:rsidRDefault="00DD3D81" w:rsidP="008E70E1">
            <w:pPr>
              <w:rPr>
                <w:rFonts w:ascii="Arial" w:hAnsi="Arial" w:cs="Arial"/>
                <w:bCs/>
                <w:sz w:val="20"/>
              </w:rPr>
            </w:pPr>
            <w:r w:rsidRPr="00307A66">
              <w:rPr>
                <w:rFonts w:ascii="Arial" w:hAnsi="Arial" w:cs="Arial"/>
                <w:bCs/>
                <w:sz w:val="20"/>
              </w:rPr>
              <w:t>5.34 ± 0.10</w:t>
            </w:r>
          </w:p>
        </w:tc>
        <w:tc>
          <w:tcPr>
            <w:tcW w:w="1326" w:type="dxa"/>
          </w:tcPr>
          <w:p w14:paraId="4B74ED1E" w14:textId="65CFA395" w:rsidR="00A928F3" w:rsidRPr="00307A66" w:rsidRDefault="00DD3D81" w:rsidP="008E70E1">
            <w:pPr>
              <w:rPr>
                <w:rFonts w:ascii="Arial" w:hAnsi="Arial" w:cs="Arial"/>
                <w:bCs/>
                <w:sz w:val="20"/>
              </w:rPr>
            </w:pPr>
            <w:r w:rsidRPr="00307A66">
              <w:rPr>
                <w:rFonts w:ascii="Arial" w:hAnsi="Arial" w:cs="Arial"/>
                <w:bCs/>
                <w:sz w:val="20"/>
              </w:rPr>
              <w:t>0.877</w:t>
            </w:r>
          </w:p>
        </w:tc>
      </w:tr>
      <w:tr w:rsidR="00A928F3" w:rsidRPr="00307A66" w14:paraId="1B2742E4" w14:textId="77777777" w:rsidTr="00AE0821">
        <w:tc>
          <w:tcPr>
            <w:tcW w:w="1831" w:type="dxa"/>
          </w:tcPr>
          <w:p w14:paraId="1977CB70" w14:textId="2EBE4D63" w:rsidR="00A928F3" w:rsidRPr="00307A66" w:rsidRDefault="00DD3D81" w:rsidP="008E70E1">
            <w:pPr>
              <w:rPr>
                <w:rFonts w:ascii="Arial" w:hAnsi="Arial" w:cs="Arial"/>
                <w:b/>
                <w:sz w:val="20"/>
              </w:rPr>
            </w:pPr>
            <w:r w:rsidRPr="00307A66">
              <w:rPr>
                <w:rFonts w:ascii="Arial" w:hAnsi="Arial" w:cs="Arial"/>
                <w:b/>
                <w:sz w:val="20"/>
              </w:rPr>
              <w:t xml:space="preserve">HDLC </w:t>
            </w:r>
            <w:r w:rsidRPr="00307A66">
              <w:rPr>
                <w:rFonts w:ascii="Arial" w:hAnsi="Arial" w:cs="Arial"/>
                <w:bCs/>
                <w:sz w:val="20"/>
              </w:rPr>
              <w:t>(mmol/l)</w:t>
            </w:r>
          </w:p>
        </w:tc>
        <w:tc>
          <w:tcPr>
            <w:tcW w:w="1713" w:type="dxa"/>
          </w:tcPr>
          <w:p w14:paraId="23C4529E" w14:textId="0D1C0EF7" w:rsidR="00A928F3" w:rsidRPr="00307A66" w:rsidRDefault="00DD3D81" w:rsidP="008E70E1">
            <w:pPr>
              <w:rPr>
                <w:rFonts w:ascii="Arial" w:hAnsi="Arial" w:cs="Arial"/>
                <w:bCs/>
                <w:sz w:val="20"/>
              </w:rPr>
            </w:pPr>
            <w:r w:rsidRPr="00307A66">
              <w:rPr>
                <w:rFonts w:ascii="Arial" w:hAnsi="Arial" w:cs="Arial"/>
                <w:bCs/>
                <w:sz w:val="20"/>
              </w:rPr>
              <w:t>1.26 ± 0.21</w:t>
            </w:r>
          </w:p>
        </w:tc>
        <w:tc>
          <w:tcPr>
            <w:tcW w:w="1753" w:type="dxa"/>
          </w:tcPr>
          <w:p w14:paraId="3DA24373" w14:textId="14065AB2" w:rsidR="00A928F3" w:rsidRPr="00307A66" w:rsidRDefault="00DD3D81" w:rsidP="008E70E1">
            <w:pPr>
              <w:rPr>
                <w:rFonts w:ascii="Arial" w:hAnsi="Arial" w:cs="Arial"/>
                <w:bCs/>
                <w:sz w:val="20"/>
              </w:rPr>
            </w:pPr>
            <w:r w:rsidRPr="00307A66">
              <w:rPr>
                <w:rFonts w:ascii="Arial" w:hAnsi="Arial" w:cs="Arial"/>
                <w:bCs/>
                <w:sz w:val="20"/>
              </w:rPr>
              <w:t>1.31 ± 0.16</w:t>
            </w:r>
          </w:p>
        </w:tc>
        <w:tc>
          <w:tcPr>
            <w:tcW w:w="1899" w:type="dxa"/>
          </w:tcPr>
          <w:p w14:paraId="1A88CEBC" w14:textId="0CF7B0B1" w:rsidR="00A928F3" w:rsidRPr="00307A66" w:rsidRDefault="00DD3D81" w:rsidP="008E70E1">
            <w:pPr>
              <w:rPr>
                <w:rFonts w:ascii="Arial" w:hAnsi="Arial" w:cs="Arial"/>
                <w:b/>
                <w:sz w:val="20"/>
              </w:rPr>
            </w:pPr>
            <w:r w:rsidRPr="00307A66">
              <w:rPr>
                <w:rFonts w:ascii="Arial" w:hAnsi="Arial" w:cs="Arial"/>
                <w:bCs/>
                <w:sz w:val="20"/>
              </w:rPr>
              <w:t>1.29 ± 0.19</w:t>
            </w:r>
          </w:p>
        </w:tc>
        <w:tc>
          <w:tcPr>
            <w:tcW w:w="1326" w:type="dxa"/>
          </w:tcPr>
          <w:p w14:paraId="15027AA2" w14:textId="1D9173AE" w:rsidR="00A928F3" w:rsidRPr="00307A66" w:rsidRDefault="00DD3D81" w:rsidP="008E70E1">
            <w:pPr>
              <w:rPr>
                <w:rFonts w:ascii="Arial" w:hAnsi="Arial" w:cs="Arial"/>
                <w:bCs/>
                <w:sz w:val="20"/>
              </w:rPr>
            </w:pPr>
            <w:r w:rsidRPr="00307A66">
              <w:rPr>
                <w:rFonts w:ascii="Arial" w:hAnsi="Arial" w:cs="Arial"/>
                <w:bCs/>
                <w:sz w:val="20"/>
              </w:rPr>
              <w:t>0.148</w:t>
            </w:r>
          </w:p>
        </w:tc>
      </w:tr>
      <w:tr w:rsidR="00A928F3" w:rsidRPr="00307A66" w14:paraId="211EAAA0" w14:textId="77777777" w:rsidTr="00AE0821">
        <w:tc>
          <w:tcPr>
            <w:tcW w:w="1831" w:type="dxa"/>
          </w:tcPr>
          <w:p w14:paraId="0717F016" w14:textId="101FC9F4" w:rsidR="00A928F3" w:rsidRPr="00307A66" w:rsidRDefault="00DD3D81" w:rsidP="008E70E1">
            <w:pPr>
              <w:rPr>
                <w:rFonts w:ascii="Arial" w:hAnsi="Arial" w:cs="Arial"/>
                <w:b/>
                <w:sz w:val="20"/>
              </w:rPr>
            </w:pPr>
            <w:r w:rsidRPr="00307A66">
              <w:rPr>
                <w:rFonts w:ascii="Arial" w:hAnsi="Arial" w:cs="Arial"/>
                <w:b/>
                <w:sz w:val="20"/>
              </w:rPr>
              <w:t xml:space="preserve">LDLC </w:t>
            </w:r>
            <w:r w:rsidRPr="00307A66">
              <w:rPr>
                <w:rFonts w:ascii="Arial" w:hAnsi="Arial" w:cs="Arial"/>
                <w:bCs/>
                <w:sz w:val="20"/>
              </w:rPr>
              <w:t>(mmol/l)</w:t>
            </w:r>
          </w:p>
        </w:tc>
        <w:tc>
          <w:tcPr>
            <w:tcW w:w="1713" w:type="dxa"/>
          </w:tcPr>
          <w:p w14:paraId="3C6241D3" w14:textId="7522C28F" w:rsidR="00A928F3" w:rsidRPr="00307A66" w:rsidRDefault="00DD3D81" w:rsidP="008E70E1">
            <w:pPr>
              <w:rPr>
                <w:rFonts w:ascii="Arial" w:hAnsi="Arial" w:cs="Arial"/>
                <w:bCs/>
                <w:sz w:val="20"/>
              </w:rPr>
            </w:pPr>
            <w:r w:rsidRPr="00307A66">
              <w:rPr>
                <w:rFonts w:ascii="Arial" w:hAnsi="Arial" w:cs="Arial"/>
                <w:bCs/>
                <w:sz w:val="20"/>
              </w:rPr>
              <w:t>3.16 ± 0.85</w:t>
            </w:r>
          </w:p>
        </w:tc>
        <w:tc>
          <w:tcPr>
            <w:tcW w:w="1753" w:type="dxa"/>
          </w:tcPr>
          <w:p w14:paraId="20842095" w14:textId="097FEE83" w:rsidR="00A928F3" w:rsidRPr="00307A66" w:rsidRDefault="00DD3D81" w:rsidP="008E70E1">
            <w:pPr>
              <w:rPr>
                <w:rFonts w:ascii="Arial" w:hAnsi="Arial" w:cs="Arial"/>
                <w:bCs/>
                <w:sz w:val="20"/>
              </w:rPr>
            </w:pPr>
            <w:r w:rsidRPr="00307A66">
              <w:rPr>
                <w:rFonts w:ascii="Arial" w:hAnsi="Arial" w:cs="Arial"/>
                <w:bCs/>
                <w:sz w:val="20"/>
              </w:rPr>
              <w:t>3.15 ± 0.87</w:t>
            </w:r>
          </w:p>
        </w:tc>
        <w:tc>
          <w:tcPr>
            <w:tcW w:w="1899" w:type="dxa"/>
          </w:tcPr>
          <w:p w14:paraId="127A94A6" w14:textId="1AF1B3A7" w:rsidR="00A928F3" w:rsidRPr="00307A66" w:rsidRDefault="00DD3D81" w:rsidP="008E70E1">
            <w:pPr>
              <w:rPr>
                <w:rFonts w:ascii="Arial" w:hAnsi="Arial" w:cs="Arial"/>
                <w:bCs/>
                <w:sz w:val="20"/>
              </w:rPr>
            </w:pPr>
            <w:r w:rsidRPr="00307A66">
              <w:rPr>
                <w:rFonts w:ascii="Arial" w:hAnsi="Arial" w:cs="Arial"/>
                <w:bCs/>
                <w:sz w:val="20"/>
              </w:rPr>
              <w:t>3.15 ± 0.85</w:t>
            </w:r>
          </w:p>
        </w:tc>
        <w:tc>
          <w:tcPr>
            <w:tcW w:w="1326" w:type="dxa"/>
          </w:tcPr>
          <w:p w14:paraId="07E2C14F" w14:textId="4DBCB903" w:rsidR="00A928F3" w:rsidRPr="00307A66" w:rsidRDefault="00DD3D81" w:rsidP="008E70E1">
            <w:pPr>
              <w:rPr>
                <w:rFonts w:ascii="Arial" w:hAnsi="Arial" w:cs="Arial"/>
                <w:bCs/>
                <w:sz w:val="20"/>
              </w:rPr>
            </w:pPr>
            <w:r w:rsidRPr="00307A66">
              <w:rPr>
                <w:rFonts w:ascii="Arial" w:hAnsi="Arial" w:cs="Arial"/>
                <w:bCs/>
                <w:sz w:val="20"/>
              </w:rPr>
              <w:t>0.881</w:t>
            </w:r>
          </w:p>
        </w:tc>
      </w:tr>
      <w:tr w:rsidR="00A928F3" w:rsidRPr="00307A66" w14:paraId="3C4AAAA7" w14:textId="77777777" w:rsidTr="00AE0821">
        <w:tc>
          <w:tcPr>
            <w:tcW w:w="1831" w:type="dxa"/>
          </w:tcPr>
          <w:p w14:paraId="194D93DE" w14:textId="3DD256CF" w:rsidR="00A928F3" w:rsidRPr="00307A66" w:rsidRDefault="00DD3D81" w:rsidP="008E70E1">
            <w:pPr>
              <w:rPr>
                <w:rFonts w:ascii="Arial" w:hAnsi="Arial" w:cs="Arial"/>
                <w:b/>
                <w:sz w:val="20"/>
              </w:rPr>
            </w:pPr>
            <w:r w:rsidRPr="00307A66">
              <w:rPr>
                <w:rFonts w:ascii="Arial" w:hAnsi="Arial" w:cs="Arial"/>
                <w:b/>
                <w:sz w:val="20"/>
              </w:rPr>
              <w:t xml:space="preserve">VDLC </w:t>
            </w:r>
            <w:r w:rsidRPr="00307A66">
              <w:rPr>
                <w:rFonts w:ascii="Arial" w:hAnsi="Arial" w:cs="Arial"/>
                <w:bCs/>
                <w:sz w:val="20"/>
              </w:rPr>
              <w:t>(mmol/l)</w:t>
            </w:r>
          </w:p>
        </w:tc>
        <w:tc>
          <w:tcPr>
            <w:tcW w:w="1713" w:type="dxa"/>
          </w:tcPr>
          <w:p w14:paraId="502E5A7A" w14:textId="4EACEF98" w:rsidR="00A928F3" w:rsidRPr="00307A66" w:rsidRDefault="00DD3D81" w:rsidP="008E70E1">
            <w:pPr>
              <w:rPr>
                <w:rFonts w:ascii="Arial" w:hAnsi="Arial" w:cs="Arial"/>
                <w:bCs/>
                <w:sz w:val="20"/>
              </w:rPr>
            </w:pPr>
            <w:r w:rsidRPr="00307A66">
              <w:rPr>
                <w:rFonts w:ascii="Arial" w:hAnsi="Arial" w:cs="Arial"/>
                <w:bCs/>
                <w:sz w:val="20"/>
              </w:rPr>
              <w:t>1.05 ± 0.58</w:t>
            </w:r>
          </w:p>
        </w:tc>
        <w:tc>
          <w:tcPr>
            <w:tcW w:w="1753" w:type="dxa"/>
          </w:tcPr>
          <w:p w14:paraId="1D51E851" w14:textId="06BD97DC" w:rsidR="00A928F3" w:rsidRPr="00307A66" w:rsidRDefault="00DD3D81" w:rsidP="008E70E1">
            <w:pPr>
              <w:rPr>
                <w:rFonts w:ascii="Arial" w:hAnsi="Arial" w:cs="Arial"/>
                <w:bCs/>
                <w:sz w:val="20"/>
              </w:rPr>
            </w:pPr>
            <w:r w:rsidRPr="00307A66">
              <w:rPr>
                <w:rFonts w:ascii="Arial" w:hAnsi="Arial" w:cs="Arial"/>
                <w:bCs/>
                <w:sz w:val="20"/>
              </w:rPr>
              <w:t>0.91 ± 0.42</w:t>
            </w:r>
          </w:p>
        </w:tc>
        <w:tc>
          <w:tcPr>
            <w:tcW w:w="1899" w:type="dxa"/>
          </w:tcPr>
          <w:p w14:paraId="77849814" w14:textId="5E1E751F" w:rsidR="00A928F3" w:rsidRPr="00307A66" w:rsidRDefault="00DD3D81" w:rsidP="008E70E1">
            <w:pPr>
              <w:rPr>
                <w:rFonts w:ascii="Arial" w:hAnsi="Arial" w:cs="Arial"/>
                <w:bCs/>
                <w:sz w:val="20"/>
              </w:rPr>
            </w:pPr>
            <w:r w:rsidRPr="00307A66">
              <w:rPr>
                <w:rFonts w:ascii="Arial" w:hAnsi="Arial" w:cs="Arial"/>
                <w:bCs/>
                <w:sz w:val="20"/>
              </w:rPr>
              <w:t>0.98 ± 0.51</w:t>
            </w:r>
          </w:p>
        </w:tc>
        <w:tc>
          <w:tcPr>
            <w:tcW w:w="1326" w:type="dxa"/>
          </w:tcPr>
          <w:p w14:paraId="6A4A37C7" w14:textId="7DC8FA54" w:rsidR="00A928F3" w:rsidRPr="00307A66" w:rsidRDefault="00DD3D81" w:rsidP="008E70E1">
            <w:pPr>
              <w:rPr>
                <w:rFonts w:ascii="Arial" w:hAnsi="Arial" w:cs="Arial"/>
                <w:bCs/>
                <w:sz w:val="20"/>
              </w:rPr>
            </w:pPr>
            <w:r w:rsidRPr="00307A66">
              <w:rPr>
                <w:rFonts w:ascii="Arial" w:hAnsi="Arial" w:cs="Arial"/>
                <w:bCs/>
                <w:sz w:val="20"/>
              </w:rPr>
              <w:t>0.144</w:t>
            </w:r>
          </w:p>
        </w:tc>
      </w:tr>
      <w:tr w:rsidR="00A928F3" w:rsidRPr="00307A66" w14:paraId="19FD3487" w14:textId="77777777" w:rsidTr="00AE0821">
        <w:tc>
          <w:tcPr>
            <w:tcW w:w="1831" w:type="dxa"/>
          </w:tcPr>
          <w:p w14:paraId="2309BD11" w14:textId="060F6FE5" w:rsidR="00A928F3" w:rsidRPr="00307A66" w:rsidRDefault="00DD3D81" w:rsidP="008E70E1">
            <w:pPr>
              <w:rPr>
                <w:rFonts w:ascii="Arial" w:hAnsi="Arial" w:cs="Arial"/>
                <w:b/>
                <w:sz w:val="20"/>
              </w:rPr>
            </w:pPr>
            <w:r w:rsidRPr="00307A66">
              <w:rPr>
                <w:rFonts w:ascii="Arial" w:hAnsi="Arial" w:cs="Arial"/>
                <w:b/>
                <w:sz w:val="20"/>
              </w:rPr>
              <w:t xml:space="preserve">TG </w:t>
            </w:r>
            <w:r w:rsidRPr="00307A66">
              <w:rPr>
                <w:rFonts w:ascii="Arial" w:hAnsi="Arial" w:cs="Arial"/>
                <w:bCs/>
                <w:sz w:val="20"/>
              </w:rPr>
              <w:t>(mmol/l)</w:t>
            </w:r>
          </w:p>
        </w:tc>
        <w:tc>
          <w:tcPr>
            <w:tcW w:w="1713" w:type="dxa"/>
          </w:tcPr>
          <w:p w14:paraId="47A6F683" w14:textId="67E126A9" w:rsidR="00A928F3" w:rsidRPr="00307A66" w:rsidRDefault="00DD3D81" w:rsidP="008E70E1">
            <w:pPr>
              <w:rPr>
                <w:rFonts w:ascii="Arial" w:hAnsi="Arial" w:cs="Arial"/>
                <w:bCs/>
                <w:sz w:val="20"/>
              </w:rPr>
            </w:pPr>
            <w:r w:rsidRPr="00307A66">
              <w:rPr>
                <w:rFonts w:ascii="Arial" w:hAnsi="Arial" w:cs="Arial"/>
                <w:bCs/>
                <w:sz w:val="20"/>
              </w:rPr>
              <w:t>1.98 ± 0.63</w:t>
            </w:r>
          </w:p>
        </w:tc>
        <w:tc>
          <w:tcPr>
            <w:tcW w:w="1753" w:type="dxa"/>
          </w:tcPr>
          <w:p w14:paraId="6B4BE86A" w14:textId="17948152" w:rsidR="00A928F3" w:rsidRPr="00307A66" w:rsidRDefault="00DD3D81" w:rsidP="008E70E1">
            <w:pPr>
              <w:rPr>
                <w:rFonts w:ascii="Arial" w:hAnsi="Arial" w:cs="Arial"/>
                <w:bCs/>
                <w:sz w:val="20"/>
              </w:rPr>
            </w:pPr>
            <w:r w:rsidRPr="00307A66">
              <w:rPr>
                <w:rFonts w:ascii="Arial" w:hAnsi="Arial" w:cs="Arial"/>
                <w:bCs/>
                <w:sz w:val="20"/>
              </w:rPr>
              <w:t>1.81 ± 0.45</w:t>
            </w:r>
          </w:p>
        </w:tc>
        <w:tc>
          <w:tcPr>
            <w:tcW w:w="1899" w:type="dxa"/>
          </w:tcPr>
          <w:p w14:paraId="709AC51A" w14:textId="2B8706CC" w:rsidR="00A928F3" w:rsidRPr="00307A66" w:rsidRDefault="00DD3D81" w:rsidP="008E70E1">
            <w:pPr>
              <w:rPr>
                <w:rFonts w:ascii="Arial" w:hAnsi="Arial" w:cs="Arial"/>
                <w:bCs/>
                <w:sz w:val="20"/>
              </w:rPr>
            </w:pPr>
            <w:r w:rsidRPr="00307A66">
              <w:rPr>
                <w:rFonts w:ascii="Arial" w:hAnsi="Arial" w:cs="Arial"/>
                <w:bCs/>
                <w:sz w:val="20"/>
              </w:rPr>
              <w:t>1.90 ± 0.56</w:t>
            </w:r>
          </w:p>
        </w:tc>
        <w:tc>
          <w:tcPr>
            <w:tcW w:w="1326" w:type="dxa"/>
          </w:tcPr>
          <w:p w14:paraId="5A2008C4" w14:textId="6126C27F" w:rsidR="00A928F3" w:rsidRPr="00307A66" w:rsidRDefault="00DD3D81" w:rsidP="008E70E1">
            <w:pPr>
              <w:rPr>
                <w:rFonts w:ascii="Arial" w:hAnsi="Arial" w:cs="Arial"/>
                <w:bCs/>
                <w:sz w:val="20"/>
              </w:rPr>
            </w:pPr>
            <w:r w:rsidRPr="00307A66">
              <w:rPr>
                <w:rFonts w:ascii="Arial" w:hAnsi="Arial" w:cs="Arial"/>
                <w:bCs/>
                <w:sz w:val="20"/>
              </w:rPr>
              <w:t>0.109</w:t>
            </w:r>
          </w:p>
        </w:tc>
      </w:tr>
    </w:tbl>
    <w:p w14:paraId="74505EBF" w14:textId="544C74FC" w:rsidR="00B51F09" w:rsidRPr="00307A66" w:rsidRDefault="00B51F09" w:rsidP="008E70E1">
      <w:pPr>
        <w:widowControl/>
        <w:rPr>
          <w:rFonts w:ascii="Arial" w:hAnsi="Arial" w:cs="Arial"/>
          <w:i/>
          <w:iCs/>
          <w:sz w:val="18"/>
          <w:szCs w:val="18"/>
        </w:rPr>
      </w:pPr>
      <w:r w:rsidRPr="00307A66">
        <w:rPr>
          <w:rFonts w:ascii="Arial" w:hAnsi="Arial" w:cs="Arial"/>
          <w:i/>
          <w:iCs/>
          <w:sz w:val="18"/>
          <w:szCs w:val="18"/>
        </w:rPr>
        <w:t xml:space="preserve">p-value is significant at alpha value of 0.05*; TC: Total cholesterol; </w:t>
      </w:r>
      <w:r w:rsidR="00AB0AFB" w:rsidRPr="00307A66">
        <w:rPr>
          <w:rFonts w:ascii="Arial" w:hAnsi="Arial" w:cs="Arial"/>
          <w:i/>
          <w:iCs/>
          <w:sz w:val="18"/>
          <w:szCs w:val="18"/>
        </w:rPr>
        <w:t xml:space="preserve">HDLC: High-density lipoprotein cholesterol; </w:t>
      </w:r>
      <w:r w:rsidRPr="00307A66">
        <w:rPr>
          <w:rFonts w:ascii="Arial" w:hAnsi="Arial" w:cs="Arial"/>
          <w:i/>
          <w:iCs/>
          <w:sz w:val="18"/>
          <w:szCs w:val="18"/>
        </w:rPr>
        <w:t>LDLC: Low-density lipoprotein cholesterol; VDLC: Very-low density lipoprotein cholesterol; TG: Triglyceride.</w:t>
      </w:r>
    </w:p>
    <w:p w14:paraId="78EE0EFE" w14:textId="77777777" w:rsidR="00DD3D81" w:rsidRPr="00307A66" w:rsidRDefault="00DD3D81" w:rsidP="008E70E1">
      <w:pPr>
        <w:rPr>
          <w:rFonts w:ascii="Arial" w:hAnsi="Arial" w:cs="Arial"/>
          <w:b/>
          <w:sz w:val="20"/>
        </w:rPr>
      </w:pPr>
    </w:p>
    <w:p w14:paraId="0595799E" w14:textId="0B169D92" w:rsidR="002941E1" w:rsidRPr="00307A66" w:rsidRDefault="002C338E" w:rsidP="008E70E1">
      <w:pPr>
        <w:rPr>
          <w:rFonts w:ascii="Arial" w:hAnsi="Arial" w:cs="Arial"/>
          <w:sz w:val="20"/>
        </w:rPr>
      </w:pPr>
      <w:r w:rsidRPr="00307A66">
        <w:rPr>
          <w:rFonts w:ascii="Arial" w:hAnsi="Arial" w:cs="Arial"/>
          <w:sz w:val="20"/>
        </w:rPr>
        <w:t xml:space="preserve">In the </w:t>
      </w:r>
      <w:r w:rsidRPr="00307A66">
        <w:rPr>
          <w:rFonts w:ascii="Arial" w:hAnsi="Arial" w:cs="Arial"/>
          <w:b/>
          <w:sz w:val="20"/>
        </w:rPr>
        <w:t>table 2</w:t>
      </w:r>
      <w:r w:rsidRPr="00307A66">
        <w:rPr>
          <w:rFonts w:ascii="Arial" w:hAnsi="Arial" w:cs="Arial"/>
          <w:sz w:val="20"/>
        </w:rPr>
        <w:t xml:space="preserve">, it can be observed that there </w:t>
      </w:r>
      <w:r w:rsidR="00323AB5" w:rsidRPr="00307A66">
        <w:rPr>
          <w:rFonts w:ascii="Arial" w:hAnsi="Arial" w:cs="Arial"/>
          <w:sz w:val="20"/>
        </w:rPr>
        <w:t>was</w:t>
      </w:r>
      <w:r w:rsidRPr="00307A66">
        <w:rPr>
          <w:rFonts w:ascii="Arial" w:hAnsi="Arial" w:cs="Arial"/>
          <w:sz w:val="20"/>
        </w:rPr>
        <w:t xml:space="preserve"> no statistically significant difference(P-value&gt;0.05) in Age, TC,</w:t>
      </w:r>
      <w:r w:rsidR="00323AB5" w:rsidRPr="00307A66">
        <w:rPr>
          <w:rFonts w:ascii="Arial" w:hAnsi="Arial" w:cs="Arial"/>
          <w:sz w:val="20"/>
        </w:rPr>
        <w:t xml:space="preserve"> </w:t>
      </w:r>
      <w:r w:rsidRPr="00307A66">
        <w:rPr>
          <w:rFonts w:ascii="Arial" w:hAnsi="Arial" w:cs="Arial"/>
          <w:sz w:val="20"/>
        </w:rPr>
        <w:t>HDLC,</w:t>
      </w:r>
      <w:r w:rsidR="00323AB5" w:rsidRPr="00307A66">
        <w:rPr>
          <w:rFonts w:ascii="Arial" w:hAnsi="Arial" w:cs="Arial"/>
          <w:sz w:val="20"/>
        </w:rPr>
        <w:t xml:space="preserve"> </w:t>
      </w:r>
      <w:r w:rsidRPr="00307A66">
        <w:rPr>
          <w:rFonts w:ascii="Arial" w:hAnsi="Arial" w:cs="Arial"/>
          <w:sz w:val="20"/>
        </w:rPr>
        <w:t>LDLC,</w:t>
      </w:r>
      <w:r w:rsidR="00323AB5" w:rsidRPr="00307A66">
        <w:rPr>
          <w:rFonts w:ascii="Arial" w:hAnsi="Arial" w:cs="Arial"/>
          <w:sz w:val="20"/>
        </w:rPr>
        <w:t xml:space="preserve"> </w:t>
      </w:r>
      <w:r w:rsidRPr="00307A66">
        <w:rPr>
          <w:rFonts w:ascii="Arial" w:hAnsi="Arial" w:cs="Arial"/>
          <w:sz w:val="20"/>
        </w:rPr>
        <w:t>VDLC,</w:t>
      </w:r>
      <w:r w:rsidR="00323AB5" w:rsidRPr="00307A66">
        <w:rPr>
          <w:rFonts w:ascii="Arial" w:hAnsi="Arial" w:cs="Arial"/>
          <w:sz w:val="20"/>
        </w:rPr>
        <w:t xml:space="preserve"> </w:t>
      </w:r>
      <w:r w:rsidRPr="00307A66">
        <w:rPr>
          <w:rFonts w:ascii="Arial" w:hAnsi="Arial" w:cs="Arial"/>
          <w:sz w:val="20"/>
        </w:rPr>
        <w:t>TG of all the blood groups.</w:t>
      </w:r>
    </w:p>
    <w:p w14:paraId="0255603A" w14:textId="77777777" w:rsidR="00323AB5" w:rsidRPr="00307A66" w:rsidRDefault="00323AB5" w:rsidP="008E70E1">
      <w:pPr>
        <w:rPr>
          <w:rFonts w:ascii="Arial" w:hAnsi="Arial" w:cs="Arial"/>
          <w:b/>
          <w:sz w:val="20"/>
        </w:rPr>
      </w:pPr>
    </w:p>
    <w:p w14:paraId="52675C78" w14:textId="231BD993" w:rsidR="002941E1" w:rsidRPr="00307A66" w:rsidRDefault="004D37A4" w:rsidP="008E70E1">
      <w:pPr>
        <w:rPr>
          <w:rFonts w:ascii="Arial" w:hAnsi="Arial" w:cs="Arial"/>
          <w:sz w:val="20"/>
        </w:rPr>
      </w:pPr>
      <w:r w:rsidRPr="00307A66">
        <w:rPr>
          <w:rFonts w:ascii="Arial" w:hAnsi="Arial" w:cs="Arial"/>
          <w:b/>
          <w:sz w:val="20"/>
        </w:rPr>
        <w:t>Table</w:t>
      </w:r>
      <w:r w:rsidR="0003391C">
        <w:rPr>
          <w:rFonts w:ascii="Arial" w:hAnsi="Arial" w:cs="Arial"/>
          <w:b/>
          <w:sz w:val="20"/>
        </w:rPr>
        <w:t xml:space="preserve"> </w:t>
      </w:r>
      <w:r w:rsidRPr="00307A66">
        <w:rPr>
          <w:rFonts w:ascii="Arial" w:hAnsi="Arial" w:cs="Arial"/>
          <w:b/>
          <w:sz w:val="20"/>
        </w:rPr>
        <w:t xml:space="preserve">2 </w:t>
      </w:r>
      <w:r w:rsidR="00560C2E" w:rsidRPr="00307A66">
        <w:rPr>
          <w:rFonts w:ascii="Arial" w:hAnsi="Arial" w:cs="Arial"/>
          <w:b/>
          <w:sz w:val="20"/>
        </w:rPr>
        <w:t>Assessing the mean levels</w:t>
      </w:r>
      <w:r w:rsidRPr="00307A66">
        <w:rPr>
          <w:rFonts w:ascii="Arial" w:hAnsi="Arial" w:cs="Arial"/>
          <w:b/>
          <w:sz w:val="20"/>
        </w:rPr>
        <w:t xml:space="preserve"> of TC, HDLC, LDLC, VDLC, TG across the different blood groups (A, B, AB, O)</w:t>
      </w:r>
    </w:p>
    <w:p w14:paraId="3CAB07E3" w14:textId="77777777" w:rsidR="00323AB5" w:rsidRPr="00307A66" w:rsidRDefault="00323AB5" w:rsidP="008E70E1">
      <w:pPr>
        <w:rPr>
          <w:rFonts w:ascii="Arial" w:hAnsi="Arial" w:cs="Arial"/>
          <w:sz w:val="20"/>
        </w:rPr>
      </w:pPr>
    </w:p>
    <w:tbl>
      <w:tblPr>
        <w:tblStyle w:val="TableGrid"/>
        <w:tblW w:w="87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206"/>
        <w:gridCol w:w="1206"/>
        <w:gridCol w:w="1206"/>
        <w:gridCol w:w="1207"/>
        <w:gridCol w:w="1210"/>
        <w:gridCol w:w="1215"/>
      </w:tblGrid>
      <w:tr w:rsidR="00323AB5" w:rsidRPr="00307A66" w14:paraId="4E440A32" w14:textId="77777777" w:rsidTr="00B51F09">
        <w:tc>
          <w:tcPr>
            <w:tcW w:w="1508" w:type="dxa"/>
            <w:tcBorders>
              <w:top w:val="single" w:sz="4" w:space="0" w:color="auto"/>
              <w:bottom w:val="single" w:sz="4" w:space="0" w:color="auto"/>
            </w:tcBorders>
          </w:tcPr>
          <w:p w14:paraId="6630C305" w14:textId="48080589" w:rsidR="00323AB5" w:rsidRPr="00307A66" w:rsidRDefault="00323AB5" w:rsidP="008E70E1">
            <w:pPr>
              <w:rPr>
                <w:rFonts w:ascii="Arial" w:hAnsi="Arial" w:cs="Arial"/>
                <w:b/>
                <w:bCs/>
                <w:sz w:val="20"/>
              </w:rPr>
            </w:pPr>
            <w:r w:rsidRPr="00307A66">
              <w:rPr>
                <w:rFonts w:ascii="Arial" w:hAnsi="Arial" w:cs="Arial"/>
                <w:b/>
                <w:bCs/>
                <w:sz w:val="20"/>
              </w:rPr>
              <w:t>Variables</w:t>
            </w:r>
          </w:p>
        </w:tc>
        <w:tc>
          <w:tcPr>
            <w:tcW w:w="1206" w:type="dxa"/>
            <w:tcBorders>
              <w:top w:val="single" w:sz="4" w:space="0" w:color="auto"/>
              <w:bottom w:val="single" w:sz="4" w:space="0" w:color="auto"/>
            </w:tcBorders>
          </w:tcPr>
          <w:p w14:paraId="77B67167" w14:textId="79FDB90B" w:rsidR="00323AB5" w:rsidRPr="00307A66" w:rsidRDefault="00323AB5" w:rsidP="008E70E1">
            <w:pPr>
              <w:rPr>
                <w:rFonts w:ascii="Arial" w:hAnsi="Arial" w:cs="Arial"/>
                <w:b/>
                <w:bCs/>
                <w:sz w:val="20"/>
              </w:rPr>
            </w:pPr>
            <w:r w:rsidRPr="00307A66">
              <w:rPr>
                <w:rFonts w:ascii="Arial" w:hAnsi="Arial" w:cs="Arial"/>
                <w:b/>
                <w:bCs/>
                <w:sz w:val="20"/>
              </w:rPr>
              <w:t>A (n= 26)</w:t>
            </w:r>
          </w:p>
        </w:tc>
        <w:tc>
          <w:tcPr>
            <w:tcW w:w="1206" w:type="dxa"/>
            <w:tcBorders>
              <w:top w:val="single" w:sz="4" w:space="0" w:color="auto"/>
              <w:bottom w:val="single" w:sz="4" w:space="0" w:color="auto"/>
            </w:tcBorders>
          </w:tcPr>
          <w:p w14:paraId="2D296D69" w14:textId="4D523231" w:rsidR="00323AB5" w:rsidRPr="00307A66" w:rsidRDefault="00323AB5" w:rsidP="008E70E1">
            <w:pPr>
              <w:rPr>
                <w:rFonts w:ascii="Arial" w:hAnsi="Arial" w:cs="Arial"/>
                <w:b/>
                <w:bCs/>
                <w:sz w:val="20"/>
              </w:rPr>
            </w:pPr>
            <w:r w:rsidRPr="00307A66">
              <w:rPr>
                <w:rFonts w:ascii="Arial" w:hAnsi="Arial" w:cs="Arial"/>
                <w:b/>
                <w:bCs/>
                <w:sz w:val="20"/>
              </w:rPr>
              <w:t>B (n= 16)</w:t>
            </w:r>
          </w:p>
        </w:tc>
        <w:tc>
          <w:tcPr>
            <w:tcW w:w="1206" w:type="dxa"/>
            <w:tcBorders>
              <w:top w:val="single" w:sz="4" w:space="0" w:color="auto"/>
              <w:bottom w:val="single" w:sz="4" w:space="0" w:color="auto"/>
            </w:tcBorders>
          </w:tcPr>
          <w:p w14:paraId="29572BB0" w14:textId="09E5C713" w:rsidR="00323AB5" w:rsidRPr="00307A66" w:rsidRDefault="00323AB5" w:rsidP="008E70E1">
            <w:pPr>
              <w:rPr>
                <w:rFonts w:ascii="Arial" w:hAnsi="Arial" w:cs="Arial"/>
                <w:b/>
                <w:bCs/>
                <w:sz w:val="20"/>
              </w:rPr>
            </w:pPr>
            <w:r w:rsidRPr="00307A66">
              <w:rPr>
                <w:rFonts w:ascii="Arial" w:hAnsi="Arial" w:cs="Arial"/>
                <w:b/>
                <w:bCs/>
                <w:sz w:val="20"/>
              </w:rPr>
              <w:t>AB (n= 3)</w:t>
            </w:r>
          </w:p>
        </w:tc>
        <w:tc>
          <w:tcPr>
            <w:tcW w:w="1207" w:type="dxa"/>
            <w:tcBorders>
              <w:top w:val="single" w:sz="4" w:space="0" w:color="auto"/>
              <w:bottom w:val="single" w:sz="4" w:space="0" w:color="auto"/>
            </w:tcBorders>
          </w:tcPr>
          <w:p w14:paraId="1033D0EA" w14:textId="283B6F53" w:rsidR="00323AB5" w:rsidRPr="00307A66" w:rsidRDefault="00323AB5" w:rsidP="008E70E1">
            <w:pPr>
              <w:rPr>
                <w:rFonts w:ascii="Arial" w:hAnsi="Arial" w:cs="Arial"/>
                <w:b/>
                <w:bCs/>
                <w:sz w:val="20"/>
              </w:rPr>
            </w:pPr>
            <w:r w:rsidRPr="00307A66">
              <w:rPr>
                <w:rFonts w:ascii="Arial" w:hAnsi="Arial" w:cs="Arial"/>
                <w:b/>
                <w:bCs/>
                <w:sz w:val="20"/>
              </w:rPr>
              <w:t>O (n= 59)</w:t>
            </w:r>
          </w:p>
        </w:tc>
        <w:tc>
          <w:tcPr>
            <w:tcW w:w="1210" w:type="dxa"/>
            <w:tcBorders>
              <w:top w:val="single" w:sz="4" w:space="0" w:color="auto"/>
              <w:bottom w:val="single" w:sz="4" w:space="0" w:color="auto"/>
            </w:tcBorders>
          </w:tcPr>
          <w:p w14:paraId="2EE2498C" w14:textId="21233531" w:rsidR="00323AB5" w:rsidRPr="00307A66" w:rsidRDefault="00323AB5" w:rsidP="008E70E1">
            <w:pPr>
              <w:rPr>
                <w:rFonts w:ascii="Arial" w:hAnsi="Arial" w:cs="Arial"/>
                <w:b/>
                <w:bCs/>
                <w:sz w:val="20"/>
              </w:rPr>
            </w:pPr>
            <w:r w:rsidRPr="00307A66">
              <w:rPr>
                <w:rFonts w:ascii="Arial" w:hAnsi="Arial" w:cs="Arial"/>
                <w:b/>
                <w:bCs/>
                <w:sz w:val="20"/>
              </w:rPr>
              <w:t>Total (n= 104)</w:t>
            </w:r>
          </w:p>
        </w:tc>
        <w:tc>
          <w:tcPr>
            <w:tcW w:w="1215" w:type="dxa"/>
            <w:tcBorders>
              <w:top w:val="single" w:sz="4" w:space="0" w:color="auto"/>
              <w:bottom w:val="single" w:sz="4" w:space="0" w:color="auto"/>
            </w:tcBorders>
          </w:tcPr>
          <w:p w14:paraId="3A2C3D9A" w14:textId="75EE4CDB" w:rsidR="00323AB5" w:rsidRPr="00307A66" w:rsidRDefault="00323AB5" w:rsidP="008E70E1">
            <w:pPr>
              <w:rPr>
                <w:rFonts w:ascii="Arial" w:hAnsi="Arial" w:cs="Arial"/>
                <w:b/>
                <w:bCs/>
                <w:sz w:val="20"/>
              </w:rPr>
            </w:pPr>
            <w:r w:rsidRPr="00307A66">
              <w:rPr>
                <w:rFonts w:ascii="Arial" w:hAnsi="Arial" w:cs="Arial"/>
                <w:b/>
                <w:bCs/>
                <w:sz w:val="20"/>
              </w:rPr>
              <w:t>p-value</w:t>
            </w:r>
          </w:p>
        </w:tc>
      </w:tr>
      <w:tr w:rsidR="00323AB5" w:rsidRPr="00307A66" w14:paraId="6000E2CC" w14:textId="77777777" w:rsidTr="00B51F09">
        <w:tc>
          <w:tcPr>
            <w:tcW w:w="1508" w:type="dxa"/>
            <w:tcBorders>
              <w:top w:val="single" w:sz="4" w:space="0" w:color="auto"/>
            </w:tcBorders>
          </w:tcPr>
          <w:p w14:paraId="2348046C" w14:textId="2D872B46" w:rsidR="00323AB5" w:rsidRPr="00307A66" w:rsidRDefault="004D37A4" w:rsidP="008E70E1">
            <w:pPr>
              <w:rPr>
                <w:rFonts w:ascii="Arial" w:hAnsi="Arial" w:cs="Arial"/>
                <w:sz w:val="20"/>
              </w:rPr>
            </w:pPr>
            <w:r w:rsidRPr="00307A66">
              <w:rPr>
                <w:rFonts w:ascii="Arial" w:hAnsi="Arial" w:cs="Arial"/>
                <w:b/>
                <w:bCs/>
                <w:sz w:val="20"/>
              </w:rPr>
              <w:t>TC</w:t>
            </w:r>
            <w:r w:rsidRPr="00307A66">
              <w:rPr>
                <w:rFonts w:ascii="Arial" w:hAnsi="Arial" w:cs="Arial"/>
                <w:sz w:val="20"/>
              </w:rPr>
              <w:t xml:space="preserve"> (mmol/l)</w:t>
            </w:r>
          </w:p>
        </w:tc>
        <w:tc>
          <w:tcPr>
            <w:tcW w:w="1206" w:type="dxa"/>
            <w:tcBorders>
              <w:top w:val="single" w:sz="4" w:space="0" w:color="auto"/>
            </w:tcBorders>
          </w:tcPr>
          <w:p w14:paraId="1CDE5810" w14:textId="38B99015" w:rsidR="00323AB5" w:rsidRPr="00307A66" w:rsidRDefault="004D37A4" w:rsidP="008E70E1">
            <w:pPr>
              <w:rPr>
                <w:rFonts w:ascii="Arial" w:hAnsi="Arial" w:cs="Arial"/>
                <w:sz w:val="20"/>
              </w:rPr>
            </w:pPr>
            <w:r w:rsidRPr="00307A66">
              <w:rPr>
                <w:rFonts w:ascii="Arial" w:hAnsi="Arial" w:cs="Arial"/>
                <w:sz w:val="20"/>
              </w:rPr>
              <w:t xml:space="preserve">5.52 </w:t>
            </w:r>
            <w:r w:rsidRPr="00307A66">
              <w:rPr>
                <w:rFonts w:ascii="Arial" w:hAnsi="Arial" w:cs="Arial"/>
                <w:bCs/>
                <w:sz w:val="20"/>
              </w:rPr>
              <w:t>± 0.93</w:t>
            </w:r>
          </w:p>
        </w:tc>
        <w:tc>
          <w:tcPr>
            <w:tcW w:w="1206" w:type="dxa"/>
            <w:tcBorders>
              <w:top w:val="single" w:sz="4" w:space="0" w:color="auto"/>
            </w:tcBorders>
          </w:tcPr>
          <w:p w14:paraId="18E51377" w14:textId="2FDB48CD" w:rsidR="00323AB5" w:rsidRPr="00307A66" w:rsidRDefault="004D37A4" w:rsidP="008E70E1">
            <w:pPr>
              <w:rPr>
                <w:rFonts w:ascii="Arial" w:hAnsi="Arial" w:cs="Arial"/>
                <w:sz w:val="20"/>
              </w:rPr>
            </w:pPr>
            <w:r w:rsidRPr="00307A66">
              <w:rPr>
                <w:rFonts w:ascii="Arial" w:hAnsi="Arial" w:cs="Arial"/>
                <w:sz w:val="20"/>
              </w:rPr>
              <w:t xml:space="preserve">5.14 </w:t>
            </w:r>
            <w:r w:rsidRPr="00307A66">
              <w:rPr>
                <w:rFonts w:ascii="Arial" w:hAnsi="Arial" w:cs="Arial"/>
                <w:bCs/>
                <w:sz w:val="20"/>
              </w:rPr>
              <w:t>± 1.22</w:t>
            </w:r>
          </w:p>
        </w:tc>
        <w:tc>
          <w:tcPr>
            <w:tcW w:w="1206" w:type="dxa"/>
            <w:tcBorders>
              <w:top w:val="single" w:sz="4" w:space="0" w:color="auto"/>
            </w:tcBorders>
          </w:tcPr>
          <w:p w14:paraId="272871CE" w14:textId="0D3F55F3" w:rsidR="00323AB5" w:rsidRPr="00307A66" w:rsidRDefault="004D37A4" w:rsidP="008E70E1">
            <w:pPr>
              <w:rPr>
                <w:rFonts w:ascii="Arial" w:hAnsi="Arial" w:cs="Arial"/>
                <w:sz w:val="20"/>
              </w:rPr>
            </w:pPr>
            <w:r w:rsidRPr="00307A66">
              <w:rPr>
                <w:rFonts w:ascii="Arial" w:hAnsi="Arial" w:cs="Arial"/>
                <w:sz w:val="20"/>
              </w:rPr>
              <w:t xml:space="preserve">5.53 </w:t>
            </w:r>
            <w:r w:rsidRPr="00307A66">
              <w:rPr>
                <w:rFonts w:ascii="Arial" w:hAnsi="Arial" w:cs="Arial"/>
                <w:bCs/>
                <w:sz w:val="20"/>
              </w:rPr>
              <w:t>± 0.71</w:t>
            </w:r>
          </w:p>
        </w:tc>
        <w:tc>
          <w:tcPr>
            <w:tcW w:w="1207" w:type="dxa"/>
            <w:tcBorders>
              <w:top w:val="single" w:sz="4" w:space="0" w:color="auto"/>
            </w:tcBorders>
          </w:tcPr>
          <w:p w14:paraId="55A2C0CE" w14:textId="1DDDBEE6" w:rsidR="00323AB5" w:rsidRPr="00307A66" w:rsidRDefault="004D37A4" w:rsidP="008E70E1">
            <w:pPr>
              <w:rPr>
                <w:rFonts w:ascii="Arial" w:hAnsi="Arial" w:cs="Arial"/>
                <w:sz w:val="20"/>
              </w:rPr>
            </w:pPr>
            <w:r w:rsidRPr="00307A66">
              <w:rPr>
                <w:rFonts w:ascii="Arial" w:hAnsi="Arial" w:cs="Arial"/>
                <w:sz w:val="20"/>
              </w:rPr>
              <w:t xml:space="preserve">5.31 </w:t>
            </w:r>
            <w:r w:rsidRPr="00307A66">
              <w:rPr>
                <w:rFonts w:ascii="Arial" w:hAnsi="Arial" w:cs="Arial"/>
                <w:bCs/>
                <w:sz w:val="20"/>
              </w:rPr>
              <w:t>± 0.93</w:t>
            </w:r>
          </w:p>
        </w:tc>
        <w:tc>
          <w:tcPr>
            <w:tcW w:w="1210" w:type="dxa"/>
            <w:tcBorders>
              <w:top w:val="single" w:sz="4" w:space="0" w:color="auto"/>
            </w:tcBorders>
          </w:tcPr>
          <w:p w14:paraId="5FCB77ED" w14:textId="6140C018" w:rsidR="00323AB5" w:rsidRPr="00307A66" w:rsidRDefault="004D37A4" w:rsidP="008E70E1">
            <w:pPr>
              <w:rPr>
                <w:rFonts w:ascii="Arial" w:hAnsi="Arial" w:cs="Arial"/>
                <w:sz w:val="20"/>
              </w:rPr>
            </w:pPr>
            <w:r w:rsidRPr="00307A66">
              <w:rPr>
                <w:rFonts w:ascii="Arial" w:hAnsi="Arial" w:cs="Arial"/>
                <w:sz w:val="20"/>
              </w:rPr>
              <w:t xml:space="preserve">5.34 </w:t>
            </w:r>
            <w:r w:rsidRPr="00307A66">
              <w:rPr>
                <w:rFonts w:ascii="Arial" w:hAnsi="Arial" w:cs="Arial"/>
                <w:bCs/>
                <w:sz w:val="20"/>
              </w:rPr>
              <w:t>± 0.97</w:t>
            </w:r>
          </w:p>
        </w:tc>
        <w:tc>
          <w:tcPr>
            <w:tcW w:w="1215" w:type="dxa"/>
            <w:tcBorders>
              <w:top w:val="single" w:sz="4" w:space="0" w:color="auto"/>
            </w:tcBorders>
          </w:tcPr>
          <w:p w14:paraId="1BC497D1" w14:textId="0F4F534B" w:rsidR="00323AB5" w:rsidRPr="00307A66" w:rsidRDefault="004D37A4" w:rsidP="008E70E1">
            <w:pPr>
              <w:rPr>
                <w:rFonts w:ascii="Arial" w:hAnsi="Arial" w:cs="Arial"/>
                <w:sz w:val="20"/>
              </w:rPr>
            </w:pPr>
            <w:r w:rsidRPr="00307A66">
              <w:rPr>
                <w:rFonts w:ascii="Arial" w:hAnsi="Arial" w:cs="Arial"/>
                <w:sz w:val="20"/>
              </w:rPr>
              <w:t>0.633</w:t>
            </w:r>
          </w:p>
        </w:tc>
      </w:tr>
      <w:tr w:rsidR="00323AB5" w:rsidRPr="00307A66" w14:paraId="145A86BC" w14:textId="77777777" w:rsidTr="00B51F09">
        <w:tc>
          <w:tcPr>
            <w:tcW w:w="1508" w:type="dxa"/>
          </w:tcPr>
          <w:p w14:paraId="1D099CF4" w14:textId="7D429A62" w:rsidR="00323AB5" w:rsidRPr="00307A66" w:rsidRDefault="004D37A4" w:rsidP="008E70E1">
            <w:pPr>
              <w:rPr>
                <w:rFonts w:ascii="Arial" w:hAnsi="Arial" w:cs="Arial"/>
                <w:sz w:val="20"/>
              </w:rPr>
            </w:pPr>
            <w:r w:rsidRPr="00307A66">
              <w:rPr>
                <w:rFonts w:ascii="Arial" w:hAnsi="Arial" w:cs="Arial"/>
                <w:b/>
                <w:bCs/>
                <w:sz w:val="20"/>
              </w:rPr>
              <w:t xml:space="preserve">HDLC </w:t>
            </w:r>
            <w:r w:rsidRPr="00307A66">
              <w:rPr>
                <w:rFonts w:ascii="Arial" w:hAnsi="Arial" w:cs="Arial"/>
                <w:sz w:val="20"/>
              </w:rPr>
              <w:t>(mmol/l)</w:t>
            </w:r>
          </w:p>
        </w:tc>
        <w:tc>
          <w:tcPr>
            <w:tcW w:w="1206" w:type="dxa"/>
          </w:tcPr>
          <w:p w14:paraId="14D70540" w14:textId="5EA123FC" w:rsidR="00323AB5" w:rsidRPr="00307A66" w:rsidRDefault="004D37A4" w:rsidP="008E70E1">
            <w:pPr>
              <w:rPr>
                <w:rFonts w:ascii="Arial" w:hAnsi="Arial" w:cs="Arial"/>
                <w:sz w:val="20"/>
              </w:rPr>
            </w:pPr>
            <w:r w:rsidRPr="00307A66">
              <w:rPr>
                <w:rFonts w:ascii="Arial" w:hAnsi="Arial" w:cs="Arial"/>
                <w:sz w:val="20"/>
              </w:rPr>
              <w:t xml:space="preserve">1.33 </w:t>
            </w:r>
            <w:r w:rsidRPr="00307A66">
              <w:rPr>
                <w:rFonts w:ascii="Arial" w:hAnsi="Arial" w:cs="Arial"/>
                <w:bCs/>
                <w:sz w:val="20"/>
              </w:rPr>
              <w:t>± 0.18</w:t>
            </w:r>
          </w:p>
        </w:tc>
        <w:tc>
          <w:tcPr>
            <w:tcW w:w="1206" w:type="dxa"/>
          </w:tcPr>
          <w:p w14:paraId="17F11C1A" w14:textId="61B682FF" w:rsidR="00323AB5" w:rsidRPr="00307A66" w:rsidRDefault="004D37A4" w:rsidP="008E70E1">
            <w:pPr>
              <w:rPr>
                <w:rFonts w:ascii="Arial" w:hAnsi="Arial" w:cs="Arial"/>
                <w:sz w:val="20"/>
              </w:rPr>
            </w:pPr>
            <w:r w:rsidRPr="00307A66">
              <w:rPr>
                <w:rFonts w:ascii="Arial" w:hAnsi="Arial" w:cs="Arial"/>
                <w:sz w:val="20"/>
              </w:rPr>
              <w:t xml:space="preserve">1.24 </w:t>
            </w:r>
            <w:r w:rsidRPr="00307A66">
              <w:rPr>
                <w:rFonts w:ascii="Arial" w:hAnsi="Arial" w:cs="Arial"/>
                <w:bCs/>
                <w:sz w:val="20"/>
              </w:rPr>
              <w:t>± 0.21</w:t>
            </w:r>
          </w:p>
        </w:tc>
        <w:tc>
          <w:tcPr>
            <w:tcW w:w="1206" w:type="dxa"/>
          </w:tcPr>
          <w:p w14:paraId="17CFDF99" w14:textId="536C8A8B" w:rsidR="00323AB5" w:rsidRPr="00307A66" w:rsidRDefault="004D37A4" w:rsidP="008E70E1">
            <w:pPr>
              <w:rPr>
                <w:rFonts w:ascii="Arial" w:hAnsi="Arial" w:cs="Arial"/>
                <w:sz w:val="20"/>
              </w:rPr>
            </w:pPr>
            <w:r w:rsidRPr="00307A66">
              <w:rPr>
                <w:rFonts w:ascii="Arial" w:hAnsi="Arial" w:cs="Arial"/>
                <w:sz w:val="20"/>
              </w:rPr>
              <w:t xml:space="preserve">1.37 </w:t>
            </w:r>
            <w:r w:rsidRPr="00307A66">
              <w:rPr>
                <w:rFonts w:ascii="Arial" w:hAnsi="Arial" w:cs="Arial"/>
                <w:bCs/>
                <w:sz w:val="20"/>
              </w:rPr>
              <w:t>± 0.15</w:t>
            </w:r>
          </w:p>
        </w:tc>
        <w:tc>
          <w:tcPr>
            <w:tcW w:w="1207" w:type="dxa"/>
          </w:tcPr>
          <w:p w14:paraId="1CC1B55E" w14:textId="0507F9DE" w:rsidR="00323AB5" w:rsidRPr="00307A66" w:rsidRDefault="004D37A4" w:rsidP="008E70E1">
            <w:pPr>
              <w:rPr>
                <w:rFonts w:ascii="Arial" w:hAnsi="Arial" w:cs="Arial"/>
                <w:sz w:val="20"/>
              </w:rPr>
            </w:pPr>
            <w:r w:rsidRPr="00307A66">
              <w:rPr>
                <w:rFonts w:ascii="Arial" w:hAnsi="Arial" w:cs="Arial"/>
                <w:sz w:val="20"/>
              </w:rPr>
              <w:t xml:space="preserve">1.27 </w:t>
            </w:r>
            <w:r w:rsidRPr="00307A66">
              <w:rPr>
                <w:rFonts w:ascii="Arial" w:hAnsi="Arial" w:cs="Arial"/>
                <w:bCs/>
                <w:sz w:val="20"/>
              </w:rPr>
              <w:t>± 0.20</w:t>
            </w:r>
          </w:p>
        </w:tc>
        <w:tc>
          <w:tcPr>
            <w:tcW w:w="1210" w:type="dxa"/>
          </w:tcPr>
          <w:p w14:paraId="4E57A73F" w14:textId="5FF6ACA4" w:rsidR="00323AB5" w:rsidRPr="00307A66" w:rsidRDefault="004D37A4" w:rsidP="008E70E1">
            <w:pPr>
              <w:rPr>
                <w:rFonts w:ascii="Arial" w:hAnsi="Arial" w:cs="Arial"/>
                <w:sz w:val="20"/>
              </w:rPr>
            </w:pPr>
            <w:r w:rsidRPr="00307A66">
              <w:rPr>
                <w:rFonts w:ascii="Arial" w:hAnsi="Arial" w:cs="Arial"/>
                <w:sz w:val="20"/>
              </w:rPr>
              <w:t xml:space="preserve">1.28 </w:t>
            </w:r>
            <w:r w:rsidRPr="00307A66">
              <w:rPr>
                <w:rFonts w:ascii="Arial" w:hAnsi="Arial" w:cs="Arial"/>
                <w:bCs/>
                <w:sz w:val="20"/>
              </w:rPr>
              <w:t>± 0.20</w:t>
            </w:r>
          </w:p>
        </w:tc>
        <w:tc>
          <w:tcPr>
            <w:tcW w:w="1215" w:type="dxa"/>
          </w:tcPr>
          <w:p w14:paraId="13B7FC66" w14:textId="37286632" w:rsidR="00323AB5" w:rsidRPr="00307A66" w:rsidRDefault="004D37A4" w:rsidP="008E70E1">
            <w:pPr>
              <w:rPr>
                <w:rFonts w:ascii="Arial" w:hAnsi="Arial" w:cs="Arial"/>
                <w:sz w:val="20"/>
              </w:rPr>
            </w:pPr>
            <w:r w:rsidRPr="00307A66">
              <w:rPr>
                <w:rFonts w:ascii="Arial" w:hAnsi="Arial" w:cs="Arial"/>
                <w:sz w:val="20"/>
              </w:rPr>
              <w:t>0.441</w:t>
            </w:r>
          </w:p>
        </w:tc>
      </w:tr>
      <w:tr w:rsidR="00323AB5" w:rsidRPr="00307A66" w14:paraId="0D2619CB" w14:textId="77777777" w:rsidTr="00B51F09">
        <w:tc>
          <w:tcPr>
            <w:tcW w:w="1508" w:type="dxa"/>
          </w:tcPr>
          <w:p w14:paraId="6FEF9E2E" w14:textId="74B7BE45" w:rsidR="00323AB5" w:rsidRPr="00307A66" w:rsidRDefault="004D37A4" w:rsidP="008E70E1">
            <w:pPr>
              <w:rPr>
                <w:rFonts w:ascii="Arial" w:hAnsi="Arial" w:cs="Arial"/>
                <w:sz w:val="20"/>
              </w:rPr>
            </w:pPr>
            <w:r w:rsidRPr="00307A66">
              <w:rPr>
                <w:rFonts w:ascii="Arial" w:hAnsi="Arial" w:cs="Arial"/>
                <w:b/>
                <w:bCs/>
                <w:sz w:val="20"/>
              </w:rPr>
              <w:t xml:space="preserve">LDLC </w:t>
            </w:r>
            <w:r w:rsidRPr="00307A66">
              <w:rPr>
                <w:rFonts w:ascii="Arial" w:hAnsi="Arial" w:cs="Arial"/>
                <w:sz w:val="20"/>
              </w:rPr>
              <w:t>(mmol/l)</w:t>
            </w:r>
          </w:p>
        </w:tc>
        <w:tc>
          <w:tcPr>
            <w:tcW w:w="1206" w:type="dxa"/>
          </w:tcPr>
          <w:p w14:paraId="56943A47" w14:textId="38FC1D7B" w:rsidR="00323AB5" w:rsidRPr="00307A66" w:rsidRDefault="004D37A4" w:rsidP="008E70E1">
            <w:pPr>
              <w:rPr>
                <w:rFonts w:ascii="Arial" w:hAnsi="Arial" w:cs="Arial"/>
                <w:sz w:val="20"/>
              </w:rPr>
            </w:pPr>
            <w:r w:rsidRPr="00307A66">
              <w:rPr>
                <w:rFonts w:ascii="Arial" w:hAnsi="Arial" w:cs="Arial"/>
                <w:sz w:val="20"/>
              </w:rPr>
              <w:t xml:space="preserve">3.30 </w:t>
            </w:r>
            <w:r w:rsidRPr="00307A66">
              <w:rPr>
                <w:rFonts w:ascii="Arial" w:hAnsi="Arial" w:cs="Arial"/>
                <w:bCs/>
                <w:sz w:val="20"/>
              </w:rPr>
              <w:t>± 0.78</w:t>
            </w:r>
          </w:p>
        </w:tc>
        <w:tc>
          <w:tcPr>
            <w:tcW w:w="1206" w:type="dxa"/>
          </w:tcPr>
          <w:p w14:paraId="0F8CA178" w14:textId="0136ED45" w:rsidR="00323AB5" w:rsidRPr="00307A66" w:rsidRDefault="004D37A4" w:rsidP="008E70E1">
            <w:pPr>
              <w:rPr>
                <w:rFonts w:ascii="Arial" w:hAnsi="Arial" w:cs="Arial"/>
                <w:sz w:val="20"/>
              </w:rPr>
            </w:pPr>
            <w:r w:rsidRPr="00307A66">
              <w:rPr>
                <w:rFonts w:ascii="Arial" w:hAnsi="Arial" w:cs="Arial"/>
                <w:sz w:val="20"/>
              </w:rPr>
              <w:t xml:space="preserve">3.02 </w:t>
            </w:r>
            <w:r w:rsidRPr="00307A66">
              <w:rPr>
                <w:rFonts w:ascii="Arial" w:hAnsi="Arial" w:cs="Arial"/>
                <w:bCs/>
                <w:sz w:val="20"/>
              </w:rPr>
              <w:t>± 0.96</w:t>
            </w:r>
          </w:p>
        </w:tc>
        <w:tc>
          <w:tcPr>
            <w:tcW w:w="1206" w:type="dxa"/>
          </w:tcPr>
          <w:p w14:paraId="211B2CBF" w14:textId="0FEA55BC" w:rsidR="00323AB5" w:rsidRPr="00307A66" w:rsidRDefault="004D37A4" w:rsidP="008E70E1">
            <w:pPr>
              <w:rPr>
                <w:rFonts w:ascii="Arial" w:hAnsi="Arial" w:cs="Arial"/>
                <w:sz w:val="20"/>
              </w:rPr>
            </w:pPr>
            <w:r w:rsidRPr="00307A66">
              <w:rPr>
                <w:rFonts w:ascii="Arial" w:hAnsi="Arial" w:cs="Arial"/>
                <w:sz w:val="20"/>
              </w:rPr>
              <w:t xml:space="preserve">3.27 </w:t>
            </w:r>
            <w:r w:rsidRPr="00307A66">
              <w:rPr>
                <w:rFonts w:ascii="Arial" w:hAnsi="Arial" w:cs="Arial"/>
                <w:bCs/>
                <w:sz w:val="20"/>
              </w:rPr>
              <w:t>± 0.50</w:t>
            </w:r>
          </w:p>
        </w:tc>
        <w:tc>
          <w:tcPr>
            <w:tcW w:w="1207" w:type="dxa"/>
          </w:tcPr>
          <w:p w14:paraId="2A905F0C" w14:textId="1CE3AD41" w:rsidR="00323AB5" w:rsidRPr="00307A66" w:rsidRDefault="004D37A4" w:rsidP="008E70E1">
            <w:pPr>
              <w:rPr>
                <w:rFonts w:ascii="Arial" w:hAnsi="Arial" w:cs="Arial"/>
                <w:sz w:val="20"/>
              </w:rPr>
            </w:pPr>
            <w:r w:rsidRPr="00307A66">
              <w:rPr>
                <w:rFonts w:ascii="Arial" w:hAnsi="Arial" w:cs="Arial"/>
                <w:sz w:val="20"/>
              </w:rPr>
              <w:t xml:space="preserve">3.12 </w:t>
            </w:r>
            <w:r w:rsidRPr="00307A66">
              <w:rPr>
                <w:rFonts w:ascii="Arial" w:hAnsi="Arial" w:cs="Arial"/>
                <w:bCs/>
                <w:sz w:val="20"/>
              </w:rPr>
              <w:t>± 0.90</w:t>
            </w:r>
          </w:p>
        </w:tc>
        <w:tc>
          <w:tcPr>
            <w:tcW w:w="1210" w:type="dxa"/>
          </w:tcPr>
          <w:p w14:paraId="7F9B2A05" w14:textId="235D855D" w:rsidR="00323AB5" w:rsidRPr="00307A66" w:rsidRDefault="004D37A4" w:rsidP="008E70E1">
            <w:pPr>
              <w:rPr>
                <w:rFonts w:ascii="Arial" w:hAnsi="Arial" w:cs="Arial"/>
                <w:sz w:val="20"/>
              </w:rPr>
            </w:pPr>
            <w:r w:rsidRPr="00307A66">
              <w:rPr>
                <w:rFonts w:ascii="Arial" w:hAnsi="Arial" w:cs="Arial"/>
                <w:sz w:val="20"/>
              </w:rPr>
              <w:t xml:space="preserve">18.00 </w:t>
            </w:r>
            <w:r w:rsidRPr="00307A66">
              <w:rPr>
                <w:rFonts w:ascii="Arial" w:hAnsi="Arial" w:cs="Arial"/>
                <w:bCs/>
                <w:sz w:val="20"/>
              </w:rPr>
              <w:t>± 0.85</w:t>
            </w:r>
          </w:p>
        </w:tc>
        <w:tc>
          <w:tcPr>
            <w:tcW w:w="1215" w:type="dxa"/>
          </w:tcPr>
          <w:p w14:paraId="7EA7F9C6" w14:textId="7AE64E70" w:rsidR="00323AB5" w:rsidRPr="00307A66" w:rsidRDefault="004D37A4" w:rsidP="008E70E1">
            <w:pPr>
              <w:rPr>
                <w:rFonts w:ascii="Arial" w:hAnsi="Arial" w:cs="Arial"/>
                <w:sz w:val="20"/>
              </w:rPr>
            </w:pPr>
            <w:r w:rsidRPr="00307A66">
              <w:rPr>
                <w:rFonts w:ascii="Arial" w:hAnsi="Arial" w:cs="Arial"/>
                <w:sz w:val="20"/>
              </w:rPr>
              <w:t>0.775</w:t>
            </w:r>
          </w:p>
        </w:tc>
      </w:tr>
      <w:tr w:rsidR="00323AB5" w:rsidRPr="00307A66" w14:paraId="03393295" w14:textId="77777777" w:rsidTr="00B51F09">
        <w:tc>
          <w:tcPr>
            <w:tcW w:w="1508" w:type="dxa"/>
          </w:tcPr>
          <w:p w14:paraId="09B833C7" w14:textId="03C387C7" w:rsidR="00323AB5" w:rsidRPr="00307A66" w:rsidRDefault="004D37A4" w:rsidP="008E70E1">
            <w:pPr>
              <w:rPr>
                <w:rFonts w:ascii="Arial" w:hAnsi="Arial" w:cs="Arial"/>
                <w:sz w:val="20"/>
              </w:rPr>
            </w:pPr>
            <w:r w:rsidRPr="00307A66">
              <w:rPr>
                <w:rFonts w:ascii="Arial" w:hAnsi="Arial" w:cs="Arial"/>
                <w:b/>
                <w:bCs/>
                <w:sz w:val="20"/>
              </w:rPr>
              <w:t xml:space="preserve">VDLC </w:t>
            </w:r>
            <w:r w:rsidRPr="00307A66">
              <w:rPr>
                <w:rFonts w:ascii="Arial" w:hAnsi="Arial" w:cs="Arial"/>
                <w:sz w:val="20"/>
              </w:rPr>
              <w:t>(mmol/l)</w:t>
            </w:r>
          </w:p>
        </w:tc>
        <w:tc>
          <w:tcPr>
            <w:tcW w:w="1206" w:type="dxa"/>
          </w:tcPr>
          <w:p w14:paraId="7AA70127" w14:textId="0D03956A" w:rsidR="00323AB5" w:rsidRPr="00307A66" w:rsidRDefault="004D37A4" w:rsidP="008E70E1">
            <w:pPr>
              <w:rPr>
                <w:rFonts w:ascii="Arial" w:hAnsi="Arial" w:cs="Arial"/>
                <w:sz w:val="20"/>
              </w:rPr>
            </w:pPr>
            <w:r w:rsidRPr="00307A66">
              <w:rPr>
                <w:rFonts w:ascii="Arial" w:hAnsi="Arial" w:cs="Arial"/>
                <w:sz w:val="20"/>
              </w:rPr>
              <w:t xml:space="preserve">0.94 </w:t>
            </w:r>
            <w:r w:rsidRPr="00307A66">
              <w:rPr>
                <w:rFonts w:ascii="Arial" w:hAnsi="Arial" w:cs="Arial"/>
                <w:bCs/>
                <w:sz w:val="20"/>
              </w:rPr>
              <w:t>± 0.50</w:t>
            </w:r>
          </w:p>
        </w:tc>
        <w:tc>
          <w:tcPr>
            <w:tcW w:w="1206" w:type="dxa"/>
          </w:tcPr>
          <w:p w14:paraId="73E42748" w14:textId="0D47C214" w:rsidR="00323AB5" w:rsidRPr="00307A66" w:rsidRDefault="004D37A4" w:rsidP="008E70E1">
            <w:pPr>
              <w:rPr>
                <w:rFonts w:ascii="Arial" w:hAnsi="Arial" w:cs="Arial"/>
                <w:sz w:val="20"/>
              </w:rPr>
            </w:pPr>
            <w:r w:rsidRPr="00307A66">
              <w:rPr>
                <w:rFonts w:ascii="Arial" w:hAnsi="Arial" w:cs="Arial"/>
                <w:sz w:val="20"/>
              </w:rPr>
              <w:t xml:space="preserve">0.97 </w:t>
            </w:r>
            <w:r w:rsidRPr="00307A66">
              <w:rPr>
                <w:rFonts w:ascii="Arial" w:hAnsi="Arial" w:cs="Arial"/>
                <w:bCs/>
                <w:sz w:val="20"/>
              </w:rPr>
              <w:t>± 0.40</w:t>
            </w:r>
          </w:p>
        </w:tc>
        <w:tc>
          <w:tcPr>
            <w:tcW w:w="1206" w:type="dxa"/>
          </w:tcPr>
          <w:p w14:paraId="12C3E793" w14:textId="58CDC457" w:rsidR="00323AB5" w:rsidRPr="00307A66" w:rsidRDefault="004D37A4" w:rsidP="008E70E1">
            <w:pPr>
              <w:rPr>
                <w:rFonts w:ascii="Arial" w:hAnsi="Arial" w:cs="Arial"/>
                <w:sz w:val="20"/>
              </w:rPr>
            </w:pPr>
            <w:r w:rsidRPr="00307A66">
              <w:rPr>
                <w:rFonts w:ascii="Arial" w:hAnsi="Arial" w:cs="Arial"/>
                <w:sz w:val="20"/>
              </w:rPr>
              <w:t xml:space="preserve">0.90 </w:t>
            </w:r>
            <w:r w:rsidRPr="00307A66">
              <w:rPr>
                <w:rFonts w:ascii="Arial" w:hAnsi="Arial" w:cs="Arial"/>
                <w:bCs/>
                <w:sz w:val="20"/>
              </w:rPr>
              <w:t>± 0.10</w:t>
            </w:r>
          </w:p>
        </w:tc>
        <w:tc>
          <w:tcPr>
            <w:tcW w:w="1207" w:type="dxa"/>
          </w:tcPr>
          <w:p w14:paraId="0097B3F8" w14:textId="7FFDB0B7" w:rsidR="00323AB5" w:rsidRPr="00307A66" w:rsidRDefault="004D37A4" w:rsidP="008E70E1">
            <w:pPr>
              <w:rPr>
                <w:rFonts w:ascii="Arial" w:hAnsi="Arial" w:cs="Arial"/>
                <w:sz w:val="20"/>
              </w:rPr>
            </w:pPr>
            <w:r w:rsidRPr="00307A66">
              <w:rPr>
                <w:rFonts w:ascii="Arial" w:hAnsi="Arial" w:cs="Arial"/>
                <w:sz w:val="20"/>
              </w:rPr>
              <w:t xml:space="preserve">1.01 </w:t>
            </w:r>
            <w:r w:rsidRPr="00307A66">
              <w:rPr>
                <w:rFonts w:ascii="Arial" w:hAnsi="Arial" w:cs="Arial"/>
                <w:bCs/>
                <w:sz w:val="20"/>
              </w:rPr>
              <w:t>± 0.60</w:t>
            </w:r>
          </w:p>
        </w:tc>
        <w:tc>
          <w:tcPr>
            <w:tcW w:w="1210" w:type="dxa"/>
          </w:tcPr>
          <w:p w14:paraId="56DFE219" w14:textId="6B529216" w:rsidR="00323AB5" w:rsidRPr="00307A66" w:rsidRDefault="004D37A4" w:rsidP="008E70E1">
            <w:pPr>
              <w:rPr>
                <w:rFonts w:ascii="Arial" w:hAnsi="Arial" w:cs="Arial"/>
                <w:sz w:val="20"/>
              </w:rPr>
            </w:pPr>
            <w:r w:rsidRPr="00307A66">
              <w:rPr>
                <w:rFonts w:ascii="Arial" w:hAnsi="Arial" w:cs="Arial"/>
                <w:sz w:val="20"/>
              </w:rPr>
              <w:t xml:space="preserve">0.98 </w:t>
            </w:r>
            <w:r w:rsidRPr="00307A66">
              <w:rPr>
                <w:rFonts w:ascii="Arial" w:hAnsi="Arial" w:cs="Arial"/>
                <w:bCs/>
                <w:sz w:val="20"/>
              </w:rPr>
              <w:t>± 0.51</w:t>
            </w:r>
          </w:p>
        </w:tc>
        <w:tc>
          <w:tcPr>
            <w:tcW w:w="1215" w:type="dxa"/>
          </w:tcPr>
          <w:p w14:paraId="65F1AAFA" w14:textId="08347FEF" w:rsidR="00323AB5" w:rsidRPr="00307A66" w:rsidRDefault="004D37A4" w:rsidP="008E70E1">
            <w:pPr>
              <w:rPr>
                <w:rFonts w:ascii="Arial" w:hAnsi="Arial" w:cs="Arial"/>
                <w:sz w:val="20"/>
              </w:rPr>
            </w:pPr>
            <w:r w:rsidRPr="00307A66">
              <w:rPr>
                <w:rFonts w:ascii="Arial" w:hAnsi="Arial" w:cs="Arial"/>
                <w:sz w:val="20"/>
              </w:rPr>
              <w:t>0.938</w:t>
            </w:r>
          </w:p>
        </w:tc>
      </w:tr>
      <w:tr w:rsidR="00323AB5" w:rsidRPr="00307A66" w14:paraId="6DA7BAEF" w14:textId="77777777" w:rsidTr="00B51F09">
        <w:tc>
          <w:tcPr>
            <w:tcW w:w="1508" w:type="dxa"/>
          </w:tcPr>
          <w:p w14:paraId="445637F9" w14:textId="3CDFE0CB" w:rsidR="00323AB5" w:rsidRPr="00307A66" w:rsidRDefault="004D37A4" w:rsidP="008E70E1">
            <w:pPr>
              <w:rPr>
                <w:rFonts w:ascii="Arial" w:hAnsi="Arial" w:cs="Arial"/>
                <w:sz w:val="20"/>
              </w:rPr>
            </w:pPr>
            <w:r w:rsidRPr="00307A66">
              <w:rPr>
                <w:rFonts w:ascii="Arial" w:hAnsi="Arial" w:cs="Arial"/>
                <w:b/>
                <w:bCs/>
                <w:sz w:val="20"/>
              </w:rPr>
              <w:t>TG</w:t>
            </w:r>
            <w:r w:rsidRPr="00307A66">
              <w:rPr>
                <w:rFonts w:ascii="Arial" w:hAnsi="Arial" w:cs="Arial"/>
                <w:sz w:val="20"/>
              </w:rPr>
              <w:t xml:space="preserve"> (mmol/l)</w:t>
            </w:r>
          </w:p>
        </w:tc>
        <w:tc>
          <w:tcPr>
            <w:tcW w:w="1206" w:type="dxa"/>
          </w:tcPr>
          <w:p w14:paraId="3AAE2DFE" w14:textId="510FA90F" w:rsidR="00323AB5" w:rsidRPr="00307A66" w:rsidRDefault="004D37A4" w:rsidP="008E70E1">
            <w:pPr>
              <w:rPr>
                <w:rFonts w:ascii="Arial" w:hAnsi="Arial" w:cs="Arial"/>
                <w:sz w:val="20"/>
              </w:rPr>
            </w:pPr>
            <w:r w:rsidRPr="00307A66">
              <w:rPr>
                <w:rFonts w:ascii="Arial" w:hAnsi="Arial" w:cs="Arial"/>
                <w:sz w:val="20"/>
              </w:rPr>
              <w:t xml:space="preserve">1.89 </w:t>
            </w:r>
            <w:r w:rsidRPr="00307A66">
              <w:rPr>
                <w:rFonts w:ascii="Arial" w:hAnsi="Arial" w:cs="Arial"/>
                <w:bCs/>
                <w:sz w:val="20"/>
              </w:rPr>
              <w:t>± 0.44</w:t>
            </w:r>
          </w:p>
        </w:tc>
        <w:tc>
          <w:tcPr>
            <w:tcW w:w="1206" w:type="dxa"/>
          </w:tcPr>
          <w:p w14:paraId="47272E48" w14:textId="0BE5AD02" w:rsidR="00323AB5" w:rsidRPr="00307A66" w:rsidRDefault="004D37A4" w:rsidP="008E70E1">
            <w:pPr>
              <w:rPr>
                <w:rFonts w:ascii="Arial" w:hAnsi="Arial" w:cs="Arial"/>
                <w:sz w:val="20"/>
              </w:rPr>
            </w:pPr>
            <w:r w:rsidRPr="00307A66">
              <w:rPr>
                <w:rFonts w:ascii="Arial" w:hAnsi="Arial" w:cs="Arial"/>
                <w:sz w:val="20"/>
              </w:rPr>
              <w:t xml:space="preserve">1.88 </w:t>
            </w:r>
            <w:r w:rsidRPr="00307A66">
              <w:rPr>
                <w:rFonts w:ascii="Arial" w:hAnsi="Arial" w:cs="Arial"/>
                <w:bCs/>
                <w:sz w:val="20"/>
              </w:rPr>
              <w:t>± 0.59</w:t>
            </w:r>
          </w:p>
        </w:tc>
        <w:tc>
          <w:tcPr>
            <w:tcW w:w="1206" w:type="dxa"/>
          </w:tcPr>
          <w:p w14:paraId="45276529" w14:textId="2B83BB18" w:rsidR="00323AB5" w:rsidRPr="00307A66" w:rsidRDefault="004D37A4" w:rsidP="008E70E1">
            <w:pPr>
              <w:rPr>
                <w:rFonts w:ascii="Arial" w:hAnsi="Arial" w:cs="Arial"/>
                <w:sz w:val="20"/>
              </w:rPr>
            </w:pPr>
            <w:r w:rsidRPr="00307A66">
              <w:rPr>
                <w:rFonts w:ascii="Arial" w:hAnsi="Arial" w:cs="Arial"/>
                <w:sz w:val="20"/>
              </w:rPr>
              <w:t xml:space="preserve">1.99 </w:t>
            </w:r>
            <w:r w:rsidRPr="00307A66">
              <w:rPr>
                <w:rFonts w:ascii="Arial" w:hAnsi="Arial" w:cs="Arial"/>
                <w:bCs/>
                <w:sz w:val="20"/>
              </w:rPr>
              <w:t>± 0.30</w:t>
            </w:r>
          </w:p>
        </w:tc>
        <w:tc>
          <w:tcPr>
            <w:tcW w:w="1207" w:type="dxa"/>
          </w:tcPr>
          <w:p w14:paraId="1360AA0B" w14:textId="31C22D28" w:rsidR="00323AB5" w:rsidRPr="00307A66" w:rsidRDefault="004D37A4" w:rsidP="008E70E1">
            <w:pPr>
              <w:rPr>
                <w:rFonts w:ascii="Arial" w:hAnsi="Arial" w:cs="Arial"/>
                <w:sz w:val="20"/>
              </w:rPr>
            </w:pPr>
            <w:r w:rsidRPr="00307A66">
              <w:rPr>
                <w:rFonts w:ascii="Arial" w:hAnsi="Arial" w:cs="Arial"/>
                <w:sz w:val="20"/>
              </w:rPr>
              <w:t xml:space="preserve">1.90 </w:t>
            </w:r>
            <w:r w:rsidRPr="00307A66">
              <w:rPr>
                <w:rFonts w:ascii="Arial" w:hAnsi="Arial" w:cs="Arial"/>
                <w:bCs/>
                <w:sz w:val="20"/>
              </w:rPr>
              <w:t>± 0.61</w:t>
            </w:r>
          </w:p>
        </w:tc>
        <w:tc>
          <w:tcPr>
            <w:tcW w:w="1210" w:type="dxa"/>
          </w:tcPr>
          <w:p w14:paraId="7E681ACB" w14:textId="3CEDD865" w:rsidR="00323AB5" w:rsidRPr="00307A66" w:rsidRDefault="004D37A4" w:rsidP="008E70E1">
            <w:pPr>
              <w:rPr>
                <w:rFonts w:ascii="Arial" w:hAnsi="Arial" w:cs="Arial"/>
                <w:sz w:val="20"/>
              </w:rPr>
            </w:pPr>
            <w:r w:rsidRPr="00307A66">
              <w:rPr>
                <w:rFonts w:ascii="Arial" w:hAnsi="Arial" w:cs="Arial"/>
                <w:sz w:val="20"/>
              </w:rPr>
              <w:t xml:space="preserve">1.90 </w:t>
            </w:r>
            <w:r w:rsidRPr="00307A66">
              <w:rPr>
                <w:rFonts w:ascii="Arial" w:hAnsi="Arial" w:cs="Arial"/>
                <w:bCs/>
                <w:sz w:val="20"/>
              </w:rPr>
              <w:t>± 0.56</w:t>
            </w:r>
          </w:p>
        </w:tc>
        <w:tc>
          <w:tcPr>
            <w:tcW w:w="1215" w:type="dxa"/>
          </w:tcPr>
          <w:p w14:paraId="7AD8E3CA" w14:textId="224E31F5" w:rsidR="00323AB5" w:rsidRPr="00307A66" w:rsidRDefault="004D37A4" w:rsidP="008E70E1">
            <w:pPr>
              <w:rPr>
                <w:rFonts w:ascii="Arial" w:hAnsi="Arial" w:cs="Arial"/>
                <w:sz w:val="20"/>
              </w:rPr>
            </w:pPr>
            <w:r w:rsidRPr="00307A66">
              <w:rPr>
                <w:rFonts w:ascii="Arial" w:hAnsi="Arial" w:cs="Arial"/>
                <w:sz w:val="20"/>
              </w:rPr>
              <w:t>0.990</w:t>
            </w:r>
          </w:p>
        </w:tc>
      </w:tr>
    </w:tbl>
    <w:p w14:paraId="7C905037" w14:textId="33343A4B" w:rsidR="0090226E" w:rsidRPr="00307A66" w:rsidRDefault="00AB0AFB" w:rsidP="008E70E1">
      <w:pPr>
        <w:widowControl/>
        <w:rPr>
          <w:rFonts w:ascii="Arial" w:hAnsi="Arial" w:cs="Arial"/>
          <w:i/>
          <w:iCs/>
          <w:sz w:val="18"/>
          <w:szCs w:val="18"/>
        </w:rPr>
      </w:pPr>
      <w:r w:rsidRPr="00307A66">
        <w:rPr>
          <w:rFonts w:ascii="Arial" w:hAnsi="Arial" w:cs="Arial"/>
          <w:i/>
          <w:iCs/>
          <w:sz w:val="18"/>
          <w:szCs w:val="18"/>
        </w:rPr>
        <w:t>p-value is significant at alpha value of 0.05*; TC: Total cholesterol; HDLC: High-density lipoprotein cholesterol; LDLC: Low-density lipoprotein cholesterol; VDLC: Very-low density lipoprotein cholesterol; TG: Triglyceride.</w:t>
      </w:r>
    </w:p>
    <w:p w14:paraId="2C209BB4" w14:textId="77777777" w:rsidR="00B51F09" w:rsidRPr="00307A66" w:rsidRDefault="00B51F09" w:rsidP="008E70E1">
      <w:pPr>
        <w:widowControl/>
        <w:rPr>
          <w:rFonts w:ascii="Arial" w:hAnsi="Arial" w:cs="Arial"/>
          <w:b/>
          <w:bCs/>
          <w:sz w:val="20"/>
        </w:rPr>
      </w:pPr>
    </w:p>
    <w:p w14:paraId="66BF579B" w14:textId="25A8D780" w:rsidR="005D7132" w:rsidRPr="00307A66" w:rsidRDefault="008E70E1" w:rsidP="008E70E1">
      <w:pPr>
        <w:widowControl/>
        <w:rPr>
          <w:rFonts w:ascii="Arial" w:hAnsi="Arial" w:cs="Arial"/>
          <w:b/>
          <w:bCs/>
          <w:sz w:val="22"/>
          <w:szCs w:val="22"/>
        </w:rPr>
      </w:pPr>
      <w:r w:rsidRPr="00307A66">
        <w:rPr>
          <w:rFonts w:ascii="Arial" w:hAnsi="Arial" w:cs="Arial"/>
          <w:b/>
          <w:bCs/>
          <w:sz w:val="22"/>
          <w:szCs w:val="22"/>
        </w:rPr>
        <w:t>DISCUSSION</w:t>
      </w:r>
    </w:p>
    <w:p w14:paraId="5590C194" w14:textId="77777777" w:rsidR="005D7132" w:rsidRPr="00307A66" w:rsidRDefault="005D7132" w:rsidP="008E70E1">
      <w:pPr>
        <w:widowControl/>
        <w:rPr>
          <w:rFonts w:ascii="Arial" w:hAnsi="Arial" w:cs="Arial"/>
          <w:sz w:val="20"/>
        </w:rPr>
      </w:pPr>
      <w:r w:rsidRPr="00307A66">
        <w:rPr>
          <w:rFonts w:ascii="Arial" w:hAnsi="Arial" w:cs="Arial"/>
          <w:sz w:val="20"/>
        </w:rPr>
        <w:t>This study investigated the association between ABO blood groups and lipid profiles among 104 apparently healthy individuals in the Enugu metropolis. The findings provide insights into the genetic distribution of blood groups in this region and their potential relationship with cardiovascular risk factors.</w:t>
      </w:r>
    </w:p>
    <w:p w14:paraId="2D5F36AA" w14:textId="43D290C0" w:rsidR="005D7132" w:rsidRPr="00307A66" w:rsidRDefault="005D7132" w:rsidP="008E70E1">
      <w:pPr>
        <w:widowControl/>
        <w:rPr>
          <w:rFonts w:ascii="Arial" w:hAnsi="Arial" w:cs="Arial"/>
          <w:b/>
          <w:bCs/>
          <w:sz w:val="20"/>
        </w:rPr>
      </w:pPr>
      <w:r w:rsidRPr="00307A66">
        <w:rPr>
          <w:rFonts w:ascii="Arial" w:hAnsi="Arial" w:cs="Arial"/>
          <w:b/>
          <w:bCs/>
          <w:sz w:val="20"/>
        </w:rPr>
        <w:t>Distribution of ABO Blood Groups</w:t>
      </w:r>
    </w:p>
    <w:p w14:paraId="38C0E0D0" w14:textId="27D02213" w:rsidR="005D7132" w:rsidRPr="00307A66" w:rsidRDefault="005D7132" w:rsidP="008E70E1">
      <w:pPr>
        <w:widowControl/>
        <w:rPr>
          <w:rFonts w:ascii="Arial" w:hAnsi="Arial" w:cs="Arial"/>
          <w:sz w:val="20"/>
        </w:rPr>
      </w:pPr>
      <w:r w:rsidRPr="00307A66">
        <w:rPr>
          <w:rFonts w:ascii="Arial" w:hAnsi="Arial" w:cs="Arial"/>
          <w:sz w:val="20"/>
        </w:rPr>
        <w:t xml:space="preserve">The percentage distribution of ABO blood groups in the studied population was 56.7% for Group O, 25.0% for Group A, 15.4% for Group B, and 2.9% for Group AB. This distribution pattern identifies Group O as the most prevalent and Group AB as the least frequent within the Enugu metropolis. This aligns with Somto </w:t>
      </w:r>
      <w:r w:rsidR="00D01F7A" w:rsidRPr="00D01F7A">
        <w:rPr>
          <w:rFonts w:ascii="Arial" w:hAnsi="Arial" w:cs="Arial"/>
          <w:i/>
          <w:iCs/>
          <w:sz w:val="20"/>
        </w:rPr>
        <w:t>et al</w:t>
      </w:r>
      <w:r w:rsidRPr="00307A66">
        <w:rPr>
          <w:rFonts w:ascii="Arial" w:hAnsi="Arial" w:cs="Arial"/>
          <w:sz w:val="20"/>
        </w:rPr>
        <w:t xml:space="preserve">. (2024), whose data from Nigerian populations frequently show Group O dominance. Furthermore, this distribution is consistent with findings by </w:t>
      </w:r>
      <w:proofErr w:type="spellStart"/>
      <w:r w:rsidRPr="00307A66">
        <w:rPr>
          <w:rFonts w:ascii="Arial" w:hAnsi="Arial" w:cs="Arial"/>
          <w:sz w:val="20"/>
        </w:rPr>
        <w:t>Airhomwanbor</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xml:space="preserve">. (2018), who reported a similar hierarchy in </w:t>
      </w:r>
      <w:proofErr w:type="spellStart"/>
      <w:r w:rsidRPr="00307A66">
        <w:rPr>
          <w:rFonts w:ascii="Arial" w:hAnsi="Arial" w:cs="Arial"/>
          <w:sz w:val="20"/>
        </w:rPr>
        <w:t>Ekpoma</w:t>
      </w:r>
      <w:proofErr w:type="spellEnd"/>
      <w:r w:rsidRPr="00307A66">
        <w:rPr>
          <w:rFonts w:ascii="Arial" w:hAnsi="Arial" w:cs="Arial"/>
          <w:sz w:val="20"/>
        </w:rPr>
        <w:t>, Nigeria. The high prevalence of Group O in this study reflects a common genetic trend observed across many West African populations.</w:t>
      </w:r>
    </w:p>
    <w:p w14:paraId="5A7D6939" w14:textId="5FB20C4F" w:rsidR="005D7132" w:rsidRPr="00307A66" w:rsidRDefault="005D7132" w:rsidP="008E70E1">
      <w:pPr>
        <w:widowControl/>
        <w:rPr>
          <w:rFonts w:ascii="Arial" w:hAnsi="Arial" w:cs="Arial"/>
          <w:b/>
          <w:bCs/>
          <w:sz w:val="20"/>
        </w:rPr>
      </w:pPr>
      <w:r w:rsidRPr="00307A66">
        <w:rPr>
          <w:rFonts w:ascii="Arial" w:hAnsi="Arial" w:cs="Arial"/>
          <w:b/>
          <w:bCs/>
          <w:sz w:val="20"/>
        </w:rPr>
        <w:t>ABO Blood Groups and Lipid Profile Levels</w:t>
      </w:r>
    </w:p>
    <w:p w14:paraId="183A8B7F" w14:textId="77777777" w:rsidR="005D7132" w:rsidRPr="00307A66" w:rsidRDefault="005D7132" w:rsidP="008E70E1">
      <w:pPr>
        <w:widowControl/>
        <w:rPr>
          <w:rFonts w:ascii="Arial" w:hAnsi="Arial" w:cs="Arial"/>
          <w:sz w:val="20"/>
        </w:rPr>
      </w:pPr>
      <w:r w:rsidRPr="00307A66">
        <w:rPr>
          <w:rFonts w:ascii="Arial" w:hAnsi="Arial" w:cs="Arial"/>
          <w:sz w:val="20"/>
        </w:rPr>
        <w:t xml:space="preserve">Regarding the first objective, the study found no statistically significant difference (P &gt; 0.05) in the mean values of total cholesterol (TC), high-density lipoprotein cholesterol (HDLC), low-density lipoprotein cholesterol (LDLC), very low-density lipoprotein cholesterol (VLDLC), and triglycerides (TG) across the different ABO blood groups. This is in line with Vala and Dubal (2019), who also reported no significant association between blood group types and lipid profile parameters in their study of healthy individuals. Additionally, this aligns with the findings of </w:t>
      </w:r>
      <w:proofErr w:type="spellStart"/>
      <w:r w:rsidRPr="00307A66">
        <w:rPr>
          <w:rFonts w:ascii="Arial" w:hAnsi="Arial" w:cs="Arial"/>
          <w:sz w:val="20"/>
        </w:rPr>
        <w:t>Nnodim</w:t>
      </w:r>
      <w:proofErr w:type="spellEnd"/>
      <w:r w:rsidRPr="00307A66">
        <w:rPr>
          <w:rFonts w:ascii="Arial" w:hAnsi="Arial" w:cs="Arial"/>
          <w:sz w:val="20"/>
        </w:rPr>
        <w:t xml:space="preserve"> and Francis (2022), whose research in Elele, Rivers State, suggested that blood type does not have a marked effect on the serum lipid profile of healthy persons.</w:t>
      </w:r>
    </w:p>
    <w:p w14:paraId="19064E2C" w14:textId="6351BD4D" w:rsidR="005D7132" w:rsidRPr="00307A66" w:rsidRDefault="005D7132" w:rsidP="008E70E1">
      <w:pPr>
        <w:widowControl/>
        <w:rPr>
          <w:rFonts w:ascii="Arial" w:hAnsi="Arial" w:cs="Arial"/>
          <w:sz w:val="20"/>
        </w:rPr>
      </w:pPr>
      <w:r w:rsidRPr="00307A66">
        <w:rPr>
          <w:rFonts w:ascii="Arial" w:hAnsi="Arial" w:cs="Arial"/>
          <w:sz w:val="20"/>
        </w:rPr>
        <w:lastRenderedPageBreak/>
        <w:t xml:space="preserve">However, contrary to the findings of Iheanacho </w:t>
      </w:r>
      <w:r w:rsidR="00D01F7A" w:rsidRPr="00D01F7A">
        <w:rPr>
          <w:rFonts w:ascii="Arial" w:hAnsi="Arial" w:cs="Arial"/>
          <w:i/>
          <w:iCs/>
          <w:sz w:val="20"/>
        </w:rPr>
        <w:t>et al</w:t>
      </w:r>
      <w:r w:rsidRPr="00307A66">
        <w:rPr>
          <w:rFonts w:ascii="Arial" w:hAnsi="Arial" w:cs="Arial"/>
          <w:sz w:val="20"/>
        </w:rPr>
        <w:t xml:space="preserve">. (2018), who suggested that individuals with blood group A might be more genetically predisposed to cardiovascular diseases (CVD) than those with group O, this study found that lipid levels remained statistically comparable across all groups in the Enugu population. While some literature, such as that by </w:t>
      </w:r>
      <w:proofErr w:type="spellStart"/>
      <w:r w:rsidRPr="00307A66">
        <w:rPr>
          <w:rFonts w:ascii="Arial" w:hAnsi="Arial" w:cs="Arial"/>
          <w:sz w:val="20"/>
        </w:rPr>
        <w:t>Girgla</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(2011), has suggested that blood group AB subjects might present with higher lipid variables, the small sample size for Group AB (n=3) in this study may have masked such trends.</w:t>
      </w:r>
    </w:p>
    <w:p w14:paraId="21F1A8F5" w14:textId="0FD75C2E" w:rsidR="005D7132" w:rsidRPr="00307A66" w:rsidRDefault="005D7132" w:rsidP="008E70E1">
      <w:pPr>
        <w:widowControl/>
        <w:rPr>
          <w:rFonts w:ascii="Arial" w:hAnsi="Arial" w:cs="Arial"/>
          <w:b/>
          <w:bCs/>
          <w:sz w:val="20"/>
        </w:rPr>
      </w:pPr>
      <w:r w:rsidRPr="00307A66">
        <w:rPr>
          <w:rFonts w:ascii="Arial" w:hAnsi="Arial" w:cs="Arial"/>
          <w:b/>
          <w:bCs/>
          <w:sz w:val="20"/>
        </w:rPr>
        <w:t>Gender-Based Comparison of Lipid Profiles</w:t>
      </w:r>
    </w:p>
    <w:p w14:paraId="4EEB709B" w14:textId="77777777" w:rsidR="005D7132" w:rsidRPr="00307A66" w:rsidRDefault="005D7132" w:rsidP="008E70E1">
      <w:pPr>
        <w:widowControl/>
        <w:rPr>
          <w:rFonts w:ascii="Arial" w:hAnsi="Arial" w:cs="Arial"/>
          <w:sz w:val="20"/>
        </w:rPr>
      </w:pPr>
      <w:r w:rsidRPr="00307A66">
        <w:rPr>
          <w:rFonts w:ascii="Arial" w:hAnsi="Arial" w:cs="Arial"/>
          <w:sz w:val="20"/>
        </w:rPr>
        <w:t>The comparison of lipid profile levels between male and female participants generally showed no statistically significant differences (P &gt; 0.05) across most categories. However, a specific finding of interest was the significant difference observed in the LDLC and HDLC levels within blood group B.</w:t>
      </w:r>
    </w:p>
    <w:p w14:paraId="394BCD97" w14:textId="7946E8C9" w:rsidR="005D7132" w:rsidRPr="00307A66" w:rsidRDefault="005D7132" w:rsidP="008E70E1">
      <w:pPr>
        <w:widowControl/>
        <w:rPr>
          <w:rFonts w:ascii="Arial" w:hAnsi="Arial" w:cs="Arial"/>
          <w:sz w:val="20"/>
        </w:rPr>
      </w:pPr>
      <w:r w:rsidRPr="00307A66">
        <w:rPr>
          <w:rFonts w:ascii="Arial" w:hAnsi="Arial" w:cs="Arial"/>
          <w:sz w:val="20"/>
        </w:rPr>
        <w:t xml:space="preserve">This aligns with </w:t>
      </w:r>
      <w:proofErr w:type="spellStart"/>
      <w:r w:rsidRPr="00307A66">
        <w:rPr>
          <w:rFonts w:ascii="Arial" w:hAnsi="Arial" w:cs="Arial"/>
          <w:sz w:val="20"/>
        </w:rPr>
        <w:t>Airhomwanbor</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xml:space="preserve">. (2018), who also noted significant gender differences in HDL levels, specifically within blood groups A and AB in their study. The observed variations in Group B may be attributed to hormonal influences. Jude in Esther </w:t>
      </w:r>
      <w:r w:rsidR="00D01F7A" w:rsidRPr="00D01F7A">
        <w:rPr>
          <w:rFonts w:ascii="Arial" w:hAnsi="Arial" w:cs="Arial"/>
          <w:i/>
          <w:iCs/>
          <w:sz w:val="20"/>
        </w:rPr>
        <w:t>et al</w:t>
      </w:r>
      <w:r w:rsidRPr="00307A66">
        <w:rPr>
          <w:rFonts w:ascii="Arial" w:hAnsi="Arial" w:cs="Arial"/>
          <w:sz w:val="20"/>
        </w:rPr>
        <w:t>. (2023) notes that circulating estrogen in females often exerts a favorable effect on lipoprotein metabolism by increasing VLDL-C synthesis, which can subsequently raise HDL-C and lower LDL-C levels. This physiological mechanism likely explains why certain blood groups might show gender-specific lipid variations even when the overall population does not.</w:t>
      </w:r>
    </w:p>
    <w:p w14:paraId="2C1AE72F" w14:textId="469AF5E2" w:rsidR="005D7132" w:rsidRPr="00307A66" w:rsidRDefault="005D7132" w:rsidP="008E70E1">
      <w:pPr>
        <w:widowControl/>
        <w:rPr>
          <w:rFonts w:ascii="Arial" w:hAnsi="Arial" w:cs="Arial"/>
          <w:b/>
          <w:bCs/>
          <w:sz w:val="22"/>
          <w:szCs w:val="22"/>
        </w:rPr>
      </w:pPr>
      <w:r w:rsidRPr="00307A66">
        <w:rPr>
          <w:rFonts w:ascii="Arial" w:hAnsi="Arial" w:cs="Arial"/>
          <w:b/>
          <w:bCs/>
          <w:sz w:val="22"/>
          <w:szCs w:val="22"/>
        </w:rPr>
        <w:t>Clinical Implications</w:t>
      </w:r>
    </w:p>
    <w:p w14:paraId="1F23BAF0" w14:textId="444174D0" w:rsidR="005D7132" w:rsidRPr="00307A66" w:rsidRDefault="005D7132" w:rsidP="008E70E1">
      <w:pPr>
        <w:widowControl/>
        <w:rPr>
          <w:rFonts w:ascii="Arial" w:hAnsi="Arial" w:cs="Arial"/>
          <w:sz w:val="20"/>
        </w:rPr>
      </w:pPr>
      <w:r w:rsidRPr="00307A66">
        <w:rPr>
          <w:rFonts w:ascii="Arial" w:hAnsi="Arial" w:cs="Arial"/>
          <w:sz w:val="20"/>
        </w:rPr>
        <w:t>The findings of this study have important implications for clinical practice in the Enugu metropolis. Since the ABO phenotype did not show a strong association with abnormal lipid levels in healthy subjects, routine lipid profile assessments remain the most reliable method for predicting cardiovascular risk, regardless of a patient's blood group. The study reinforces that environmental factors, diet, and family history likely play more critical roles in the development of dyslipidemia than ABO antigens alone. Clinical practitioners should continue to prioritize lifestyle modifications and regular screening for primary prevention of atherosclerosis and coronary heart disease.</w:t>
      </w:r>
    </w:p>
    <w:p w14:paraId="1E2B1B2B" w14:textId="77777777" w:rsidR="00FC28B4" w:rsidRPr="00307A66" w:rsidRDefault="00FC28B4" w:rsidP="008E70E1">
      <w:pPr>
        <w:widowControl/>
        <w:rPr>
          <w:rFonts w:ascii="Arial" w:hAnsi="Arial" w:cs="Arial"/>
          <w:sz w:val="20"/>
        </w:rPr>
      </w:pPr>
    </w:p>
    <w:p w14:paraId="274BA789" w14:textId="6FAB79D3" w:rsidR="002941E1" w:rsidRPr="00307A66" w:rsidRDefault="008E70E1" w:rsidP="008E70E1">
      <w:pPr>
        <w:widowControl/>
        <w:rPr>
          <w:rFonts w:ascii="Arial" w:hAnsi="Arial" w:cs="Arial"/>
          <w:b/>
          <w:bCs/>
          <w:sz w:val="22"/>
          <w:szCs w:val="22"/>
        </w:rPr>
      </w:pPr>
      <w:r w:rsidRPr="00307A66">
        <w:rPr>
          <w:rFonts w:ascii="Arial" w:hAnsi="Arial" w:cs="Arial"/>
          <w:b/>
          <w:bCs/>
          <w:sz w:val="22"/>
          <w:szCs w:val="22"/>
        </w:rPr>
        <w:t>CONCLUSION</w:t>
      </w:r>
    </w:p>
    <w:p w14:paraId="0DD6B19D" w14:textId="319949CD" w:rsidR="00400899" w:rsidRPr="00307A66" w:rsidRDefault="00B51F09" w:rsidP="008E70E1">
      <w:pPr>
        <w:widowControl/>
        <w:rPr>
          <w:rFonts w:ascii="Arial" w:hAnsi="Arial" w:cs="Arial"/>
          <w:sz w:val="20"/>
        </w:rPr>
      </w:pPr>
      <w:r w:rsidRPr="00307A66">
        <w:rPr>
          <w:rFonts w:ascii="Arial" w:hAnsi="Arial" w:cs="Arial"/>
          <w:sz w:val="20"/>
        </w:rPr>
        <w:t>T</w:t>
      </w:r>
      <w:r w:rsidR="00400899" w:rsidRPr="00307A66">
        <w:rPr>
          <w:rFonts w:ascii="Arial" w:hAnsi="Arial" w:cs="Arial"/>
          <w:sz w:val="20"/>
        </w:rPr>
        <w:t>his study demonstrates that there is no statistically significant association between ABO blood groups and serum lipid profile parameters among apparently healthy individuals in the Enugu metropolis</w:t>
      </w:r>
      <w:r w:rsidR="00752A49" w:rsidRPr="00307A66">
        <w:rPr>
          <w:rFonts w:ascii="Arial" w:hAnsi="Arial" w:cs="Arial"/>
          <w:sz w:val="20"/>
        </w:rPr>
        <w:t xml:space="preserve">. </w:t>
      </w:r>
      <w:r w:rsidR="00400899" w:rsidRPr="00307A66">
        <w:rPr>
          <w:rFonts w:ascii="Arial" w:hAnsi="Arial" w:cs="Arial"/>
          <w:sz w:val="20"/>
        </w:rPr>
        <w:t>The percentage distribution of blood groups identifies Group O as the most prevalent (56.7%) and Group AB as the least frequent (2.9%) in the studied population</w:t>
      </w:r>
      <w:r w:rsidR="00752A49" w:rsidRPr="00307A66">
        <w:rPr>
          <w:rFonts w:ascii="Arial" w:hAnsi="Arial" w:cs="Arial"/>
          <w:sz w:val="20"/>
        </w:rPr>
        <w:t xml:space="preserve">. </w:t>
      </w:r>
      <w:r w:rsidR="00400899" w:rsidRPr="00307A66">
        <w:rPr>
          <w:rFonts w:ascii="Arial" w:hAnsi="Arial" w:cs="Arial"/>
          <w:sz w:val="20"/>
        </w:rPr>
        <w:t>While overall lipid levels were comparable across all blood types, significant gender-specific variations in LDLC and HDLC were uniquely observed within blood group B</w:t>
      </w:r>
      <w:r w:rsidR="00752A49" w:rsidRPr="00307A66">
        <w:rPr>
          <w:rFonts w:ascii="Arial" w:hAnsi="Arial" w:cs="Arial"/>
          <w:sz w:val="20"/>
        </w:rPr>
        <w:t xml:space="preserve">. </w:t>
      </w:r>
      <w:r w:rsidR="00400899" w:rsidRPr="00307A66">
        <w:rPr>
          <w:rFonts w:ascii="Arial" w:hAnsi="Arial" w:cs="Arial"/>
          <w:sz w:val="20"/>
        </w:rPr>
        <w:t>These findings suggest that the inherited ABO antigens do not exert a primary influence on systemic lipid metabolism in this region, reinforcing that lifestyle and environmental factors may play a more dominant role in cardiovascular health</w:t>
      </w:r>
      <w:r w:rsidR="00752A49" w:rsidRPr="00307A66">
        <w:rPr>
          <w:rFonts w:ascii="Arial" w:hAnsi="Arial" w:cs="Arial"/>
          <w:sz w:val="20"/>
        </w:rPr>
        <w:t xml:space="preserve">. </w:t>
      </w:r>
      <w:r w:rsidR="00400899" w:rsidRPr="00307A66">
        <w:rPr>
          <w:rFonts w:ascii="Arial" w:hAnsi="Arial" w:cs="Arial"/>
          <w:sz w:val="20"/>
        </w:rPr>
        <w:t>Therefore, routine lipid profile screening remains essential for cardiovascular risk prediction, regardless of an individual's ABO phenotype</w:t>
      </w:r>
      <w:r w:rsidR="00752A49" w:rsidRPr="00307A66">
        <w:rPr>
          <w:rFonts w:ascii="Arial" w:hAnsi="Arial" w:cs="Arial"/>
          <w:sz w:val="20"/>
        </w:rPr>
        <w:t>.</w:t>
      </w:r>
    </w:p>
    <w:p w14:paraId="60B116DC" w14:textId="04C6EA84" w:rsidR="008E70E1" w:rsidRPr="00307A66" w:rsidRDefault="008E70E1" w:rsidP="008E70E1">
      <w:pPr>
        <w:widowControl/>
        <w:rPr>
          <w:rFonts w:ascii="Arial" w:hAnsi="Arial" w:cs="Arial"/>
          <w:sz w:val="20"/>
        </w:rPr>
      </w:pPr>
    </w:p>
    <w:p w14:paraId="75D00185" w14:textId="250E2B31" w:rsidR="008E70E1" w:rsidRPr="00307A66" w:rsidRDefault="008E70E1" w:rsidP="008E70E1">
      <w:pPr>
        <w:widowControl/>
        <w:rPr>
          <w:rFonts w:ascii="Arial" w:hAnsi="Arial" w:cs="Arial"/>
          <w:sz w:val="20"/>
        </w:rPr>
      </w:pPr>
      <w:bookmarkStart w:id="1" w:name="_GoBack"/>
      <w:bookmarkEnd w:id="1"/>
    </w:p>
    <w:p w14:paraId="1100C373" w14:textId="4B49BAE1" w:rsidR="008C3759" w:rsidRPr="00307A66" w:rsidRDefault="00785A95" w:rsidP="008C3759">
      <w:pPr>
        <w:rPr>
          <w:rFonts w:ascii="Arial" w:eastAsia="Georgia" w:hAnsi="Arial" w:cs="Arial"/>
          <w:b/>
          <w:bCs/>
          <w:sz w:val="22"/>
          <w:szCs w:val="22"/>
          <w:lang w:eastAsia="en-US"/>
        </w:rPr>
      </w:pPr>
      <w:r w:rsidRPr="00307A66">
        <w:rPr>
          <w:rFonts w:ascii="Arial" w:eastAsia="Georgia" w:hAnsi="Arial" w:cs="Arial"/>
          <w:b/>
          <w:bCs/>
          <w:sz w:val="22"/>
          <w:szCs w:val="22"/>
          <w:lang w:eastAsia="en-US"/>
        </w:rPr>
        <w:t>CONSENT</w:t>
      </w:r>
    </w:p>
    <w:p w14:paraId="2B9BBF25" w14:textId="0662A1DD" w:rsidR="008C3759" w:rsidRPr="00307A66" w:rsidRDefault="00524AF5" w:rsidP="008E70E1">
      <w:pPr>
        <w:widowControl/>
        <w:rPr>
          <w:rFonts w:ascii="Arial" w:eastAsia="Georgia" w:hAnsi="Arial" w:cs="Arial"/>
          <w:sz w:val="20"/>
          <w:lang w:eastAsia="en-US"/>
        </w:rPr>
      </w:pPr>
      <w:r w:rsidRPr="00307A66">
        <w:rPr>
          <w:rFonts w:ascii="Arial" w:eastAsia="Georgia" w:hAnsi="Arial" w:cs="Arial"/>
          <w:sz w:val="20"/>
          <w:lang w:eastAsia="en-US"/>
        </w:rPr>
        <w:t>All authors declare that written informed consent was obtained from the patient for publication of this research.</w:t>
      </w:r>
    </w:p>
    <w:p w14:paraId="26BFBA21" w14:textId="77777777" w:rsidR="00524AF5" w:rsidRPr="00307A66" w:rsidRDefault="00524AF5" w:rsidP="008E70E1">
      <w:pPr>
        <w:widowControl/>
        <w:rPr>
          <w:rFonts w:ascii="Arial" w:hAnsi="Arial" w:cs="Arial"/>
          <w:sz w:val="20"/>
        </w:rPr>
      </w:pPr>
    </w:p>
    <w:p w14:paraId="3969092C" w14:textId="26420428" w:rsidR="00785A95" w:rsidRPr="00307A66" w:rsidRDefault="00785A95" w:rsidP="008E70E1">
      <w:pPr>
        <w:widowControl/>
        <w:rPr>
          <w:rFonts w:ascii="Arial" w:hAnsi="Arial" w:cs="Arial"/>
          <w:b/>
          <w:bCs/>
          <w:sz w:val="22"/>
          <w:szCs w:val="22"/>
        </w:rPr>
      </w:pPr>
      <w:r w:rsidRPr="00307A66">
        <w:rPr>
          <w:rFonts w:ascii="Arial" w:hAnsi="Arial" w:cs="Arial"/>
          <w:b/>
          <w:bCs/>
          <w:sz w:val="22"/>
          <w:szCs w:val="22"/>
        </w:rPr>
        <w:t>ETHICAL APPROVAL</w:t>
      </w:r>
    </w:p>
    <w:p w14:paraId="4DA628A1" w14:textId="7A7187DE" w:rsidR="00785A95" w:rsidRPr="00307A66" w:rsidRDefault="00785A95" w:rsidP="008E70E1">
      <w:pPr>
        <w:widowControl/>
        <w:rPr>
          <w:rFonts w:ascii="Arial" w:hAnsi="Arial" w:cs="Arial"/>
          <w:b/>
          <w:bCs/>
          <w:sz w:val="22"/>
          <w:szCs w:val="22"/>
        </w:rPr>
      </w:pPr>
    </w:p>
    <w:p w14:paraId="2D1AA56D" w14:textId="5BD88F81" w:rsidR="00785A95" w:rsidRPr="00307A66" w:rsidRDefault="00785A95" w:rsidP="00785A95">
      <w:pPr>
        <w:pStyle w:val="ReferHead"/>
        <w:spacing w:after="0"/>
        <w:jc w:val="both"/>
        <w:rPr>
          <w:rFonts w:ascii="Arial" w:hAnsi="Arial" w:cs="Arial"/>
          <w:b w:val="0"/>
          <w:caps w:val="0"/>
          <w:sz w:val="20"/>
        </w:rPr>
      </w:pPr>
      <w:r w:rsidRPr="00307A66">
        <w:rPr>
          <w:rFonts w:ascii="Arial" w:hAnsi="Arial" w:cs="Arial"/>
          <w:b w:val="0"/>
          <w:caps w:val="0"/>
          <w:sz w:val="20"/>
        </w:rPr>
        <w:t>All authors hereby declare that all experiments have been examined and approved by the appropriate ethics committee (UNTH/UREC/2022/02/0146) and have therefore been performed in accordance with the ethical standards laid down in the 1964 Declaration of Helsinki.</w:t>
      </w:r>
    </w:p>
    <w:p w14:paraId="7076589D" w14:textId="77777777" w:rsidR="00785A95" w:rsidRPr="00307A66" w:rsidRDefault="00785A95" w:rsidP="008E70E1">
      <w:pPr>
        <w:widowControl/>
        <w:rPr>
          <w:rFonts w:ascii="Arial" w:hAnsi="Arial" w:cs="Arial"/>
          <w:sz w:val="20"/>
        </w:rPr>
      </w:pPr>
    </w:p>
    <w:p w14:paraId="1A09B383" w14:textId="00F3546D" w:rsidR="00096792" w:rsidRPr="00307A66" w:rsidRDefault="003360C6" w:rsidP="008E70E1">
      <w:pPr>
        <w:rPr>
          <w:rFonts w:ascii="Arial" w:hAnsi="Arial" w:cs="Arial"/>
          <w:b/>
          <w:sz w:val="22"/>
          <w:szCs w:val="22"/>
        </w:rPr>
      </w:pPr>
      <w:r w:rsidRPr="00307A66">
        <w:rPr>
          <w:rFonts w:ascii="Arial" w:hAnsi="Arial" w:cs="Arial"/>
          <w:b/>
          <w:sz w:val="22"/>
          <w:szCs w:val="22"/>
        </w:rPr>
        <w:t>REFERENCES</w:t>
      </w:r>
    </w:p>
    <w:p w14:paraId="3DECF2D4" w14:textId="462C7200" w:rsidR="00C94A21" w:rsidRPr="00307A66" w:rsidRDefault="00C94A21" w:rsidP="008E70E1">
      <w:pPr>
        <w:rPr>
          <w:rFonts w:ascii="Arial" w:hAnsi="Arial" w:cs="Arial"/>
          <w:b/>
          <w:sz w:val="20"/>
        </w:rPr>
      </w:pPr>
    </w:p>
    <w:p w14:paraId="411F9AEC"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Abegaz, S. B. (2021). Human ABO blood groups and their associations with different diseases. </w:t>
      </w:r>
      <w:r w:rsidRPr="00307A66">
        <w:rPr>
          <w:rFonts w:ascii="Arial" w:hAnsi="Arial" w:cs="Arial"/>
          <w:i/>
          <w:iCs/>
          <w:color w:val="222222"/>
          <w:sz w:val="20"/>
          <w:shd w:val="clear" w:color="auto" w:fill="FFFFFF"/>
        </w:rPr>
        <w:t>BioMed research international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2021</w:t>
      </w:r>
      <w:r w:rsidRPr="00307A66">
        <w:rPr>
          <w:rFonts w:ascii="Arial" w:hAnsi="Arial" w:cs="Arial"/>
          <w:color w:val="222222"/>
          <w:sz w:val="20"/>
          <w:shd w:val="clear" w:color="auto" w:fill="FFFFFF"/>
        </w:rPr>
        <w:t>(1), 6629060.</w:t>
      </w:r>
      <w:r w:rsidRPr="00307A66">
        <w:rPr>
          <w:rFonts w:ascii="Arial" w:hAnsi="Arial" w:cs="Arial"/>
          <w:sz w:val="20"/>
        </w:rPr>
        <w:t xml:space="preserve"> </w:t>
      </w:r>
      <w:hyperlink r:id="rId8" w:history="1">
        <w:r w:rsidRPr="00307A66">
          <w:rPr>
            <w:rStyle w:val="Hyperlink"/>
            <w:rFonts w:ascii="Arial" w:hAnsi="Arial" w:cs="Arial"/>
            <w:sz w:val="20"/>
            <w:shd w:val="clear" w:color="auto" w:fill="FFFFFF"/>
          </w:rPr>
          <w:t>https://doi.org/10.1155/2021/6629060</w:t>
        </w:r>
      </w:hyperlink>
    </w:p>
    <w:p w14:paraId="7487388E"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Abegaz, S. B. (2021). Human ABO blood groups and their associations with different diseases. </w:t>
      </w:r>
      <w:r w:rsidRPr="00307A66">
        <w:rPr>
          <w:rFonts w:ascii="Arial" w:hAnsi="Arial" w:cs="Arial"/>
          <w:i/>
          <w:iCs/>
          <w:color w:val="222222"/>
          <w:sz w:val="20"/>
          <w:shd w:val="clear" w:color="auto" w:fill="FFFFFF"/>
        </w:rPr>
        <w:t>BioMed research international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2021</w:t>
      </w:r>
      <w:r w:rsidRPr="00307A66">
        <w:rPr>
          <w:rFonts w:ascii="Arial" w:hAnsi="Arial" w:cs="Arial"/>
          <w:color w:val="222222"/>
          <w:sz w:val="20"/>
          <w:shd w:val="clear" w:color="auto" w:fill="FFFFFF"/>
        </w:rPr>
        <w:t xml:space="preserve">(1), 6629060. </w:t>
      </w:r>
      <w:hyperlink r:id="rId9" w:history="1">
        <w:r w:rsidRPr="00307A66">
          <w:rPr>
            <w:rStyle w:val="Hyperlink"/>
            <w:rFonts w:ascii="Arial" w:hAnsi="Arial" w:cs="Arial"/>
            <w:sz w:val="20"/>
            <w:shd w:val="clear" w:color="auto" w:fill="FFFFFF"/>
          </w:rPr>
          <w:t>https://onlinelibrary.wiley.com/doi/abs/10.1155/2021/6629060</w:t>
        </w:r>
      </w:hyperlink>
    </w:p>
    <w:p w14:paraId="0291A437" w14:textId="77777777" w:rsidR="00400899" w:rsidRPr="00307A66" w:rsidRDefault="00400899" w:rsidP="008E70E1">
      <w:pPr>
        <w:pStyle w:val="ListParagraph"/>
        <w:widowControl/>
        <w:numPr>
          <w:ilvl w:val="0"/>
          <w:numId w:val="2"/>
        </w:numPr>
        <w:rPr>
          <w:rFonts w:ascii="Arial" w:hAnsi="Arial" w:cs="Arial"/>
          <w:sz w:val="20"/>
        </w:rPr>
      </w:pPr>
      <w:proofErr w:type="spellStart"/>
      <w:r w:rsidRPr="00307A66">
        <w:rPr>
          <w:rFonts w:ascii="Arial" w:hAnsi="Arial" w:cs="Arial"/>
          <w:sz w:val="20"/>
        </w:rPr>
        <w:t>Airhomwanbor</w:t>
      </w:r>
      <w:proofErr w:type="spellEnd"/>
      <w:r w:rsidRPr="00307A66">
        <w:rPr>
          <w:rFonts w:ascii="Arial" w:hAnsi="Arial" w:cs="Arial"/>
          <w:sz w:val="20"/>
        </w:rPr>
        <w:t xml:space="preserve">, K. O., Idehen, I. C., </w:t>
      </w:r>
      <w:proofErr w:type="spellStart"/>
      <w:r w:rsidRPr="00307A66">
        <w:rPr>
          <w:rFonts w:ascii="Arial" w:hAnsi="Arial" w:cs="Arial"/>
          <w:sz w:val="20"/>
        </w:rPr>
        <w:t>Okparaku</w:t>
      </w:r>
      <w:proofErr w:type="spellEnd"/>
      <w:r w:rsidRPr="00307A66">
        <w:rPr>
          <w:rFonts w:ascii="Arial" w:hAnsi="Arial" w:cs="Arial"/>
          <w:sz w:val="20"/>
        </w:rPr>
        <w:t xml:space="preserve">, S. O., </w:t>
      </w:r>
      <w:proofErr w:type="spellStart"/>
      <w:r w:rsidRPr="00307A66">
        <w:rPr>
          <w:rFonts w:ascii="Arial" w:hAnsi="Arial" w:cs="Arial"/>
          <w:sz w:val="20"/>
        </w:rPr>
        <w:t>Dic-Ijewere</w:t>
      </w:r>
      <w:proofErr w:type="spellEnd"/>
      <w:r w:rsidRPr="00307A66">
        <w:rPr>
          <w:rFonts w:ascii="Arial" w:hAnsi="Arial" w:cs="Arial"/>
          <w:sz w:val="20"/>
        </w:rPr>
        <w:t xml:space="preserve">, E. O., </w:t>
      </w:r>
      <w:proofErr w:type="spellStart"/>
      <w:r w:rsidRPr="00307A66">
        <w:rPr>
          <w:rFonts w:ascii="Arial" w:hAnsi="Arial" w:cs="Arial"/>
          <w:sz w:val="20"/>
        </w:rPr>
        <w:t>Ehimare</w:t>
      </w:r>
      <w:proofErr w:type="spellEnd"/>
      <w:r w:rsidRPr="00307A66">
        <w:rPr>
          <w:rFonts w:ascii="Arial" w:hAnsi="Arial" w:cs="Arial"/>
          <w:sz w:val="20"/>
        </w:rPr>
        <w:t xml:space="preserve">, R. I., </w:t>
      </w:r>
      <w:proofErr w:type="spellStart"/>
      <w:r w:rsidRPr="00307A66">
        <w:rPr>
          <w:rFonts w:ascii="Arial" w:hAnsi="Arial" w:cs="Arial"/>
          <w:sz w:val="20"/>
        </w:rPr>
        <w:t>Osarobo</w:t>
      </w:r>
      <w:proofErr w:type="spellEnd"/>
      <w:r w:rsidRPr="00307A66">
        <w:rPr>
          <w:rFonts w:ascii="Arial" w:hAnsi="Arial" w:cs="Arial"/>
          <w:sz w:val="20"/>
        </w:rPr>
        <w:t xml:space="preserve">, E., ... &amp; </w:t>
      </w:r>
      <w:proofErr w:type="spellStart"/>
      <w:r w:rsidRPr="00307A66">
        <w:rPr>
          <w:rFonts w:ascii="Arial" w:hAnsi="Arial" w:cs="Arial"/>
          <w:sz w:val="20"/>
        </w:rPr>
        <w:t>Omosun</w:t>
      </w:r>
      <w:proofErr w:type="spellEnd"/>
      <w:r w:rsidRPr="00307A66">
        <w:rPr>
          <w:rFonts w:ascii="Arial" w:hAnsi="Arial" w:cs="Arial"/>
          <w:sz w:val="20"/>
        </w:rPr>
        <w:t xml:space="preserve">, E. R. (2018). Lipid profile variations of the different ABO blood group of apparently healthy subjects in </w:t>
      </w:r>
      <w:proofErr w:type="spellStart"/>
      <w:r w:rsidRPr="00307A66">
        <w:rPr>
          <w:rFonts w:ascii="Arial" w:hAnsi="Arial" w:cs="Arial"/>
          <w:sz w:val="20"/>
        </w:rPr>
        <w:t>Ekpoma</w:t>
      </w:r>
      <w:proofErr w:type="spellEnd"/>
      <w:r w:rsidRPr="00307A66">
        <w:rPr>
          <w:rFonts w:ascii="Arial" w:hAnsi="Arial" w:cs="Arial"/>
          <w:sz w:val="20"/>
        </w:rPr>
        <w:t xml:space="preserve">. </w:t>
      </w:r>
      <w:r w:rsidRPr="00307A66">
        <w:rPr>
          <w:rFonts w:ascii="Arial" w:hAnsi="Arial" w:cs="Arial"/>
          <w:i/>
          <w:iCs/>
          <w:sz w:val="20"/>
        </w:rPr>
        <w:t>Archives of Internal Medicine Research, 1</w:t>
      </w:r>
      <w:r w:rsidRPr="00307A66">
        <w:rPr>
          <w:rFonts w:ascii="Arial" w:hAnsi="Arial" w:cs="Arial"/>
          <w:sz w:val="20"/>
        </w:rPr>
        <w:t xml:space="preserve">(1), 006-015. </w:t>
      </w:r>
      <w:bookmarkStart w:id="2" w:name="_Hlk224068655"/>
      <w:r w:rsidRPr="00307A66">
        <w:rPr>
          <w:rFonts w:ascii="Arial" w:hAnsi="Arial" w:cs="Arial"/>
          <w:sz w:val="20"/>
        </w:rPr>
        <w:t>https://doi.org/</w:t>
      </w:r>
      <w:bookmarkEnd w:id="2"/>
      <w:r w:rsidRPr="00307A66">
        <w:rPr>
          <w:rFonts w:ascii="Arial" w:hAnsi="Arial" w:cs="Arial"/>
          <w:sz w:val="20"/>
        </w:rPr>
        <w:t>10.26502/aimr.002</w:t>
      </w:r>
    </w:p>
    <w:p w14:paraId="28557293"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Bondar, A., </w:t>
      </w:r>
      <w:proofErr w:type="spellStart"/>
      <w:r w:rsidRPr="00307A66">
        <w:rPr>
          <w:rFonts w:ascii="Arial" w:hAnsi="Arial" w:cs="Arial"/>
          <w:color w:val="222222"/>
          <w:sz w:val="20"/>
          <w:shd w:val="clear" w:color="auto" w:fill="FFFFFF"/>
        </w:rPr>
        <w:t>Horodincu</w:t>
      </w:r>
      <w:proofErr w:type="spellEnd"/>
      <w:r w:rsidRPr="00307A66">
        <w:rPr>
          <w:rFonts w:ascii="Arial" w:hAnsi="Arial" w:cs="Arial"/>
          <w:color w:val="222222"/>
          <w:sz w:val="20"/>
          <w:shd w:val="clear" w:color="auto" w:fill="FFFFFF"/>
        </w:rPr>
        <w:t xml:space="preserve">, L., </w:t>
      </w:r>
      <w:proofErr w:type="spellStart"/>
      <w:r w:rsidRPr="00307A66">
        <w:rPr>
          <w:rFonts w:ascii="Arial" w:hAnsi="Arial" w:cs="Arial"/>
          <w:color w:val="222222"/>
          <w:sz w:val="20"/>
          <w:shd w:val="clear" w:color="auto" w:fill="FFFFFF"/>
        </w:rPr>
        <w:t>Solcan</w:t>
      </w:r>
      <w:proofErr w:type="spellEnd"/>
      <w:r w:rsidRPr="00307A66">
        <w:rPr>
          <w:rFonts w:ascii="Arial" w:hAnsi="Arial" w:cs="Arial"/>
          <w:color w:val="222222"/>
          <w:sz w:val="20"/>
          <w:shd w:val="clear" w:color="auto" w:fill="FFFFFF"/>
        </w:rPr>
        <w:t xml:space="preserve">, G., &amp; </w:t>
      </w:r>
      <w:proofErr w:type="spellStart"/>
      <w:r w:rsidRPr="00307A66">
        <w:rPr>
          <w:rFonts w:ascii="Arial" w:hAnsi="Arial" w:cs="Arial"/>
          <w:color w:val="222222"/>
          <w:sz w:val="20"/>
          <w:shd w:val="clear" w:color="auto" w:fill="FFFFFF"/>
        </w:rPr>
        <w:t>Solcan</w:t>
      </w:r>
      <w:proofErr w:type="spellEnd"/>
      <w:r w:rsidRPr="00307A66">
        <w:rPr>
          <w:rFonts w:ascii="Arial" w:hAnsi="Arial" w:cs="Arial"/>
          <w:color w:val="222222"/>
          <w:sz w:val="20"/>
          <w:shd w:val="clear" w:color="auto" w:fill="FFFFFF"/>
        </w:rPr>
        <w:t>, C. (2023). Use of Spirulina platensis and Curcuma longa as Nutraceuticals in Poultry. </w:t>
      </w:r>
      <w:r w:rsidRPr="00307A66">
        <w:rPr>
          <w:rFonts w:ascii="Arial" w:hAnsi="Arial" w:cs="Arial"/>
          <w:i/>
          <w:iCs/>
          <w:color w:val="222222"/>
          <w:sz w:val="20"/>
          <w:shd w:val="clear" w:color="auto" w:fill="FFFFFF"/>
        </w:rPr>
        <w:t>Agriculture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13</w:t>
      </w:r>
      <w:r w:rsidRPr="00307A66">
        <w:rPr>
          <w:rFonts w:ascii="Arial" w:hAnsi="Arial" w:cs="Arial"/>
          <w:color w:val="222222"/>
          <w:sz w:val="20"/>
          <w:shd w:val="clear" w:color="auto" w:fill="FFFFFF"/>
        </w:rPr>
        <w:t xml:space="preserve">(8), 1553. </w:t>
      </w:r>
      <w:hyperlink r:id="rId10" w:history="1">
        <w:r w:rsidRPr="00307A66">
          <w:rPr>
            <w:rStyle w:val="Hyperlink"/>
            <w:rFonts w:ascii="Arial" w:hAnsi="Arial" w:cs="Arial"/>
            <w:sz w:val="20"/>
            <w:shd w:val="clear" w:color="auto" w:fill="FFFFFF"/>
          </w:rPr>
          <w:t>https://doi.org/10.3390/agriculture13081553</w:t>
        </w:r>
      </w:hyperlink>
    </w:p>
    <w:p w14:paraId="71194BC4" w14:textId="16201A83"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Boren, J., Chapman, M. J., Krauss, R. M., Packard, C. J., Bentzon, J. F., Binder, C. J., </w:t>
      </w:r>
      <w:r w:rsidR="00DA79A9">
        <w:rPr>
          <w:rFonts w:ascii="Arial" w:hAnsi="Arial" w:cs="Arial"/>
          <w:color w:val="222222"/>
          <w:sz w:val="20"/>
          <w:shd w:val="clear" w:color="auto" w:fill="FFFFFF"/>
        </w:rPr>
        <w:t xml:space="preserve"> </w:t>
      </w:r>
      <w:r w:rsidRPr="00307A66">
        <w:rPr>
          <w:rFonts w:ascii="Arial" w:hAnsi="Arial" w:cs="Arial"/>
          <w:color w:val="222222"/>
          <w:sz w:val="20"/>
          <w:shd w:val="clear" w:color="auto" w:fill="FFFFFF"/>
        </w:rPr>
        <w:t>&amp; Ginsberg, H. N. (2020). Low-density lipoproteins cause atherosclerotic cardiovascular disease: pathophysiological, genetic, and therapeutic insights: a consensus statement from the European Atherosclerosis Society Consensus Panel. </w:t>
      </w:r>
      <w:r w:rsidRPr="00307A66">
        <w:rPr>
          <w:rFonts w:ascii="Arial" w:hAnsi="Arial" w:cs="Arial"/>
          <w:i/>
          <w:iCs/>
          <w:color w:val="222222"/>
          <w:sz w:val="20"/>
          <w:shd w:val="clear" w:color="auto" w:fill="FFFFFF"/>
        </w:rPr>
        <w:t>European heart journal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41</w:t>
      </w:r>
      <w:r w:rsidRPr="00307A66">
        <w:rPr>
          <w:rFonts w:ascii="Arial" w:hAnsi="Arial" w:cs="Arial"/>
          <w:color w:val="222222"/>
          <w:sz w:val="20"/>
          <w:shd w:val="clear" w:color="auto" w:fill="FFFFFF"/>
        </w:rPr>
        <w:t>(24), 2313-2330.</w:t>
      </w:r>
      <w:r w:rsidRPr="00307A66">
        <w:rPr>
          <w:rFonts w:ascii="Arial" w:hAnsi="Arial" w:cs="Arial"/>
          <w:sz w:val="20"/>
        </w:rPr>
        <w:t xml:space="preserve"> </w:t>
      </w:r>
      <w:hyperlink r:id="rId11" w:history="1">
        <w:r w:rsidRPr="00307A66">
          <w:rPr>
            <w:rStyle w:val="Hyperlink"/>
            <w:rFonts w:ascii="Arial" w:hAnsi="Arial" w:cs="Arial"/>
            <w:sz w:val="20"/>
            <w:shd w:val="clear" w:color="auto" w:fill="FFFFFF"/>
          </w:rPr>
          <w:t>https://doi.org/10.1093/eurheartj/ehz962</w:t>
        </w:r>
      </w:hyperlink>
    </w:p>
    <w:p w14:paraId="727C914A"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Branch, D. R. (2015). Anti</w:t>
      </w:r>
      <w:r w:rsidRPr="00307A66">
        <w:rPr>
          <w:rFonts w:ascii="Cambria Math" w:hAnsi="Cambria Math" w:cs="Cambria Math"/>
          <w:color w:val="222222"/>
          <w:sz w:val="20"/>
          <w:shd w:val="clear" w:color="auto" w:fill="FFFFFF"/>
        </w:rPr>
        <w:t>‐</w:t>
      </w:r>
      <w:r w:rsidRPr="00307A66">
        <w:rPr>
          <w:rFonts w:ascii="Arial" w:hAnsi="Arial" w:cs="Arial"/>
          <w:color w:val="222222"/>
          <w:sz w:val="20"/>
          <w:shd w:val="clear" w:color="auto" w:fill="FFFFFF"/>
        </w:rPr>
        <w:t>A and anti</w:t>
      </w:r>
      <w:r w:rsidRPr="00307A66">
        <w:rPr>
          <w:rFonts w:ascii="Cambria Math" w:hAnsi="Cambria Math" w:cs="Cambria Math"/>
          <w:color w:val="222222"/>
          <w:sz w:val="20"/>
          <w:shd w:val="clear" w:color="auto" w:fill="FFFFFF"/>
        </w:rPr>
        <w:t>‐</w:t>
      </w:r>
      <w:r w:rsidRPr="00307A66">
        <w:rPr>
          <w:rFonts w:ascii="Arial" w:hAnsi="Arial" w:cs="Arial"/>
          <w:color w:val="222222"/>
          <w:sz w:val="20"/>
          <w:shd w:val="clear" w:color="auto" w:fill="FFFFFF"/>
        </w:rPr>
        <w:t xml:space="preserve">B: what are they and where do they come </w:t>
      </w:r>
      <w:proofErr w:type="gramStart"/>
      <w:r w:rsidRPr="00307A66">
        <w:rPr>
          <w:rFonts w:ascii="Arial" w:hAnsi="Arial" w:cs="Arial"/>
          <w:color w:val="222222"/>
          <w:sz w:val="20"/>
          <w:shd w:val="clear" w:color="auto" w:fill="FFFFFF"/>
        </w:rPr>
        <w:t>from?.</w:t>
      </w:r>
      <w:proofErr w:type="gram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Transfusion</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55</w:t>
      </w:r>
      <w:r w:rsidRPr="00307A66">
        <w:rPr>
          <w:rFonts w:ascii="Arial" w:hAnsi="Arial" w:cs="Arial"/>
          <w:color w:val="222222"/>
          <w:sz w:val="20"/>
          <w:shd w:val="clear" w:color="auto" w:fill="FFFFFF"/>
        </w:rPr>
        <w:t xml:space="preserve">(S2), S74-S79. </w:t>
      </w:r>
      <w:hyperlink r:id="rId12" w:history="1">
        <w:r w:rsidRPr="00307A66">
          <w:rPr>
            <w:rStyle w:val="Hyperlink"/>
            <w:rFonts w:ascii="Arial" w:hAnsi="Arial" w:cs="Arial"/>
            <w:sz w:val="20"/>
            <w:shd w:val="clear" w:color="auto" w:fill="FFFFFF"/>
          </w:rPr>
          <w:t>https://doi.org/10.1111/trf.13087</w:t>
        </w:r>
      </w:hyperlink>
    </w:p>
    <w:p w14:paraId="2FDEC416"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de Mattos, L. C. (2016). Structural diversity and biological importance of ABO, H, Lewis and secretor </w:t>
      </w:r>
      <w:proofErr w:type="spellStart"/>
      <w:r w:rsidRPr="00307A66">
        <w:rPr>
          <w:rFonts w:ascii="Arial" w:hAnsi="Arial" w:cs="Arial"/>
          <w:color w:val="222222"/>
          <w:sz w:val="20"/>
          <w:shd w:val="clear" w:color="auto" w:fill="FFFFFF"/>
        </w:rPr>
        <w:t>histo</w:t>
      </w:r>
      <w:proofErr w:type="spellEnd"/>
      <w:r w:rsidRPr="00307A66">
        <w:rPr>
          <w:rFonts w:ascii="Arial" w:hAnsi="Arial" w:cs="Arial"/>
          <w:color w:val="222222"/>
          <w:sz w:val="20"/>
          <w:shd w:val="clear" w:color="auto" w:fill="FFFFFF"/>
        </w:rPr>
        <w:t>-blood group carbohydrates. </w:t>
      </w:r>
      <w:proofErr w:type="spellStart"/>
      <w:r w:rsidRPr="00307A66">
        <w:rPr>
          <w:rFonts w:ascii="Arial" w:hAnsi="Arial" w:cs="Arial"/>
          <w:i/>
          <w:iCs/>
          <w:color w:val="222222"/>
          <w:sz w:val="20"/>
          <w:shd w:val="clear" w:color="auto" w:fill="FFFFFF"/>
        </w:rPr>
        <w:t>Revista</w:t>
      </w:r>
      <w:proofErr w:type="spellEnd"/>
      <w:r w:rsidRPr="00307A66">
        <w:rPr>
          <w:rFonts w:ascii="Arial" w:hAnsi="Arial" w:cs="Arial"/>
          <w:i/>
          <w:iCs/>
          <w:color w:val="222222"/>
          <w:sz w:val="20"/>
          <w:shd w:val="clear" w:color="auto" w:fill="FFFFFF"/>
        </w:rPr>
        <w:t xml:space="preserve"> </w:t>
      </w:r>
      <w:proofErr w:type="spellStart"/>
      <w:r w:rsidRPr="00307A66">
        <w:rPr>
          <w:rFonts w:ascii="Arial" w:hAnsi="Arial" w:cs="Arial"/>
          <w:i/>
          <w:iCs/>
          <w:color w:val="222222"/>
          <w:sz w:val="20"/>
          <w:shd w:val="clear" w:color="auto" w:fill="FFFFFF"/>
        </w:rPr>
        <w:t>brasileira</w:t>
      </w:r>
      <w:proofErr w:type="spellEnd"/>
      <w:r w:rsidRPr="00307A66">
        <w:rPr>
          <w:rFonts w:ascii="Arial" w:hAnsi="Arial" w:cs="Arial"/>
          <w:i/>
          <w:iCs/>
          <w:color w:val="222222"/>
          <w:sz w:val="20"/>
          <w:shd w:val="clear" w:color="auto" w:fill="FFFFFF"/>
        </w:rPr>
        <w:t xml:space="preserve"> de </w:t>
      </w:r>
      <w:proofErr w:type="spellStart"/>
      <w:r w:rsidRPr="00307A66">
        <w:rPr>
          <w:rFonts w:ascii="Arial" w:hAnsi="Arial" w:cs="Arial"/>
          <w:i/>
          <w:iCs/>
          <w:color w:val="222222"/>
          <w:sz w:val="20"/>
          <w:shd w:val="clear" w:color="auto" w:fill="FFFFFF"/>
        </w:rPr>
        <w:t>hematologia</w:t>
      </w:r>
      <w:proofErr w:type="spellEnd"/>
      <w:r w:rsidRPr="00307A66">
        <w:rPr>
          <w:rFonts w:ascii="Arial" w:hAnsi="Arial" w:cs="Arial"/>
          <w:i/>
          <w:iCs/>
          <w:color w:val="222222"/>
          <w:sz w:val="20"/>
          <w:shd w:val="clear" w:color="auto" w:fill="FFFFFF"/>
        </w:rPr>
        <w:t xml:space="preserve"> e </w:t>
      </w:r>
      <w:proofErr w:type="spellStart"/>
      <w:r w:rsidRPr="00307A66">
        <w:rPr>
          <w:rFonts w:ascii="Arial" w:hAnsi="Arial" w:cs="Arial"/>
          <w:i/>
          <w:iCs/>
          <w:color w:val="222222"/>
          <w:sz w:val="20"/>
          <w:shd w:val="clear" w:color="auto" w:fill="FFFFFF"/>
        </w:rPr>
        <w:t>hemoterapia</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38</w:t>
      </w:r>
      <w:r w:rsidRPr="00307A66">
        <w:rPr>
          <w:rFonts w:ascii="Arial" w:hAnsi="Arial" w:cs="Arial"/>
          <w:color w:val="222222"/>
          <w:sz w:val="20"/>
          <w:shd w:val="clear" w:color="auto" w:fill="FFFFFF"/>
        </w:rPr>
        <w:t>(4), 331-340.</w:t>
      </w:r>
      <w:r w:rsidRPr="00307A66">
        <w:rPr>
          <w:rFonts w:ascii="Arial" w:hAnsi="Arial" w:cs="Arial"/>
          <w:sz w:val="20"/>
        </w:rPr>
        <w:t xml:space="preserve"> </w:t>
      </w:r>
      <w:hyperlink r:id="rId13" w:history="1">
        <w:r w:rsidRPr="00307A66">
          <w:rPr>
            <w:rStyle w:val="Hyperlink"/>
            <w:rFonts w:ascii="Arial" w:hAnsi="Arial" w:cs="Arial"/>
            <w:sz w:val="20"/>
            <w:shd w:val="clear" w:color="auto" w:fill="FFFFFF"/>
          </w:rPr>
          <w:t>https://doi.org/10.1016/j.bjhh.2016.07.005</w:t>
        </w:r>
      </w:hyperlink>
    </w:p>
    <w:p w14:paraId="101551BE"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Ewald, D. R., &amp; Sumner, S. C. (2018). Human microbiota, blood group antigens, and disease. </w:t>
      </w:r>
      <w:r w:rsidRPr="00307A66">
        <w:rPr>
          <w:rFonts w:ascii="Arial" w:hAnsi="Arial" w:cs="Arial"/>
          <w:i/>
          <w:iCs/>
          <w:color w:val="222222"/>
          <w:sz w:val="20"/>
          <w:shd w:val="clear" w:color="auto" w:fill="FFFFFF"/>
        </w:rPr>
        <w:t>Wiley Interdisciplinary Reviews: Systems Biology and Medicine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10</w:t>
      </w:r>
      <w:r w:rsidRPr="00307A66">
        <w:rPr>
          <w:rFonts w:ascii="Arial" w:hAnsi="Arial" w:cs="Arial"/>
          <w:color w:val="222222"/>
          <w:sz w:val="20"/>
          <w:shd w:val="clear" w:color="auto" w:fill="FFFFFF"/>
        </w:rPr>
        <w:t>(3), e1413.</w:t>
      </w:r>
      <w:r w:rsidRPr="00307A66">
        <w:rPr>
          <w:rFonts w:ascii="Arial" w:hAnsi="Arial" w:cs="Arial"/>
          <w:sz w:val="20"/>
        </w:rPr>
        <w:t xml:space="preserve"> </w:t>
      </w:r>
      <w:r w:rsidRPr="00307A66">
        <w:rPr>
          <w:rFonts w:ascii="Arial" w:hAnsi="Arial" w:cs="Arial"/>
          <w:color w:val="222222"/>
          <w:sz w:val="20"/>
          <w:shd w:val="clear" w:color="auto" w:fill="FFFFFF"/>
        </w:rPr>
        <w:t>https://doi.org/10.1002/</w:t>
      </w:r>
    </w:p>
    <w:p w14:paraId="1CEDA005"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Ference, B. A., </w:t>
      </w:r>
      <w:proofErr w:type="spellStart"/>
      <w:r w:rsidRPr="00307A66">
        <w:rPr>
          <w:rFonts w:ascii="Arial" w:hAnsi="Arial" w:cs="Arial"/>
          <w:color w:val="222222"/>
          <w:sz w:val="20"/>
          <w:shd w:val="clear" w:color="auto" w:fill="FFFFFF"/>
        </w:rPr>
        <w:t>Braunwald</w:t>
      </w:r>
      <w:proofErr w:type="spellEnd"/>
      <w:r w:rsidRPr="00307A66">
        <w:rPr>
          <w:rFonts w:ascii="Arial" w:hAnsi="Arial" w:cs="Arial"/>
          <w:color w:val="222222"/>
          <w:sz w:val="20"/>
          <w:shd w:val="clear" w:color="auto" w:fill="FFFFFF"/>
        </w:rPr>
        <w:t>, E., &amp; Catapano, A. L. (2024). The LDL cumulative exposure hypothesis: evidence and practical applications. </w:t>
      </w:r>
      <w:r w:rsidRPr="00307A66">
        <w:rPr>
          <w:rFonts w:ascii="Arial" w:hAnsi="Arial" w:cs="Arial"/>
          <w:i/>
          <w:iCs/>
          <w:color w:val="222222"/>
          <w:sz w:val="20"/>
          <w:shd w:val="clear" w:color="auto" w:fill="FFFFFF"/>
        </w:rPr>
        <w:t>Nature Reviews Cardiology</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21</w:t>
      </w:r>
      <w:r w:rsidRPr="00307A66">
        <w:rPr>
          <w:rFonts w:ascii="Arial" w:hAnsi="Arial" w:cs="Arial"/>
          <w:color w:val="222222"/>
          <w:sz w:val="20"/>
          <w:shd w:val="clear" w:color="auto" w:fill="FFFFFF"/>
        </w:rPr>
        <w:t xml:space="preserve">(10), 701-716. </w:t>
      </w:r>
      <w:hyperlink r:id="rId14" w:history="1">
        <w:bookmarkStart w:id="3" w:name="_Hlk224068539"/>
        <w:r w:rsidRPr="00307A66">
          <w:rPr>
            <w:rStyle w:val="Hyperlink"/>
            <w:rFonts w:ascii="Arial" w:hAnsi="Arial" w:cs="Arial"/>
            <w:sz w:val="20"/>
            <w:shd w:val="clear" w:color="auto" w:fill="FFFFFF"/>
          </w:rPr>
          <w:t>https://doi.org/</w:t>
        </w:r>
        <w:bookmarkEnd w:id="3"/>
        <w:r w:rsidRPr="00307A66">
          <w:rPr>
            <w:rStyle w:val="Hyperlink"/>
            <w:rFonts w:ascii="Arial" w:hAnsi="Arial" w:cs="Arial"/>
            <w:sz w:val="20"/>
            <w:shd w:val="clear" w:color="auto" w:fill="FFFFFF"/>
          </w:rPr>
          <w:t>10.1038/s41569-024-01039-5</w:t>
        </w:r>
      </w:hyperlink>
    </w:p>
    <w:p w14:paraId="6320A9EB" w14:textId="77777777" w:rsidR="00400899" w:rsidRPr="00307A66" w:rsidRDefault="00400899" w:rsidP="008E70E1">
      <w:pPr>
        <w:pStyle w:val="ListParagraph"/>
        <w:widowControl/>
        <w:numPr>
          <w:ilvl w:val="0"/>
          <w:numId w:val="2"/>
        </w:numPr>
        <w:rPr>
          <w:rFonts w:ascii="Arial" w:hAnsi="Arial" w:cs="Arial"/>
          <w:sz w:val="20"/>
        </w:rPr>
      </w:pPr>
      <w:r w:rsidRPr="00307A66">
        <w:rPr>
          <w:rFonts w:ascii="Arial" w:hAnsi="Arial" w:cs="Arial"/>
          <w:sz w:val="20"/>
        </w:rPr>
        <w:t xml:space="preserve">Iheanacho, K. M., Offiah, S. A., Udo, M., Ugonabu, M. C., </w:t>
      </w:r>
      <w:proofErr w:type="spellStart"/>
      <w:r w:rsidRPr="00307A66">
        <w:rPr>
          <w:rFonts w:ascii="Arial" w:hAnsi="Arial" w:cs="Arial"/>
          <w:sz w:val="20"/>
        </w:rPr>
        <w:t>Onukaogu</w:t>
      </w:r>
      <w:proofErr w:type="spellEnd"/>
      <w:r w:rsidRPr="00307A66">
        <w:rPr>
          <w:rFonts w:ascii="Arial" w:hAnsi="Arial" w:cs="Arial"/>
          <w:sz w:val="20"/>
        </w:rPr>
        <w:t xml:space="preserve">, I. V., &amp; Chigbu, L. (2018). Evaluation of lipid profile of different ABO blood groups. </w:t>
      </w:r>
      <w:r w:rsidRPr="00307A66">
        <w:rPr>
          <w:rFonts w:ascii="Arial" w:hAnsi="Arial" w:cs="Arial"/>
          <w:i/>
          <w:iCs/>
          <w:sz w:val="20"/>
        </w:rPr>
        <w:t>International Journal of Research Studies in Medical and Health Sciences, 3</w:t>
      </w:r>
      <w:r w:rsidRPr="00307A66">
        <w:rPr>
          <w:rFonts w:ascii="Arial" w:hAnsi="Arial" w:cs="Arial"/>
          <w:sz w:val="20"/>
        </w:rPr>
        <w:t>, 13-14.</w:t>
      </w:r>
    </w:p>
    <w:p w14:paraId="77238EDC" w14:textId="77777777" w:rsidR="00400899" w:rsidRPr="00307A66" w:rsidRDefault="00400899" w:rsidP="008E70E1">
      <w:pPr>
        <w:pStyle w:val="ListParagraph"/>
        <w:numPr>
          <w:ilvl w:val="0"/>
          <w:numId w:val="2"/>
        </w:numPr>
        <w:rPr>
          <w:rFonts w:ascii="Arial" w:hAnsi="Arial" w:cs="Arial"/>
          <w:i/>
          <w:iCs/>
          <w:color w:val="222222"/>
          <w:sz w:val="20"/>
          <w:shd w:val="clear" w:color="auto" w:fill="FFFFFF"/>
        </w:rPr>
      </w:pPr>
      <w:r w:rsidRPr="00307A66">
        <w:rPr>
          <w:rFonts w:ascii="Arial" w:hAnsi="Arial" w:cs="Arial"/>
          <w:color w:val="222222"/>
          <w:sz w:val="20"/>
          <w:shd w:val="clear" w:color="auto" w:fill="FFFFFF"/>
        </w:rPr>
        <w:lastRenderedPageBreak/>
        <w:t>Linton, M. F., Yancey, P. G., Davies, S. S., Jerome, W. G., Linton, E. F., Song, W. L., ... &amp; Vickers, K. C. (2019). The role of lipids and lipoproteins in atherosclerosis. </w:t>
      </w:r>
      <w:proofErr w:type="spellStart"/>
      <w:r w:rsidRPr="00307A66">
        <w:rPr>
          <w:rFonts w:ascii="Arial" w:hAnsi="Arial" w:cs="Arial"/>
          <w:i/>
          <w:iCs/>
          <w:color w:val="222222"/>
          <w:sz w:val="20"/>
          <w:shd w:val="clear" w:color="auto" w:fill="FFFFFF"/>
        </w:rPr>
        <w:t>Endotext</w:t>
      </w:r>
      <w:proofErr w:type="spellEnd"/>
      <w:r w:rsidRPr="00307A66">
        <w:rPr>
          <w:rFonts w:ascii="Arial" w:hAnsi="Arial" w:cs="Arial"/>
          <w:i/>
          <w:iCs/>
          <w:color w:val="222222"/>
          <w:sz w:val="20"/>
          <w:shd w:val="clear" w:color="auto" w:fill="FFFFFF"/>
        </w:rPr>
        <w:t>[https://www.ncbi.nlm.nih.gov/books/NBK343489/]</w:t>
      </w:r>
    </w:p>
    <w:p w14:paraId="2A2C7CBE" w14:textId="77777777" w:rsidR="00400899" w:rsidRPr="00307A66" w:rsidRDefault="00400899" w:rsidP="008E70E1">
      <w:pPr>
        <w:pStyle w:val="ListParagraph"/>
        <w:numPr>
          <w:ilvl w:val="0"/>
          <w:numId w:val="2"/>
        </w:numPr>
        <w:rPr>
          <w:rFonts w:ascii="Arial" w:hAnsi="Arial" w:cs="Arial"/>
          <w:color w:val="3B3030"/>
          <w:sz w:val="20"/>
          <w:shd w:val="clear" w:color="auto" w:fill="FFFFFF"/>
        </w:rPr>
      </w:pPr>
      <w:r w:rsidRPr="00307A66">
        <w:rPr>
          <w:rFonts w:ascii="Arial" w:hAnsi="Arial" w:cs="Arial"/>
          <w:color w:val="222222"/>
          <w:sz w:val="20"/>
          <w:shd w:val="clear" w:color="auto" w:fill="FFFFFF"/>
        </w:rPr>
        <w:t xml:space="preserve">Neshat, S., Rezaei, A., Farid, A., Javanshir, S., Niri, F. D., </w:t>
      </w:r>
      <w:proofErr w:type="spellStart"/>
      <w:r w:rsidRPr="00307A66">
        <w:rPr>
          <w:rFonts w:ascii="Arial" w:hAnsi="Arial" w:cs="Arial"/>
          <w:color w:val="222222"/>
          <w:sz w:val="20"/>
          <w:shd w:val="clear" w:color="auto" w:fill="FFFFFF"/>
        </w:rPr>
        <w:t>Daneii</w:t>
      </w:r>
      <w:proofErr w:type="spellEnd"/>
      <w:r w:rsidRPr="00307A66">
        <w:rPr>
          <w:rFonts w:ascii="Arial" w:hAnsi="Arial" w:cs="Arial"/>
          <w:color w:val="222222"/>
          <w:sz w:val="20"/>
          <w:shd w:val="clear" w:color="auto" w:fill="FFFFFF"/>
        </w:rPr>
        <w:t xml:space="preserve">, P., ... &amp; </w:t>
      </w:r>
      <w:proofErr w:type="spellStart"/>
      <w:r w:rsidRPr="00307A66">
        <w:rPr>
          <w:rFonts w:ascii="Arial" w:hAnsi="Arial" w:cs="Arial"/>
          <w:color w:val="222222"/>
          <w:sz w:val="20"/>
          <w:shd w:val="clear" w:color="auto" w:fill="FFFFFF"/>
        </w:rPr>
        <w:t>Korani</w:t>
      </w:r>
      <w:proofErr w:type="spellEnd"/>
      <w:r w:rsidRPr="00307A66">
        <w:rPr>
          <w:rFonts w:ascii="Arial" w:hAnsi="Arial" w:cs="Arial"/>
          <w:color w:val="222222"/>
          <w:sz w:val="20"/>
          <w:shd w:val="clear" w:color="auto" w:fill="FFFFFF"/>
        </w:rPr>
        <w:t>, S. S. (2024). Cardiovascular diseases risk predictors: ABO blood groups in a different role. </w:t>
      </w:r>
      <w:r w:rsidRPr="00307A66">
        <w:rPr>
          <w:rFonts w:ascii="Arial" w:hAnsi="Arial" w:cs="Arial"/>
          <w:i/>
          <w:iCs/>
          <w:color w:val="222222"/>
          <w:sz w:val="20"/>
          <w:shd w:val="clear" w:color="auto" w:fill="FFFFFF"/>
        </w:rPr>
        <w:t>Cardiology in Review</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32</w:t>
      </w:r>
      <w:r w:rsidRPr="00307A66">
        <w:rPr>
          <w:rFonts w:ascii="Arial" w:hAnsi="Arial" w:cs="Arial"/>
          <w:color w:val="222222"/>
          <w:sz w:val="20"/>
          <w:shd w:val="clear" w:color="auto" w:fill="FFFFFF"/>
        </w:rPr>
        <w:t>(2), 174-179.</w:t>
      </w:r>
      <w:r w:rsidRPr="00307A66">
        <w:rPr>
          <w:rFonts w:ascii="Arial" w:hAnsi="Arial" w:cs="Arial"/>
          <w:color w:val="3B3030"/>
          <w:sz w:val="20"/>
          <w:shd w:val="clear" w:color="auto" w:fill="FFFFFF"/>
        </w:rPr>
        <w:t xml:space="preserve"> </w:t>
      </w:r>
      <w:hyperlink r:id="rId15" w:history="1">
        <w:r w:rsidRPr="00307A66">
          <w:rPr>
            <w:rStyle w:val="Hyperlink"/>
            <w:rFonts w:ascii="Arial" w:hAnsi="Arial" w:cs="Arial"/>
            <w:sz w:val="20"/>
            <w:shd w:val="clear" w:color="auto" w:fill="FFFFFF"/>
          </w:rPr>
          <w:t>https://doi.org/10.1097/CRD.0000000000000463</w:t>
        </w:r>
      </w:hyperlink>
    </w:p>
    <w:p w14:paraId="07BA5161"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Nimisha, V. (2015). </w:t>
      </w:r>
      <w:r w:rsidRPr="00307A66">
        <w:rPr>
          <w:rFonts w:ascii="Arial" w:hAnsi="Arial" w:cs="Arial"/>
          <w:i/>
          <w:iCs/>
          <w:color w:val="222222"/>
          <w:sz w:val="20"/>
          <w:shd w:val="clear" w:color="auto" w:fill="FFFFFF"/>
        </w:rPr>
        <w:t xml:space="preserve">A Cross Sectional Study to Correlate Biochemical Parameters with Risk Factors of Coronary Heart Disease in </w:t>
      </w:r>
      <w:proofErr w:type="spellStart"/>
      <w:r w:rsidRPr="00307A66">
        <w:rPr>
          <w:rFonts w:ascii="Arial" w:hAnsi="Arial" w:cs="Arial"/>
          <w:i/>
          <w:iCs/>
          <w:color w:val="222222"/>
          <w:sz w:val="20"/>
          <w:shd w:val="clear" w:color="auto" w:fill="FFFFFF"/>
        </w:rPr>
        <w:t>Mandya</w:t>
      </w:r>
      <w:proofErr w:type="spellEnd"/>
      <w:r w:rsidRPr="00307A66">
        <w:rPr>
          <w:rFonts w:ascii="Arial" w:hAnsi="Arial" w:cs="Arial"/>
          <w:i/>
          <w:iCs/>
          <w:color w:val="222222"/>
          <w:sz w:val="20"/>
          <w:shd w:val="clear" w:color="auto" w:fill="FFFFFF"/>
        </w:rPr>
        <w:t xml:space="preserve"> City</w:t>
      </w:r>
      <w:r w:rsidRPr="00307A66">
        <w:rPr>
          <w:rFonts w:ascii="Arial" w:hAnsi="Arial" w:cs="Arial"/>
          <w:color w:val="222222"/>
          <w:sz w:val="20"/>
          <w:shd w:val="clear" w:color="auto" w:fill="FFFFFF"/>
        </w:rPr>
        <w:t xml:space="preserve"> (Doctoral dissertation, Rajiv Gandhi University of Health Sciences (India)). </w:t>
      </w:r>
      <w:hyperlink r:id="rId16" w:history="1">
        <w:r w:rsidRPr="00307A66">
          <w:rPr>
            <w:rStyle w:val="Hyperlink"/>
            <w:rFonts w:ascii="Arial" w:hAnsi="Arial" w:cs="Arial"/>
            <w:sz w:val="20"/>
            <w:shd w:val="clear" w:color="auto" w:fill="FFFFFF"/>
          </w:rPr>
          <w:t>https://search.proquest.com/openview/1b33b7541b1257a84c2b3f03399a9e27/1?pq-origsite=gscholar&amp;cbl=2026366&amp;diss=y</w:t>
        </w:r>
      </w:hyperlink>
    </w:p>
    <w:p w14:paraId="11D0AD3D" w14:textId="77777777" w:rsidR="00400899" w:rsidRPr="00307A66" w:rsidRDefault="00400899" w:rsidP="008E70E1">
      <w:pPr>
        <w:pStyle w:val="ListParagraph"/>
        <w:widowControl/>
        <w:numPr>
          <w:ilvl w:val="0"/>
          <w:numId w:val="2"/>
        </w:numPr>
        <w:rPr>
          <w:rFonts w:ascii="Arial" w:hAnsi="Arial" w:cs="Arial"/>
          <w:sz w:val="20"/>
        </w:rPr>
      </w:pPr>
      <w:proofErr w:type="spellStart"/>
      <w:r w:rsidRPr="00307A66">
        <w:rPr>
          <w:rFonts w:ascii="Arial" w:hAnsi="Arial" w:cs="Arial"/>
          <w:sz w:val="20"/>
        </w:rPr>
        <w:t>Nnodim</w:t>
      </w:r>
      <w:proofErr w:type="spellEnd"/>
      <w:r w:rsidRPr="00307A66">
        <w:rPr>
          <w:rFonts w:ascii="Arial" w:hAnsi="Arial" w:cs="Arial"/>
          <w:sz w:val="20"/>
        </w:rPr>
        <w:t xml:space="preserve">, J., &amp; Francis, U. G. (2022). Evaluation of pattern of lipid profile of subjects with different ABO groups in Madonna University Elele Rivers State Nigeria. </w:t>
      </w:r>
      <w:r w:rsidRPr="00307A66">
        <w:rPr>
          <w:rFonts w:ascii="Arial" w:hAnsi="Arial" w:cs="Arial"/>
          <w:i/>
          <w:iCs/>
          <w:sz w:val="20"/>
        </w:rPr>
        <w:t xml:space="preserve">Journal La </w:t>
      </w:r>
      <w:proofErr w:type="spellStart"/>
      <w:r w:rsidRPr="00307A66">
        <w:rPr>
          <w:rFonts w:ascii="Arial" w:hAnsi="Arial" w:cs="Arial"/>
          <w:i/>
          <w:iCs/>
          <w:sz w:val="20"/>
        </w:rPr>
        <w:t>Medihealtico</w:t>
      </w:r>
      <w:proofErr w:type="spellEnd"/>
      <w:r w:rsidRPr="00307A66">
        <w:rPr>
          <w:rFonts w:ascii="Arial" w:hAnsi="Arial" w:cs="Arial"/>
          <w:i/>
          <w:iCs/>
          <w:sz w:val="20"/>
        </w:rPr>
        <w:t>, 3</w:t>
      </w:r>
      <w:r w:rsidRPr="00307A66">
        <w:rPr>
          <w:rFonts w:ascii="Arial" w:hAnsi="Arial" w:cs="Arial"/>
          <w:sz w:val="20"/>
        </w:rPr>
        <w:t>(2), 104-109. https://doi.org/10.37899/journallamedihealtico.v3i2.621</w:t>
      </w:r>
    </w:p>
    <w:p w14:paraId="0D92BD14"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Noor, N. H. M., &amp; Asmaa, M. J. S. (2024). Karl Landsteiner (1868–1943): A Versatile Blood Scientist. </w:t>
      </w:r>
      <w:r w:rsidRPr="00307A66">
        <w:rPr>
          <w:rFonts w:ascii="Arial" w:hAnsi="Arial" w:cs="Arial"/>
          <w:i/>
          <w:iCs/>
          <w:color w:val="222222"/>
          <w:sz w:val="20"/>
          <w:shd w:val="clear" w:color="auto" w:fill="FFFFFF"/>
        </w:rPr>
        <w:t>Cureus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16</w:t>
      </w:r>
      <w:r w:rsidRPr="00307A66">
        <w:rPr>
          <w:rFonts w:ascii="Arial" w:hAnsi="Arial" w:cs="Arial"/>
          <w:color w:val="222222"/>
          <w:sz w:val="20"/>
          <w:shd w:val="clear" w:color="auto" w:fill="FFFFFF"/>
        </w:rPr>
        <w:t>(9).</w:t>
      </w:r>
      <w:hyperlink r:id="rId17" w:history="1">
        <w:r w:rsidRPr="00307A66">
          <w:rPr>
            <w:rStyle w:val="Hyperlink"/>
            <w:rFonts w:ascii="Arial" w:hAnsi="Arial" w:cs="Arial"/>
            <w:sz w:val="20"/>
            <w:shd w:val="clear" w:color="auto" w:fill="FFFFFF"/>
          </w:rPr>
          <w:t>https://www.cureus.com/articles/289789-karl-landsteiner-1868-1943-a-versatile-blood-scientist.pdf</w:t>
        </w:r>
      </w:hyperlink>
    </w:p>
    <w:p w14:paraId="516C596B" w14:textId="77777777" w:rsidR="00400899" w:rsidRPr="00307A66" w:rsidRDefault="00400899" w:rsidP="008E70E1">
      <w:pPr>
        <w:pStyle w:val="ListParagraph"/>
        <w:numPr>
          <w:ilvl w:val="0"/>
          <w:numId w:val="2"/>
        </w:numPr>
        <w:rPr>
          <w:rFonts w:ascii="Arial" w:hAnsi="Arial" w:cs="Arial"/>
          <w:b/>
          <w:sz w:val="20"/>
        </w:rPr>
      </w:pPr>
      <w:proofErr w:type="spellStart"/>
      <w:r w:rsidRPr="00307A66">
        <w:rPr>
          <w:rFonts w:ascii="Arial" w:hAnsi="Arial" w:cs="Arial"/>
          <w:color w:val="1B1B1B"/>
          <w:sz w:val="20"/>
          <w:shd w:val="clear" w:color="auto" w:fill="FFFFFF"/>
        </w:rPr>
        <w:t>Parhofer</w:t>
      </w:r>
      <w:proofErr w:type="spellEnd"/>
      <w:r w:rsidRPr="00307A66">
        <w:rPr>
          <w:rFonts w:ascii="Arial" w:hAnsi="Arial" w:cs="Arial"/>
          <w:color w:val="1B1B1B"/>
          <w:sz w:val="20"/>
          <w:shd w:val="clear" w:color="auto" w:fill="FFFFFF"/>
        </w:rPr>
        <w:t>, K. G., &amp; Laufs, U. (2023). Lipid Profile and Lipoprotein(a) Testing. </w:t>
      </w:r>
      <w:proofErr w:type="spellStart"/>
      <w:r w:rsidRPr="00307A66">
        <w:rPr>
          <w:rFonts w:ascii="Arial" w:hAnsi="Arial" w:cs="Arial"/>
          <w:i/>
          <w:iCs/>
          <w:color w:val="1B1B1B"/>
          <w:sz w:val="20"/>
          <w:shd w:val="clear" w:color="auto" w:fill="FFFFFF"/>
        </w:rPr>
        <w:t>Deutsches</w:t>
      </w:r>
      <w:proofErr w:type="spellEnd"/>
      <w:r w:rsidRPr="00307A66">
        <w:rPr>
          <w:rFonts w:ascii="Arial" w:hAnsi="Arial" w:cs="Arial"/>
          <w:i/>
          <w:iCs/>
          <w:color w:val="1B1B1B"/>
          <w:sz w:val="20"/>
          <w:shd w:val="clear" w:color="auto" w:fill="FFFFFF"/>
        </w:rPr>
        <w:t xml:space="preserve"> </w:t>
      </w:r>
      <w:proofErr w:type="spellStart"/>
      <w:r w:rsidRPr="00307A66">
        <w:rPr>
          <w:rFonts w:ascii="Arial" w:hAnsi="Arial" w:cs="Arial"/>
          <w:i/>
          <w:iCs/>
          <w:color w:val="1B1B1B"/>
          <w:sz w:val="20"/>
          <w:shd w:val="clear" w:color="auto" w:fill="FFFFFF"/>
        </w:rPr>
        <w:t>Arzteblatt</w:t>
      </w:r>
      <w:proofErr w:type="spellEnd"/>
      <w:r w:rsidRPr="00307A66">
        <w:rPr>
          <w:rFonts w:ascii="Arial" w:hAnsi="Arial" w:cs="Arial"/>
          <w:i/>
          <w:iCs/>
          <w:color w:val="1B1B1B"/>
          <w:sz w:val="20"/>
          <w:shd w:val="clear" w:color="auto" w:fill="FFFFFF"/>
        </w:rPr>
        <w:t xml:space="preserve"> international</w:t>
      </w:r>
      <w:r w:rsidRPr="00307A66">
        <w:rPr>
          <w:rFonts w:ascii="Arial" w:hAnsi="Arial" w:cs="Arial"/>
          <w:color w:val="1B1B1B"/>
          <w:sz w:val="20"/>
          <w:shd w:val="clear" w:color="auto" w:fill="FFFFFF"/>
        </w:rPr>
        <w:t>, </w:t>
      </w:r>
      <w:r w:rsidRPr="00307A66">
        <w:rPr>
          <w:rFonts w:ascii="Arial" w:hAnsi="Arial" w:cs="Arial"/>
          <w:i/>
          <w:iCs/>
          <w:color w:val="1B1B1B"/>
          <w:sz w:val="20"/>
          <w:shd w:val="clear" w:color="auto" w:fill="FFFFFF"/>
        </w:rPr>
        <w:t>120</w:t>
      </w:r>
      <w:r w:rsidRPr="00307A66">
        <w:rPr>
          <w:rFonts w:ascii="Arial" w:hAnsi="Arial" w:cs="Arial"/>
          <w:color w:val="1B1B1B"/>
          <w:sz w:val="20"/>
          <w:shd w:val="clear" w:color="auto" w:fill="FFFFFF"/>
        </w:rPr>
        <w:t>(35-36), 582–588. https://doi.org/10.3238/arztebl.m2023.0150</w:t>
      </w:r>
    </w:p>
    <w:p w14:paraId="44AF3DB4"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proofErr w:type="spellStart"/>
      <w:r w:rsidRPr="00307A66">
        <w:rPr>
          <w:rFonts w:ascii="Arial" w:hAnsi="Arial" w:cs="Arial"/>
          <w:color w:val="222222"/>
          <w:sz w:val="20"/>
          <w:shd w:val="clear" w:color="auto" w:fill="FFFFFF"/>
        </w:rPr>
        <w:t>Ristovska</w:t>
      </w:r>
      <w:proofErr w:type="spellEnd"/>
      <w:r w:rsidRPr="00307A66">
        <w:rPr>
          <w:rFonts w:ascii="Arial" w:hAnsi="Arial" w:cs="Arial"/>
          <w:color w:val="222222"/>
          <w:sz w:val="20"/>
          <w:shd w:val="clear" w:color="auto" w:fill="FFFFFF"/>
        </w:rPr>
        <w:t xml:space="preserve">, E., </w:t>
      </w:r>
      <w:proofErr w:type="spellStart"/>
      <w:r w:rsidRPr="00307A66">
        <w:rPr>
          <w:rFonts w:ascii="Arial" w:hAnsi="Arial" w:cs="Arial"/>
          <w:color w:val="222222"/>
          <w:sz w:val="20"/>
          <w:shd w:val="clear" w:color="auto" w:fill="FFFFFF"/>
        </w:rPr>
        <w:t>Bojadjieva</w:t>
      </w:r>
      <w:proofErr w:type="spellEnd"/>
      <w:r w:rsidRPr="00307A66">
        <w:rPr>
          <w:rFonts w:ascii="Arial" w:hAnsi="Arial" w:cs="Arial"/>
          <w:color w:val="222222"/>
          <w:sz w:val="20"/>
          <w:shd w:val="clear" w:color="auto" w:fill="FFFFFF"/>
        </w:rPr>
        <w:t xml:space="preserve">, Т. M., </w:t>
      </w:r>
      <w:proofErr w:type="spellStart"/>
      <w:r w:rsidRPr="00307A66">
        <w:rPr>
          <w:rFonts w:ascii="Arial" w:hAnsi="Arial" w:cs="Arial"/>
          <w:color w:val="222222"/>
          <w:sz w:val="20"/>
          <w:shd w:val="clear" w:color="auto" w:fill="FFFFFF"/>
        </w:rPr>
        <w:t>Velkova</w:t>
      </w:r>
      <w:proofErr w:type="spellEnd"/>
      <w:r w:rsidRPr="00307A66">
        <w:rPr>
          <w:rFonts w:ascii="Arial" w:hAnsi="Arial" w:cs="Arial"/>
          <w:color w:val="222222"/>
          <w:sz w:val="20"/>
          <w:shd w:val="clear" w:color="auto" w:fill="FFFFFF"/>
        </w:rPr>
        <w:t xml:space="preserve">, Е., Dimceva, А. H., Todorovski, B., </w:t>
      </w:r>
      <w:proofErr w:type="spellStart"/>
      <w:r w:rsidRPr="00307A66">
        <w:rPr>
          <w:rFonts w:ascii="Arial" w:hAnsi="Arial" w:cs="Arial"/>
          <w:color w:val="222222"/>
          <w:sz w:val="20"/>
          <w:shd w:val="clear" w:color="auto" w:fill="FFFFFF"/>
        </w:rPr>
        <w:t>Tashkovska</w:t>
      </w:r>
      <w:proofErr w:type="spellEnd"/>
      <w:r w:rsidRPr="00307A66">
        <w:rPr>
          <w:rFonts w:ascii="Arial" w:hAnsi="Arial" w:cs="Arial"/>
          <w:color w:val="222222"/>
          <w:sz w:val="20"/>
          <w:shd w:val="clear" w:color="auto" w:fill="FFFFFF"/>
        </w:rPr>
        <w:t xml:space="preserve">, M., ... &amp; </w:t>
      </w:r>
      <w:proofErr w:type="spellStart"/>
      <w:r w:rsidRPr="00307A66">
        <w:rPr>
          <w:rFonts w:ascii="Arial" w:hAnsi="Arial" w:cs="Arial"/>
          <w:color w:val="222222"/>
          <w:sz w:val="20"/>
          <w:shd w:val="clear" w:color="auto" w:fill="FFFFFF"/>
        </w:rPr>
        <w:t>Bosevski</w:t>
      </w:r>
      <w:proofErr w:type="spellEnd"/>
      <w:r w:rsidRPr="00307A66">
        <w:rPr>
          <w:rFonts w:ascii="Arial" w:hAnsi="Arial" w:cs="Arial"/>
          <w:color w:val="222222"/>
          <w:sz w:val="20"/>
          <w:shd w:val="clear" w:color="auto" w:fill="FFFFFF"/>
        </w:rPr>
        <w:t>, M. (2022). Rare blood groups in ABO, Rh, Kell systems–biological and clinical significance. </w:t>
      </w:r>
      <w:proofErr w:type="spellStart"/>
      <w:r w:rsidRPr="00307A66">
        <w:rPr>
          <w:rFonts w:ascii="Arial" w:hAnsi="Arial" w:cs="Arial"/>
          <w:i/>
          <w:iCs/>
          <w:color w:val="222222"/>
          <w:sz w:val="20"/>
          <w:shd w:val="clear" w:color="auto" w:fill="FFFFFF"/>
        </w:rPr>
        <w:t>prilozi</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43</w:t>
      </w:r>
      <w:r w:rsidRPr="00307A66">
        <w:rPr>
          <w:rFonts w:ascii="Arial" w:hAnsi="Arial" w:cs="Arial"/>
          <w:color w:val="222222"/>
          <w:sz w:val="20"/>
          <w:shd w:val="clear" w:color="auto" w:fill="FFFFFF"/>
        </w:rPr>
        <w:t>(2), 77-87.</w:t>
      </w:r>
      <w:r w:rsidRPr="00307A66">
        <w:rPr>
          <w:rFonts w:ascii="Arial" w:hAnsi="Arial" w:cs="Arial"/>
          <w:sz w:val="20"/>
        </w:rPr>
        <w:t xml:space="preserve"> https://doi.org/</w:t>
      </w:r>
      <w:r w:rsidRPr="00307A66">
        <w:rPr>
          <w:rFonts w:ascii="Arial" w:hAnsi="Arial" w:cs="Arial"/>
          <w:color w:val="222222"/>
          <w:sz w:val="20"/>
          <w:shd w:val="clear" w:color="auto" w:fill="FFFFFF"/>
        </w:rPr>
        <w:t>10.2478/prilozi-2022-0021</w:t>
      </w:r>
    </w:p>
    <w:p w14:paraId="11DF0872"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Santos, A. L., &amp; Preta, G. (2018). Lipids in the cell: </w:t>
      </w:r>
      <w:proofErr w:type="spellStart"/>
      <w:r w:rsidRPr="00307A66">
        <w:rPr>
          <w:rFonts w:ascii="Arial" w:hAnsi="Arial" w:cs="Arial"/>
          <w:color w:val="222222"/>
          <w:sz w:val="20"/>
          <w:shd w:val="clear" w:color="auto" w:fill="FFFFFF"/>
        </w:rPr>
        <w:t>organisation</w:t>
      </w:r>
      <w:proofErr w:type="spellEnd"/>
      <w:r w:rsidRPr="00307A66">
        <w:rPr>
          <w:rFonts w:ascii="Arial" w:hAnsi="Arial" w:cs="Arial"/>
          <w:color w:val="222222"/>
          <w:sz w:val="20"/>
          <w:shd w:val="clear" w:color="auto" w:fill="FFFFFF"/>
        </w:rPr>
        <w:t xml:space="preserve"> regulates function. </w:t>
      </w:r>
      <w:r w:rsidRPr="00307A66">
        <w:rPr>
          <w:rFonts w:ascii="Arial" w:hAnsi="Arial" w:cs="Arial"/>
          <w:i/>
          <w:iCs/>
          <w:color w:val="222222"/>
          <w:sz w:val="20"/>
          <w:shd w:val="clear" w:color="auto" w:fill="FFFFFF"/>
        </w:rPr>
        <w:t>Cellular and Molecular Life Sciences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75</w:t>
      </w:r>
      <w:r w:rsidRPr="00307A66">
        <w:rPr>
          <w:rFonts w:ascii="Arial" w:hAnsi="Arial" w:cs="Arial"/>
          <w:color w:val="222222"/>
          <w:sz w:val="20"/>
          <w:shd w:val="clear" w:color="auto" w:fill="FFFFFF"/>
        </w:rPr>
        <w:t xml:space="preserve">(11), 1909-1927. </w:t>
      </w:r>
      <w:hyperlink r:id="rId18" w:history="1">
        <w:r w:rsidRPr="00307A66">
          <w:rPr>
            <w:rStyle w:val="Hyperlink"/>
            <w:rFonts w:ascii="Arial" w:hAnsi="Arial" w:cs="Arial"/>
            <w:sz w:val="20"/>
            <w:shd w:val="clear" w:color="auto" w:fill="FFFFFF"/>
          </w:rPr>
          <w:t>https://doi.org/10.1007/s00018-018-2765-4</w:t>
        </w:r>
      </w:hyperlink>
    </w:p>
    <w:p w14:paraId="3453C007"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Shahid, A. (2019). The effects of low altitude on isolated mammalian arteries, intact murine circulation, and as a therapy for myocardial infarction and hindlimb ischemia in mice.</w:t>
      </w:r>
      <w:r w:rsidRPr="00307A66">
        <w:rPr>
          <w:rFonts w:ascii="Arial" w:hAnsi="Arial" w:cs="Arial"/>
          <w:sz w:val="20"/>
        </w:rPr>
        <w:t xml:space="preserve"> </w:t>
      </w:r>
      <w:hyperlink r:id="rId19" w:history="1">
        <w:r w:rsidRPr="00307A66">
          <w:rPr>
            <w:rStyle w:val="Hyperlink"/>
            <w:rFonts w:ascii="Arial" w:hAnsi="Arial" w:cs="Arial"/>
            <w:sz w:val="20"/>
            <w:shd w:val="clear" w:color="auto" w:fill="FFFFFF"/>
          </w:rPr>
          <w:t>https://ualberta.scholaris.ca/bitstreams/a11ce9e1-304f-49ae-a9af-1529d6e872ef/download</w:t>
        </w:r>
      </w:hyperlink>
    </w:p>
    <w:p w14:paraId="0BFA9261"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Sherif, A. H., Toulan, A. E., El-</w:t>
      </w:r>
      <w:proofErr w:type="spellStart"/>
      <w:r w:rsidRPr="00307A66">
        <w:rPr>
          <w:rFonts w:ascii="Arial" w:hAnsi="Arial" w:cs="Arial"/>
          <w:color w:val="222222"/>
          <w:sz w:val="20"/>
          <w:shd w:val="clear" w:color="auto" w:fill="FFFFFF"/>
        </w:rPr>
        <w:t>Kalamwi</w:t>
      </w:r>
      <w:proofErr w:type="spellEnd"/>
      <w:r w:rsidRPr="00307A66">
        <w:rPr>
          <w:rFonts w:ascii="Arial" w:hAnsi="Arial" w:cs="Arial"/>
          <w:color w:val="222222"/>
          <w:sz w:val="20"/>
          <w:shd w:val="clear" w:color="auto" w:fill="FFFFFF"/>
        </w:rPr>
        <w:t xml:space="preserve">, N., Farag, E. A., &amp; Mahmoud, A. E. (2023). Silymarin enhances the response to oxytetracycline treatment in Oreochromis niloticus experimentally infected with Aeromonas </w:t>
      </w:r>
      <w:proofErr w:type="spellStart"/>
      <w:r w:rsidRPr="00307A66">
        <w:rPr>
          <w:rFonts w:ascii="Arial" w:hAnsi="Arial" w:cs="Arial"/>
          <w:color w:val="222222"/>
          <w:sz w:val="20"/>
          <w:shd w:val="clear" w:color="auto" w:fill="FFFFFF"/>
        </w:rPr>
        <w:t>hydrophila</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Scientific Reports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13</w:t>
      </w:r>
      <w:r w:rsidRPr="00307A66">
        <w:rPr>
          <w:rFonts w:ascii="Arial" w:hAnsi="Arial" w:cs="Arial"/>
          <w:color w:val="222222"/>
          <w:sz w:val="20"/>
          <w:shd w:val="clear" w:color="auto" w:fill="FFFFFF"/>
        </w:rPr>
        <w:t xml:space="preserve">(1), 16235. </w:t>
      </w:r>
      <w:hyperlink r:id="rId20" w:history="1">
        <w:r w:rsidRPr="00307A66">
          <w:rPr>
            <w:rStyle w:val="Hyperlink"/>
            <w:rFonts w:ascii="Arial" w:hAnsi="Arial" w:cs="Arial"/>
            <w:sz w:val="20"/>
            <w:shd w:val="clear" w:color="auto" w:fill="FFFFFF"/>
          </w:rPr>
          <w:t>https://doi.org/10.1038/s41598-023-43270-z</w:t>
        </w:r>
      </w:hyperlink>
    </w:p>
    <w:p w14:paraId="26CE51CE" w14:textId="77777777" w:rsidR="00400899" w:rsidRPr="00307A66" w:rsidRDefault="00400899" w:rsidP="008E70E1">
      <w:pPr>
        <w:pStyle w:val="ListParagraph"/>
        <w:widowControl/>
        <w:numPr>
          <w:ilvl w:val="0"/>
          <w:numId w:val="2"/>
        </w:numPr>
        <w:rPr>
          <w:rFonts w:ascii="Arial" w:hAnsi="Arial" w:cs="Arial"/>
          <w:sz w:val="20"/>
        </w:rPr>
      </w:pPr>
      <w:r w:rsidRPr="00307A66">
        <w:rPr>
          <w:rFonts w:ascii="Arial" w:hAnsi="Arial" w:cs="Arial"/>
          <w:sz w:val="20"/>
        </w:rPr>
        <w:t xml:space="preserve">Vala, N. H., &amp; Dubal, G. J. (2019). A study to find out association between blood group and lipid profile. </w:t>
      </w:r>
      <w:r w:rsidRPr="00307A66">
        <w:rPr>
          <w:rFonts w:ascii="Arial" w:hAnsi="Arial" w:cs="Arial"/>
          <w:i/>
          <w:iCs/>
          <w:sz w:val="20"/>
        </w:rPr>
        <w:t>National Journal of Physiology, Pharmacy and Pharmacology, 9</w:t>
      </w:r>
      <w:r w:rsidRPr="00307A66">
        <w:rPr>
          <w:rFonts w:ascii="Arial" w:hAnsi="Arial" w:cs="Arial"/>
          <w:sz w:val="20"/>
        </w:rPr>
        <w:t>(1), 67-70. https://doi.org/10.5455/njppp.2019.9.1134019112018</w:t>
      </w:r>
    </w:p>
    <w:p w14:paraId="54251903" w14:textId="78009E43" w:rsidR="00400899" w:rsidRPr="00307A66" w:rsidRDefault="00400899" w:rsidP="008E70E1">
      <w:pPr>
        <w:pStyle w:val="ListParagraph"/>
        <w:numPr>
          <w:ilvl w:val="0"/>
          <w:numId w:val="2"/>
        </w:numPr>
        <w:rPr>
          <w:rStyle w:val="Hyperlink"/>
          <w:rFonts w:ascii="Arial" w:hAnsi="Arial" w:cs="Arial"/>
          <w:sz w:val="20"/>
          <w:shd w:val="clear" w:color="auto" w:fill="FFFFFF"/>
        </w:rPr>
      </w:pPr>
      <w:r w:rsidRPr="00307A66">
        <w:rPr>
          <w:rFonts w:ascii="Arial" w:hAnsi="Arial" w:cs="Arial"/>
          <w:color w:val="222222"/>
          <w:sz w:val="20"/>
          <w:shd w:val="clear" w:color="auto" w:fill="FFFFFF"/>
        </w:rPr>
        <w:t>Zhao, J. V., &amp; Schooling, C. M. (2018). Coagulation factors and the risk of ischemic heart disease: a Mendelian randomization study. </w:t>
      </w:r>
      <w:r w:rsidRPr="00307A66">
        <w:rPr>
          <w:rFonts w:ascii="Arial" w:hAnsi="Arial" w:cs="Arial"/>
          <w:i/>
          <w:iCs/>
          <w:color w:val="222222"/>
          <w:sz w:val="20"/>
          <w:shd w:val="clear" w:color="auto" w:fill="FFFFFF"/>
        </w:rPr>
        <w:t xml:space="preserve">Circulation: Genomic and Precision </w:t>
      </w:r>
      <w:r w:rsidRPr="00307A66">
        <w:rPr>
          <w:rFonts w:ascii="Arial" w:hAnsi="Arial" w:cs="Arial"/>
          <w:i/>
          <w:iCs/>
          <w:color w:val="222222"/>
          <w:sz w:val="20"/>
          <w:shd w:val="clear" w:color="auto" w:fill="FFFFFF"/>
        </w:rPr>
        <w:lastRenderedPageBreak/>
        <w:t>Medicine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11</w:t>
      </w:r>
      <w:r w:rsidRPr="00307A66">
        <w:rPr>
          <w:rFonts w:ascii="Arial" w:hAnsi="Arial" w:cs="Arial"/>
          <w:color w:val="222222"/>
          <w:sz w:val="20"/>
          <w:shd w:val="clear" w:color="auto" w:fill="FFFFFF"/>
        </w:rPr>
        <w:t>(1), e001956.</w:t>
      </w:r>
      <w:r w:rsidRPr="00307A66">
        <w:rPr>
          <w:rFonts w:ascii="Arial" w:hAnsi="Arial" w:cs="Arial"/>
          <w:sz w:val="20"/>
        </w:rPr>
        <w:t xml:space="preserve"> </w:t>
      </w:r>
      <w:hyperlink r:id="rId21" w:history="1">
        <w:r w:rsidRPr="00307A66">
          <w:rPr>
            <w:rStyle w:val="Hyperlink"/>
            <w:rFonts w:ascii="Arial" w:hAnsi="Arial" w:cs="Arial"/>
            <w:sz w:val="20"/>
            <w:shd w:val="clear" w:color="auto" w:fill="FFFFFF"/>
          </w:rPr>
          <w:t>https://www.ahajournals.org/doi/abs/10.1161/circgen.117.001956</w:t>
        </w:r>
      </w:hyperlink>
    </w:p>
    <w:bookmarkEnd w:id="0"/>
    <w:p w14:paraId="33D8ED5F" w14:textId="77777777" w:rsidR="002019C7" w:rsidRPr="00307A66" w:rsidRDefault="002019C7" w:rsidP="008E70E1">
      <w:pPr>
        <w:rPr>
          <w:rFonts w:ascii="Arial" w:hAnsi="Arial" w:cs="Arial"/>
          <w:lang w:eastAsia="en-US"/>
        </w:rPr>
      </w:pPr>
    </w:p>
    <w:sectPr w:rsidR="002019C7" w:rsidRPr="00307A66">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BE082" w14:textId="77777777" w:rsidR="004F631F" w:rsidRDefault="004F631F">
      <w:r>
        <w:separator/>
      </w:r>
    </w:p>
  </w:endnote>
  <w:endnote w:type="continuationSeparator" w:id="0">
    <w:p w14:paraId="3557CF04" w14:textId="77777777" w:rsidR="004F631F" w:rsidRDefault="004F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CDF1" w14:textId="77777777" w:rsidR="00581421" w:rsidRDefault="00581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9220" w14:textId="77777777" w:rsidR="0090226E" w:rsidRDefault="0090226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2F9E" w14:textId="77777777" w:rsidR="00581421" w:rsidRDefault="00581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CB22" w14:textId="77777777" w:rsidR="004F631F" w:rsidRDefault="004F631F">
      <w:r>
        <w:separator/>
      </w:r>
    </w:p>
  </w:footnote>
  <w:footnote w:type="continuationSeparator" w:id="0">
    <w:p w14:paraId="21FE736D" w14:textId="77777777" w:rsidR="004F631F" w:rsidRDefault="004F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E937" w14:textId="7DD9B26D" w:rsidR="00581421" w:rsidRDefault="00581421">
    <w:pPr>
      <w:pStyle w:val="Header"/>
    </w:pPr>
    <w:r>
      <w:rPr>
        <w:noProof/>
      </w:rPr>
      <w:pict w14:anchorId="40AE6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70"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729B" w14:textId="60BE994A" w:rsidR="0090226E" w:rsidRDefault="00581421">
    <w:pPr>
      <w:jc w:val="center"/>
    </w:pPr>
    <w:r>
      <w:rPr>
        <w:noProof/>
      </w:rPr>
      <w:pict w14:anchorId="11EA3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71"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6845" w14:textId="448A5AEC" w:rsidR="00581421" w:rsidRDefault="00581421">
    <w:pPr>
      <w:pStyle w:val="Header"/>
    </w:pPr>
    <w:r>
      <w:rPr>
        <w:noProof/>
      </w:rPr>
      <w:pict w14:anchorId="029FB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69"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D0466"/>
    <w:multiLevelType w:val="hybridMultilevel"/>
    <w:tmpl w:val="F916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3120D"/>
    <w:multiLevelType w:val="multilevel"/>
    <w:tmpl w:val="6A3E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1E1"/>
    <w:rsid w:val="00032FF4"/>
    <w:rsid w:val="0003391C"/>
    <w:rsid w:val="0003532D"/>
    <w:rsid w:val="00094AC9"/>
    <w:rsid w:val="00096792"/>
    <w:rsid w:val="000B4CCC"/>
    <w:rsid w:val="001416DD"/>
    <w:rsid w:val="001D4D5F"/>
    <w:rsid w:val="002019C7"/>
    <w:rsid w:val="0022498F"/>
    <w:rsid w:val="00231F3D"/>
    <w:rsid w:val="00244F14"/>
    <w:rsid w:val="0027639C"/>
    <w:rsid w:val="002941E1"/>
    <w:rsid w:val="002B1A3B"/>
    <w:rsid w:val="002C338E"/>
    <w:rsid w:val="00307A66"/>
    <w:rsid w:val="00323AB5"/>
    <w:rsid w:val="003360C6"/>
    <w:rsid w:val="00365BF2"/>
    <w:rsid w:val="003A7246"/>
    <w:rsid w:val="00400899"/>
    <w:rsid w:val="004369A6"/>
    <w:rsid w:val="004B322E"/>
    <w:rsid w:val="004D37A4"/>
    <w:rsid w:val="004F631F"/>
    <w:rsid w:val="00524AF5"/>
    <w:rsid w:val="00546D92"/>
    <w:rsid w:val="00560C2E"/>
    <w:rsid w:val="00581421"/>
    <w:rsid w:val="005946BF"/>
    <w:rsid w:val="005950FC"/>
    <w:rsid w:val="005B582A"/>
    <w:rsid w:val="005C1475"/>
    <w:rsid w:val="005C78C2"/>
    <w:rsid w:val="005D7132"/>
    <w:rsid w:val="00610F3D"/>
    <w:rsid w:val="006F1676"/>
    <w:rsid w:val="00713410"/>
    <w:rsid w:val="0073356B"/>
    <w:rsid w:val="00734455"/>
    <w:rsid w:val="00744FD6"/>
    <w:rsid w:val="00752A49"/>
    <w:rsid w:val="00781E30"/>
    <w:rsid w:val="00785A95"/>
    <w:rsid w:val="007B7250"/>
    <w:rsid w:val="00851269"/>
    <w:rsid w:val="00851813"/>
    <w:rsid w:val="0087539C"/>
    <w:rsid w:val="008844EC"/>
    <w:rsid w:val="008C3759"/>
    <w:rsid w:val="008E1276"/>
    <w:rsid w:val="008E70E1"/>
    <w:rsid w:val="0090226E"/>
    <w:rsid w:val="0093545F"/>
    <w:rsid w:val="009F4DAB"/>
    <w:rsid w:val="00A06BE6"/>
    <w:rsid w:val="00A201DF"/>
    <w:rsid w:val="00A928F3"/>
    <w:rsid w:val="00AB0AFB"/>
    <w:rsid w:val="00AB1640"/>
    <w:rsid w:val="00AE0821"/>
    <w:rsid w:val="00AF2841"/>
    <w:rsid w:val="00B3376E"/>
    <w:rsid w:val="00B51F09"/>
    <w:rsid w:val="00B8389F"/>
    <w:rsid w:val="00C338D2"/>
    <w:rsid w:val="00C43F00"/>
    <w:rsid w:val="00C661CE"/>
    <w:rsid w:val="00C94A21"/>
    <w:rsid w:val="00CB0AD0"/>
    <w:rsid w:val="00D01F7A"/>
    <w:rsid w:val="00D1709D"/>
    <w:rsid w:val="00D73317"/>
    <w:rsid w:val="00DA5D4B"/>
    <w:rsid w:val="00DA79A9"/>
    <w:rsid w:val="00DD3D81"/>
    <w:rsid w:val="00E42C9B"/>
    <w:rsid w:val="00EB1340"/>
    <w:rsid w:val="00F313BE"/>
    <w:rsid w:val="00F96768"/>
    <w:rsid w:val="00FC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C58238"/>
  <w15:docId w15:val="{10D0E7EA-5021-43B3-86D0-8AF8C3F4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link w:val="Heading1Char"/>
    <w:uiPriority w:val="9"/>
    <w:qFormat/>
    <w:pPr>
      <w:keepNext/>
      <w:spacing w:before="240"/>
      <w:jc w:val="center"/>
      <w:outlineLvl w:val="0"/>
    </w:pPr>
    <w:rPr>
      <w:b/>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color w:val="1F3763"/>
      <w:sz w:val="24"/>
      <w:szCs w:val="24"/>
    </w:rPr>
  </w:style>
  <w:style w:type="paragraph" w:styleId="Heading4">
    <w:name w:val="heading 4"/>
    <w:basedOn w:val="Normal"/>
    <w:next w:val="Normal"/>
    <w:link w:val="Heading4Char"/>
    <w:uiPriority w:val="9"/>
    <w:semiHidden/>
    <w:unhideWhenUsed/>
    <w:qFormat/>
    <w:rsid w:val="005D71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SimSun"/>
      <w:b/>
      <w:kern w:val="2"/>
      <w:sz w:val="28"/>
      <w:szCs w:val="28"/>
      <w:lang w:eastAsia="zh-CN"/>
    </w:rPr>
  </w:style>
  <w:style w:type="paragraph" w:styleId="BodyText">
    <w:name w:val="Body Text"/>
    <w:basedOn w:val="Normal"/>
    <w:next w:val="Normal"/>
    <w:link w:val="BodyTextChar"/>
    <w:rPr>
      <w:rFonts w:ascii="Georgia" w:eastAsia="Georgia" w:hAnsi="Georgia" w:cs="Georgia"/>
      <w:sz w:val="18"/>
      <w:szCs w:val="18"/>
      <w:lang w:eastAsia="en-US"/>
    </w:rPr>
  </w:style>
  <w:style w:type="character" w:customStyle="1" w:styleId="BodyTextChar">
    <w:name w:val="Body Text Char"/>
    <w:basedOn w:val="DefaultParagraphFont"/>
    <w:link w:val="BodyText"/>
    <w:rPr>
      <w:rFonts w:ascii="Georgia" w:eastAsia="Georgia" w:hAnsi="Georgia" w:cs="Georgia"/>
      <w:kern w:val="2"/>
      <w:sz w:val="18"/>
      <w:szCs w:val="18"/>
    </w:rPr>
  </w:style>
  <w:style w:type="paragraph" w:customStyle="1" w:styleId="Heading13">
    <w:name w:val="Heading 13"/>
    <w:basedOn w:val="Normal"/>
    <w:next w:val="Normal"/>
    <w:pPr>
      <w:spacing w:before="79"/>
      <w:outlineLvl w:val="1"/>
    </w:pPr>
    <w:rPr>
      <w:rFonts w:ascii="Verdana" w:eastAsia="Verdana" w:hAnsi="Verdana" w:cs="Verdana"/>
      <w:b/>
      <w:sz w:val="24"/>
      <w:szCs w:val="24"/>
      <w:lang w:eastAsia="en-US"/>
    </w:rPr>
  </w:style>
  <w:style w:type="paragraph" w:customStyle="1" w:styleId="TableParagraph">
    <w:name w:val="Table Paragraph"/>
    <w:basedOn w:val="Normal"/>
    <w:next w:val="Normal"/>
    <w:pPr>
      <w:spacing w:line="200" w:lineRule="exact"/>
      <w:jc w:val="center"/>
    </w:pPr>
    <w:rPr>
      <w:rFonts w:ascii="Georgia" w:eastAsia="Georgia" w:hAnsi="Georgia" w:cs="Georgia"/>
      <w:lang w:eastAsia="en-US"/>
    </w:rPr>
  </w:style>
  <w:style w:type="paragraph" w:customStyle="1" w:styleId="Heading21">
    <w:name w:val="Heading 21"/>
    <w:basedOn w:val="Normal"/>
    <w:next w:val="Normal"/>
    <w:pPr>
      <w:outlineLvl w:val="2"/>
    </w:pPr>
    <w:rPr>
      <w:rFonts w:ascii="Georgia" w:eastAsia="Georgia" w:hAnsi="Georgia" w:cs="Georgia"/>
      <w:b/>
      <w:sz w:val="18"/>
      <w:szCs w:val="18"/>
      <w:lang w:eastAsia="en-US"/>
    </w:rPr>
  </w:style>
  <w:style w:type="paragraph" w:styleId="Title">
    <w:name w:val="Title"/>
    <w:basedOn w:val="Normal"/>
    <w:next w:val="Normal"/>
    <w:link w:val="TitleChar"/>
    <w:uiPriority w:val="10"/>
    <w:qFormat/>
    <w:pPr>
      <w:spacing w:line="317" w:lineRule="exact"/>
    </w:pPr>
    <w:rPr>
      <w:rFonts w:eastAsia="Times New Roman"/>
      <w:b/>
      <w:sz w:val="28"/>
      <w:szCs w:val="28"/>
      <w:lang w:eastAsia="en-US"/>
    </w:rPr>
  </w:style>
  <w:style w:type="character" w:customStyle="1" w:styleId="TitleChar">
    <w:name w:val="Title Char"/>
    <w:basedOn w:val="DefaultParagraphFont"/>
    <w:link w:val="Title"/>
    <w:rPr>
      <w:rFonts w:eastAsia="Times New Roman"/>
      <w:b/>
      <w:kern w:val="2"/>
      <w:sz w:val="28"/>
      <w:szCs w:val="28"/>
    </w:rPr>
  </w:style>
  <w:style w:type="paragraph" w:styleId="ListParagraph">
    <w:name w:val="List Paragraph"/>
    <w:basedOn w:val="Normal"/>
    <w:next w:val="Normal"/>
    <w:qFormat/>
    <w:rPr>
      <w:rFonts w:ascii="Georgia" w:eastAsia="Georgia" w:hAnsi="Georgia" w:cs="Georgia"/>
      <w:lang w:eastAsia="en-US"/>
    </w:rPr>
  </w:style>
  <w:style w:type="character" w:customStyle="1" w:styleId="Heading12">
    <w:name w:val="Heading 12"/>
    <w:basedOn w:val="DefaultParagraphFont"/>
    <w:rPr>
      <w:rFonts w:ascii="Times New Roman" w:eastAsia="SimSun" w:hAnsi="Times New Roman" w:cs="Times New Roman"/>
      <w:b/>
      <w:sz w:val="28"/>
      <w:szCs w:val="28"/>
      <w:lang w:eastAsia="zh-CN"/>
    </w:rPr>
  </w:style>
  <w:style w:type="paragraph" w:styleId="NoSpacing">
    <w:name w:val="No Spacing"/>
    <w:next w:val="Normal"/>
    <w:qFormat/>
    <w:rPr>
      <w:sz w:val="21"/>
    </w:rPr>
  </w:style>
  <w:style w:type="character" w:customStyle="1" w:styleId="Heading11">
    <w:name w:val="Heading 11"/>
    <w:basedOn w:val="DefaultParagraphFont"/>
    <w:rPr>
      <w:rFonts w:ascii="Times New Roman" w:eastAsia="SimSun" w:hAnsi="Times New Roman" w:cs="Times New Roman"/>
      <w:b/>
      <w:sz w:val="28"/>
      <w:szCs w:val="28"/>
      <w:lang w:eastAsia="zh-CN"/>
    </w:rPr>
  </w:style>
  <w:style w:type="character" w:customStyle="1" w:styleId="Heading2Char">
    <w:name w:val="Heading 2 Char"/>
    <w:basedOn w:val="DefaultParagraphFont"/>
    <w:link w:val="Heading2"/>
    <w:rPr>
      <w:color w:val="2F5496"/>
      <w:kern w:val="2"/>
      <w:sz w:val="26"/>
      <w:szCs w:val="26"/>
      <w:lang w:eastAsia="zh-CN"/>
    </w:rPr>
  </w:style>
  <w:style w:type="character" w:customStyle="1" w:styleId="Heading3Char">
    <w:name w:val="Heading 3 Char"/>
    <w:basedOn w:val="DefaultParagraphFont"/>
    <w:link w:val="Heading3"/>
    <w:rPr>
      <w:color w:val="1F3763"/>
      <w:kern w:val="2"/>
      <w:sz w:val="24"/>
      <w:szCs w:val="24"/>
      <w:lang w:eastAsia="zh-CN"/>
    </w:rPr>
  </w:style>
  <w:style w:type="character" w:customStyle="1" w:styleId="FooterChar">
    <w:name w:val="Footer Char"/>
    <w:basedOn w:val="DefaultParagraphFont"/>
    <w:link w:val="Footer"/>
    <w:rPr>
      <w:kern w:val="2"/>
      <w:sz w:val="21"/>
      <w:lang w:eastAsia="zh-CN"/>
    </w:rPr>
  </w:style>
  <w:style w:type="paragraph" w:styleId="Footer">
    <w:name w:val="footer"/>
    <w:basedOn w:val="Normal"/>
    <w:next w:val="Normal"/>
    <w:link w:val="FooterChar"/>
    <w:pPr>
      <w:tabs>
        <w:tab w:val="center" w:pos="4680"/>
        <w:tab w:val="right" w:pos="9360"/>
      </w:tabs>
    </w:pPr>
  </w:style>
  <w:style w:type="character" w:customStyle="1" w:styleId="Heading31">
    <w:name w:val="Heading 31"/>
    <w:rPr>
      <w:rFonts w:ascii="Times New Roman" w:eastAsia="SimSun" w:hAnsi="Times New Roman" w:cs="Times New Roman"/>
      <w:b/>
      <w:sz w:val="28"/>
      <w:szCs w:val="28"/>
      <w:lang w:eastAsia="zh-CN"/>
    </w:rPr>
  </w:style>
  <w:style w:type="character" w:customStyle="1" w:styleId="BalloonTextChar">
    <w:name w:val="Balloon Text Char"/>
    <w:basedOn w:val="DefaultParagraphFont"/>
    <w:link w:val="BalloonText"/>
    <w:rPr>
      <w:rFonts w:ascii="Tahoma" w:hAnsi="Tahoma" w:cs="Tahoma"/>
      <w:kern w:val="2"/>
      <w:sz w:val="16"/>
      <w:szCs w:val="16"/>
      <w:lang w:eastAsia="zh-CN"/>
    </w:rPr>
  </w:style>
  <w:style w:type="paragraph" w:styleId="BalloonText">
    <w:name w:val="Balloon Text"/>
    <w:basedOn w:val="Normal"/>
    <w:next w:val="Normal"/>
    <w:link w:val="BalloonTextChar"/>
    <w:rPr>
      <w:rFonts w:ascii="Tahoma" w:hAnsi="Tahoma" w:cs="Tahoma"/>
      <w:sz w:val="16"/>
      <w:szCs w:val="16"/>
    </w:rPr>
  </w:style>
  <w:style w:type="character" w:customStyle="1" w:styleId="HeaderChar">
    <w:name w:val="Header Char"/>
    <w:basedOn w:val="DefaultParagraphFont"/>
    <w:link w:val="Header"/>
    <w:rPr>
      <w:kern w:val="2"/>
      <w:sz w:val="21"/>
      <w:lang w:eastAsia="zh-CN"/>
    </w:rPr>
  </w:style>
  <w:style w:type="paragraph" w:styleId="Header">
    <w:name w:val="header"/>
    <w:basedOn w:val="Normal"/>
    <w:next w:val="Normal"/>
    <w:link w:val="HeaderChar"/>
    <w:pPr>
      <w:tabs>
        <w:tab w:val="center" w:pos="4680"/>
        <w:tab w:val="right" w:pos="9360"/>
      </w:tabs>
    </w:pPr>
  </w:style>
  <w:style w:type="table" w:styleId="TableGrid">
    <w:name w:val="Table Grid"/>
    <w:basedOn w:val="TableNormal"/>
    <w:uiPriority w:val="39"/>
    <w:rsid w:val="00A9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39C"/>
    <w:rPr>
      <w:color w:val="0000FF" w:themeColor="hyperlink"/>
      <w:u w:val="single"/>
    </w:rPr>
  </w:style>
  <w:style w:type="character" w:styleId="UnresolvedMention">
    <w:name w:val="Unresolved Mention"/>
    <w:basedOn w:val="DefaultParagraphFont"/>
    <w:uiPriority w:val="99"/>
    <w:semiHidden/>
    <w:unhideWhenUsed/>
    <w:rsid w:val="0087539C"/>
    <w:rPr>
      <w:color w:val="605E5C"/>
      <w:shd w:val="clear" w:color="auto" w:fill="E1DFDD"/>
    </w:rPr>
  </w:style>
  <w:style w:type="character" w:customStyle="1" w:styleId="Heading4Char">
    <w:name w:val="Heading 4 Char"/>
    <w:basedOn w:val="DefaultParagraphFont"/>
    <w:link w:val="Heading4"/>
    <w:uiPriority w:val="9"/>
    <w:semiHidden/>
    <w:rsid w:val="005D7132"/>
    <w:rPr>
      <w:rFonts w:asciiTheme="majorHAnsi" w:eastAsiaTheme="majorEastAsia" w:hAnsiTheme="majorHAnsi" w:cstheme="majorBidi"/>
      <w:i/>
      <w:iCs/>
      <w:color w:val="365F91" w:themeColor="accent1" w:themeShade="BF"/>
      <w:kern w:val="2"/>
      <w:sz w:val="21"/>
      <w:lang w:eastAsia="zh-CN"/>
    </w:rPr>
  </w:style>
  <w:style w:type="paragraph" w:customStyle="1" w:styleId="Body">
    <w:name w:val="Body"/>
    <w:basedOn w:val="Normal"/>
    <w:rsid w:val="008E70E1"/>
    <w:pPr>
      <w:widowControl/>
      <w:spacing w:after="240"/>
    </w:pPr>
    <w:rPr>
      <w:rFonts w:ascii="Helvetica" w:eastAsia="Times New Roman" w:hAnsi="Helvetica"/>
      <w:kern w:val="0"/>
      <w:sz w:val="20"/>
      <w:lang w:eastAsia="en-US"/>
    </w:rPr>
  </w:style>
  <w:style w:type="paragraph" w:customStyle="1" w:styleId="AcknHead">
    <w:name w:val="Ackn Head"/>
    <w:basedOn w:val="Normal"/>
    <w:rsid w:val="008E70E1"/>
    <w:pPr>
      <w:keepNext/>
      <w:widowControl/>
      <w:spacing w:after="240"/>
      <w:jc w:val="left"/>
    </w:pPr>
    <w:rPr>
      <w:rFonts w:ascii="Helvetica" w:eastAsia="Times New Roman" w:hAnsi="Helvetica"/>
      <w:b/>
      <w:caps/>
      <w:kern w:val="0"/>
      <w:sz w:val="22"/>
      <w:lang w:eastAsia="en-US"/>
    </w:rPr>
  </w:style>
  <w:style w:type="paragraph" w:customStyle="1" w:styleId="ReferHead">
    <w:name w:val="Refer Head"/>
    <w:basedOn w:val="Normal"/>
    <w:rsid w:val="008E70E1"/>
    <w:pPr>
      <w:keepNext/>
      <w:widowControl/>
      <w:spacing w:after="240"/>
      <w:jc w:val="left"/>
    </w:pPr>
    <w:rPr>
      <w:rFonts w:ascii="Helvetica" w:eastAsia="Times New Roman" w:hAnsi="Helvetica"/>
      <w:b/>
      <w:caps/>
      <w:kern w:val="0"/>
      <w:sz w:val="22"/>
      <w:lang w:eastAsia="en-US"/>
    </w:rPr>
  </w:style>
  <w:style w:type="paragraph" w:styleId="FootnoteText">
    <w:name w:val="footnote text"/>
    <w:basedOn w:val="Normal"/>
    <w:link w:val="FootnoteTextChar"/>
    <w:uiPriority w:val="99"/>
    <w:semiHidden/>
    <w:unhideWhenUsed/>
    <w:rsid w:val="00AF2841"/>
    <w:rPr>
      <w:sz w:val="20"/>
    </w:rPr>
  </w:style>
  <w:style w:type="character" w:customStyle="1" w:styleId="FootnoteTextChar">
    <w:name w:val="Footnote Text Char"/>
    <w:basedOn w:val="DefaultParagraphFont"/>
    <w:link w:val="FootnoteText"/>
    <w:uiPriority w:val="99"/>
    <w:semiHidden/>
    <w:rsid w:val="00AF2841"/>
    <w:rPr>
      <w:kern w:val="2"/>
      <w:lang w:eastAsia="zh-CN"/>
    </w:rPr>
  </w:style>
  <w:style w:type="character" w:styleId="FootnoteReference">
    <w:name w:val="footnote reference"/>
    <w:basedOn w:val="DefaultParagraphFont"/>
    <w:uiPriority w:val="99"/>
    <w:semiHidden/>
    <w:unhideWhenUsed/>
    <w:rsid w:val="00AF28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939197">
      <w:bodyDiv w:val="1"/>
      <w:marLeft w:val="0"/>
      <w:marRight w:val="0"/>
      <w:marTop w:val="0"/>
      <w:marBottom w:val="0"/>
      <w:divBdr>
        <w:top w:val="none" w:sz="0" w:space="0" w:color="auto"/>
        <w:left w:val="none" w:sz="0" w:space="0" w:color="auto"/>
        <w:bottom w:val="none" w:sz="0" w:space="0" w:color="auto"/>
        <w:right w:val="none" w:sz="0" w:space="0" w:color="auto"/>
      </w:divBdr>
    </w:div>
    <w:div w:id="1922332278">
      <w:bodyDiv w:val="1"/>
      <w:marLeft w:val="0"/>
      <w:marRight w:val="0"/>
      <w:marTop w:val="0"/>
      <w:marBottom w:val="0"/>
      <w:divBdr>
        <w:top w:val="none" w:sz="0" w:space="0" w:color="auto"/>
        <w:left w:val="none" w:sz="0" w:space="0" w:color="auto"/>
        <w:bottom w:val="none" w:sz="0" w:space="0" w:color="auto"/>
        <w:right w:val="none" w:sz="0" w:space="0" w:color="auto"/>
      </w:divBdr>
      <w:divsChild>
        <w:div w:id="10794435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1/6629060" TargetMode="External"/><Relationship Id="rId13" Type="http://schemas.openxmlformats.org/officeDocument/2006/relationships/hyperlink" Target="https://doi.org/10.1016/j.bjhh.2016.07.005" TargetMode="External"/><Relationship Id="rId18" Type="http://schemas.openxmlformats.org/officeDocument/2006/relationships/hyperlink" Target="https://doi.org/10.1007/s00018-018-2765-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ahajournals.org/doi/abs/10.1161/circgen.117.001956" TargetMode="External"/><Relationship Id="rId7" Type="http://schemas.openxmlformats.org/officeDocument/2006/relationships/endnotes" Target="endnotes.xml"/><Relationship Id="rId12" Type="http://schemas.openxmlformats.org/officeDocument/2006/relationships/hyperlink" Target="https://doi.org/10.1111/trf.13087" TargetMode="External"/><Relationship Id="rId17" Type="http://schemas.openxmlformats.org/officeDocument/2006/relationships/hyperlink" Target="https://www.cureus.com/articles/289789-karl-landsteiner-1868-1943-a-versatile-blood-scientist.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earch.proquest.com/openview/1b33b7541b1257a84c2b3f03399a9e27/1?pq-origsite=gscholar&amp;cbl=2026366&amp;diss=y" TargetMode="External"/><Relationship Id="rId20" Type="http://schemas.openxmlformats.org/officeDocument/2006/relationships/hyperlink" Target="https://doi.org/10.1038/s41598-023-43270-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eurheartj/ehz96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97/CRD.000000000000046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agriculture13081553" TargetMode="External"/><Relationship Id="rId19" Type="http://schemas.openxmlformats.org/officeDocument/2006/relationships/hyperlink" Target="https://ualberta.scholaris.ca/bitstreams/a11ce9e1-304f-49ae-a9af-1529d6e872ef/download" TargetMode="External"/><Relationship Id="rId4" Type="http://schemas.openxmlformats.org/officeDocument/2006/relationships/settings" Target="settings.xml"/><Relationship Id="rId9" Type="http://schemas.openxmlformats.org/officeDocument/2006/relationships/hyperlink" Target="https://onlinelibrary.wiley.com/doi/abs/10.1155/2021/6629060" TargetMode="External"/><Relationship Id="rId14" Type="http://schemas.openxmlformats.org/officeDocument/2006/relationships/hyperlink" Target="https://doi.org/10.1038/s41569-024-01039-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7E9B4-FA76-4A30-96C5-57165B27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9</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47</cp:revision>
  <dcterms:created xsi:type="dcterms:W3CDTF">1980-01-04T13:29:00Z</dcterms:created>
  <dcterms:modified xsi:type="dcterms:W3CDTF">2026-03-13T14:02:00Z</dcterms:modified>
</cp:coreProperties>
</file>