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7E32" w14:textId="24450644" w:rsidR="00CB7538" w:rsidRPr="008D4CAE" w:rsidRDefault="00CB7538" w:rsidP="00CB7538">
      <w:pPr>
        <w:pStyle w:val="Heading1"/>
        <w:ind w:left="709" w:right="777"/>
        <w:contextualSpacing/>
        <w:rPr>
          <w:rFonts w:cs="Times New Roman"/>
          <w:sz w:val="34"/>
          <w:szCs w:val="34"/>
        </w:rPr>
      </w:pPr>
      <w:r w:rsidRPr="008D4CAE">
        <w:rPr>
          <w:rFonts w:cs="Times New Roman"/>
          <w:sz w:val="34"/>
          <w:szCs w:val="34"/>
        </w:rPr>
        <w:t xml:space="preserve">Accelerating SDGs </w:t>
      </w:r>
      <w:r w:rsidR="006B6915" w:rsidRPr="008D4CAE">
        <w:rPr>
          <w:rFonts w:cs="Times New Roman"/>
          <w:sz w:val="34"/>
          <w:szCs w:val="34"/>
        </w:rPr>
        <w:t xml:space="preserve">4 </w:t>
      </w:r>
      <w:r w:rsidRPr="008D4CAE">
        <w:rPr>
          <w:rFonts w:cs="Times New Roman"/>
          <w:sz w:val="34"/>
          <w:szCs w:val="34"/>
        </w:rPr>
        <w:t>through Enhancing Literacy and Reading Interest in the Village</w:t>
      </w:r>
    </w:p>
    <w:p w14:paraId="77002775" w14:textId="2DE929FE" w:rsidR="00576E6A" w:rsidRPr="008D4CAE" w:rsidRDefault="00576E6A" w:rsidP="00F61E4A">
      <w:pPr>
        <w:pStyle w:val="Heading1"/>
        <w:ind w:left="709" w:right="777"/>
        <w:contextualSpacing/>
      </w:pPr>
    </w:p>
    <w:p w14:paraId="5BF6B73A" w14:textId="77777777" w:rsidR="00FF5DDB" w:rsidRPr="008D4CAE" w:rsidRDefault="00FF5DDB">
      <w:pPr>
        <w:pStyle w:val="BodyText"/>
        <w:spacing w:before="11"/>
        <w:ind w:left="0"/>
        <w:jc w:val="left"/>
        <w:rPr>
          <w:rFonts w:ascii="Palatino Linotype"/>
          <w:b/>
          <w:sz w:val="19"/>
        </w:rPr>
      </w:pPr>
    </w:p>
    <w:p w14:paraId="5B927211" w14:textId="77777777" w:rsidR="00212CB2" w:rsidRPr="008D4CAE" w:rsidRDefault="00212CB2" w:rsidP="00212CB2">
      <w:pPr>
        <w:pStyle w:val="BodyText"/>
        <w:spacing w:before="11"/>
        <w:ind w:left="709"/>
        <w:jc w:val="left"/>
        <w:rPr>
          <w:rFonts w:ascii="Palatino Linotype"/>
          <w:sz w:val="16"/>
          <w:szCs w:val="16"/>
        </w:rPr>
      </w:pPr>
      <w:bookmarkStart w:id="0" w:name="_GoBack"/>
      <w:bookmarkEnd w:id="0"/>
    </w:p>
    <w:p w14:paraId="4E33757E" w14:textId="77777777" w:rsidR="00576E6A" w:rsidRPr="008D4CAE" w:rsidRDefault="00576E6A" w:rsidP="00576E6A">
      <w:pPr>
        <w:pStyle w:val="BodyText"/>
        <w:spacing w:before="11"/>
        <w:ind w:left="709"/>
        <w:jc w:val="left"/>
        <w:rPr>
          <w:sz w:val="16"/>
          <w:szCs w:val="16"/>
        </w:rPr>
      </w:pPr>
    </w:p>
    <w:tbl>
      <w:tblPr>
        <w:tblW w:w="0" w:type="auto"/>
        <w:tblInd w:w="469" w:type="dxa"/>
        <w:tblLayout w:type="fixed"/>
        <w:tblCellMar>
          <w:left w:w="0" w:type="dxa"/>
          <w:right w:w="0" w:type="dxa"/>
        </w:tblCellMar>
        <w:tblLook w:val="01E0" w:firstRow="1" w:lastRow="1" w:firstColumn="1" w:lastColumn="1" w:noHBand="0" w:noVBand="0"/>
      </w:tblPr>
      <w:tblGrid>
        <w:gridCol w:w="2792"/>
        <w:gridCol w:w="5824"/>
      </w:tblGrid>
      <w:tr w:rsidR="00FF5DDB" w:rsidRPr="008D4CAE" w14:paraId="63928E57" w14:textId="77777777">
        <w:trPr>
          <w:trHeight w:val="293"/>
        </w:trPr>
        <w:tc>
          <w:tcPr>
            <w:tcW w:w="2792" w:type="dxa"/>
            <w:tcBorders>
              <w:top w:val="single" w:sz="4" w:space="0" w:color="000000"/>
              <w:bottom w:val="single" w:sz="4" w:space="0" w:color="000000"/>
            </w:tcBorders>
          </w:tcPr>
          <w:p w14:paraId="272F3233" w14:textId="103724C7" w:rsidR="00FF5DDB" w:rsidRPr="008D4CAE" w:rsidRDefault="00FF5DDB">
            <w:pPr>
              <w:pStyle w:val="TableParagraph"/>
              <w:spacing w:line="268" w:lineRule="exact"/>
              <w:rPr>
                <w:b/>
                <w:i/>
                <w:sz w:val="24"/>
              </w:rPr>
            </w:pPr>
          </w:p>
        </w:tc>
        <w:tc>
          <w:tcPr>
            <w:tcW w:w="5824" w:type="dxa"/>
            <w:tcBorders>
              <w:top w:val="single" w:sz="4" w:space="0" w:color="000000"/>
            </w:tcBorders>
          </w:tcPr>
          <w:p w14:paraId="58A596AF" w14:textId="77777777" w:rsidR="00FF5DDB" w:rsidRPr="008D4CAE" w:rsidRDefault="00AA2F57">
            <w:pPr>
              <w:pStyle w:val="TableParagraph"/>
              <w:tabs>
                <w:tab w:val="left" w:pos="5823"/>
              </w:tabs>
              <w:spacing w:line="273" w:lineRule="exact"/>
              <w:ind w:left="335"/>
              <w:rPr>
                <w:b/>
                <w:i/>
                <w:sz w:val="24"/>
              </w:rPr>
            </w:pPr>
            <w:r w:rsidRPr="008D4CAE">
              <w:rPr>
                <w:b/>
                <w:i/>
                <w:sz w:val="24"/>
                <w:u w:val="single"/>
              </w:rPr>
              <w:t xml:space="preserve"> </w:t>
            </w:r>
            <w:r w:rsidRPr="008D4CAE">
              <w:rPr>
                <w:b/>
                <w:i/>
                <w:spacing w:val="-12"/>
                <w:sz w:val="24"/>
                <w:u w:val="single"/>
              </w:rPr>
              <w:t xml:space="preserve"> </w:t>
            </w:r>
            <w:r w:rsidRPr="008D4CAE">
              <w:rPr>
                <w:b/>
                <w:i/>
                <w:sz w:val="24"/>
                <w:u w:val="single"/>
              </w:rPr>
              <w:t>Abstract</w:t>
            </w:r>
            <w:r w:rsidRPr="008D4CAE">
              <w:rPr>
                <w:b/>
                <w:i/>
                <w:sz w:val="24"/>
                <w:u w:val="single"/>
              </w:rPr>
              <w:tab/>
            </w:r>
          </w:p>
        </w:tc>
      </w:tr>
      <w:tr w:rsidR="00FF5DDB" w:rsidRPr="008D4CAE" w14:paraId="550A3372" w14:textId="77777777" w:rsidTr="002067E1">
        <w:trPr>
          <w:trHeight w:val="3390"/>
        </w:trPr>
        <w:tc>
          <w:tcPr>
            <w:tcW w:w="2792" w:type="dxa"/>
            <w:tcBorders>
              <w:top w:val="single" w:sz="4" w:space="0" w:color="000000"/>
              <w:bottom w:val="single" w:sz="4" w:space="0" w:color="000000"/>
            </w:tcBorders>
            <w:shd w:val="clear" w:color="auto" w:fill="D9D9D9"/>
          </w:tcPr>
          <w:p w14:paraId="297F4C10" w14:textId="2E8AAAC7" w:rsidR="00FF5DDB" w:rsidRPr="008D4CAE" w:rsidRDefault="00FF5DDB" w:rsidP="00ED57D8">
            <w:pPr>
              <w:pStyle w:val="TableParagraph"/>
              <w:spacing w:before="11" w:line="213" w:lineRule="auto"/>
              <w:ind w:right="198"/>
              <w:rPr>
                <w:i/>
                <w:sz w:val="16"/>
                <w:szCs w:val="16"/>
              </w:rPr>
            </w:pPr>
          </w:p>
        </w:tc>
        <w:tc>
          <w:tcPr>
            <w:tcW w:w="5824" w:type="dxa"/>
            <w:tcBorders>
              <w:bottom w:val="single" w:sz="4" w:space="0" w:color="000000"/>
            </w:tcBorders>
          </w:tcPr>
          <w:p w14:paraId="7B3CCF70" w14:textId="34A337CC" w:rsidR="00B9164A" w:rsidRPr="008D4CAE" w:rsidRDefault="00365E35" w:rsidP="00365E35">
            <w:pPr>
              <w:pStyle w:val="TableParagraph"/>
              <w:spacing w:line="213" w:lineRule="auto"/>
              <w:ind w:left="443" w:right="107"/>
              <w:jc w:val="both"/>
              <w:rPr>
                <w:rFonts w:asciiTheme="majorHAnsi" w:hAnsiTheme="majorHAnsi"/>
                <w:bCs/>
                <w:i/>
                <w:iCs/>
                <w:sz w:val="20"/>
                <w:szCs w:val="20"/>
                <w:lang w:val="en-ID"/>
              </w:rPr>
            </w:pPr>
            <w:r w:rsidRPr="008D4CAE">
              <w:rPr>
                <w:rFonts w:asciiTheme="majorHAnsi" w:hAnsiTheme="majorHAnsi"/>
                <w:bCs/>
                <w:i/>
                <w:iCs/>
                <w:sz w:val="20"/>
                <w:szCs w:val="20"/>
              </w:rPr>
              <w:t xml:space="preserve">One of the UN's Visions is Achieving Sustainable Development Goals (SDGs) which requires concerted efforts across all sectors, including education. This study </w:t>
            </w:r>
            <w:r w:rsidR="0047217C" w:rsidRPr="008D4CAE">
              <w:rPr>
                <w:rFonts w:asciiTheme="majorHAnsi" w:hAnsiTheme="majorHAnsi"/>
                <w:bCs/>
                <w:i/>
                <w:iCs/>
                <w:sz w:val="20"/>
                <w:szCs w:val="20"/>
              </w:rPr>
              <w:t xml:space="preserve">using the case study approach to </w:t>
            </w:r>
            <w:r w:rsidRPr="008D4CAE">
              <w:rPr>
                <w:rFonts w:asciiTheme="majorHAnsi" w:hAnsiTheme="majorHAnsi"/>
                <w:bCs/>
                <w:i/>
                <w:iCs/>
                <w:sz w:val="20"/>
                <w:szCs w:val="20"/>
              </w:rPr>
              <w:t xml:space="preserve">explores the impact of enhancing literacy and fostering reading interest among elementary school students in rural communities </w:t>
            </w:r>
            <w:r w:rsidR="00951442" w:rsidRPr="008D4CAE">
              <w:rPr>
                <w:rFonts w:asciiTheme="majorHAnsi" w:hAnsiTheme="majorHAnsi"/>
                <w:bCs/>
                <w:i/>
                <w:iCs/>
                <w:sz w:val="20"/>
                <w:szCs w:val="20"/>
              </w:rPr>
              <w:t>to accelerate</w:t>
            </w:r>
            <w:r w:rsidRPr="008D4CAE">
              <w:rPr>
                <w:rFonts w:asciiTheme="majorHAnsi" w:hAnsiTheme="majorHAnsi"/>
                <w:bCs/>
                <w:i/>
                <w:iCs/>
                <w:sz w:val="20"/>
                <w:szCs w:val="20"/>
              </w:rPr>
              <w:t xml:space="preserve"> progress toward SDG 4, which focuses on quality education</w:t>
            </w:r>
            <w:r w:rsidR="00951442" w:rsidRPr="008D4CAE">
              <w:rPr>
                <w:rFonts w:asciiTheme="majorHAnsi" w:hAnsiTheme="majorHAnsi"/>
                <w:bCs/>
                <w:i/>
                <w:iCs/>
                <w:sz w:val="20"/>
                <w:szCs w:val="20"/>
              </w:rPr>
              <w:t>.</w:t>
            </w:r>
            <w:r w:rsidR="0047217C" w:rsidRPr="008D4CAE">
              <w:rPr>
                <w:rFonts w:asciiTheme="majorHAnsi" w:hAnsiTheme="majorHAnsi"/>
                <w:bCs/>
                <w:i/>
                <w:iCs/>
                <w:sz w:val="20"/>
                <w:szCs w:val="20"/>
              </w:rPr>
              <w:t xml:space="preserve"> </w:t>
            </w:r>
            <w:r w:rsidR="00BE7175" w:rsidRPr="008D4CAE">
              <w:rPr>
                <w:rFonts w:asciiTheme="majorHAnsi" w:hAnsiTheme="majorHAnsi"/>
                <w:bCs/>
                <w:i/>
                <w:iCs/>
                <w:sz w:val="20"/>
                <w:szCs w:val="20"/>
              </w:rPr>
              <w:t xml:space="preserve">There is still a high rate of school dropout in certain areas, especially in villages in </w:t>
            </w:r>
            <w:proofErr w:type="spellStart"/>
            <w:r w:rsidR="00BE7175" w:rsidRPr="008D4CAE">
              <w:rPr>
                <w:rFonts w:asciiTheme="majorHAnsi" w:hAnsiTheme="majorHAnsi"/>
                <w:bCs/>
                <w:i/>
                <w:iCs/>
                <w:sz w:val="20"/>
                <w:szCs w:val="20"/>
              </w:rPr>
              <w:t>Bojonegoro</w:t>
            </w:r>
            <w:proofErr w:type="spellEnd"/>
            <w:r w:rsidR="00BE7175" w:rsidRPr="008D4CAE">
              <w:rPr>
                <w:rFonts w:asciiTheme="majorHAnsi" w:hAnsiTheme="majorHAnsi"/>
                <w:bCs/>
                <w:i/>
                <w:iCs/>
                <w:sz w:val="20"/>
                <w:szCs w:val="20"/>
              </w:rPr>
              <w:t xml:space="preserve"> Regency, indicating that certain efforts are still needed to improve the quality of education. This scientific article discusses developing literacy and interest in reading to prevent school dropout rates in </w:t>
            </w:r>
            <w:proofErr w:type="spellStart"/>
            <w:r w:rsidR="00BE7175" w:rsidRPr="008D4CAE">
              <w:rPr>
                <w:rFonts w:asciiTheme="majorHAnsi" w:hAnsiTheme="majorHAnsi"/>
                <w:bCs/>
                <w:i/>
                <w:iCs/>
                <w:sz w:val="20"/>
                <w:szCs w:val="20"/>
              </w:rPr>
              <w:t>Setren</w:t>
            </w:r>
            <w:proofErr w:type="spellEnd"/>
            <w:r w:rsidR="00BE7175" w:rsidRPr="008D4CAE">
              <w:rPr>
                <w:rFonts w:asciiTheme="majorHAnsi" w:hAnsiTheme="majorHAnsi"/>
                <w:bCs/>
                <w:i/>
                <w:iCs/>
                <w:sz w:val="20"/>
                <w:szCs w:val="20"/>
              </w:rPr>
              <w:t xml:space="preserve"> Village to accelerate the SDGs, especially point 4, which is quality education. Literacy and interest in reading are important foundations in students' intellectual development, especially at the elementary school level. This research uses a qualitative method </w:t>
            </w:r>
            <w:r w:rsidR="0047217C" w:rsidRPr="008D4CAE">
              <w:rPr>
                <w:rFonts w:asciiTheme="majorHAnsi" w:hAnsiTheme="majorHAnsi"/>
                <w:bCs/>
                <w:i/>
                <w:iCs/>
                <w:sz w:val="20"/>
                <w:szCs w:val="20"/>
              </w:rPr>
              <w:t>w</w:t>
            </w:r>
            <w:r w:rsidR="00BE7175" w:rsidRPr="008D4CAE">
              <w:rPr>
                <w:rFonts w:asciiTheme="majorHAnsi" w:hAnsiTheme="majorHAnsi"/>
                <w:bCs/>
                <w:i/>
                <w:iCs/>
                <w:sz w:val="20"/>
                <w:szCs w:val="20"/>
              </w:rPr>
              <w:t xml:space="preserve">here the sampling technique used is purposive sampling. The results of the research show that there has been an increase in literacy skills and interest in reading among elementary school students in </w:t>
            </w:r>
            <w:proofErr w:type="spellStart"/>
            <w:r w:rsidR="00BE7175" w:rsidRPr="008D4CAE">
              <w:rPr>
                <w:rFonts w:asciiTheme="majorHAnsi" w:hAnsiTheme="majorHAnsi"/>
                <w:bCs/>
                <w:i/>
                <w:iCs/>
                <w:sz w:val="20"/>
                <w:szCs w:val="20"/>
              </w:rPr>
              <w:t>Setren</w:t>
            </w:r>
            <w:proofErr w:type="spellEnd"/>
            <w:r w:rsidR="00BE7175" w:rsidRPr="008D4CAE">
              <w:rPr>
                <w:rFonts w:asciiTheme="majorHAnsi" w:hAnsiTheme="majorHAnsi"/>
                <w:bCs/>
                <w:i/>
                <w:iCs/>
                <w:sz w:val="20"/>
                <w:szCs w:val="20"/>
              </w:rPr>
              <w:t xml:space="preserve"> Village. Apart from that, researchers found that parents also play a big role in developing literacy and interest in reading in elementary school students in </w:t>
            </w:r>
            <w:proofErr w:type="spellStart"/>
            <w:r w:rsidR="00BE7175" w:rsidRPr="008D4CAE">
              <w:rPr>
                <w:rFonts w:asciiTheme="majorHAnsi" w:hAnsiTheme="majorHAnsi"/>
                <w:bCs/>
                <w:i/>
                <w:iCs/>
                <w:sz w:val="20"/>
                <w:szCs w:val="20"/>
              </w:rPr>
              <w:t>Setren</w:t>
            </w:r>
            <w:proofErr w:type="spellEnd"/>
            <w:r w:rsidR="00BE7175" w:rsidRPr="008D4CAE">
              <w:rPr>
                <w:rFonts w:asciiTheme="majorHAnsi" w:hAnsiTheme="majorHAnsi"/>
                <w:bCs/>
                <w:i/>
                <w:iCs/>
                <w:sz w:val="20"/>
                <w:szCs w:val="20"/>
              </w:rPr>
              <w:t xml:space="preserve">. This can be seen from the literacy training and assistance parents provide to students at home. This ultimately also </w:t>
            </w:r>
            <w:r w:rsidR="00951442" w:rsidRPr="008D4CAE">
              <w:rPr>
                <w:rFonts w:asciiTheme="majorHAnsi" w:hAnsiTheme="majorHAnsi"/>
                <w:bCs/>
                <w:i/>
                <w:iCs/>
                <w:sz w:val="20"/>
                <w:szCs w:val="20"/>
              </w:rPr>
              <w:t>impacted elementary school students'</w:t>
            </w:r>
            <w:r w:rsidR="00BE7175" w:rsidRPr="008D4CAE">
              <w:rPr>
                <w:rFonts w:asciiTheme="majorHAnsi" w:hAnsiTheme="majorHAnsi"/>
                <w:bCs/>
                <w:i/>
                <w:iCs/>
                <w:sz w:val="20"/>
                <w:szCs w:val="20"/>
              </w:rPr>
              <w:t xml:space="preserve"> interest in reading in </w:t>
            </w:r>
            <w:proofErr w:type="spellStart"/>
            <w:r w:rsidR="00BE7175" w:rsidRPr="008D4CAE">
              <w:rPr>
                <w:rFonts w:asciiTheme="majorHAnsi" w:hAnsiTheme="majorHAnsi"/>
                <w:bCs/>
                <w:i/>
                <w:iCs/>
                <w:sz w:val="20"/>
                <w:szCs w:val="20"/>
              </w:rPr>
              <w:t>Setren</w:t>
            </w:r>
            <w:proofErr w:type="spellEnd"/>
            <w:r w:rsidR="00BE7175" w:rsidRPr="008D4CAE">
              <w:rPr>
                <w:rFonts w:asciiTheme="majorHAnsi" w:hAnsiTheme="majorHAnsi"/>
                <w:bCs/>
                <w:i/>
                <w:iCs/>
                <w:sz w:val="20"/>
                <w:szCs w:val="20"/>
              </w:rPr>
              <w:t xml:space="preserve"> Village</w:t>
            </w:r>
            <w:r w:rsidR="00B9164A" w:rsidRPr="008D4CAE">
              <w:rPr>
                <w:rFonts w:asciiTheme="majorHAnsi" w:hAnsiTheme="majorHAnsi"/>
                <w:bCs/>
                <w:i/>
                <w:iCs/>
                <w:sz w:val="20"/>
                <w:szCs w:val="20"/>
                <w:lang w:val="en-ID"/>
              </w:rPr>
              <w:t xml:space="preserve">. </w:t>
            </w:r>
          </w:p>
          <w:p w14:paraId="754C7C07" w14:textId="77777777" w:rsidR="00576E6A" w:rsidRPr="008D4CAE" w:rsidRDefault="00576E6A" w:rsidP="00576E6A">
            <w:pPr>
              <w:pStyle w:val="TableParagraph"/>
              <w:spacing w:line="213" w:lineRule="auto"/>
              <w:ind w:left="443" w:right="107"/>
              <w:jc w:val="both"/>
              <w:rPr>
                <w:bCs/>
                <w:i/>
                <w:iCs/>
                <w:sz w:val="24"/>
                <w:lang w:val="id-ID"/>
              </w:rPr>
            </w:pPr>
          </w:p>
          <w:p w14:paraId="123F1F7E" w14:textId="77777777" w:rsidR="00576E6A" w:rsidRPr="008D4CAE" w:rsidRDefault="00576E6A" w:rsidP="00576E6A">
            <w:pPr>
              <w:pStyle w:val="TableParagraph"/>
              <w:spacing w:line="213" w:lineRule="auto"/>
              <w:ind w:left="443" w:right="107"/>
              <w:jc w:val="both"/>
              <w:rPr>
                <w:bCs/>
                <w:iCs/>
                <w:sz w:val="24"/>
                <w:lang w:val="id-ID"/>
              </w:rPr>
            </w:pPr>
          </w:p>
          <w:p w14:paraId="1AA7DD7F" w14:textId="77777777" w:rsidR="00576E6A" w:rsidRPr="008D4CAE" w:rsidRDefault="00576E6A" w:rsidP="00576E6A">
            <w:pPr>
              <w:pStyle w:val="TableParagraph"/>
              <w:spacing w:line="213" w:lineRule="auto"/>
              <w:ind w:left="443" w:right="107"/>
              <w:jc w:val="both"/>
              <w:rPr>
                <w:bCs/>
                <w:iCs/>
                <w:sz w:val="24"/>
                <w:lang w:val="id-ID"/>
              </w:rPr>
            </w:pPr>
          </w:p>
          <w:p w14:paraId="34E917DF" w14:textId="77777777" w:rsidR="00576E6A" w:rsidRPr="008D4CAE" w:rsidRDefault="00576E6A" w:rsidP="00576E6A">
            <w:pPr>
              <w:pStyle w:val="TableParagraph"/>
              <w:spacing w:line="213" w:lineRule="auto"/>
              <w:ind w:left="443" w:right="107"/>
              <w:jc w:val="both"/>
              <w:rPr>
                <w:bCs/>
                <w:iCs/>
                <w:sz w:val="24"/>
                <w:lang w:val="id-ID"/>
              </w:rPr>
            </w:pPr>
          </w:p>
          <w:p w14:paraId="6D458B78" w14:textId="60C394D0" w:rsidR="008E0FEB" w:rsidRPr="008D4CAE" w:rsidRDefault="008E0FEB" w:rsidP="00645EED">
            <w:pPr>
              <w:pStyle w:val="TableParagraph"/>
              <w:spacing w:line="213" w:lineRule="auto"/>
              <w:ind w:left="443" w:right="107"/>
              <w:jc w:val="right"/>
              <w:rPr>
                <w:sz w:val="16"/>
                <w:szCs w:val="16"/>
              </w:rPr>
            </w:pPr>
          </w:p>
          <w:p w14:paraId="2004630C" w14:textId="63CA3E44" w:rsidR="008E0FEB" w:rsidRPr="008D4CAE" w:rsidRDefault="008E0FEB" w:rsidP="008E0FEB">
            <w:pPr>
              <w:pStyle w:val="TableParagraph"/>
              <w:spacing w:line="213" w:lineRule="auto"/>
              <w:ind w:left="443" w:right="107"/>
              <w:jc w:val="right"/>
              <w:rPr>
                <w:sz w:val="16"/>
                <w:szCs w:val="16"/>
              </w:rPr>
            </w:pPr>
          </w:p>
          <w:p w14:paraId="63587EED" w14:textId="77777777" w:rsidR="00576E6A" w:rsidRPr="008D4CAE" w:rsidRDefault="00576E6A" w:rsidP="00576E6A">
            <w:pPr>
              <w:pStyle w:val="TableParagraph"/>
              <w:spacing w:line="213" w:lineRule="auto"/>
              <w:ind w:left="443" w:right="107"/>
              <w:jc w:val="right"/>
              <w:rPr>
                <w:sz w:val="16"/>
                <w:szCs w:val="16"/>
              </w:rPr>
            </w:pPr>
          </w:p>
        </w:tc>
      </w:tr>
    </w:tbl>
    <w:p w14:paraId="5F11081E" w14:textId="77777777" w:rsidR="00074D70" w:rsidRPr="008D4CAE" w:rsidRDefault="00074D70">
      <w:pPr>
        <w:pStyle w:val="BodyText"/>
        <w:spacing w:before="10"/>
        <w:ind w:left="0"/>
        <w:jc w:val="left"/>
        <w:rPr>
          <w:sz w:val="23"/>
        </w:rPr>
      </w:pPr>
    </w:p>
    <w:p w14:paraId="425293AE" w14:textId="743BFA51" w:rsidR="00FF5DDB" w:rsidRPr="008D4CAE" w:rsidRDefault="00951442" w:rsidP="00C41194">
      <w:pPr>
        <w:pStyle w:val="Heading1"/>
        <w:numPr>
          <w:ilvl w:val="0"/>
          <w:numId w:val="10"/>
        </w:numPr>
        <w:tabs>
          <w:tab w:val="left" w:pos="745"/>
        </w:tabs>
        <w:spacing w:before="70" w:after="240"/>
      </w:pPr>
      <w:r w:rsidRPr="008D4CAE">
        <w:t xml:space="preserve">Introduction </w:t>
      </w:r>
    </w:p>
    <w:p w14:paraId="3322E41B" w14:textId="016BBBE0" w:rsidR="00951442" w:rsidRPr="008D4CAE" w:rsidRDefault="00951442" w:rsidP="00951442">
      <w:pPr>
        <w:pStyle w:val="ListParagraph"/>
        <w:ind w:left="284" w:firstLine="386"/>
        <w:rPr>
          <w:bCs/>
          <w:iCs/>
          <w:noProof/>
          <w:lang w:val="en-ID"/>
        </w:rPr>
      </w:pPr>
      <w:r w:rsidRPr="008D4CAE">
        <w:rPr>
          <w:rFonts w:cs="Times New Roman"/>
          <w:bCs/>
          <w:iCs/>
          <w:noProof/>
        </w:rPr>
        <w:t xml:space="preserve">It is stated in the Sustainable Development Goals (SDGs) Mission, that the fourth point is quality education because education is the key that will allow many other Sustainable Development Goals (SDGs) to be achieved. When people can get quality education they can break from the cycle of poverty. </w:t>
      </w:r>
      <w:r w:rsidRPr="008D4CAE">
        <w:rPr>
          <w:bCs/>
          <w:iCs/>
          <w:noProof/>
          <w:lang w:val="en-ID"/>
        </w:rPr>
        <w:t xml:space="preserve">If no further action is taken, it's projected that by 2030, 84 million children and young people will remain out of school, and around 300 million students will lack the essential numeracy and literacy skills for life's success. </w:t>
      </w:r>
      <w:r w:rsidRPr="008D4CAE">
        <w:rPr>
          <w:rFonts w:cs="Times New Roman"/>
          <w:bCs/>
          <w:iCs/>
          <w:noProof/>
          <w:lang w:val="en-ID"/>
        </w:rPr>
        <w:t xml:space="preserve">The goals include ensuring free primary and secondary education for all boys and girls by 2030, providing equal access to affordable vocational training, addressing gender and wealth inequalities, and achieving universal access to quality higher </w:t>
      </w:r>
      <w:r w:rsidRPr="008D4CAE">
        <w:rPr>
          <w:rFonts w:cs="Times New Roman"/>
          <w:bCs/>
          <w:iCs/>
          <w:noProof/>
          <w:lang w:val="en-ID"/>
        </w:rPr>
        <w:lastRenderedPageBreak/>
        <w:t xml:space="preserve">education </w:t>
      </w:r>
      <w:r w:rsidRPr="008D4CAE">
        <w:rPr>
          <w:rFonts w:cs="Times New Roman"/>
          <w:bCs/>
          <w:iCs/>
          <w:noProof/>
          <w:vertAlign w:val="superscript"/>
          <w:lang w:val="en-ID"/>
        </w:rPr>
        <w:t>[</w:t>
      </w:r>
      <w:r w:rsidRPr="008D4CAE">
        <w:rPr>
          <w:rStyle w:val="FootnoteReference"/>
          <w:rFonts w:cs="Times New Roman"/>
          <w:bCs/>
          <w:iCs/>
          <w:noProof/>
          <w:lang w:val="en-ID"/>
        </w:rPr>
        <w:footnoteReference w:id="1"/>
      </w:r>
      <w:r w:rsidRPr="008D4CAE">
        <w:rPr>
          <w:rFonts w:cs="Times New Roman"/>
          <w:bCs/>
          <w:iCs/>
          <w:noProof/>
          <w:vertAlign w:val="superscript"/>
          <w:lang w:val="en-ID"/>
        </w:rPr>
        <w:t>]</w:t>
      </w:r>
      <w:r w:rsidRPr="008D4CAE">
        <w:rPr>
          <w:rFonts w:cs="Times New Roman"/>
          <w:bCs/>
          <w:iCs/>
          <w:noProof/>
          <w:lang w:val="en-ID"/>
        </w:rPr>
        <w:t>.</w:t>
      </w:r>
    </w:p>
    <w:p w14:paraId="7867CDBE" w14:textId="49A8AE2F" w:rsidR="00951442" w:rsidRPr="008D4CAE" w:rsidRDefault="00EF5295" w:rsidP="00EF5295">
      <w:pPr>
        <w:pStyle w:val="ListParagraph"/>
        <w:ind w:left="284" w:firstLine="386"/>
        <w:rPr>
          <w:rFonts w:cs="Times New Roman"/>
          <w:bCs/>
          <w:iCs/>
          <w:noProof/>
        </w:rPr>
      </w:pPr>
      <w:r w:rsidRPr="008D4CAE">
        <w:rPr>
          <w:rFonts w:cs="Times New Roman"/>
          <w:bCs/>
          <w:iCs/>
          <w:noProof/>
        </w:rPr>
        <w:t>To address these challenges, substantial investments in education systems, innovative teaching methods, and targeted support for disadvantaged groups are essential. Governments and global organizations must work together to ensure that learning recovery plans are in place, focusing on digital inclusion, literacy enhancement, and curriculum. Furthermore, partnerships with private sectors, NGOs, and communities are crucial for mobilizing resources and creating opportunities for lifelong learning. By implementing these strategies, the world can strive to meet the SDG 4 target of quality education for all by 2030, paving the way for more inclusive and equitable development across societies. Especially in Indonesia where villages are at the end of the government coordination line and also the areas that are directly sided by the community.</w:t>
      </w:r>
    </w:p>
    <w:p w14:paraId="56D66B6B" w14:textId="3FB3F771" w:rsidR="00CB1C0D" w:rsidRPr="008D4CAE" w:rsidRDefault="00CB1C0D" w:rsidP="00CB1C0D">
      <w:pPr>
        <w:pStyle w:val="ListParagraph"/>
        <w:ind w:left="284" w:firstLine="386"/>
        <w:rPr>
          <w:rFonts w:cs="Times New Roman"/>
          <w:bCs/>
          <w:iCs/>
          <w:noProof/>
        </w:rPr>
      </w:pPr>
      <w:r w:rsidRPr="008D4CAE">
        <w:rPr>
          <w:rFonts w:cs="Times New Roman"/>
          <w:bCs/>
          <w:iCs/>
          <w:noProof/>
        </w:rPr>
        <w:t>To meet the SDGs at the village level, targeted measures such as community-led literacy programs, vocational training for youth, and addressing dropout rates can contribute to the broader goal of ensuring that by 2030, every child, including those in rural areas, has access to quality education. By empowering local communities to invest in education, villages can become key drivers in accelerating progress towards achieving the SDGs, particularly in reducing educational inequality and improving lifelong learning opportunities.</w:t>
      </w:r>
    </w:p>
    <w:p w14:paraId="609C079F" w14:textId="77777777" w:rsidR="00CE7283" w:rsidRPr="008D4CAE" w:rsidRDefault="00CB1C0D" w:rsidP="00CE7283">
      <w:pPr>
        <w:pStyle w:val="ListParagraph"/>
        <w:ind w:left="284" w:firstLine="386"/>
        <w:rPr>
          <w:rFonts w:cs="Times New Roman"/>
          <w:bCs/>
          <w:iCs/>
          <w:noProof/>
          <w:lang w:val="en-ID"/>
        </w:rPr>
      </w:pPr>
      <w:r w:rsidRPr="008D4CAE">
        <w:rPr>
          <w:rFonts w:cs="Times New Roman"/>
          <w:bCs/>
          <w:iCs/>
          <w:noProof/>
        </w:rPr>
        <w:t xml:space="preserve">That situation can be supported by the regulation of the Minister of Villages, Development of Disadvantaged Regions and Transmigration number 13 of 2020 concerning Priority Use of Village Funds in 2021, it is clearly stated that education is one of the priority parts for the use of village funds which mentioned that </w:t>
      </w:r>
      <w:r w:rsidR="00CE7283" w:rsidRPr="008D4CAE">
        <w:rPr>
          <w:rFonts w:cs="Times New Roman"/>
          <w:bCs/>
          <w:iCs/>
          <w:noProof/>
        </w:rPr>
        <w:t>the priority use of village funds in 2021 clearly states that education is one of the priority parts of the use of village funds. In more detail, it is stated in Chapter II that one of these priorities is the Village Sustainable Development Goals (SDGs) which in point four is in the form of Villages that care about education and the ultimate target is quality village education</w:t>
      </w:r>
      <w:r w:rsidR="00331E4A" w:rsidRPr="008D4CAE">
        <w:rPr>
          <w:rFonts w:cs="Times New Roman"/>
          <w:bCs/>
          <w:iCs/>
          <w:noProof/>
          <w:vertAlign w:val="superscript"/>
          <w:lang w:val="en-ID"/>
        </w:rPr>
        <w:t>[</w:t>
      </w:r>
      <w:r w:rsidR="00331E4A" w:rsidRPr="008D4CAE">
        <w:rPr>
          <w:rStyle w:val="FootnoteReference"/>
          <w:rFonts w:cs="Times New Roman"/>
          <w:bCs/>
          <w:iCs/>
          <w:noProof/>
          <w:lang w:val="en-ID"/>
        </w:rPr>
        <w:footnoteReference w:id="2"/>
      </w:r>
      <w:r w:rsidR="00331E4A" w:rsidRPr="008D4CAE">
        <w:rPr>
          <w:rFonts w:cs="Times New Roman"/>
          <w:bCs/>
          <w:iCs/>
          <w:noProof/>
          <w:vertAlign w:val="superscript"/>
          <w:lang w:val="en-ID"/>
        </w:rPr>
        <w:t>]</w:t>
      </w:r>
      <w:r w:rsidR="00B10949" w:rsidRPr="008D4CAE">
        <w:rPr>
          <w:rFonts w:cs="Times New Roman"/>
          <w:bCs/>
          <w:iCs/>
          <w:noProof/>
          <w:lang w:val="en-ID"/>
        </w:rPr>
        <w:t xml:space="preserve">. </w:t>
      </w:r>
    </w:p>
    <w:p w14:paraId="261F5A9B" w14:textId="77777777" w:rsidR="00CE7283" w:rsidRPr="008D4CAE" w:rsidRDefault="00CE7283" w:rsidP="00CE7283">
      <w:pPr>
        <w:pStyle w:val="ListParagraph"/>
        <w:ind w:left="284" w:firstLine="386"/>
        <w:rPr>
          <w:rFonts w:cs="Times New Roman"/>
          <w:bCs/>
          <w:iCs/>
          <w:noProof/>
        </w:rPr>
      </w:pPr>
      <w:r w:rsidRPr="008D4CAE">
        <w:rPr>
          <w:rFonts w:cs="Times New Roman"/>
          <w:bCs/>
          <w:iCs/>
          <w:noProof/>
        </w:rPr>
        <w:t>The challenges of achieving quality education on a global scale are mirrored in local contexts, such as villages where access to education can be hindered by various factors like poverty, infrastructure, and social norms. In alignment with the global Sustainable Development Goals (SDGs), particularly SDG 4, villages play a crucial role in advancing education efforts. In the village context, initiatives like improving literacy and reading interest among elementary students are vital steps toward bridging education gaps. These efforts align with the broader aim of providing equal access to quality education by addressing local barriers, such as limited educational resources, gender disparities, and socio-economic challenges.</w:t>
      </w:r>
    </w:p>
    <w:p w14:paraId="619FADE5" w14:textId="270287ED" w:rsidR="00B10949" w:rsidRPr="008D4CAE" w:rsidRDefault="00917E3D" w:rsidP="00917E3D">
      <w:pPr>
        <w:pStyle w:val="ListParagraph"/>
        <w:ind w:left="284" w:firstLine="386"/>
        <w:rPr>
          <w:rFonts w:cs="Times New Roman"/>
          <w:bCs/>
          <w:iCs/>
          <w:noProof/>
          <w:lang w:val="en-ID"/>
        </w:rPr>
      </w:pPr>
      <w:r w:rsidRPr="008D4CAE">
        <w:rPr>
          <w:rFonts w:cs="Times New Roman"/>
          <w:bCs/>
          <w:iCs/>
          <w:noProof/>
        </w:rPr>
        <w:t xml:space="preserve">Enhancing literacy and reading interest in the village can be started from elementary school including the student.  </w:t>
      </w:r>
      <w:r w:rsidRPr="008D4CAE">
        <w:rPr>
          <w:bCs/>
        </w:rPr>
        <w:t xml:space="preserve">Because it is at this level that fundamental academic basics are intensively taught to students. Therefore, developing literacy and interest in reading in elementary school students is a crucial aspect in accelerating the achievement of Sustainable Development Goals (SDGs) at various levels, including the Village level. Literacy and interest in reading are not only fundamental skills in education but also the foundation for the intellectual, social, and economic growth of a </w:t>
      </w:r>
      <w:proofErr w:type="gramStart"/>
      <w:r w:rsidRPr="008D4CAE">
        <w:rPr>
          <w:bCs/>
        </w:rPr>
        <w:t>society</w:t>
      </w:r>
      <w:r w:rsidR="009809FD" w:rsidRPr="008D4CAE">
        <w:rPr>
          <w:rFonts w:cs="Times New Roman"/>
          <w:bCs/>
          <w:iCs/>
          <w:noProof/>
          <w:vertAlign w:val="superscript"/>
          <w:lang w:val="en-ID"/>
        </w:rPr>
        <w:t>[</w:t>
      </w:r>
      <w:proofErr w:type="gramEnd"/>
      <w:r w:rsidR="009809FD" w:rsidRPr="008D4CAE">
        <w:rPr>
          <w:rStyle w:val="FootnoteReference"/>
          <w:rFonts w:cs="Times New Roman"/>
          <w:bCs/>
          <w:iCs/>
          <w:noProof/>
          <w:lang w:val="en-ID"/>
        </w:rPr>
        <w:footnoteReference w:id="3"/>
      </w:r>
      <w:r w:rsidR="009809FD" w:rsidRPr="008D4CAE">
        <w:rPr>
          <w:rFonts w:cs="Times New Roman"/>
          <w:bCs/>
          <w:iCs/>
          <w:noProof/>
          <w:vertAlign w:val="superscript"/>
          <w:lang w:val="en-ID"/>
        </w:rPr>
        <w:t>]</w:t>
      </w:r>
      <w:r w:rsidR="00B10949" w:rsidRPr="008D4CAE">
        <w:rPr>
          <w:rFonts w:cs="Times New Roman"/>
          <w:bCs/>
          <w:iCs/>
          <w:noProof/>
          <w:lang w:val="en-ID"/>
        </w:rPr>
        <w:t xml:space="preserve">. </w:t>
      </w:r>
      <w:r w:rsidRPr="008D4CAE">
        <w:t xml:space="preserve">In this context, basic education is the main foundation for shaping children's thought patterns, attitudes, and knowledge. Developing literacy and interest in reading at this level is not only about the ability to read and write, but also about forming a deep understanding of various content, sparking the imagination, and developing critical and analytical skills that are so </w:t>
      </w:r>
      <w:r w:rsidRPr="008D4CAE">
        <w:lastRenderedPageBreak/>
        <w:t xml:space="preserve">necessary in facing the complexity of the modern </w:t>
      </w:r>
      <w:proofErr w:type="gramStart"/>
      <w:r w:rsidRPr="008D4CAE">
        <w:t>world</w:t>
      </w:r>
      <w:r w:rsidR="009809FD" w:rsidRPr="008D4CAE">
        <w:rPr>
          <w:rFonts w:cs="Times New Roman"/>
          <w:bCs/>
          <w:iCs/>
          <w:noProof/>
          <w:vertAlign w:val="superscript"/>
          <w:lang w:val="en-ID"/>
        </w:rPr>
        <w:t>[</w:t>
      </w:r>
      <w:proofErr w:type="gramEnd"/>
      <w:r w:rsidR="009809FD" w:rsidRPr="008D4CAE">
        <w:rPr>
          <w:rStyle w:val="FootnoteReference"/>
          <w:rFonts w:cs="Times New Roman"/>
          <w:bCs/>
          <w:iCs/>
          <w:noProof/>
          <w:lang w:val="en-ID"/>
        </w:rPr>
        <w:footnoteReference w:id="4"/>
      </w:r>
      <w:r w:rsidR="009809FD" w:rsidRPr="008D4CAE">
        <w:rPr>
          <w:rFonts w:cs="Times New Roman"/>
          <w:bCs/>
          <w:iCs/>
          <w:noProof/>
          <w:vertAlign w:val="superscript"/>
          <w:lang w:val="en-ID"/>
        </w:rPr>
        <w:t>]</w:t>
      </w:r>
      <w:r w:rsidR="00B10949" w:rsidRPr="008D4CAE">
        <w:rPr>
          <w:rFonts w:cs="Times New Roman"/>
          <w:bCs/>
          <w:iCs/>
          <w:noProof/>
          <w:lang w:val="en-ID"/>
        </w:rPr>
        <w:t>.</w:t>
      </w:r>
    </w:p>
    <w:p w14:paraId="4B9CEE85" w14:textId="77777777" w:rsidR="008B0B61" w:rsidRPr="008D4CAE" w:rsidRDefault="00917E3D" w:rsidP="00917E3D">
      <w:pPr>
        <w:ind w:left="284" w:firstLine="425"/>
        <w:jc w:val="both"/>
        <w:rPr>
          <w:bCs/>
        </w:rPr>
      </w:pPr>
      <w:proofErr w:type="spellStart"/>
      <w:r w:rsidRPr="008D4CAE">
        <w:rPr>
          <w:bCs/>
        </w:rPr>
        <w:t>Setren</w:t>
      </w:r>
      <w:proofErr w:type="spellEnd"/>
      <w:r w:rsidRPr="008D4CAE">
        <w:rPr>
          <w:bCs/>
        </w:rPr>
        <w:t xml:space="preserve"> Village as a research location has its challenges regarding school dropout rates, especially in the last 2 years. This school dropout rate arises from various causes. For example, such as the influence of friends, and access from home to school which is quite far. But of all the causal factors, the most dominant is mindset. </w:t>
      </w:r>
    </w:p>
    <w:p w14:paraId="397F4447" w14:textId="4ADE3119" w:rsidR="00917E3D" w:rsidRPr="008D4CAE" w:rsidRDefault="00917E3D" w:rsidP="00917E3D">
      <w:pPr>
        <w:ind w:left="284" w:firstLine="425"/>
        <w:jc w:val="both"/>
        <w:rPr>
          <w:rFonts w:cs="Times New Roman"/>
          <w:bCs/>
          <w:iCs/>
          <w:noProof/>
          <w:lang w:val="en-ID"/>
        </w:rPr>
      </w:pPr>
      <w:r w:rsidRPr="008D4CAE">
        <w:rPr>
          <w:bCs/>
        </w:rPr>
        <w:t>Mindset plays an important role in the quality of education. Because a good mindset is directly proportional to good literacy skills and interest in reading. Reading culture is directly proportional to the intellectual level</w:t>
      </w:r>
      <w:r w:rsidR="008B0B61" w:rsidRPr="008D4CAE">
        <w:rPr>
          <w:bCs/>
        </w:rPr>
        <w:t xml:space="preserve">. To overcome this problem, developing literacy and interest in reading is the main focus. Literacy includes the ability to read and write and the understanding and application of knowledge in everyday life. Interest in reading, on the other hand, is closely related to students' liking and enthusiasm for reading </w:t>
      </w:r>
      <w:proofErr w:type="gramStart"/>
      <w:r w:rsidR="008B0B61" w:rsidRPr="008D4CAE">
        <w:rPr>
          <w:bCs/>
        </w:rPr>
        <w:t>activities</w:t>
      </w:r>
      <w:r w:rsidR="00331E4A" w:rsidRPr="008D4CAE">
        <w:rPr>
          <w:rFonts w:cs="Times New Roman"/>
          <w:bCs/>
          <w:iCs/>
          <w:noProof/>
          <w:vertAlign w:val="superscript"/>
          <w:lang w:val="en-ID"/>
        </w:rPr>
        <w:t>[</w:t>
      </w:r>
      <w:proofErr w:type="gramEnd"/>
      <w:r w:rsidR="00331E4A" w:rsidRPr="008D4CAE">
        <w:rPr>
          <w:rStyle w:val="FootnoteReference"/>
          <w:rFonts w:cs="Times New Roman"/>
          <w:bCs/>
          <w:iCs/>
          <w:noProof/>
          <w:lang w:val="en-ID"/>
        </w:rPr>
        <w:footnoteReference w:id="5"/>
      </w:r>
      <w:r w:rsidR="008B0B61" w:rsidRPr="008D4CAE">
        <w:rPr>
          <w:rStyle w:val="FootnoteReference"/>
          <w:rFonts w:cs="Times New Roman"/>
          <w:bCs/>
          <w:iCs/>
          <w:noProof/>
          <w:lang w:val="en-ID"/>
        </w:rPr>
        <w:footnoteReference w:id="6"/>
      </w:r>
      <w:r w:rsidR="008B0B61" w:rsidRPr="008D4CAE">
        <w:rPr>
          <w:rStyle w:val="FootnoteReference"/>
          <w:rFonts w:cs="Times New Roman"/>
          <w:bCs/>
          <w:iCs/>
          <w:noProof/>
          <w:lang w:val="en-ID"/>
        </w:rPr>
        <w:footnoteReference w:id="7"/>
      </w:r>
      <w:r w:rsidR="008B0B61" w:rsidRPr="008D4CAE">
        <w:rPr>
          <w:rStyle w:val="FootnoteReference"/>
          <w:rFonts w:cs="Times New Roman"/>
          <w:bCs/>
          <w:iCs/>
          <w:noProof/>
          <w:lang w:val="en-ID"/>
        </w:rPr>
        <w:footnoteReference w:id="8"/>
      </w:r>
      <w:r w:rsidR="008B0B61" w:rsidRPr="008D4CAE">
        <w:rPr>
          <w:rFonts w:cs="Times New Roman"/>
          <w:bCs/>
          <w:iCs/>
          <w:noProof/>
          <w:vertAlign w:val="superscript"/>
          <w:lang w:val="en-ID"/>
        </w:rPr>
        <w:t>]</w:t>
      </w:r>
      <w:r w:rsidR="008B0B61" w:rsidRPr="008D4CAE">
        <w:rPr>
          <w:rFonts w:cs="Times New Roman"/>
          <w:bCs/>
          <w:iCs/>
          <w:noProof/>
          <w:lang w:val="en-ID"/>
        </w:rPr>
        <w:t>.</w:t>
      </w:r>
    </w:p>
    <w:p w14:paraId="76520A7A" w14:textId="77777777" w:rsidR="008B0B61" w:rsidRPr="008D4CAE" w:rsidRDefault="008B0B61" w:rsidP="008B0B61">
      <w:pPr>
        <w:ind w:left="284" w:firstLine="425"/>
        <w:jc w:val="both"/>
        <w:rPr>
          <w:rFonts w:cs="Times New Roman"/>
          <w:bCs/>
          <w:iCs/>
          <w:noProof/>
        </w:rPr>
      </w:pPr>
      <w:r w:rsidRPr="008D4CAE">
        <w:rPr>
          <w:rFonts w:cs="Times New Roman"/>
          <w:bCs/>
          <w:iCs/>
          <w:noProof/>
        </w:rPr>
        <w:t>Setren Village has unique characteristics that require a special approach to improving the quality of education. The still high school dropout rate is a call to explore strategies that can stimulate students' enthusiasm for learning, especially at the elementary school level. In this context, developing literacy and increasing interest in reading is the main focus as a preventive effort to overcome the school dropout rate as well as an effort to accelerate the SDGs, especially in forming Setren Village to become a Village that cares about education. Literacy includes the basic ability to read and write understanding of concepts and application of knowledge in everyday life.</w:t>
      </w:r>
    </w:p>
    <w:p w14:paraId="3E16FABB" w14:textId="260ACC8F" w:rsidR="008B0B61" w:rsidRPr="008D4CAE" w:rsidRDefault="008B0B61" w:rsidP="00E35EC8">
      <w:pPr>
        <w:ind w:left="284" w:firstLine="425"/>
        <w:jc w:val="both"/>
        <w:rPr>
          <w:rFonts w:cs="Times New Roman"/>
          <w:bCs/>
          <w:iCs/>
          <w:noProof/>
          <w:lang w:val="en-ID"/>
        </w:rPr>
      </w:pPr>
      <w:r w:rsidRPr="008D4CAE">
        <w:rPr>
          <w:rFonts w:cs="Times New Roman"/>
          <w:bCs/>
          <w:iCs/>
          <w:noProof/>
        </w:rPr>
        <w:t>Through literacy, students can develop intellectual skills that form the basis of their academic success. On the other hand, interest in reading creates the foundation for a passion for the world of literacy, builds positive connections with learning, and provides additional motivation to explore science</w:t>
      </w:r>
      <w:r w:rsidR="009809FD" w:rsidRPr="008D4CAE">
        <w:rPr>
          <w:rFonts w:cs="Times New Roman"/>
          <w:bCs/>
          <w:iCs/>
          <w:noProof/>
          <w:vertAlign w:val="superscript"/>
          <w:lang w:val="en-ID"/>
        </w:rPr>
        <w:t>[</w:t>
      </w:r>
      <w:r w:rsidR="009809FD" w:rsidRPr="008D4CAE">
        <w:rPr>
          <w:rStyle w:val="FootnoteReference"/>
          <w:rFonts w:cs="Times New Roman"/>
          <w:bCs/>
          <w:iCs/>
          <w:noProof/>
          <w:lang w:val="en-ID"/>
        </w:rPr>
        <w:footnoteReference w:id="9"/>
      </w:r>
      <w:r w:rsidR="009809FD" w:rsidRPr="008D4CAE">
        <w:rPr>
          <w:rFonts w:cs="Times New Roman"/>
          <w:bCs/>
          <w:iCs/>
          <w:noProof/>
          <w:vertAlign w:val="superscript"/>
          <w:lang w:val="en-ID"/>
        </w:rPr>
        <w:t>]</w:t>
      </w:r>
      <w:r w:rsidR="00B10949" w:rsidRPr="008D4CAE">
        <w:rPr>
          <w:rFonts w:cs="Times New Roman"/>
          <w:bCs/>
          <w:iCs/>
          <w:noProof/>
          <w:lang w:val="en-ID"/>
        </w:rPr>
        <w:t>.</w:t>
      </w:r>
      <w:r w:rsidRPr="008D4CAE">
        <w:rPr>
          <w:rFonts w:cs="Times New Roman"/>
          <w:bCs/>
          <w:iCs/>
          <w:noProof/>
          <w:lang w:val="en-ID"/>
        </w:rPr>
        <w:t xml:space="preserve"> To enhance the literacy and reading interest among elementary </w:t>
      </w:r>
      <w:r w:rsidR="00E35EC8" w:rsidRPr="008D4CAE">
        <w:rPr>
          <w:rFonts w:cs="Times New Roman"/>
          <w:bCs/>
          <w:iCs/>
          <w:noProof/>
          <w:lang w:val="en-ID"/>
        </w:rPr>
        <w:t>school</w:t>
      </w:r>
      <w:r w:rsidRPr="008D4CAE">
        <w:rPr>
          <w:rFonts w:cs="Times New Roman"/>
          <w:bCs/>
          <w:iCs/>
          <w:noProof/>
          <w:lang w:val="en-ID"/>
        </w:rPr>
        <w:t xml:space="preserve"> students, there some activities can </w:t>
      </w:r>
      <w:r w:rsidR="00E35EC8" w:rsidRPr="008D4CAE">
        <w:rPr>
          <w:rFonts w:cs="Times New Roman"/>
          <w:bCs/>
          <w:iCs/>
          <w:noProof/>
          <w:lang w:val="en-ID"/>
        </w:rPr>
        <w:t>be</w:t>
      </w:r>
      <w:r w:rsidRPr="008D4CAE">
        <w:rPr>
          <w:rFonts w:cs="Times New Roman"/>
          <w:bCs/>
          <w:iCs/>
          <w:noProof/>
          <w:lang w:val="en-ID"/>
        </w:rPr>
        <w:t xml:space="preserve"> done. Such as </w:t>
      </w:r>
      <w:r w:rsidR="00E35EC8" w:rsidRPr="008D4CAE">
        <w:rPr>
          <w:bCs/>
        </w:rPr>
        <w:t xml:space="preserve">reading books habit, discussing, and learning with creative tools such as Lego, DIY-educated toys, etc. Besides </w:t>
      </w:r>
      <w:proofErr w:type="gramStart"/>
      <w:r w:rsidR="00E35EC8" w:rsidRPr="008D4CAE">
        <w:rPr>
          <w:bCs/>
        </w:rPr>
        <w:t>that</w:t>
      </w:r>
      <w:proofErr w:type="gramEnd"/>
      <w:r w:rsidR="00E35EC8" w:rsidRPr="008D4CAE">
        <w:rPr>
          <w:bCs/>
        </w:rPr>
        <w:t xml:space="preserve"> digital literacy will be applied to elementary school student, to increase their ability to learn school subjects</w:t>
      </w:r>
      <w:r w:rsidR="00E35EC8" w:rsidRPr="008D4CAE">
        <w:rPr>
          <w:rFonts w:cs="Times New Roman"/>
          <w:bCs/>
          <w:iCs/>
          <w:noProof/>
        </w:rPr>
        <w:t xml:space="preserve">. </w:t>
      </w:r>
      <w:r w:rsidRPr="008D4CAE">
        <w:rPr>
          <w:bCs/>
        </w:rPr>
        <w:t xml:space="preserve">Run campaigns highlighting the long-term benefits of education. Focus on how education can break the cycle of poverty and lead to better opportunities. Establish support groups for parents to share challenges and solutions. Involving them in the decision-making process can lead to more sustainable changes. </w:t>
      </w:r>
      <w:r w:rsidR="00E35EC8" w:rsidRPr="008D4CAE">
        <w:rPr>
          <w:bCs/>
        </w:rPr>
        <w:t xml:space="preserve">This could </w:t>
      </w:r>
      <w:r w:rsidR="00E35EC8" w:rsidRPr="008D4CAE">
        <w:rPr>
          <w:bCs/>
        </w:rPr>
        <w:lastRenderedPageBreak/>
        <w:t xml:space="preserve">reveal deeper socio-cultural beliefs or economic </w:t>
      </w:r>
      <w:proofErr w:type="gramStart"/>
      <w:r w:rsidR="00E35EC8" w:rsidRPr="008D4CAE">
        <w:rPr>
          <w:bCs/>
        </w:rPr>
        <w:t>pressures</w:t>
      </w:r>
      <w:r w:rsidR="00C20210" w:rsidRPr="008D4CAE">
        <w:rPr>
          <w:bCs/>
          <w:vertAlign w:val="superscript"/>
        </w:rPr>
        <w:t>[</w:t>
      </w:r>
      <w:proofErr w:type="gramEnd"/>
      <w:r w:rsidR="00E35EC8" w:rsidRPr="008D4CAE">
        <w:rPr>
          <w:rStyle w:val="FootnoteReference"/>
          <w:bCs/>
        </w:rPr>
        <w:footnoteReference w:id="10"/>
      </w:r>
      <w:r w:rsidR="00C20210" w:rsidRPr="008D4CAE">
        <w:rPr>
          <w:bCs/>
          <w:vertAlign w:val="superscript"/>
        </w:rPr>
        <w:t>][</w:t>
      </w:r>
      <w:r w:rsidR="00E35EC8" w:rsidRPr="008D4CAE">
        <w:rPr>
          <w:rStyle w:val="FootnoteReference"/>
          <w:bCs/>
        </w:rPr>
        <w:footnoteReference w:id="11"/>
      </w:r>
      <w:r w:rsidR="00C20210" w:rsidRPr="008D4CAE">
        <w:rPr>
          <w:bCs/>
          <w:vertAlign w:val="superscript"/>
        </w:rPr>
        <w:t>][</w:t>
      </w:r>
      <w:r w:rsidR="00E35EC8" w:rsidRPr="008D4CAE">
        <w:rPr>
          <w:rStyle w:val="FootnoteReference"/>
          <w:bCs/>
        </w:rPr>
        <w:footnoteReference w:id="12"/>
      </w:r>
      <w:r w:rsidR="00C20210" w:rsidRPr="008D4CAE">
        <w:rPr>
          <w:bCs/>
          <w:vertAlign w:val="superscript"/>
        </w:rPr>
        <w:t>][</w:t>
      </w:r>
      <w:r w:rsidR="00E35EC8" w:rsidRPr="008D4CAE">
        <w:rPr>
          <w:rStyle w:val="FootnoteReference"/>
          <w:bCs/>
        </w:rPr>
        <w:footnoteReference w:id="13"/>
      </w:r>
      <w:r w:rsidR="00C20210" w:rsidRPr="008D4CAE">
        <w:rPr>
          <w:bCs/>
          <w:vertAlign w:val="superscript"/>
        </w:rPr>
        <w:t>][</w:t>
      </w:r>
      <w:r w:rsidR="00C20210" w:rsidRPr="008D4CAE">
        <w:rPr>
          <w:rStyle w:val="FootnoteReference"/>
          <w:bCs/>
        </w:rPr>
        <w:footnoteReference w:id="14"/>
      </w:r>
      <w:r w:rsidR="00C20210" w:rsidRPr="008D4CAE">
        <w:rPr>
          <w:bCs/>
          <w:vertAlign w:val="superscript"/>
        </w:rPr>
        <w:t>]</w:t>
      </w:r>
      <w:r w:rsidR="00C20210" w:rsidRPr="008D4CAE">
        <w:rPr>
          <w:bCs/>
        </w:rPr>
        <w:t>.</w:t>
      </w:r>
    </w:p>
    <w:p w14:paraId="7E84EB4E" w14:textId="1F221319" w:rsidR="00C20210" w:rsidRPr="008D4CAE" w:rsidRDefault="00C20210" w:rsidP="00C20210">
      <w:pPr>
        <w:pStyle w:val="ListParagraph"/>
        <w:ind w:left="284" w:firstLine="386"/>
        <w:rPr>
          <w:rFonts w:cs="Times New Roman"/>
          <w:bCs/>
          <w:iCs/>
          <w:noProof/>
        </w:rPr>
      </w:pPr>
      <w:r w:rsidRPr="008D4CAE">
        <w:rPr>
          <w:rFonts w:cs="Times New Roman"/>
          <w:bCs/>
          <w:iCs/>
          <w:noProof/>
        </w:rPr>
        <w:t xml:space="preserve">Current literacy rates in the village may fall short of the targets set by SDG 4, which aims for universal literacy and numeracy. That’s why Improved literacy and reading interests are crucial to meet the benchmarks established by SDG 4. Successful literacy interventions in the village may not be easily scalable or adaptable to other communities, limiting their broader impact. However, literacy </w:t>
      </w:r>
      <w:r w:rsidR="006C75BB" w:rsidRPr="008D4CAE">
        <w:rPr>
          <w:rFonts w:cs="Times New Roman"/>
          <w:bCs/>
          <w:iCs/>
          <w:noProof/>
        </w:rPr>
        <w:t xml:space="preserve">and reading interest enhancement </w:t>
      </w:r>
      <w:r w:rsidRPr="008D4CAE">
        <w:rPr>
          <w:rFonts w:cs="Times New Roman"/>
          <w:bCs/>
          <w:iCs/>
          <w:noProof/>
        </w:rPr>
        <w:t>are designed with scalability, allowing successful strategies to be replicated in other rural areas. Furthermore, this research aimed to implement strategies to improve literacy rates and foster an interest in reading among elementary students in line with the Sustainable Development Goals (SDGs).</w:t>
      </w:r>
    </w:p>
    <w:p w14:paraId="32C01939" w14:textId="77777777" w:rsidR="008B0B61" w:rsidRPr="008D4CAE" w:rsidRDefault="008B0B61" w:rsidP="00B10949">
      <w:pPr>
        <w:pStyle w:val="ListParagraph"/>
        <w:ind w:left="284" w:firstLine="386"/>
        <w:rPr>
          <w:rFonts w:cs="Times New Roman"/>
          <w:bCs/>
          <w:iCs/>
          <w:noProof/>
        </w:rPr>
      </w:pPr>
    </w:p>
    <w:p w14:paraId="62B21F9F" w14:textId="77777777" w:rsidR="00331E4A" w:rsidRPr="008D4CAE" w:rsidRDefault="00331E4A" w:rsidP="00C20210">
      <w:pPr>
        <w:rPr>
          <w:rFonts w:cs="Times New Roman"/>
          <w:bCs/>
          <w:iCs/>
          <w:noProof/>
          <w:lang w:val="en-ID"/>
        </w:rPr>
      </w:pPr>
    </w:p>
    <w:p w14:paraId="741F5B04" w14:textId="207758CA" w:rsidR="00FF5DDB" w:rsidRPr="008D4CAE" w:rsidRDefault="00B9164A" w:rsidP="002067E1">
      <w:pPr>
        <w:pStyle w:val="Heading1"/>
        <w:numPr>
          <w:ilvl w:val="0"/>
          <w:numId w:val="8"/>
        </w:numPr>
        <w:tabs>
          <w:tab w:val="left" w:pos="561"/>
        </w:tabs>
        <w:spacing w:after="240"/>
        <w:ind w:hanging="241"/>
        <w:jc w:val="both"/>
      </w:pPr>
      <w:r w:rsidRPr="008D4CAE">
        <w:t>Me</w:t>
      </w:r>
      <w:r w:rsidR="00DB3721" w:rsidRPr="008D4CAE">
        <w:t>thodology</w:t>
      </w:r>
    </w:p>
    <w:p w14:paraId="5AF41D44" w14:textId="5B0B1082" w:rsidR="002F5253" w:rsidRPr="008D4CAE" w:rsidRDefault="00C20210" w:rsidP="002F5253">
      <w:pPr>
        <w:pStyle w:val="BodyText"/>
        <w:spacing w:after="14" w:line="276" w:lineRule="auto"/>
        <w:ind w:left="284" w:right="-45" w:firstLine="425"/>
        <w:rPr>
          <w:sz w:val="22"/>
          <w:szCs w:val="22"/>
        </w:rPr>
      </w:pPr>
      <w:r w:rsidRPr="008D4CAE">
        <w:rPr>
          <w:sz w:val="22"/>
          <w:szCs w:val="22"/>
        </w:rPr>
        <w:t>T</w:t>
      </w:r>
      <w:r w:rsidR="002F5253" w:rsidRPr="008D4CAE">
        <w:rPr>
          <w:sz w:val="22"/>
          <w:szCs w:val="22"/>
        </w:rPr>
        <w:t xml:space="preserve">his research </w:t>
      </w:r>
      <w:r w:rsidR="002F5253" w:rsidRPr="008D4CAE">
        <w:rPr>
          <w:lang w:val="en-ID"/>
        </w:rPr>
        <w:t xml:space="preserve">used a qualitative methodology </w:t>
      </w:r>
      <w:r w:rsidR="00ED3D3A" w:rsidRPr="008D4CAE">
        <w:rPr>
          <w:lang w:val="en-ID"/>
        </w:rPr>
        <w:t>with</w:t>
      </w:r>
      <w:r w:rsidR="002F5253" w:rsidRPr="008D4CAE">
        <w:rPr>
          <w:lang w:val="en-ID"/>
        </w:rPr>
        <w:t xml:space="preserve"> a case study approach. This research aimed to investigate how promoting literacy and reading interest can contribute to achieving SDG 4 at the village level. The study took place in </w:t>
      </w:r>
      <w:proofErr w:type="spellStart"/>
      <w:r w:rsidR="002F5253" w:rsidRPr="008D4CAE">
        <w:rPr>
          <w:lang w:val="en-ID"/>
        </w:rPr>
        <w:t>Setren</w:t>
      </w:r>
      <w:proofErr w:type="spellEnd"/>
      <w:r w:rsidR="002F5253" w:rsidRPr="008D4CAE">
        <w:rPr>
          <w:lang w:val="en-ID"/>
        </w:rPr>
        <w:t xml:space="preserve"> Village, located in </w:t>
      </w:r>
      <w:proofErr w:type="spellStart"/>
      <w:r w:rsidR="002F5253" w:rsidRPr="008D4CAE">
        <w:rPr>
          <w:lang w:val="en-ID"/>
        </w:rPr>
        <w:t>Bojonegoro</w:t>
      </w:r>
      <w:proofErr w:type="spellEnd"/>
      <w:r w:rsidR="002F5253" w:rsidRPr="008D4CAE">
        <w:rPr>
          <w:lang w:val="en-ID"/>
        </w:rPr>
        <w:t xml:space="preserve"> Regency, where there is a significant issue with elementary school student </w:t>
      </w:r>
      <w:proofErr w:type="gramStart"/>
      <w:r w:rsidR="002F5253" w:rsidRPr="008D4CAE">
        <w:rPr>
          <w:lang w:val="en-ID"/>
        </w:rPr>
        <w:t>dropouts</w:t>
      </w:r>
      <w:r w:rsidR="00DB3721" w:rsidRPr="008D4CAE">
        <w:rPr>
          <w:sz w:val="22"/>
          <w:szCs w:val="22"/>
          <w:vertAlign w:val="superscript"/>
        </w:rPr>
        <w:t>[</w:t>
      </w:r>
      <w:proofErr w:type="gramEnd"/>
      <w:r w:rsidR="00DB3721" w:rsidRPr="008D4CAE">
        <w:rPr>
          <w:rStyle w:val="FootnoteReference"/>
          <w:sz w:val="22"/>
          <w:szCs w:val="22"/>
        </w:rPr>
        <w:footnoteReference w:id="15"/>
      </w:r>
      <w:r w:rsidR="00DB3721" w:rsidRPr="008D4CAE">
        <w:rPr>
          <w:sz w:val="22"/>
          <w:szCs w:val="22"/>
          <w:vertAlign w:val="superscript"/>
        </w:rPr>
        <w:t>]</w:t>
      </w:r>
      <w:r w:rsidRPr="008D4CAE">
        <w:rPr>
          <w:sz w:val="22"/>
          <w:szCs w:val="22"/>
        </w:rPr>
        <w:t>.</w:t>
      </w:r>
      <w:r w:rsidR="002F5253" w:rsidRPr="008D4CAE">
        <w:rPr>
          <w:sz w:val="22"/>
          <w:szCs w:val="22"/>
        </w:rPr>
        <w:t xml:space="preserve"> </w:t>
      </w:r>
      <w:r w:rsidR="002F5253" w:rsidRPr="008D4CAE">
        <w:rPr>
          <w:lang w:val="en-ID"/>
        </w:rPr>
        <w:t>The primary objective of this research is to understand the impact of community-based literacy initiatives on students’ literacy development and reading motivation. The study is guided by the following research questions:</w:t>
      </w:r>
    </w:p>
    <w:p w14:paraId="62139304" w14:textId="77777777" w:rsidR="002F5253" w:rsidRPr="008D4CAE" w:rsidRDefault="002F5253" w:rsidP="002F5253">
      <w:pPr>
        <w:pStyle w:val="BodyText"/>
        <w:numPr>
          <w:ilvl w:val="0"/>
          <w:numId w:val="25"/>
        </w:numPr>
        <w:spacing w:after="14" w:line="276" w:lineRule="auto"/>
        <w:ind w:right="-45"/>
        <w:rPr>
          <w:lang w:val="en-ID"/>
        </w:rPr>
      </w:pPr>
      <w:r w:rsidRPr="008D4CAE">
        <w:rPr>
          <w:lang w:val="en-ID"/>
        </w:rPr>
        <w:t xml:space="preserve">How do literacy enhancement activities influence elementary school students’ reading abilities in </w:t>
      </w:r>
      <w:proofErr w:type="spellStart"/>
      <w:r w:rsidRPr="008D4CAE">
        <w:rPr>
          <w:lang w:val="en-ID"/>
        </w:rPr>
        <w:t>Setren</w:t>
      </w:r>
      <w:proofErr w:type="spellEnd"/>
      <w:r w:rsidRPr="008D4CAE">
        <w:rPr>
          <w:lang w:val="en-ID"/>
        </w:rPr>
        <w:t xml:space="preserve"> Village?</w:t>
      </w:r>
    </w:p>
    <w:p w14:paraId="23FBEE13" w14:textId="38BB92A7" w:rsidR="002F5253" w:rsidRPr="008D4CAE" w:rsidRDefault="002F5253" w:rsidP="002F5253">
      <w:pPr>
        <w:pStyle w:val="BodyText"/>
        <w:numPr>
          <w:ilvl w:val="0"/>
          <w:numId w:val="25"/>
        </w:numPr>
        <w:spacing w:after="14" w:line="276" w:lineRule="auto"/>
        <w:ind w:right="-45"/>
        <w:rPr>
          <w:lang w:val="en-ID"/>
        </w:rPr>
      </w:pPr>
      <w:r w:rsidRPr="008D4CAE">
        <w:rPr>
          <w:lang w:val="en-ID"/>
        </w:rPr>
        <w:t>What role do parents and teachers play in supporting children's reading interests at home and school?</w:t>
      </w:r>
    </w:p>
    <w:p w14:paraId="297C5587" w14:textId="35FA5C79" w:rsidR="004B6E3B" w:rsidRPr="008D4CAE" w:rsidRDefault="002F5253" w:rsidP="002F5253">
      <w:pPr>
        <w:pStyle w:val="BodyText"/>
        <w:numPr>
          <w:ilvl w:val="0"/>
          <w:numId w:val="25"/>
        </w:numPr>
        <w:spacing w:after="14" w:line="276" w:lineRule="auto"/>
        <w:ind w:right="-45"/>
        <w:rPr>
          <w:lang w:val="en-ID"/>
        </w:rPr>
      </w:pPr>
      <w:r w:rsidRPr="008D4CAE">
        <w:rPr>
          <w:lang w:val="en-ID"/>
        </w:rPr>
        <w:t>What strategies can be adopted to sustain literacy development in rural areas?</w:t>
      </w:r>
    </w:p>
    <w:p w14:paraId="00732C9F" w14:textId="7AAA13C5" w:rsidR="002F5253" w:rsidRPr="008D4CAE" w:rsidRDefault="002F5253" w:rsidP="002F5253">
      <w:pPr>
        <w:pStyle w:val="BodyText"/>
        <w:spacing w:after="14" w:line="276" w:lineRule="auto"/>
        <w:ind w:left="284" w:right="-45" w:firstLine="425"/>
        <w:rPr>
          <w:lang w:val="en-ID"/>
        </w:rPr>
      </w:pPr>
      <w:r w:rsidRPr="008D4CAE">
        <w:rPr>
          <w:lang w:val="en-ID"/>
        </w:rPr>
        <w:t xml:space="preserve">The selection of participants was done through purposive sampling, targeting those who were most pertinent to the research objectives. The primary informants were 8 students from grades 1 to 6 of elementary school. The supporting informants comprised 3 homeroom teachers and 5 parents who participated directly in literacy support activities. The criteria for inclusion were: </w:t>
      </w:r>
    </w:p>
    <w:p w14:paraId="29E27F9A" w14:textId="77777777" w:rsidR="002F5253" w:rsidRPr="008D4CAE" w:rsidRDefault="002F5253" w:rsidP="002F5253">
      <w:pPr>
        <w:pStyle w:val="BodyText"/>
        <w:numPr>
          <w:ilvl w:val="0"/>
          <w:numId w:val="26"/>
        </w:numPr>
        <w:spacing w:after="14" w:line="276" w:lineRule="auto"/>
        <w:ind w:right="-45"/>
        <w:rPr>
          <w:lang w:val="en-ID"/>
        </w:rPr>
      </w:pPr>
      <w:r w:rsidRPr="008D4CAE">
        <w:rPr>
          <w:lang w:val="en-ID"/>
        </w:rPr>
        <w:t xml:space="preserve">Students who took part in literacy interventions on a regular basis from July to </w:t>
      </w:r>
      <w:r w:rsidRPr="008D4CAE">
        <w:rPr>
          <w:lang w:val="en-ID"/>
        </w:rPr>
        <w:lastRenderedPageBreak/>
        <w:t>November.</w:t>
      </w:r>
    </w:p>
    <w:p w14:paraId="51A815F1" w14:textId="0E18B706" w:rsidR="002F5253" w:rsidRPr="008D4CAE" w:rsidRDefault="002F5253" w:rsidP="002F5253">
      <w:pPr>
        <w:pStyle w:val="BodyText"/>
        <w:numPr>
          <w:ilvl w:val="0"/>
          <w:numId w:val="26"/>
        </w:numPr>
        <w:spacing w:after="14" w:line="276" w:lineRule="auto"/>
        <w:ind w:right="-45"/>
        <w:rPr>
          <w:lang w:val="en-ID"/>
        </w:rPr>
      </w:pPr>
      <w:r w:rsidRPr="008D4CAE">
        <w:rPr>
          <w:lang w:val="en-ID"/>
        </w:rPr>
        <w:t xml:space="preserve">Parents and teachers who helped or witnessed the children's reading </w:t>
      </w:r>
      <w:proofErr w:type="spellStart"/>
      <w:r w:rsidRPr="008D4CAE">
        <w:rPr>
          <w:lang w:val="en-ID"/>
        </w:rPr>
        <w:t>behaviors</w:t>
      </w:r>
      <w:proofErr w:type="spellEnd"/>
      <w:r w:rsidRPr="008D4CAE">
        <w:rPr>
          <w:lang w:val="en-ID"/>
        </w:rPr>
        <w:t>.</w:t>
      </w:r>
    </w:p>
    <w:p w14:paraId="1F1CCFA4" w14:textId="2D59308B" w:rsidR="002C7C64" w:rsidRPr="008D4CAE" w:rsidRDefault="00DB3721" w:rsidP="002F5253">
      <w:pPr>
        <w:pStyle w:val="BodyText"/>
        <w:spacing w:after="14" w:line="276" w:lineRule="auto"/>
        <w:ind w:left="284" w:right="-45" w:firstLine="425"/>
        <w:rPr>
          <w:sz w:val="22"/>
          <w:szCs w:val="22"/>
          <w:lang w:val="en-GB"/>
        </w:rPr>
      </w:pPr>
      <w:r w:rsidRPr="008D4CAE">
        <w:rPr>
          <w:sz w:val="22"/>
          <w:szCs w:val="22"/>
        </w:rPr>
        <w:t>The analysis technique used is an interactive data analysis technique modeled by Miles and Huberman 1994 which uses several steps, namely consisting of data reduction, data display</w:t>
      </w:r>
      <w:r w:rsidR="004B6E3B" w:rsidRPr="008D4CAE">
        <w:rPr>
          <w:sz w:val="22"/>
          <w:szCs w:val="22"/>
        </w:rPr>
        <w:t>,</w:t>
      </w:r>
      <w:r w:rsidRPr="008D4CAE">
        <w:rPr>
          <w:sz w:val="22"/>
          <w:szCs w:val="22"/>
        </w:rPr>
        <w:t xml:space="preserve"> and conclusion </w:t>
      </w:r>
      <w:r w:rsidR="004B6E3B" w:rsidRPr="008D4CAE">
        <w:rPr>
          <w:sz w:val="22"/>
          <w:szCs w:val="22"/>
        </w:rPr>
        <w:t xml:space="preserve">verification </w:t>
      </w:r>
      <w:r w:rsidR="009809FD" w:rsidRPr="008D4CAE">
        <w:rPr>
          <w:sz w:val="22"/>
          <w:szCs w:val="22"/>
          <w:vertAlign w:val="superscript"/>
        </w:rPr>
        <w:t>[</w:t>
      </w:r>
      <w:r w:rsidR="009809FD" w:rsidRPr="008D4CAE">
        <w:rPr>
          <w:rStyle w:val="FootnoteReference"/>
          <w:sz w:val="22"/>
          <w:szCs w:val="22"/>
        </w:rPr>
        <w:footnoteReference w:id="16"/>
      </w:r>
      <w:r w:rsidR="009809FD" w:rsidRPr="008D4CAE">
        <w:rPr>
          <w:sz w:val="22"/>
          <w:szCs w:val="22"/>
          <w:vertAlign w:val="superscript"/>
        </w:rPr>
        <w:t>]</w:t>
      </w:r>
      <w:r w:rsidR="00B10949" w:rsidRPr="008D4CAE">
        <w:rPr>
          <w:sz w:val="22"/>
          <w:szCs w:val="22"/>
        </w:rPr>
        <w:t>.</w:t>
      </w:r>
      <w:r w:rsidRPr="008D4CAE">
        <w:rPr>
          <w:sz w:val="22"/>
          <w:szCs w:val="22"/>
        </w:rPr>
        <w:t xml:space="preserve"> As for the main informants, </w:t>
      </w:r>
      <w:r w:rsidR="004B6E3B" w:rsidRPr="008D4CAE">
        <w:rPr>
          <w:sz w:val="22"/>
          <w:szCs w:val="22"/>
        </w:rPr>
        <w:t xml:space="preserve">they are elementary school students in </w:t>
      </w:r>
      <w:proofErr w:type="spellStart"/>
      <w:r w:rsidR="004B6E3B" w:rsidRPr="008D4CAE">
        <w:rPr>
          <w:sz w:val="22"/>
          <w:szCs w:val="22"/>
        </w:rPr>
        <w:t>Setren</w:t>
      </w:r>
      <w:proofErr w:type="spellEnd"/>
      <w:r w:rsidR="004B6E3B" w:rsidRPr="008D4CAE">
        <w:rPr>
          <w:sz w:val="22"/>
          <w:szCs w:val="22"/>
        </w:rPr>
        <w:t xml:space="preserve"> Village, specifically in grades 1 to 6 of the </w:t>
      </w:r>
      <w:r w:rsidRPr="008D4CAE">
        <w:rPr>
          <w:sz w:val="22"/>
          <w:szCs w:val="22"/>
        </w:rPr>
        <w:t>elementary school. Meanwhile, the supporting informants are teachers and parents</w:t>
      </w:r>
      <w:r w:rsidRPr="008D4CAE">
        <w:rPr>
          <w:sz w:val="22"/>
          <w:szCs w:val="22"/>
          <w:lang w:val="en-GB"/>
        </w:rPr>
        <w:t>.</w:t>
      </w:r>
    </w:p>
    <w:p w14:paraId="5661BB6D" w14:textId="77777777" w:rsidR="002F5253" w:rsidRPr="008D4CAE" w:rsidRDefault="002F5253" w:rsidP="002F5253">
      <w:pPr>
        <w:pStyle w:val="BodyText"/>
        <w:spacing w:after="14" w:line="276" w:lineRule="auto"/>
        <w:ind w:left="284" w:right="-45" w:firstLine="425"/>
        <w:rPr>
          <w:lang w:val="en-ID"/>
        </w:rPr>
      </w:pPr>
    </w:p>
    <w:p w14:paraId="094B09FB" w14:textId="61A6C85E" w:rsidR="002F5253" w:rsidRPr="008D4CAE" w:rsidRDefault="002F5253" w:rsidP="002F5253">
      <w:pPr>
        <w:pStyle w:val="BodyText"/>
        <w:spacing w:after="14" w:line="276" w:lineRule="auto"/>
        <w:ind w:left="284" w:right="-45" w:firstLine="425"/>
        <w:rPr>
          <w:lang w:val="en-ID"/>
        </w:rPr>
      </w:pPr>
      <w:r w:rsidRPr="008D4CAE">
        <w:rPr>
          <w:lang w:val="en-ID"/>
        </w:rPr>
        <w:t>Three primary methods were employed:</w:t>
      </w:r>
    </w:p>
    <w:p w14:paraId="693ED928" w14:textId="77777777" w:rsidR="002F5253" w:rsidRPr="008D4CAE" w:rsidRDefault="002F5253" w:rsidP="002F5253">
      <w:pPr>
        <w:pStyle w:val="BodyText"/>
        <w:numPr>
          <w:ilvl w:val="2"/>
          <w:numId w:val="25"/>
        </w:numPr>
        <w:spacing w:after="14" w:line="276" w:lineRule="auto"/>
        <w:ind w:left="709" w:right="-45"/>
        <w:rPr>
          <w:lang w:val="en-ID"/>
        </w:rPr>
      </w:pPr>
      <w:r w:rsidRPr="008D4CAE">
        <w:rPr>
          <w:lang w:val="en-ID"/>
        </w:rPr>
        <w:t>Semi-structured interviews: These were carried out with students, parents, and teachers to investigate their experiences and views on literacy activities. Interview guides were created around themes like reading frequency, parental support, and student motivation.</w:t>
      </w:r>
    </w:p>
    <w:p w14:paraId="1BF31C2C" w14:textId="77777777" w:rsidR="002F5253" w:rsidRPr="008D4CAE" w:rsidRDefault="002F5253" w:rsidP="002F5253">
      <w:pPr>
        <w:pStyle w:val="BodyText"/>
        <w:numPr>
          <w:ilvl w:val="2"/>
          <w:numId w:val="25"/>
        </w:numPr>
        <w:spacing w:after="14" w:line="276" w:lineRule="auto"/>
        <w:ind w:left="709" w:right="-45"/>
        <w:rPr>
          <w:lang w:val="en-ID"/>
        </w:rPr>
      </w:pPr>
      <w:r w:rsidRPr="008D4CAE">
        <w:rPr>
          <w:lang w:val="en-ID"/>
        </w:rPr>
        <w:t xml:space="preserve">Participant observation: The researchers observed literacy activities in the classroom (such as reading workshops and storytelling sessions) and documented student </w:t>
      </w:r>
      <w:proofErr w:type="spellStart"/>
      <w:r w:rsidRPr="008D4CAE">
        <w:rPr>
          <w:lang w:val="en-ID"/>
        </w:rPr>
        <w:t>behavior</w:t>
      </w:r>
      <w:proofErr w:type="spellEnd"/>
      <w:r w:rsidRPr="008D4CAE">
        <w:rPr>
          <w:lang w:val="en-ID"/>
        </w:rPr>
        <w:t>, levels of engagement, and interaction patterns.</w:t>
      </w:r>
    </w:p>
    <w:p w14:paraId="4EB3B2AB" w14:textId="3304162F" w:rsidR="002F5253" w:rsidRPr="008D4CAE" w:rsidRDefault="002F5253" w:rsidP="002F5253">
      <w:pPr>
        <w:pStyle w:val="BodyText"/>
        <w:numPr>
          <w:ilvl w:val="2"/>
          <w:numId w:val="25"/>
        </w:numPr>
        <w:spacing w:after="14" w:line="276" w:lineRule="auto"/>
        <w:ind w:left="709" w:right="-45"/>
        <w:rPr>
          <w:lang w:val="en-ID"/>
        </w:rPr>
      </w:pPr>
      <w:r w:rsidRPr="008D4CAE">
        <w:rPr>
          <w:lang w:val="en-ID"/>
        </w:rPr>
        <w:t>Analysis of documents: Literacy reports, student reading logs, and photos from classroom interventions were examined to provide additional context to the interview and observational data.</w:t>
      </w:r>
    </w:p>
    <w:p w14:paraId="49F6F6DE" w14:textId="77777777" w:rsidR="002F5253" w:rsidRPr="008D4CAE" w:rsidRDefault="002F5253" w:rsidP="002F5253">
      <w:pPr>
        <w:pStyle w:val="BodyText"/>
        <w:spacing w:after="14" w:line="276" w:lineRule="auto"/>
        <w:ind w:left="284" w:right="-45" w:firstLine="425"/>
        <w:rPr>
          <w:sz w:val="22"/>
          <w:szCs w:val="22"/>
        </w:rPr>
      </w:pPr>
    </w:p>
    <w:p w14:paraId="2880AA79" w14:textId="5090FEE8" w:rsidR="00FF5DDB" w:rsidRPr="008D4CAE" w:rsidRDefault="004B6E3B" w:rsidP="008C0DD5">
      <w:pPr>
        <w:pStyle w:val="Heading1"/>
        <w:numPr>
          <w:ilvl w:val="0"/>
          <w:numId w:val="8"/>
        </w:numPr>
        <w:spacing w:before="70" w:after="240"/>
        <w:ind w:left="284" w:hanging="284"/>
      </w:pPr>
      <w:r w:rsidRPr="008D4CAE">
        <w:t>Results</w:t>
      </w:r>
      <w:r w:rsidR="00DB3721" w:rsidRPr="008D4CAE">
        <w:t xml:space="preserve"> and Discussion</w:t>
      </w:r>
    </w:p>
    <w:p w14:paraId="137B5E8A" w14:textId="5F6A5811" w:rsidR="002F70A1" w:rsidRPr="008D4CAE" w:rsidRDefault="00DB3721" w:rsidP="004B6E3B">
      <w:pPr>
        <w:spacing w:after="14" w:line="288" w:lineRule="auto"/>
        <w:ind w:left="284" w:firstLine="425"/>
        <w:jc w:val="both"/>
        <w:rPr>
          <w:rFonts w:asciiTheme="majorHAnsi" w:hAnsiTheme="majorHAnsi"/>
          <w:bCs/>
          <w:iCs/>
          <w:lang w:val="en-ID"/>
        </w:rPr>
      </w:pPr>
      <w:r w:rsidRPr="008D4CAE">
        <w:rPr>
          <w:rFonts w:asciiTheme="majorHAnsi" w:hAnsiTheme="majorHAnsi"/>
          <w:bCs/>
          <w:iCs/>
        </w:rPr>
        <w:t xml:space="preserve">The results of research in the field show an increase in literacy skills and interest in reading among elementary school students in </w:t>
      </w:r>
      <w:proofErr w:type="spellStart"/>
      <w:r w:rsidRPr="008D4CAE">
        <w:rPr>
          <w:rFonts w:asciiTheme="majorHAnsi" w:hAnsiTheme="majorHAnsi"/>
          <w:bCs/>
          <w:iCs/>
        </w:rPr>
        <w:t>Setren</w:t>
      </w:r>
      <w:proofErr w:type="spellEnd"/>
      <w:r w:rsidRPr="008D4CAE">
        <w:rPr>
          <w:rFonts w:asciiTheme="majorHAnsi" w:hAnsiTheme="majorHAnsi"/>
          <w:bCs/>
          <w:iCs/>
        </w:rPr>
        <w:t xml:space="preserve"> Village. This will also increase students' understanding of managing various forms of literature. </w:t>
      </w:r>
    </w:p>
    <w:tbl>
      <w:tblPr>
        <w:tblStyle w:val="TableGrid"/>
        <w:tblpPr w:leftFromText="180" w:rightFromText="180" w:vertAnchor="text" w:horzAnchor="margin" w:tblpX="274" w:tblpY="362"/>
        <w:tblW w:w="9171" w:type="dxa"/>
        <w:tblLook w:val="04A0" w:firstRow="1" w:lastRow="0" w:firstColumn="1" w:lastColumn="0" w:noHBand="0" w:noVBand="1"/>
      </w:tblPr>
      <w:tblGrid>
        <w:gridCol w:w="482"/>
        <w:gridCol w:w="1360"/>
        <w:gridCol w:w="750"/>
        <w:gridCol w:w="522"/>
        <w:gridCol w:w="753"/>
        <w:gridCol w:w="665"/>
        <w:gridCol w:w="623"/>
        <w:gridCol w:w="653"/>
        <w:gridCol w:w="7"/>
        <w:gridCol w:w="740"/>
        <w:gridCol w:w="753"/>
        <w:gridCol w:w="630"/>
        <w:gridCol w:w="567"/>
        <w:gridCol w:w="659"/>
        <w:gridCol w:w="7"/>
      </w:tblGrid>
      <w:tr w:rsidR="00DB3721" w:rsidRPr="008D4CAE" w14:paraId="15A69D24" w14:textId="77777777" w:rsidTr="006C75BB">
        <w:tc>
          <w:tcPr>
            <w:tcW w:w="482" w:type="dxa"/>
            <w:vMerge w:val="restart"/>
            <w:tcBorders>
              <w:left w:val="nil"/>
            </w:tcBorders>
            <w:vAlign w:val="center"/>
          </w:tcPr>
          <w:p w14:paraId="52230881" w14:textId="77777777" w:rsidR="00DB3721" w:rsidRPr="008D4CAE" w:rsidRDefault="00DB3721" w:rsidP="00DB3721">
            <w:pPr>
              <w:jc w:val="center"/>
              <w:rPr>
                <w:sz w:val="18"/>
                <w:szCs w:val="18"/>
              </w:rPr>
            </w:pPr>
            <w:r w:rsidRPr="008D4CAE">
              <w:rPr>
                <w:sz w:val="18"/>
                <w:szCs w:val="18"/>
              </w:rPr>
              <w:t>No</w:t>
            </w:r>
          </w:p>
        </w:tc>
        <w:tc>
          <w:tcPr>
            <w:tcW w:w="1360" w:type="dxa"/>
            <w:vMerge w:val="restart"/>
            <w:vAlign w:val="center"/>
          </w:tcPr>
          <w:p w14:paraId="250A186D" w14:textId="77777777" w:rsidR="00DB3721" w:rsidRPr="008D4CAE" w:rsidRDefault="00DB3721" w:rsidP="00DB3721">
            <w:pPr>
              <w:jc w:val="center"/>
              <w:rPr>
                <w:sz w:val="18"/>
                <w:szCs w:val="18"/>
              </w:rPr>
            </w:pPr>
            <w:r w:rsidRPr="008D4CAE">
              <w:rPr>
                <w:sz w:val="18"/>
                <w:szCs w:val="18"/>
              </w:rPr>
              <w:t xml:space="preserve">Nama </w:t>
            </w:r>
            <w:proofErr w:type="spellStart"/>
            <w:r w:rsidRPr="008D4CAE">
              <w:rPr>
                <w:sz w:val="18"/>
                <w:szCs w:val="18"/>
              </w:rPr>
              <w:t>Siswa</w:t>
            </w:r>
            <w:proofErr w:type="spellEnd"/>
          </w:p>
        </w:tc>
        <w:tc>
          <w:tcPr>
            <w:tcW w:w="750" w:type="dxa"/>
            <w:vMerge w:val="restart"/>
            <w:vAlign w:val="center"/>
          </w:tcPr>
          <w:p w14:paraId="0F57E617" w14:textId="77777777" w:rsidR="00DB3721" w:rsidRPr="008D4CAE" w:rsidRDefault="00DB3721" w:rsidP="00DB3721">
            <w:pPr>
              <w:jc w:val="center"/>
              <w:rPr>
                <w:sz w:val="18"/>
                <w:szCs w:val="18"/>
              </w:rPr>
            </w:pPr>
            <w:r w:rsidRPr="008D4CAE">
              <w:rPr>
                <w:sz w:val="18"/>
                <w:szCs w:val="18"/>
              </w:rPr>
              <w:t>Kelas</w:t>
            </w:r>
          </w:p>
        </w:tc>
        <w:tc>
          <w:tcPr>
            <w:tcW w:w="3223" w:type="dxa"/>
            <w:gridSpan w:val="6"/>
          </w:tcPr>
          <w:p w14:paraId="3A22C7B0" w14:textId="77777777" w:rsidR="00DB3721" w:rsidRPr="008D4CAE" w:rsidRDefault="00DB3721" w:rsidP="00DB3721">
            <w:pPr>
              <w:jc w:val="center"/>
              <w:rPr>
                <w:sz w:val="18"/>
                <w:szCs w:val="18"/>
              </w:rPr>
            </w:pPr>
            <w:proofErr w:type="spellStart"/>
            <w:r w:rsidRPr="008D4CAE">
              <w:rPr>
                <w:sz w:val="18"/>
                <w:szCs w:val="18"/>
              </w:rPr>
              <w:t>Kemampuan</w:t>
            </w:r>
            <w:proofErr w:type="spellEnd"/>
            <w:r w:rsidRPr="008D4CAE">
              <w:rPr>
                <w:sz w:val="18"/>
                <w:szCs w:val="18"/>
              </w:rPr>
              <w:t xml:space="preserve"> </w:t>
            </w:r>
            <w:proofErr w:type="spellStart"/>
            <w:r w:rsidRPr="008D4CAE">
              <w:rPr>
                <w:sz w:val="18"/>
                <w:szCs w:val="18"/>
              </w:rPr>
              <w:t>Literasi</w:t>
            </w:r>
            <w:proofErr w:type="spellEnd"/>
          </w:p>
        </w:tc>
        <w:tc>
          <w:tcPr>
            <w:tcW w:w="3356" w:type="dxa"/>
            <w:gridSpan w:val="6"/>
            <w:tcBorders>
              <w:right w:val="nil"/>
            </w:tcBorders>
          </w:tcPr>
          <w:p w14:paraId="635381C7" w14:textId="77777777" w:rsidR="00DB3721" w:rsidRPr="008D4CAE" w:rsidRDefault="00DB3721" w:rsidP="00DB3721">
            <w:pPr>
              <w:jc w:val="center"/>
              <w:rPr>
                <w:sz w:val="18"/>
                <w:szCs w:val="18"/>
              </w:rPr>
            </w:pPr>
            <w:proofErr w:type="spellStart"/>
            <w:r w:rsidRPr="008D4CAE">
              <w:rPr>
                <w:sz w:val="18"/>
                <w:szCs w:val="18"/>
              </w:rPr>
              <w:t>Minat</w:t>
            </w:r>
            <w:proofErr w:type="spellEnd"/>
            <w:r w:rsidRPr="008D4CAE">
              <w:rPr>
                <w:sz w:val="18"/>
                <w:szCs w:val="18"/>
              </w:rPr>
              <w:t xml:space="preserve"> Baca </w:t>
            </w:r>
            <w:proofErr w:type="spellStart"/>
            <w:r w:rsidRPr="008D4CAE">
              <w:rPr>
                <w:sz w:val="18"/>
                <w:szCs w:val="18"/>
              </w:rPr>
              <w:t>Siswa</w:t>
            </w:r>
            <w:proofErr w:type="spellEnd"/>
          </w:p>
        </w:tc>
      </w:tr>
      <w:tr w:rsidR="00DB3721" w:rsidRPr="008D4CAE" w14:paraId="3D9F6223" w14:textId="77777777" w:rsidTr="006C75BB">
        <w:trPr>
          <w:gridAfter w:val="1"/>
          <w:wAfter w:w="7" w:type="dxa"/>
        </w:trPr>
        <w:tc>
          <w:tcPr>
            <w:tcW w:w="482" w:type="dxa"/>
            <w:vMerge/>
            <w:tcBorders>
              <w:left w:val="nil"/>
              <w:bottom w:val="single" w:sz="4" w:space="0" w:color="auto"/>
            </w:tcBorders>
          </w:tcPr>
          <w:p w14:paraId="33E72C7F" w14:textId="77777777" w:rsidR="00DB3721" w:rsidRPr="008D4CAE" w:rsidRDefault="00DB3721" w:rsidP="00DB3721">
            <w:pPr>
              <w:jc w:val="center"/>
              <w:rPr>
                <w:sz w:val="18"/>
                <w:szCs w:val="18"/>
              </w:rPr>
            </w:pPr>
          </w:p>
        </w:tc>
        <w:tc>
          <w:tcPr>
            <w:tcW w:w="1360" w:type="dxa"/>
            <w:vMerge/>
            <w:tcBorders>
              <w:bottom w:val="single" w:sz="4" w:space="0" w:color="auto"/>
            </w:tcBorders>
          </w:tcPr>
          <w:p w14:paraId="46A2C360" w14:textId="77777777" w:rsidR="00DB3721" w:rsidRPr="008D4CAE" w:rsidRDefault="00DB3721" w:rsidP="00DB3721">
            <w:pPr>
              <w:jc w:val="center"/>
              <w:rPr>
                <w:sz w:val="18"/>
                <w:szCs w:val="18"/>
              </w:rPr>
            </w:pPr>
          </w:p>
        </w:tc>
        <w:tc>
          <w:tcPr>
            <w:tcW w:w="750" w:type="dxa"/>
            <w:vMerge/>
            <w:tcBorders>
              <w:bottom w:val="single" w:sz="4" w:space="0" w:color="auto"/>
            </w:tcBorders>
          </w:tcPr>
          <w:p w14:paraId="6D2E1F67" w14:textId="77777777" w:rsidR="00DB3721" w:rsidRPr="008D4CAE" w:rsidRDefault="00DB3721" w:rsidP="00DB3721">
            <w:pPr>
              <w:jc w:val="center"/>
              <w:rPr>
                <w:sz w:val="18"/>
                <w:szCs w:val="18"/>
              </w:rPr>
            </w:pPr>
          </w:p>
        </w:tc>
        <w:tc>
          <w:tcPr>
            <w:tcW w:w="522" w:type="dxa"/>
            <w:tcBorders>
              <w:bottom w:val="single" w:sz="4" w:space="0" w:color="auto"/>
            </w:tcBorders>
          </w:tcPr>
          <w:p w14:paraId="1D7790FB" w14:textId="77777777" w:rsidR="00DB3721" w:rsidRPr="008D4CAE" w:rsidRDefault="00DB3721" w:rsidP="00DB3721">
            <w:pPr>
              <w:jc w:val="center"/>
              <w:rPr>
                <w:sz w:val="18"/>
                <w:szCs w:val="18"/>
              </w:rPr>
            </w:pPr>
            <w:r w:rsidRPr="008D4CAE">
              <w:rPr>
                <w:sz w:val="18"/>
                <w:szCs w:val="18"/>
              </w:rPr>
              <w:t>Juli</w:t>
            </w:r>
          </w:p>
        </w:tc>
        <w:tc>
          <w:tcPr>
            <w:tcW w:w="753" w:type="dxa"/>
            <w:tcBorders>
              <w:bottom w:val="single" w:sz="4" w:space="0" w:color="auto"/>
            </w:tcBorders>
          </w:tcPr>
          <w:p w14:paraId="0F01A9A7" w14:textId="77777777" w:rsidR="00DB3721" w:rsidRPr="008D4CAE" w:rsidRDefault="00DB3721" w:rsidP="00DB3721">
            <w:pPr>
              <w:jc w:val="center"/>
              <w:rPr>
                <w:sz w:val="18"/>
                <w:szCs w:val="18"/>
              </w:rPr>
            </w:pPr>
            <w:proofErr w:type="spellStart"/>
            <w:r w:rsidRPr="008D4CAE">
              <w:rPr>
                <w:sz w:val="18"/>
                <w:szCs w:val="18"/>
              </w:rPr>
              <w:t>Agust</w:t>
            </w:r>
            <w:proofErr w:type="spellEnd"/>
          </w:p>
        </w:tc>
        <w:tc>
          <w:tcPr>
            <w:tcW w:w="665" w:type="dxa"/>
            <w:tcBorders>
              <w:bottom w:val="single" w:sz="4" w:space="0" w:color="auto"/>
            </w:tcBorders>
          </w:tcPr>
          <w:p w14:paraId="4DD6358C" w14:textId="77777777" w:rsidR="00DB3721" w:rsidRPr="008D4CAE" w:rsidRDefault="00DB3721" w:rsidP="00DB3721">
            <w:pPr>
              <w:jc w:val="center"/>
              <w:rPr>
                <w:sz w:val="18"/>
                <w:szCs w:val="18"/>
              </w:rPr>
            </w:pPr>
            <w:r w:rsidRPr="008D4CAE">
              <w:rPr>
                <w:sz w:val="18"/>
                <w:szCs w:val="18"/>
              </w:rPr>
              <w:t>Sept</w:t>
            </w:r>
          </w:p>
        </w:tc>
        <w:tc>
          <w:tcPr>
            <w:tcW w:w="623" w:type="dxa"/>
            <w:tcBorders>
              <w:bottom w:val="single" w:sz="4" w:space="0" w:color="auto"/>
            </w:tcBorders>
          </w:tcPr>
          <w:p w14:paraId="2DD11972" w14:textId="77777777" w:rsidR="00DB3721" w:rsidRPr="008D4CAE" w:rsidRDefault="00DB3721" w:rsidP="00DB3721">
            <w:pPr>
              <w:jc w:val="center"/>
              <w:rPr>
                <w:sz w:val="18"/>
                <w:szCs w:val="18"/>
              </w:rPr>
            </w:pPr>
            <w:proofErr w:type="spellStart"/>
            <w:r w:rsidRPr="008D4CAE">
              <w:rPr>
                <w:sz w:val="18"/>
                <w:szCs w:val="18"/>
              </w:rPr>
              <w:t>Okt</w:t>
            </w:r>
            <w:proofErr w:type="spellEnd"/>
          </w:p>
        </w:tc>
        <w:tc>
          <w:tcPr>
            <w:tcW w:w="653" w:type="dxa"/>
            <w:tcBorders>
              <w:bottom w:val="single" w:sz="4" w:space="0" w:color="auto"/>
            </w:tcBorders>
          </w:tcPr>
          <w:p w14:paraId="49C9FF3C" w14:textId="77777777" w:rsidR="00DB3721" w:rsidRPr="008D4CAE" w:rsidRDefault="00DB3721" w:rsidP="00DB3721">
            <w:pPr>
              <w:jc w:val="center"/>
              <w:rPr>
                <w:sz w:val="18"/>
                <w:szCs w:val="18"/>
              </w:rPr>
            </w:pPr>
            <w:r w:rsidRPr="008D4CAE">
              <w:rPr>
                <w:sz w:val="18"/>
                <w:szCs w:val="18"/>
              </w:rPr>
              <w:t>Nov</w:t>
            </w:r>
          </w:p>
        </w:tc>
        <w:tc>
          <w:tcPr>
            <w:tcW w:w="747" w:type="dxa"/>
            <w:gridSpan w:val="2"/>
            <w:tcBorders>
              <w:bottom w:val="single" w:sz="4" w:space="0" w:color="auto"/>
            </w:tcBorders>
          </w:tcPr>
          <w:p w14:paraId="65516BF3" w14:textId="77777777" w:rsidR="00DB3721" w:rsidRPr="008D4CAE" w:rsidRDefault="00DB3721" w:rsidP="00DB3721">
            <w:pPr>
              <w:jc w:val="center"/>
              <w:rPr>
                <w:sz w:val="18"/>
                <w:szCs w:val="18"/>
              </w:rPr>
            </w:pPr>
            <w:r w:rsidRPr="008D4CAE">
              <w:rPr>
                <w:sz w:val="18"/>
                <w:szCs w:val="18"/>
              </w:rPr>
              <w:t>Juli</w:t>
            </w:r>
          </w:p>
        </w:tc>
        <w:tc>
          <w:tcPr>
            <w:tcW w:w="753" w:type="dxa"/>
            <w:tcBorders>
              <w:bottom w:val="single" w:sz="4" w:space="0" w:color="auto"/>
            </w:tcBorders>
          </w:tcPr>
          <w:p w14:paraId="7FA72A3B" w14:textId="77777777" w:rsidR="00DB3721" w:rsidRPr="008D4CAE" w:rsidRDefault="00DB3721" w:rsidP="00DB3721">
            <w:pPr>
              <w:jc w:val="center"/>
              <w:rPr>
                <w:sz w:val="18"/>
                <w:szCs w:val="18"/>
              </w:rPr>
            </w:pPr>
            <w:proofErr w:type="spellStart"/>
            <w:r w:rsidRPr="008D4CAE">
              <w:rPr>
                <w:sz w:val="18"/>
                <w:szCs w:val="18"/>
              </w:rPr>
              <w:t>Agust</w:t>
            </w:r>
            <w:proofErr w:type="spellEnd"/>
          </w:p>
        </w:tc>
        <w:tc>
          <w:tcPr>
            <w:tcW w:w="630" w:type="dxa"/>
            <w:tcBorders>
              <w:bottom w:val="single" w:sz="4" w:space="0" w:color="auto"/>
            </w:tcBorders>
          </w:tcPr>
          <w:p w14:paraId="4B0C1B49" w14:textId="77777777" w:rsidR="00DB3721" w:rsidRPr="008D4CAE" w:rsidRDefault="00DB3721" w:rsidP="00DB3721">
            <w:pPr>
              <w:jc w:val="center"/>
              <w:rPr>
                <w:sz w:val="18"/>
                <w:szCs w:val="18"/>
              </w:rPr>
            </w:pPr>
            <w:r w:rsidRPr="008D4CAE">
              <w:rPr>
                <w:sz w:val="18"/>
                <w:szCs w:val="18"/>
              </w:rPr>
              <w:t>Sept</w:t>
            </w:r>
          </w:p>
        </w:tc>
        <w:tc>
          <w:tcPr>
            <w:tcW w:w="567" w:type="dxa"/>
            <w:tcBorders>
              <w:bottom w:val="single" w:sz="4" w:space="0" w:color="auto"/>
            </w:tcBorders>
          </w:tcPr>
          <w:p w14:paraId="2A7F911E" w14:textId="77777777" w:rsidR="00DB3721" w:rsidRPr="008D4CAE" w:rsidRDefault="00DB3721" w:rsidP="00DB3721">
            <w:pPr>
              <w:jc w:val="center"/>
              <w:rPr>
                <w:sz w:val="18"/>
                <w:szCs w:val="18"/>
              </w:rPr>
            </w:pPr>
            <w:proofErr w:type="spellStart"/>
            <w:r w:rsidRPr="008D4CAE">
              <w:rPr>
                <w:sz w:val="18"/>
                <w:szCs w:val="18"/>
              </w:rPr>
              <w:t>Okt</w:t>
            </w:r>
            <w:proofErr w:type="spellEnd"/>
          </w:p>
        </w:tc>
        <w:tc>
          <w:tcPr>
            <w:tcW w:w="659" w:type="dxa"/>
            <w:tcBorders>
              <w:bottom w:val="single" w:sz="4" w:space="0" w:color="auto"/>
              <w:right w:val="nil"/>
            </w:tcBorders>
          </w:tcPr>
          <w:p w14:paraId="7AEEFE51" w14:textId="77777777" w:rsidR="00DB3721" w:rsidRPr="008D4CAE" w:rsidRDefault="00DB3721" w:rsidP="00DB3721">
            <w:pPr>
              <w:jc w:val="center"/>
              <w:rPr>
                <w:sz w:val="18"/>
                <w:szCs w:val="18"/>
              </w:rPr>
            </w:pPr>
            <w:r w:rsidRPr="008D4CAE">
              <w:rPr>
                <w:sz w:val="18"/>
                <w:szCs w:val="18"/>
              </w:rPr>
              <w:t>Nov</w:t>
            </w:r>
          </w:p>
        </w:tc>
      </w:tr>
      <w:tr w:rsidR="00DB3721" w:rsidRPr="008D4CAE" w14:paraId="61B323C2" w14:textId="77777777" w:rsidTr="006C75BB">
        <w:trPr>
          <w:gridAfter w:val="1"/>
          <w:wAfter w:w="7" w:type="dxa"/>
        </w:trPr>
        <w:tc>
          <w:tcPr>
            <w:tcW w:w="482" w:type="dxa"/>
            <w:tcBorders>
              <w:top w:val="single" w:sz="4" w:space="0" w:color="auto"/>
              <w:left w:val="nil"/>
              <w:bottom w:val="nil"/>
              <w:right w:val="nil"/>
            </w:tcBorders>
            <w:vAlign w:val="center"/>
          </w:tcPr>
          <w:p w14:paraId="2684A42B" w14:textId="77777777" w:rsidR="00DB3721" w:rsidRPr="008D4CAE" w:rsidRDefault="00DB3721" w:rsidP="00DB3721">
            <w:pPr>
              <w:jc w:val="center"/>
              <w:rPr>
                <w:sz w:val="18"/>
                <w:szCs w:val="18"/>
              </w:rPr>
            </w:pPr>
            <w:r w:rsidRPr="008D4CAE">
              <w:rPr>
                <w:sz w:val="18"/>
                <w:szCs w:val="18"/>
              </w:rPr>
              <w:t>1</w:t>
            </w:r>
          </w:p>
        </w:tc>
        <w:tc>
          <w:tcPr>
            <w:tcW w:w="1360" w:type="dxa"/>
            <w:tcBorders>
              <w:top w:val="single" w:sz="4" w:space="0" w:color="auto"/>
              <w:left w:val="nil"/>
              <w:bottom w:val="nil"/>
              <w:right w:val="nil"/>
            </w:tcBorders>
          </w:tcPr>
          <w:p w14:paraId="499ADC17" w14:textId="77777777" w:rsidR="00DB3721" w:rsidRPr="008D4CAE" w:rsidRDefault="00DB3721" w:rsidP="00DB3721">
            <w:pPr>
              <w:rPr>
                <w:sz w:val="18"/>
                <w:szCs w:val="18"/>
              </w:rPr>
            </w:pPr>
            <w:r w:rsidRPr="008D4CAE">
              <w:rPr>
                <w:sz w:val="18"/>
                <w:szCs w:val="18"/>
              </w:rPr>
              <w:t xml:space="preserve">Adeeva. F </w:t>
            </w:r>
          </w:p>
        </w:tc>
        <w:tc>
          <w:tcPr>
            <w:tcW w:w="750" w:type="dxa"/>
            <w:tcBorders>
              <w:top w:val="single" w:sz="4" w:space="0" w:color="auto"/>
              <w:left w:val="nil"/>
              <w:bottom w:val="nil"/>
              <w:right w:val="nil"/>
            </w:tcBorders>
            <w:vAlign w:val="center"/>
          </w:tcPr>
          <w:p w14:paraId="54FA295C" w14:textId="77777777" w:rsidR="00DB3721" w:rsidRPr="008D4CAE" w:rsidRDefault="00DB3721" w:rsidP="00DB3721">
            <w:pPr>
              <w:jc w:val="center"/>
              <w:rPr>
                <w:sz w:val="18"/>
                <w:szCs w:val="18"/>
              </w:rPr>
            </w:pPr>
            <w:r w:rsidRPr="008D4CAE">
              <w:rPr>
                <w:sz w:val="18"/>
                <w:szCs w:val="18"/>
              </w:rPr>
              <w:t>1</w:t>
            </w:r>
          </w:p>
        </w:tc>
        <w:tc>
          <w:tcPr>
            <w:tcW w:w="522" w:type="dxa"/>
            <w:tcBorders>
              <w:top w:val="single" w:sz="4" w:space="0" w:color="auto"/>
              <w:left w:val="nil"/>
              <w:bottom w:val="nil"/>
              <w:right w:val="nil"/>
            </w:tcBorders>
            <w:vAlign w:val="center"/>
          </w:tcPr>
          <w:p w14:paraId="1C118172" w14:textId="77777777" w:rsidR="00DB3721" w:rsidRPr="008D4CAE" w:rsidRDefault="00DB3721" w:rsidP="00DB3721">
            <w:pPr>
              <w:jc w:val="center"/>
              <w:rPr>
                <w:sz w:val="18"/>
                <w:szCs w:val="18"/>
              </w:rPr>
            </w:pPr>
            <w:r w:rsidRPr="008D4CAE">
              <w:rPr>
                <w:sz w:val="18"/>
                <w:szCs w:val="18"/>
              </w:rPr>
              <w:t>C</w:t>
            </w:r>
          </w:p>
        </w:tc>
        <w:tc>
          <w:tcPr>
            <w:tcW w:w="753" w:type="dxa"/>
            <w:tcBorders>
              <w:top w:val="single" w:sz="4" w:space="0" w:color="auto"/>
              <w:left w:val="nil"/>
              <w:bottom w:val="nil"/>
              <w:right w:val="nil"/>
            </w:tcBorders>
            <w:vAlign w:val="center"/>
          </w:tcPr>
          <w:p w14:paraId="669FAFC7" w14:textId="77777777" w:rsidR="00DB3721" w:rsidRPr="008D4CAE" w:rsidRDefault="00DB3721" w:rsidP="00DB3721">
            <w:pPr>
              <w:jc w:val="center"/>
              <w:rPr>
                <w:sz w:val="18"/>
                <w:szCs w:val="18"/>
              </w:rPr>
            </w:pPr>
            <w:r w:rsidRPr="008D4CAE">
              <w:rPr>
                <w:sz w:val="18"/>
                <w:szCs w:val="18"/>
              </w:rPr>
              <w:t>C</w:t>
            </w:r>
          </w:p>
        </w:tc>
        <w:tc>
          <w:tcPr>
            <w:tcW w:w="665" w:type="dxa"/>
            <w:tcBorders>
              <w:top w:val="single" w:sz="4" w:space="0" w:color="auto"/>
              <w:left w:val="nil"/>
              <w:bottom w:val="nil"/>
              <w:right w:val="nil"/>
            </w:tcBorders>
            <w:vAlign w:val="center"/>
          </w:tcPr>
          <w:p w14:paraId="17275C6F" w14:textId="77777777" w:rsidR="00DB3721" w:rsidRPr="008D4CAE" w:rsidRDefault="00DB3721" w:rsidP="00DB3721">
            <w:pPr>
              <w:jc w:val="center"/>
              <w:rPr>
                <w:sz w:val="18"/>
                <w:szCs w:val="18"/>
              </w:rPr>
            </w:pPr>
            <w:r w:rsidRPr="008D4CAE">
              <w:rPr>
                <w:sz w:val="18"/>
                <w:szCs w:val="18"/>
              </w:rPr>
              <w:t>B</w:t>
            </w:r>
          </w:p>
        </w:tc>
        <w:tc>
          <w:tcPr>
            <w:tcW w:w="623" w:type="dxa"/>
            <w:tcBorders>
              <w:top w:val="single" w:sz="4" w:space="0" w:color="auto"/>
              <w:left w:val="nil"/>
              <w:bottom w:val="nil"/>
              <w:right w:val="nil"/>
            </w:tcBorders>
            <w:vAlign w:val="center"/>
          </w:tcPr>
          <w:p w14:paraId="5C11BA75" w14:textId="77777777" w:rsidR="00DB3721" w:rsidRPr="008D4CAE" w:rsidRDefault="00DB3721" w:rsidP="00DB3721">
            <w:pPr>
              <w:jc w:val="center"/>
              <w:rPr>
                <w:sz w:val="18"/>
                <w:szCs w:val="18"/>
              </w:rPr>
            </w:pPr>
            <w:r w:rsidRPr="008D4CAE">
              <w:rPr>
                <w:sz w:val="18"/>
                <w:szCs w:val="18"/>
              </w:rPr>
              <w:t>B</w:t>
            </w:r>
          </w:p>
        </w:tc>
        <w:tc>
          <w:tcPr>
            <w:tcW w:w="653" w:type="dxa"/>
            <w:tcBorders>
              <w:top w:val="single" w:sz="4" w:space="0" w:color="auto"/>
              <w:left w:val="nil"/>
              <w:bottom w:val="nil"/>
              <w:right w:val="nil"/>
            </w:tcBorders>
            <w:vAlign w:val="center"/>
          </w:tcPr>
          <w:p w14:paraId="2F2AF3D2" w14:textId="77777777" w:rsidR="00DB3721" w:rsidRPr="008D4CAE" w:rsidRDefault="00DB3721" w:rsidP="00DB3721">
            <w:pPr>
              <w:jc w:val="center"/>
              <w:rPr>
                <w:sz w:val="18"/>
                <w:szCs w:val="18"/>
              </w:rPr>
            </w:pPr>
            <w:r w:rsidRPr="008D4CAE">
              <w:rPr>
                <w:sz w:val="18"/>
                <w:szCs w:val="18"/>
              </w:rPr>
              <w:t>B</w:t>
            </w:r>
          </w:p>
        </w:tc>
        <w:tc>
          <w:tcPr>
            <w:tcW w:w="747" w:type="dxa"/>
            <w:gridSpan w:val="2"/>
            <w:tcBorders>
              <w:top w:val="single" w:sz="4" w:space="0" w:color="auto"/>
              <w:left w:val="nil"/>
              <w:bottom w:val="nil"/>
              <w:right w:val="nil"/>
            </w:tcBorders>
            <w:vAlign w:val="center"/>
          </w:tcPr>
          <w:p w14:paraId="1DD8868C" w14:textId="77777777" w:rsidR="00DB3721" w:rsidRPr="008D4CAE" w:rsidRDefault="00DB3721" w:rsidP="00DB3721">
            <w:pPr>
              <w:jc w:val="center"/>
              <w:rPr>
                <w:sz w:val="18"/>
                <w:szCs w:val="18"/>
              </w:rPr>
            </w:pPr>
            <w:r w:rsidRPr="008D4CAE">
              <w:rPr>
                <w:sz w:val="18"/>
                <w:szCs w:val="18"/>
              </w:rPr>
              <w:t>B</w:t>
            </w:r>
          </w:p>
        </w:tc>
        <w:tc>
          <w:tcPr>
            <w:tcW w:w="753" w:type="dxa"/>
            <w:tcBorders>
              <w:top w:val="single" w:sz="4" w:space="0" w:color="auto"/>
              <w:left w:val="nil"/>
              <w:bottom w:val="nil"/>
              <w:right w:val="nil"/>
            </w:tcBorders>
            <w:vAlign w:val="center"/>
          </w:tcPr>
          <w:p w14:paraId="16AE78BC" w14:textId="77777777" w:rsidR="00DB3721" w:rsidRPr="008D4CAE" w:rsidRDefault="00DB3721" w:rsidP="00DB3721">
            <w:pPr>
              <w:jc w:val="center"/>
              <w:rPr>
                <w:sz w:val="18"/>
                <w:szCs w:val="18"/>
              </w:rPr>
            </w:pPr>
            <w:r w:rsidRPr="008D4CAE">
              <w:rPr>
                <w:sz w:val="18"/>
                <w:szCs w:val="18"/>
              </w:rPr>
              <w:t>B</w:t>
            </w:r>
          </w:p>
        </w:tc>
        <w:tc>
          <w:tcPr>
            <w:tcW w:w="630" w:type="dxa"/>
            <w:tcBorders>
              <w:top w:val="single" w:sz="4" w:space="0" w:color="auto"/>
              <w:left w:val="nil"/>
              <w:bottom w:val="nil"/>
              <w:right w:val="nil"/>
            </w:tcBorders>
            <w:vAlign w:val="center"/>
          </w:tcPr>
          <w:p w14:paraId="3E5A8FE6" w14:textId="77777777" w:rsidR="00DB3721" w:rsidRPr="008D4CAE" w:rsidRDefault="00DB3721" w:rsidP="00DB3721">
            <w:pPr>
              <w:jc w:val="center"/>
              <w:rPr>
                <w:sz w:val="18"/>
                <w:szCs w:val="18"/>
              </w:rPr>
            </w:pPr>
            <w:r w:rsidRPr="008D4CAE">
              <w:rPr>
                <w:sz w:val="18"/>
                <w:szCs w:val="18"/>
              </w:rPr>
              <w:t>B</w:t>
            </w:r>
          </w:p>
        </w:tc>
        <w:tc>
          <w:tcPr>
            <w:tcW w:w="567" w:type="dxa"/>
            <w:tcBorders>
              <w:top w:val="single" w:sz="4" w:space="0" w:color="auto"/>
              <w:left w:val="nil"/>
              <w:bottom w:val="nil"/>
              <w:right w:val="nil"/>
            </w:tcBorders>
            <w:vAlign w:val="center"/>
          </w:tcPr>
          <w:p w14:paraId="334F4EF6" w14:textId="77777777" w:rsidR="00DB3721" w:rsidRPr="008D4CAE" w:rsidRDefault="00DB3721" w:rsidP="00DB3721">
            <w:pPr>
              <w:jc w:val="center"/>
              <w:rPr>
                <w:sz w:val="18"/>
                <w:szCs w:val="18"/>
              </w:rPr>
            </w:pPr>
            <w:r w:rsidRPr="008D4CAE">
              <w:rPr>
                <w:sz w:val="18"/>
                <w:szCs w:val="18"/>
              </w:rPr>
              <w:t>B</w:t>
            </w:r>
          </w:p>
        </w:tc>
        <w:tc>
          <w:tcPr>
            <w:tcW w:w="659" w:type="dxa"/>
            <w:tcBorders>
              <w:top w:val="single" w:sz="4" w:space="0" w:color="auto"/>
              <w:left w:val="nil"/>
              <w:bottom w:val="nil"/>
              <w:right w:val="nil"/>
            </w:tcBorders>
            <w:vAlign w:val="center"/>
          </w:tcPr>
          <w:p w14:paraId="0494F622" w14:textId="77777777" w:rsidR="00DB3721" w:rsidRPr="008D4CAE" w:rsidRDefault="00DB3721" w:rsidP="00DB3721">
            <w:pPr>
              <w:jc w:val="center"/>
              <w:rPr>
                <w:sz w:val="18"/>
                <w:szCs w:val="18"/>
              </w:rPr>
            </w:pPr>
            <w:r w:rsidRPr="008D4CAE">
              <w:rPr>
                <w:sz w:val="18"/>
                <w:szCs w:val="18"/>
              </w:rPr>
              <w:t>A</w:t>
            </w:r>
          </w:p>
        </w:tc>
      </w:tr>
      <w:tr w:rsidR="00DB3721" w:rsidRPr="008D4CAE" w14:paraId="11A2EF01" w14:textId="77777777" w:rsidTr="00DB3721">
        <w:trPr>
          <w:gridAfter w:val="1"/>
          <w:wAfter w:w="7" w:type="dxa"/>
        </w:trPr>
        <w:tc>
          <w:tcPr>
            <w:tcW w:w="482" w:type="dxa"/>
            <w:tcBorders>
              <w:top w:val="nil"/>
              <w:left w:val="nil"/>
              <w:bottom w:val="nil"/>
              <w:right w:val="nil"/>
            </w:tcBorders>
            <w:vAlign w:val="center"/>
          </w:tcPr>
          <w:p w14:paraId="306FA62A" w14:textId="77777777" w:rsidR="00DB3721" w:rsidRPr="008D4CAE" w:rsidRDefault="00DB3721" w:rsidP="00DB3721">
            <w:pPr>
              <w:jc w:val="center"/>
              <w:rPr>
                <w:sz w:val="18"/>
                <w:szCs w:val="18"/>
              </w:rPr>
            </w:pPr>
            <w:r w:rsidRPr="008D4CAE">
              <w:rPr>
                <w:sz w:val="18"/>
                <w:szCs w:val="18"/>
              </w:rPr>
              <w:t>2</w:t>
            </w:r>
          </w:p>
        </w:tc>
        <w:tc>
          <w:tcPr>
            <w:tcW w:w="1360" w:type="dxa"/>
            <w:tcBorders>
              <w:top w:val="nil"/>
              <w:left w:val="nil"/>
              <w:bottom w:val="nil"/>
              <w:right w:val="nil"/>
            </w:tcBorders>
          </w:tcPr>
          <w:p w14:paraId="4646672F" w14:textId="77777777" w:rsidR="00DB3721" w:rsidRPr="008D4CAE" w:rsidRDefault="00DB3721" w:rsidP="00DB3721">
            <w:pPr>
              <w:rPr>
                <w:sz w:val="18"/>
                <w:szCs w:val="18"/>
              </w:rPr>
            </w:pPr>
            <w:r w:rsidRPr="008D4CAE">
              <w:rPr>
                <w:sz w:val="18"/>
                <w:szCs w:val="18"/>
              </w:rPr>
              <w:t>David Edo</w:t>
            </w:r>
          </w:p>
        </w:tc>
        <w:tc>
          <w:tcPr>
            <w:tcW w:w="750" w:type="dxa"/>
            <w:tcBorders>
              <w:top w:val="nil"/>
              <w:left w:val="nil"/>
              <w:bottom w:val="nil"/>
              <w:right w:val="nil"/>
            </w:tcBorders>
            <w:vAlign w:val="center"/>
          </w:tcPr>
          <w:p w14:paraId="15F14C52" w14:textId="77777777" w:rsidR="00DB3721" w:rsidRPr="008D4CAE" w:rsidRDefault="00DB3721" w:rsidP="00DB3721">
            <w:pPr>
              <w:jc w:val="center"/>
              <w:rPr>
                <w:sz w:val="18"/>
                <w:szCs w:val="18"/>
              </w:rPr>
            </w:pPr>
            <w:r w:rsidRPr="008D4CAE">
              <w:rPr>
                <w:sz w:val="18"/>
                <w:szCs w:val="18"/>
              </w:rPr>
              <w:t>1</w:t>
            </w:r>
          </w:p>
        </w:tc>
        <w:tc>
          <w:tcPr>
            <w:tcW w:w="522" w:type="dxa"/>
            <w:tcBorders>
              <w:top w:val="nil"/>
              <w:left w:val="nil"/>
              <w:bottom w:val="nil"/>
              <w:right w:val="nil"/>
            </w:tcBorders>
            <w:vAlign w:val="center"/>
          </w:tcPr>
          <w:p w14:paraId="65099BE3" w14:textId="77777777" w:rsidR="00DB3721" w:rsidRPr="008D4CAE" w:rsidRDefault="00DB3721" w:rsidP="00DB3721">
            <w:pPr>
              <w:jc w:val="center"/>
              <w:rPr>
                <w:sz w:val="18"/>
                <w:szCs w:val="18"/>
              </w:rPr>
            </w:pPr>
            <w:r w:rsidRPr="008D4CAE">
              <w:rPr>
                <w:sz w:val="18"/>
                <w:szCs w:val="18"/>
              </w:rPr>
              <w:t>D</w:t>
            </w:r>
          </w:p>
        </w:tc>
        <w:tc>
          <w:tcPr>
            <w:tcW w:w="753" w:type="dxa"/>
            <w:tcBorders>
              <w:top w:val="nil"/>
              <w:left w:val="nil"/>
              <w:bottom w:val="nil"/>
              <w:right w:val="nil"/>
            </w:tcBorders>
            <w:vAlign w:val="center"/>
          </w:tcPr>
          <w:p w14:paraId="3CAE32D9" w14:textId="77777777" w:rsidR="00DB3721" w:rsidRPr="008D4CAE" w:rsidRDefault="00DB3721" w:rsidP="00DB3721">
            <w:pPr>
              <w:jc w:val="center"/>
              <w:rPr>
                <w:sz w:val="18"/>
                <w:szCs w:val="18"/>
              </w:rPr>
            </w:pPr>
            <w:r w:rsidRPr="008D4CAE">
              <w:rPr>
                <w:sz w:val="18"/>
                <w:szCs w:val="18"/>
              </w:rPr>
              <w:t>D</w:t>
            </w:r>
          </w:p>
        </w:tc>
        <w:tc>
          <w:tcPr>
            <w:tcW w:w="665" w:type="dxa"/>
            <w:tcBorders>
              <w:top w:val="nil"/>
              <w:left w:val="nil"/>
              <w:bottom w:val="nil"/>
              <w:right w:val="nil"/>
            </w:tcBorders>
            <w:vAlign w:val="center"/>
          </w:tcPr>
          <w:p w14:paraId="01E19171" w14:textId="77777777" w:rsidR="00DB3721" w:rsidRPr="008D4CAE" w:rsidRDefault="00DB3721" w:rsidP="00DB3721">
            <w:pPr>
              <w:jc w:val="center"/>
              <w:rPr>
                <w:sz w:val="18"/>
                <w:szCs w:val="18"/>
              </w:rPr>
            </w:pPr>
            <w:r w:rsidRPr="008D4CAE">
              <w:rPr>
                <w:sz w:val="18"/>
                <w:szCs w:val="18"/>
              </w:rPr>
              <w:t>C</w:t>
            </w:r>
          </w:p>
        </w:tc>
        <w:tc>
          <w:tcPr>
            <w:tcW w:w="623" w:type="dxa"/>
            <w:tcBorders>
              <w:top w:val="nil"/>
              <w:left w:val="nil"/>
              <w:bottom w:val="nil"/>
              <w:right w:val="nil"/>
            </w:tcBorders>
            <w:vAlign w:val="center"/>
          </w:tcPr>
          <w:p w14:paraId="45955106" w14:textId="77777777" w:rsidR="00DB3721" w:rsidRPr="008D4CAE" w:rsidRDefault="00DB3721" w:rsidP="00DB3721">
            <w:pPr>
              <w:jc w:val="center"/>
              <w:rPr>
                <w:sz w:val="18"/>
                <w:szCs w:val="18"/>
              </w:rPr>
            </w:pPr>
            <w:r w:rsidRPr="008D4CAE">
              <w:rPr>
                <w:sz w:val="18"/>
                <w:szCs w:val="18"/>
              </w:rPr>
              <w:t>C</w:t>
            </w:r>
          </w:p>
        </w:tc>
        <w:tc>
          <w:tcPr>
            <w:tcW w:w="653" w:type="dxa"/>
            <w:tcBorders>
              <w:top w:val="nil"/>
              <w:left w:val="nil"/>
              <w:bottom w:val="nil"/>
              <w:right w:val="nil"/>
            </w:tcBorders>
            <w:vAlign w:val="center"/>
          </w:tcPr>
          <w:p w14:paraId="0C523D22" w14:textId="77777777" w:rsidR="00DB3721" w:rsidRPr="008D4CAE" w:rsidRDefault="00DB3721" w:rsidP="00DB3721">
            <w:pPr>
              <w:jc w:val="center"/>
              <w:rPr>
                <w:sz w:val="18"/>
                <w:szCs w:val="18"/>
              </w:rPr>
            </w:pPr>
            <w:r w:rsidRPr="008D4CAE">
              <w:rPr>
                <w:sz w:val="18"/>
                <w:szCs w:val="18"/>
              </w:rPr>
              <w:t>B</w:t>
            </w:r>
          </w:p>
        </w:tc>
        <w:tc>
          <w:tcPr>
            <w:tcW w:w="747" w:type="dxa"/>
            <w:gridSpan w:val="2"/>
            <w:tcBorders>
              <w:top w:val="nil"/>
              <w:left w:val="nil"/>
              <w:bottom w:val="nil"/>
              <w:right w:val="nil"/>
            </w:tcBorders>
            <w:vAlign w:val="center"/>
          </w:tcPr>
          <w:p w14:paraId="4A0005B0"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7DE6FD96" w14:textId="77777777" w:rsidR="00DB3721" w:rsidRPr="008D4CAE" w:rsidRDefault="00DB3721" w:rsidP="00DB3721">
            <w:pPr>
              <w:jc w:val="center"/>
              <w:rPr>
                <w:sz w:val="18"/>
                <w:szCs w:val="18"/>
              </w:rPr>
            </w:pPr>
            <w:r w:rsidRPr="008D4CAE">
              <w:rPr>
                <w:sz w:val="18"/>
                <w:szCs w:val="18"/>
              </w:rPr>
              <w:t>C</w:t>
            </w:r>
          </w:p>
        </w:tc>
        <w:tc>
          <w:tcPr>
            <w:tcW w:w="630" w:type="dxa"/>
            <w:tcBorders>
              <w:top w:val="nil"/>
              <w:left w:val="nil"/>
              <w:bottom w:val="nil"/>
              <w:right w:val="nil"/>
            </w:tcBorders>
            <w:vAlign w:val="center"/>
          </w:tcPr>
          <w:p w14:paraId="219B5CBA" w14:textId="77777777" w:rsidR="00DB3721" w:rsidRPr="008D4CAE" w:rsidRDefault="00DB3721" w:rsidP="00DB3721">
            <w:pPr>
              <w:jc w:val="center"/>
              <w:rPr>
                <w:sz w:val="18"/>
                <w:szCs w:val="18"/>
              </w:rPr>
            </w:pPr>
            <w:r w:rsidRPr="008D4CAE">
              <w:rPr>
                <w:sz w:val="18"/>
                <w:szCs w:val="18"/>
              </w:rPr>
              <w:t>B</w:t>
            </w:r>
          </w:p>
        </w:tc>
        <w:tc>
          <w:tcPr>
            <w:tcW w:w="567" w:type="dxa"/>
            <w:tcBorders>
              <w:top w:val="nil"/>
              <w:left w:val="nil"/>
              <w:bottom w:val="nil"/>
              <w:right w:val="nil"/>
            </w:tcBorders>
            <w:vAlign w:val="center"/>
          </w:tcPr>
          <w:p w14:paraId="60412183" w14:textId="77777777" w:rsidR="00DB3721" w:rsidRPr="008D4CAE" w:rsidRDefault="00DB3721" w:rsidP="00DB3721">
            <w:pPr>
              <w:jc w:val="center"/>
              <w:rPr>
                <w:sz w:val="18"/>
                <w:szCs w:val="18"/>
              </w:rPr>
            </w:pPr>
            <w:r w:rsidRPr="008D4CAE">
              <w:rPr>
                <w:sz w:val="18"/>
                <w:szCs w:val="18"/>
              </w:rPr>
              <w:t>B</w:t>
            </w:r>
          </w:p>
        </w:tc>
        <w:tc>
          <w:tcPr>
            <w:tcW w:w="659" w:type="dxa"/>
            <w:tcBorders>
              <w:top w:val="nil"/>
              <w:left w:val="nil"/>
              <w:bottom w:val="nil"/>
              <w:right w:val="nil"/>
            </w:tcBorders>
            <w:vAlign w:val="center"/>
          </w:tcPr>
          <w:p w14:paraId="3DAF858B" w14:textId="77777777" w:rsidR="00DB3721" w:rsidRPr="008D4CAE" w:rsidRDefault="00DB3721" w:rsidP="00DB3721">
            <w:pPr>
              <w:jc w:val="center"/>
              <w:rPr>
                <w:sz w:val="18"/>
                <w:szCs w:val="18"/>
              </w:rPr>
            </w:pPr>
            <w:r w:rsidRPr="008D4CAE">
              <w:rPr>
                <w:sz w:val="18"/>
                <w:szCs w:val="18"/>
              </w:rPr>
              <w:t>B</w:t>
            </w:r>
          </w:p>
        </w:tc>
      </w:tr>
      <w:tr w:rsidR="00DB3721" w:rsidRPr="008D4CAE" w14:paraId="5C67BCCB" w14:textId="77777777" w:rsidTr="00DB3721">
        <w:trPr>
          <w:gridAfter w:val="1"/>
          <w:wAfter w:w="7" w:type="dxa"/>
        </w:trPr>
        <w:tc>
          <w:tcPr>
            <w:tcW w:w="482" w:type="dxa"/>
            <w:tcBorders>
              <w:top w:val="nil"/>
              <w:left w:val="nil"/>
              <w:bottom w:val="nil"/>
              <w:right w:val="nil"/>
            </w:tcBorders>
            <w:vAlign w:val="center"/>
          </w:tcPr>
          <w:p w14:paraId="32B7B41C" w14:textId="77777777" w:rsidR="00DB3721" w:rsidRPr="008D4CAE" w:rsidRDefault="00DB3721" w:rsidP="00DB3721">
            <w:pPr>
              <w:jc w:val="center"/>
              <w:rPr>
                <w:sz w:val="18"/>
                <w:szCs w:val="18"/>
              </w:rPr>
            </w:pPr>
            <w:r w:rsidRPr="008D4CAE">
              <w:rPr>
                <w:sz w:val="18"/>
                <w:szCs w:val="18"/>
              </w:rPr>
              <w:t>3</w:t>
            </w:r>
          </w:p>
        </w:tc>
        <w:tc>
          <w:tcPr>
            <w:tcW w:w="1360" w:type="dxa"/>
            <w:tcBorders>
              <w:top w:val="nil"/>
              <w:left w:val="nil"/>
              <w:bottom w:val="nil"/>
              <w:right w:val="nil"/>
            </w:tcBorders>
          </w:tcPr>
          <w:p w14:paraId="4C85593B" w14:textId="77777777" w:rsidR="00DB3721" w:rsidRPr="008D4CAE" w:rsidRDefault="00DB3721" w:rsidP="00DB3721">
            <w:pPr>
              <w:rPr>
                <w:sz w:val="18"/>
                <w:szCs w:val="18"/>
              </w:rPr>
            </w:pPr>
            <w:r w:rsidRPr="008D4CAE">
              <w:rPr>
                <w:sz w:val="18"/>
                <w:szCs w:val="18"/>
              </w:rPr>
              <w:t>Nur Lita</w:t>
            </w:r>
          </w:p>
        </w:tc>
        <w:tc>
          <w:tcPr>
            <w:tcW w:w="750" w:type="dxa"/>
            <w:tcBorders>
              <w:top w:val="nil"/>
              <w:left w:val="nil"/>
              <w:bottom w:val="nil"/>
              <w:right w:val="nil"/>
            </w:tcBorders>
            <w:vAlign w:val="center"/>
          </w:tcPr>
          <w:p w14:paraId="32BD1C14" w14:textId="77777777" w:rsidR="00DB3721" w:rsidRPr="008D4CAE" w:rsidRDefault="00DB3721" w:rsidP="00DB3721">
            <w:pPr>
              <w:jc w:val="center"/>
              <w:rPr>
                <w:sz w:val="18"/>
                <w:szCs w:val="18"/>
              </w:rPr>
            </w:pPr>
            <w:r w:rsidRPr="008D4CAE">
              <w:rPr>
                <w:sz w:val="18"/>
                <w:szCs w:val="18"/>
              </w:rPr>
              <w:t>1</w:t>
            </w:r>
          </w:p>
        </w:tc>
        <w:tc>
          <w:tcPr>
            <w:tcW w:w="522" w:type="dxa"/>
            <w:tcBorders>
              <w:top w:val="nil"/>
              <w:left w:val="nil"/>
              <w:bottom w:val="nil"/>
              <w:right w:val="nil"/>
            </w:tcBorders>
            <w:vAlign w:val="center"/>
          </w:tcPr>
          <w:p w14:paraId="1BEAF778"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20248605" w14:textId="77777777" w:rsidR="00DB3721" w:rsidRPr="008D4CAE" w:rsidRDefault="00DB3721" w:rsidP="00DB3721">
            <w:pPr>
              <w:jc w:val="center"/>
              <w:rPr>
                <w:sz w:val="18"/>
                <w:szCs w:val="18"/>
              </w:rPr>
            </w:pPr>
            <w:r w:rsidRPr="008D4CAE">
              <w:rPr>
                <w:sz w:val="18"/>
                <w:szCs w:val="18"/>
              </w:rPr>
              <w:t>B</w:t>
            </w:r>
          </w:p>
        </w:tc>
        <w:tc>
          <w:tcPr>
            <w:tcW w:w="665" w:type="dxa"/>
            <w:tcBorders>
              <w:top w:val="nil"/>
              <w:left w:val="nil"/>
              <w:bottom w:val="nil"/>
              <w:right w:val="nil"/>
            </w:tcBorders>
            <w:vAlign w:val="center"/>
          </w:tcPr>
          <w:p w14:paraId="343635F9" w14:textId="77777777" w:rsidR="00DB3721" w:rsidRPr="008D4CAE" w:rsidRDefault="00DB3721" w:rsidP="00DB3721">
            <w:pPr>
              <w:jc w:val="center"/>
              <w:rPr>
                <w:sz w:val="18"/>
                <w:szCs w:val="18"/>
              </w:rPr>
            </w:pPr>
            <w:r w:rsidRPr="008D4CAE">
              <w:rPr>
                <w:sz w:val="18"/>
                <w:szCs w:val="18"/>
              </w:rPr>
              <w:t>B</w:t>
            </w:r>
          </w:p>
        </w:tc>
        <w:tc>
          <w:tcPr>
            <w:tcW w:w="623" w:type="dxa"/>
            <w:tcBorders>
              <w:top w:val="nil"/>
              <w:left w:val="nil"/>
              <w:bottom w:val="nil"/>
              <w:right w:val="nil"/>
            </w:tcBorders>
            <w:vAlign w:val="center"/>
          </w:tcPr>
          <w:p w14:paraId="1EC1683A" w14:textId="77777777" w:rsidR="00DB3721" w:rsidRPr="008D4CAE" w:rsidRDefault="00DB3721" w:rsidP="00DB3721">
            <w:pPr>
              <w:jc w:val="center"/>
              <w:rPr>
                <w:sz w:val="18"/>
                <w:szCs w:val="18"/>
              </w:rPr>
            </w:pPr>
            <w:r w:rsidRPr="008D4CAE">
              <w:rPr>
                <w:sz w:val="18"/>
                <w:szCs w:val="18"/>
              </w:rPr>
              <w:t>A</w:t>
            </w:r>
          </w:p>
        </w:tc>
        <w:tc>
          <w:tcPr>
            <w:tcW w:w="653" w:type="dxa"/>
            <w:tcBorders>
              <w:top w:val="nil"/>
              <w:left w:val="nil"/>
              <w:bottom w:val="nil"/>
              <w:right w:val="nil"/>
            </w:tcBorders>
            <w:vAlign w:val="center"/>
          </w:tcPr>
          <w:p w14:paraId="7CC83995" w14:textId="77777777" w:rsidR="00DB3721" w:rsidRPr="008D4CAE" w:rsidRDefault="00DB3721" w:rsidP="00DB3721">
            <w:pPr>
              <w:jc w:val="center"/>
              <w:rPr>
                <w:sz w:val="18"/>
                <w:szCs w:val="18"/>
              </w:rPr>
            </w:pPr>
            <w:r w:rsidRPr="008D4CAE">
              <w:rPr>
                <w:sz w:val="18"/>
                <w:szCs w:val="18"/>
              </w:rPr>
              <w:t>A</w:t>
            </w:r>
          </w:p>
        </w:tc>
        <w:tc>
          <w:tcPr>
            <w:tcW w:w="747" w:type="dxa"/>
            <w:gridSpan w:val="2"/>
            <w:tcBorders>
              <w:top w:val="nil"/>
              <w:left w:val="nil"/>
              <w:bottom w:val="nil"/>
              <w:right w:val="nil"/>
            </w:tcBorders>
            <w:vAlign w:val="center"/>
          </w:tcPr>
          <w:p w14:paraId="2855F208" w14:textId="77777777" w:rsidR="00DB3721" w:rsidRPr="008D4CAE" w:rsidRDefault="00DB3721" w:rsidP="00DB3721">
            <w:pPr>
              <w:jc w:val="center"/>
              <w:rPr>
                <w:sz w:val="18"/>
                <w:szCs w:val="18"/>
              </w:rPr>
            </w:pPr>
            <w:r w:rsidRPr="008D4CAE">
              <w:rPr>
                <w:sz w:val="18"/>
                <w:szCs w:val="18"/>
              </w:rPr>
              <w:t>B</w:t>
            </w:r>
          </w:p>
        </w:tc>
        <w:tc>
          <w:tcPr>
            <w:tcW w:w="753" w:type="dxa"/>
            <w:tcBorders>
              <w:top w:val="nil"/>
              <w:left w:val="nil"/>
              <w:bottom w:val="nil"/>
              <w:right w:val="nil"/>
            </w:tcBorders>
            <w:vAlign w:val="center"/>
          </w:tcPr>
          <w:p w14:paraId="0432DBC6" w14:textId="77777777" w:rsidR="00DB3721" w:rsidRPr="008D4CAE" w:rsidRDefault="00DB3721" w:rsidP="00DB3721">
            <w:pPr>
              <w:jc w:val="center"/>
              <w:rPr>
                <w:sz w:val="18"/>
                <w:szCs w:val="18"/>
              </w:rPr>
            </w:pPr>
            <w:r w:rsidRPr="008D4CAE">
              <w:rPr>
                <w:sz w:val="18"/>
                <w:szCs w:val="18"/>
              </w:rPr>
              <w:t>B</w:t>
            </w:r>
          </w:p>
        </w:tc>
        <w:tc>
          <w:tcPr>
            <w:tcW w:w="630" w:type="dxa"/>
            <w:tcBorders>
              <w:top w:val="nil"/>
              <w:left w:val="nil"/>
              <w:bottom w:val="nil"/>
              <w:right w:val="nil"/>
            </w:tcBorders>
            <w:vAlign w:val="center"/>
          </w:tcPr>
          <w:p w14:paraId="2E25FD9E" w14:textId="77777777" w:rsidR="00DB3721" w:rsidRPr="008D4CAE" w:rsidRDefault="00DB3721" w:rsidP="00DB3721">
            <w:pPr>
              <w:jc w:val="center"/>
              <w:rPr>
                <w:sz w:val="18"/>
                <w:szCs w:val="18"/>
              </w:rPr>
            </w:pPr>
            <w:r w:rsidRPr="008D4CAE">
              <w:rPr>
                <w:sz w:val="18"/>
                <w:szCs w:val="18"/>
              </w:rPr>
              <w:t>A</w:t>
            </w:r>
          </w:p>
        </w:tc>
        <w:tc>
          <w:tcPr>
            <w:tcW w:w="567" w:type="dxa"/>
            <w:tcBorders>
              <w:top w:val="nil"/>
              <w:left w:val="nil"/>
              <w:bottom w:val="nil"/>
              <w:right w:val="nil"/>
            </w:tcBorders>
            <w:vAlign w:val="center"/>
          </w:tcPr>
          <w:p w14:paraId="027F6334" w14:textId="77777777" w:rsidR="00DB3721" w:rsidRPr="008D4CAE" w:rsidRDefault="00DB3721" w:rsidP="00DB3721">
            <w:pPr>
              <w:jc w:val="center"/>
              <w:rPr>
                <w:sz w:val="18"/>
                <w:szCs w:val="18"/>
              </w:rPr>
            </w:pPr>
            <w:r w:rsidRPr="008D4CAE">
              <w:rPr>
                <w:sz w:val="18"/>
                <w:szCs w:val="18"/>
              </w:rPr>
              <w:t>A</w:t>
            </w:r>
          </w:p>
        </w:tc>
        <w:tc>
          <w:tcPr>
            <w:tcW w:w="659" w:type="dxa"/>
            <w:tcBorders>
              <w:top w:val="nil"/>
              <w:left w:val="nil"/>
              <w:bottom w:val="nil"/>
              <w:right w:val="nil"/>
            </w:tcBorders>
            <w:vAlign w:val="center"/>
          </w:tcPr>
          <w:p w14:paraId="6C0D7C55" w14:textId="77777777" w:rsidR="00DB3721" w:rsidRPr="008D4CAE" w:rsidRDefault="00DB3721" w:rsidP="00DB3721">
            <w:pPr>
              <w:jc w:val="center"/>
              <w:rPr>
                <w:sz w:val="18"/>
                <w:szCs w:val="18"/>
              </w:rPr>
            </w:pPr>
            <w:r w:rsidRPr="008D4CAE">
              <w:rPr>
                <w:sz w:val="18"/>
                <w:szCs w:val="18"/>
              </w:rPr>
              <w:t>A+</w:t>
            </w:r>
          </w:p>
        </w:tc>
      </w:tr>
      <w:tr w:rsidR="00DB3721" w:rsidRPr="008D4CAE" w14:paraId="10378C7C" w14:textId="77777777" w:rsidTr="00DB3721">
        <w:trPr>
          <w:gridAfter w:val="1"/>
          <w:wAfter w:w="7" w:type="dxa"/>
        </w:trPr>
        <w:tc>
          <w:tcPr>
            <w:tcW w:w="482" w:type="dxa"/>
            <w:tcBorders>
              <w:top w:val="nil"/>
              <w:left w:val="nil"/>
              <w:bottom w:val="nil"/>
              <w:right w:val="nil"/>
            </w:tcBorders>
            <w:vAlign w:val="center"/>
          </w:tcPr>
          <w:p w14:paraId="12C2A884" w14:textId="77777777" w:rsidR="00DB3721" w:rsidRPr="008D4CAE" w:rsidRDefault="00DB3721" w:rsidP="00DB3721">
            <w:pPr>
              <w:jc w:val="center"/>
              <w:rPr>
                <w:sz w:val="18"/>
                <w:szCs w:val="18"/>
              </w:rPr>
            </w:pPr>
            <w:r w:rsidRPr="008D4CAE">
              <w:rPr>
                <w:sz w:val="18"/>
                <w:szCs w:val="18"/>
              </w:rPr>
              <w:t>4</w:t>
            </w:r>
          </w:p>
        </w:tc>
        <w:tc>
          <w:tcPr>
            <w:tcW w:w="1360" w:type="dxa"/>
            <w:tcBorders>
              <w:top w:val="nil"/>
              <w:left w:val="nil"/>
              <w:bottom w:val="nil"/>
              <w:right w:val="nil"/>
            </w:tcBorders>
          </w:tcPr>
          <w:p w14:paraId="50C79197" w14:textId="77777777" w:rsidR="00DB3721" w:rsidRPr="008D4CAE" w:rsidRDefault="00DB3721" w:rsidP="00DB3721">
            <w:pPr>
              <w:rPr>
                <w:sz w:val="18"/>
                <w:szCs w:val="18"/>
              </w:rPr>
            </w:pPr>
            <w:r w:rsidRPr="008D4CAE">
              <w:rPr>
                <w:sz w:val="18"/>
                <w:szCs w:val="18"/>
              </w:rPr>
              <w:t xml:space="preserve">Alif </w:t>
            </w:r>
          </w:p>
        </w:tc>
        <w:tc>
          <w:tcPr>
            <w:tcW w:w="750" w:type="dxa"/>
            <w:tcBorders>
              <w:top w:val="nil"/>
              <w:left w:val="nil"/>
              <w:bottom w:val="nil"/>
              <w:right w:val="nil"/>
            </w:tcBorders>
            <w:vAlign w:val="center"/>
          </w:tcPr>
          <w:p w14:paraId="13292C31" w14:textId="77777777" w:rsidR="00DB3721" w:rsidRPr="008D4CAE" w:rsidRDefault="00DB3721" w:rsidP="00DB3721">
            <w:pPr>
              <w:jc w:val="center"/>
              <w:rPr>
                <w:sz w:val="18"/>
                <w:szCs w:val="18"/>
              </w:rPr>
            </w:pPr>
            <w:r w:rsidRPr="008D4CAE">
              <w:rPr>
                <w:sz w:val="18"/>
                <w:szCs w:val="18"/>
              </w:rPr>
              <w:t>2</w:t>
            </w:r>
          </w:p>
        </w:tc>
        <w:tc>
          <w:tcPr>
            <w:tcW w:w="522" w:type="dxa"/>
            <w:tcBorders>
              <w:top w:val="nil"/>
              <w:left w:val="nil"/>
              <w:bottom w:val="nil"/>
              <w:right w:val="nil"/>
            </w:tcBorders>
            <w:vAlign w:val="center"/>
          </w:tcPr>
          <w:p w14:paraId="2D912194" w14:textId="77777777" w:rsidR="00DB3721" w:rsidRPr="008D4CAE" w:rsidRDefault="00DB3721" w:rsidP="00DB3721">
            <w:pPr>
              <w:jc w:val="center"/>
              <w:rPr>
                <w:sz w:val="18"/>
                <w:szCs w:val="18"/>
              </w:rPr>
            </w:pPr>
            <w:r w:rsidRPr="008D4CAE">
              <w:rPr>
                <w:sz w:val="18"/>
                <w:szCs w:val="18"/>
              </w:rPr>
              <w:t>D</w:t>
            </w:r>
          </w:p>
        </w:tc>
        <w:tc>
          <w:tcPr>
            <w:tcW w:w="753" w:type="dxa"/>
            <w:tcBorders>
              <w:top w:val="nil"/>
              <w:left w:val="nil"/>
              <w:bottom w:val="nil"/>
              <w:right w:val="nil"/>
            </w:tcBorders>
            <w:vAlign w:val="center"/>
          </w:tcPr>
          <w:p w14:paraId="33C1F313" w14:textId="77777777" w:rsidR="00DB3721" w:rsidRPr="008D4CAE" w:rsidRDefault="00DB3721" w:rsidP="00DB3721">
            <w:pPr>
              <w:jc w:val="center"/>
              <w:rPr>
                <w:sz w:val="18"/>
                <w:szCs w:val="18"/>
              </w:rPr>
            </w:pPr>
            <w:r w:rsidRPr="008D4CAE">
              <w:rPr>
                <w:sz w:val="18"/>
                <w:szCs w:val="18"/>
              </w:rPr>
              <w:t>D</w:t>
            </w:r>
          </w:p>
        </w:tc>
        <w:tc>
          <w:tcPr>
            <w:tcW w:w="665" w:type="dxa"/>
            <w:tcBorders>
              <w:top w:val="nil"/>
              <w:left w:val="nil"/>
              <w:bottom w:val="nil"/>
              <w:right w:val="nil"/>
            </w:tcBorders>
            <w:vAlign w:val="center"/>
          </w:tcPr>
          <w:p w14:paraId="3296DE3E" w14:textId="77777777" w:rsidR="00DB3721" w:rsidRPr="008D4CAE" w:rsidRDefault="00DB3721" w:rsidP="00DB3721">
            <w:pPr>
              <w:jc w:val="center"/>
              <w:rPr>
                <w:sz w:val="18"/>
                <w:szCs w:val="18"/>
              </w:rPr>
            </w:pPr>
            <w:r w:rsidRPr="008D4CAE">
              <w:rPr>
                <w:sz w:val="18"/>
                <w:szCs w:val="18"/>
              </w:rPr>
              <w:t>C</w:t>
            </w:r>
          </w:p>
        </w:tc>
        <w:tc>
          <w:tcPr>
            <w:tcW w:w="623" w:type="dxa"/>
            <w:tcBorders>
              <w:top w:val="nil"/>
              <w:left w:val="nil"/>
              <w:bottom w:val="nil"/>
              <w:right w:val="nil"/>
            </w:tcBorders>
            <w:vAlign w:val="center"/>
          </w:tcPr>
          <w:p w14:paraId="60D8CF28" w14:textId="77777777" w:rsidR="00DB3721" w:rsidRPr="008D4CAE" w:rsidRDefault="00DB3721" w:rsidP="00DB3721">
            <w:pPr>
              <w:jc w:val="center"/>
              <w:rPr>
                <w:sz w:val="18"/>
                <w:szCs w:val="18"/>
              </w:rPr>
            </w:pPr>
            <w:r w:rsidRPr="008D4CAE">
              <w:rPr>
                <w:sz w:val="18"/>
                <w:szCs w:val="18"/>
              </w:rPr>
              <w:t>C</w:t>
            </w:r>
          </w:p>
        </w:tc>
        <w:tc>
          <w:tcPr>
            <w:tcW w:w="653" w:type="dxa"/>
            <w:tcBorders>
              <w:top w:val="nil"/>
              <w:left w:val="nil"/>
              <w:bottom w:val="nil"/>
              <w:right w:val="nil"/>
            </w:tcBorders>
            <w:vAlign w:val="center"/>
          </w:tcPr>
          <w:p w14:paraId="78901B2D" w14:textId="77777777" w:rsidR="00DB3721" w:rsidRPr="008D4CAE" w:rsidRDefault="00DB3721" w:rsidP="00DB3721">
            <w:pPr>
              <w:jc w:val="center"/>
              <w:rPr>
                <w:sz w:val="18"/>
                <w:szCs w:val="18"/>
              </w:rPr>
            </w:pPr>
            <w:r w:rsidRPr="008D4CAE">
              <w:rPr>
                <w:sz w:val="18"/>
                <w:szCs w:val="18"/>
              </w:rPr>
              <w:t>B</w:t>
            </w:r>
          </w:p>
        </w:tc>
        <w:tc>
          <w:tcPr>
            <w:tcW w:w="747" w:type="dxa"/>
            <w:gridSpan w:val="2"/>
            <w:tcBorders>
              <w:top w:val="nil"/>
              <w:left w:val="nil"/>
              <w:bottom w:val="nil"/>
              <w:right w:val="nil"/>
            </w:tcBorders>
            <w:vAlign w:val="center"/>
          </w:tcPr>
          <w:p w14:paraId="4B6F91E5"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123CE479" w14:textId="77777777" w:rsidR="00DB3721" w:rsidRPr="008D4CAE" w:rsidRDefault="00DB3721" w:rsidP="00DB3721">
            <w:pPr>
              <w:jc w:val="center"/>
              <w:rPr>
                <w:sz w:val="18"/>
                <w:szCs w:val="18"/>
              </w:rPr>
            </w:pPr>
            <w:r w:rsidRPr="008D4CAE">
              <w:rPr>
                <w:sz w:val="18"/>
                <w:szCs w:val="18"/>
              </w:rPr>
              <w:t>C</w:t>
            </w:r>
          </w:p>
        </w:tc>
        <w:tc>
          <w:tcPr>
            <w:tcW w:w="630" w:type="dxa"/>
            <w:tcBorders>
              <w:top w:val="nil"/>
              <w:left w:val="nil"/>
              <w:bottom w:val="nil"/>
              <w:right w:val="nil"/>
            </w:tcBorders>
            <w:vAlign w:val="center"/>
          </w:tcPr>
          <w:p w14:paraId="4515A71C" w14:textId="77777777" w:rsidR="00DB3721" w:rsidRPr="008D4CAE" w:rsidRDefault="00DB3721" w:rsidP="00DB3721">
            <w:pPr>
              <w:jc w:val="center"/>
              <w:rPr>
                <w:sz w:val="18"/>
                <w:szCs w:val="18"/>
              </w:rPr>
            </w:pPr>
            <w:r w:rsidRPr="008D4CAE">
              <w:rPr>
                <w:sz w:val="18"/>
                <w:szCs w:val="18"/>
              </w:rPr>
              <w:t>B</w:t>
            </w:r>
          </w:p>
        </w:tc>
        <w:tc>
          <w:tcPr>
            <w:tcW w:w="567" w:type="dxa"/>
            <w:tcBorders>
              <w:top w:val="nil"/>
              <w:left w:val="nil"/>
              <w:bottom w:val="nil"/>
              <w:right w:val="nil"/>
            </w:tcBorders>
            <w:vAlign w:val="center"/>
          </w:tcPr>
          <w:p w14:paraId="6AB8BD01" w14:textId="77777777" w:rsidR="00DB3721" w:rsidRPr="008D4CAE" w:rsidRDefault="00DB3721" w:rsidP="00DB3721">
            <w:pPr>
              <w:jc w:val="center"/>
              <w:rPr>
                <w:sz w:val="18"/>
                <w:szCs w:val="18"/>
              </w:rPr>
            </w:pPr>
            <w:r w:rsidRPr="008D4CAE">
              <w:rPr>
                <w:sz w:val="18"/>
                <w:szCs w:val="18"/>
              </w:rPr>
              <w:t>B</w:t>
            </w:r>
          </w:p>
        </w:tc>
        <w:tc>
          <w:tcPr>
            <w:tcW w:w="659" w:type="dxa"/>
            <w:tcBorders>
              <w:top w:val="nil"/>
              <w:left w:val="nil"/>
              <w:bottom w:val="nil"/>
              <w:right w:val="nil"/>
            </w:tcBorders>
            <w:vAlign w:val="center"/>
          </w:tcPr>
          <w:p w14:paraId="4C37B56A" w14:textId="77777777" w:rsidR="00DB3721" w:rsidRPr="008D4CAE" w:rsidRDefault="00DB3721" w:rsidP="00DB3721">
            <w:pPr>
              <w:jc w:val="center"/>
              <w:rPr>
                <w:sz w:val="18"/>
                <w:szCs w:val="18"/>
              </w:rPr>
            </w:pPr>
            <w:r w:rsidRPr="008D4CAE">
              <w:rPr>
                <w:sz w:val="18"/>
                <w:szCs w:val="18"/>
              </w:rPr>
              <w:t>A</w:t>
            </w:r>
          </w:p>
        </w:tc>
      </w:tr>
      <w:tr w:rsidR="00DB3721" w:rsidRPr="008D4CAE" w14:paraId="12EE83CA" w14:textId="77777777" w:rsidTr="00DB3721">
        <w:trPr>
          <w:gridAfter w:val="1"/>
          <w:wAfter w:w="7" w:type="dxa"/>
        </w:trPr>
        <w:tc>
          <w:tcPr>
            <w:tcW w:w="482" w:type="dxa"/>
            <w:tcBorders>
              <w:top w:val="nil"/>
              <w:left w:val="nil"/>
              <w:bottom w:val="nil"/>
              <w:right w:val="nil"/>
            </w:tcBorders>
            <w:vAlign w:val="center"/>
          </w:tcPr>
          <w:p w14:paraId="3E1536E1" w14:textId="77777777" w:rsidR="00DB3721" w:rsidRPr="008D4CAE" w:rsidRDefault="00DB3721" w:rsidP="00DB3721">
            <w:pPr>
              <w:jc w:val="center"/>
              <w:rPr>
                <w:sz w:val="18"/>
                <w:szCs w:val="18"/>
              </w:rPr>
            </w:pPr>
            <w:r w:rsidRPr="008D4CAE">
              <w:rPr>
                <w:sz w:val="18"/>
                <w:szCs w:val="18"/>
              </w:rPr>
              <w:t>5</w:t>
            </w:r>
          </w:p>
        </w:tc>
        <w:tc>
          <w:tcPr>
            <w:tcW w:w="1360" w:type="dxa"/>
            <w:tcBorders>
              <w:top w:val="nil"/>
              <w:left w:val="nil"/>
              <w:bottom w:val="nil"/>
              <w:right w:val="nil"/>
            </w:tcBorders>
          </w:tcPr>
          <w:p w14:paraId="4EE73AAB" w14:textId="77777777" w:rsidR="00DB3721" w:rsidRPr="008D4CAE" w:rsidRDefault="00DB3721" w:rsidP="00DB3721">
            <w:pPr>
              <w:rPr>
                <w:sz w:val="18"/>
                <w:szCs w:val="18"/>
              </w:rPr>
            </w:pPr>
            <w:r w:rsidRPr="008D4CAE">
              <w:rPr>
                <w:sz w:val="18"/>
                <w:szCs w:val="18"/>
              </w:rPr>
              <w:t xml:space="preserve">Alfa </w:t>
            </w:r>
          </w:p>
        </w:tc>
        <w:tc>
          <w:tcPr>
            <w:tcW w:w="750" w:type="dxa"/>
            <w:tcBorders>
              <w:top w:val="nil"/>
              <w:left w:val="nil"/>
              <w:bottom w:val="nil"/>
              <w:right w:val="nil"/>
            </w:tcBorders>
            <w:vAlign w:val="center"/>
          </w:tcPr>
          <w:p w14:paraId="17C27F4D" w14:textId="77777777" w:rsidR="00DB3721" w:rsidRPr="008D4CAE" w:rsidRDefault="00DB3721" w:rsidP="00DB3721">
            <w:pPr>
              <w:jc w:val="center"/>
              <w:rPr>
                <w:sz w:val="18"/>
                <w:szCs w:val="18"/>
              </w:rPr>
            </w:pPr>
            <w:r w:rsidRPr="008D4CAE">
              <w:rPr>
                <w:sz w:val="18"/>
                <w:szCs w:val="18"/>
              </w:rPr>
              <w:t>2</w:t>
            </w:r>
          </w:p>
        </w:tc>
        <w:tc>
          <w:tcPr>
            <w:tcW w:w="522" w:type="dxa"/>
            <w:tcBorders>
              <w:top w:val="nil"/>
              <w:left w:val="nil"/>
              <w:bottom w:val="nil"/>
              <w:right w:val="nil"/>
            </w:tcBorders>
            <w:vAlign w:val="center"/>
          </w:tcPr>
          <w:p w14:paraId="1B9A63E6" w14:textId="77777777" w:rsidR="00DB3721" w:rsidRPr="008D4CAE" w:rsidRDefault="00DB3721" w:rsidP="00DB3721">
            <w:pPr>
              <w:jc w:val="center"/>
              <w:rPr>
                <w:sz w:val="18"/>
                <w:szCs w:val="18"/>
              </w:rPr>
            </w:pPr>
            <w:r w:rsidRPr="008D4CAE">
              <w:rPr>
                <w:sz w:val="18"/>
                <w:szCs w:val="18"/>
              </w:rPr>
              <w:t>D</w:t>
            </w:r>
          </w:p>
        </w:tc>
        <w:tc>
          <w:tcPr>
            <w:tcW w:w="753" w:type="dxa"/>
            <w:tcBorders>
              <w:top w:val="nil"/>
              <w:left w:val="nil"/>
              <w:bottom w:val="nil"/>
              <w:right w:val="nil"/>
            </w:tcBorders>
            <w:vAlign w:val="center"/>
          </w:tcPr>
          <w:p w14:paraId="0CF72781" w14:textId="77777777" w:rsidR="00DB3721" w:rsidRPr="008D4CAE" w:rsidRDefault="00DB3721" w:rsidP="00DB3721">
            <w:pPr>
              <w:jc w:val="center"/>
              <w:rPr>
                <w:sz w:val="18"/>
                <w:szCs w:val="18"/>
              </w:rPr>
            </w:pPr>
            <w:r w:rsidRPr="008D4CAE">
              <w:rPr>
                <w:sz w:val="18"/>
                <w:szCs w:val="18"/>
              </w:rPr>
              <w:t>C</w:t>
            </w:r>
          </w:p>
        </w:tc>
        <w:tc>
          <w:tcPr>
            <w:tcW w:w="665" w:type="dxa"/>
            <w:tcBorders>
              <w:top w:val="nil"/>
              <w:left w:val="nil"/>
              <w:bottom w:val="nil"/>
              <w:right w:val="nil"/>
            </w:tcBorders>
            <w:vAlign w:val="center"/>
          </w:tcPr>
          <w:p w14:paraId="00B33524" w14:textId="77777777" w:rsidR="00DB3721" w:rsidRPr="008D4CAE" w:rsidRDefault="00DB3721" w:rsidP="00DB3721">
            <w:pPr>
              <w:jc w:val="center"/>
              <w:rPr>
                <w:sz w:val="18"/>
                <w:szCs w:val="18"/>
              </w:rPr>
            </w:pPr>
            <w:r w:rsidRPr="008D4CAE">
              <w:rPr>
                <w:sz w:val="18"/>
                <w:szCs w:val="18"/>
              </w:rPr>
              <w:t>B</w:t>
            </w:r>
          </w:p>
        </w:tc>
        <w:tc>
          <w:tcPr>
            <w:tcW w:w="623" w:type="dxa"/>
            <w:tcBorders>
              <w:top w:val="nil"/>
              <w:left w:val="nil"/>
              <w:bottom w:val="nil"/>
              <w:right w:val="nil"/>
            </w:tcBorders>
            <w:vAlign w:val="center"/>
          </w:tcPr>
          <w:p w14:paraId="760A5F2C" w14:textId="77777777" w:rsidR="00DB3721" w:rsidRPr="008D4CAE" w:rsidRDefault="00DB3721" w:rsidP="00DB3721">
            <w:pPr>
              <w:jc w:val="center"/>
              <w:rPr>
                <w:sz w:val="18"/>
                <w:szCs w:val="18"/>
              </w:rPr>
            </w:pPr>
            <w:r w:rsidRPr="008D4CAE">
              <w:rPr>
                <w:sz w:val="18"/>
                <w:szCs w:val="18"/>
              </w:rPr>
              <w:t>B</w:t>
            </w:r>
          </w:p>
        </w:tc>
        <w:tc>
          <w:tcPr>
            <w:tcW w:w="653" w:type="dxa"/>
            <w:tcBorders>
              <w:top w:val="nil"/>
              <w:left w:val="nil"/>
              <w:bottom w:val="nil"/>
              <w:right w:val="nil"/>
            </w:tcBorders>
            <w:vAlign w:val="center"/>
          </w:tcPr>
          <w:p w14:paraId="06F20490" w14:textId="77777777" w:rsidR="00DB3721" w:rsidRPr="008D4CAE" w:rsidRDefault="00DB3721" w:rsidP="00DB3721">
            <w:pPr>
              <w:jc w:val="center"/>
              <w:rPr>
                <w:sz w:val="18"/>
                <w:szCs w:val="18"/>
              </w:rPr>
            </w:pPr>
            <w:r w:rsidRPr="008D4CAE">
              <w:rPr>
                <w:sz w:val="18"/>
                <w:szCs w:val="18"/>
              </w:rPr>
              <w:t>A</w:t>
            </w:r>
          </w:p>
        </w:tc>
        <w:tc>
          <w:tcPr>
            <w:tcW w:w="747" w:type="dxa"/>
            <w:gridSpan w:val="2"/>
            <w:tcBorders>
              <w:top w:val="nil"/>
              <w:left w:val="nil"/>
              <w:bottom w:val="nil"/>
              <w:right w:val="nil"/>
            </w:tcBorders>
            <w:vAlign w:val="center"/>
          </w:tcPr>
          <w:p w14:paraId="0DA5C4C8"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2B7AF68A" w14:textId="77777777" w:rsidR="00DB3721" w:rsidRPr="008D4CAE" w:rsidRDefault="00DB3721" w:rsidP="00DB3721">
            <w:pPr>
              <w:jc w:val="center"/>
              <w:rPr>
                <w:sz w:val="18"/>
                <w:szCs w:val="18"/>
              </w:rPr>
            </w:pPr>
            <w:r w:rsidRPr="008D4CAE">
              <w:rPr>
                <w:sz w:val="18"/>
                <w:szCs w:val="18"/>
              </w:rPr>
              <w:t>B</w:t>
            </w:r>
          </w:p>
        </w:tc>
        <w:tc>
          <w:tcPr>
            <w:tcW w:w="630" w:type="dxa"/>
            <w:tcBorders>
              <w:top w:val="nil"/>
              <w:left w:val="nil"/>
              <w:bottom w:val="nil"/>
              <w:right w:val="nil"/>
            </w:tcBorders>
            <w:vAlign w:val="center"/>
          </w:tcPr>
          <w:p w14:paraId="2750C35B" w14:textId="77777777" w:rsidR="00DB3721" w:rsidRPr="008D4CAE" w:rsidRDefault="00DB3721" w:rsidP="00DB3721">
            <w:pPr>
              <w:jc w:val="center"/>
              <w:rPr>
                <w:sz w:val="18"/>
                <w:szCs w:val="18"/>
              </w:rPr>
            </w:pPr>
            <w:r w:rsidRPr="008D4CAE">
              <w:rPr>
                <w:sz w:val="18"/>
                <w:szCs w:val="18"/>
              </w:rPr>
              <w:t>B</w:t>
            </w:r>
          </w:p>
        </w:tc>
        <w:tc>
          <w:tcPr>
            <w:tcW w:w="567" w:type="dxa"/>
            <w:tcBorders>
              <w:top w:val="nil"/>
              <w:left w:val="nil"/>
              <w:bottom w:val="nil"/>
              <w:right w:val="nil"/>
            </w:tcBorders>
            <w:vAlign w:val="center"/>
          </w:tcPr>
          <w:p w14:paraId="60634EE0" w14:textId="77777777" w:rsidR="00DB3721" w:rsidRPr="008D4CAE" w:rsidRDefault="00DB3721" w:rsidP="00DB3721">
            <w:pPr>
              <w:jc w:val="center"/>
              <w:rPr>
                <w:sz w:val="18"/>
                <w:szCs w:val="18"/>
              </w:rPr>
            </w:pPr>
            <w:r w:rsidRPr="008D4CAE">
              <w:rPr>
                <w:sz w:val="18"/>
                <w:szCs w:val="18"/>
              </w:rPr>
              <w:t>B</w:t>
            </w:r>
          </w:p>
        </w:tc>
        <w:tc>
          <w:tcPr>
            <w:tcW w:w="659" w:type="dxa"/>
            <w:tcBorders>
              <w:top w:val="nil"/>
              <w:left w:val="nil"/>
              <w:bottom w:val="nil"/>
              <w:right w:val="nil"/>
            </w:tcBorders>
            <w:vAlign w:val="center"/>
          </w:tcPr>
          <w:p w14:paraId="5CD5D8E4" w14:textId="77777777" w:rsidR="00DB3721" w:rsidRPr="008D4CAE" w:rsidRDefault="00DB3721" w:rsidP="00DB3721">
            <w:pPr>
              <w:jc w:val="center"/>
              <w:rPr>
                <w:sz w:val="18"/>
                <w:szCs w:val="18"/>
              </w:rPr>
            </w:pPr>
            <w:r w:rsidRPr="008D4CAE">
              <w:rPr>
                <w:sz w:val="18"/>
                <w:szCs w:val="18"/>
              </w:rPr>
              <w:t>B</w:t>
            </w:r>
          </w:p>
        </w:tc>
      </w:tr>
      <w:tr w:rsidR="00DB3721" w:rsidRPr="008D4CAE" w14:paraId="0D1F7B10" w14:textId="77777777" w:rsidTr="00DB3721">
        <w:trPr>
          <w:gridAfter w:val="1"/>
          <w:wAfter w:w="7" w:type="dxa"/>
        </w:trPr>
        <w:tc>
          <w:tcPr>
            <w:tcW w:w="482" w:type="dxa"/>
            <w:tcBorders>
              <w:top w:val="nil"/>
              <w:left w:val="nil"/>
              <w:bottom w:val="nil"/>
              <w:right w:val="nil"/>
            </w:tcBorders>
            <w:vAlign w:val="center"/>
          </w:tcPr>
          <w:p w14:paraId="63429181" w14:textId="77777777" w:rsidR="00DB3721" w:rsidRPr="008D4CAE" w:rsidRDefault="00DB3721" w:rsidP="00DB3721">
            <w:pPr>
              <w:jc w:val="center"/>
              <w:rPr>
                <w:sz w:val="18"/>
                <w:szCs w:val="18"/>
              </w:rPr>
            </w:pPr>
            <w:r w:rsidRPr="008D4CAE">
              <w:rPr>
                <w:sz w:val="18"/>
                <w:szCs w:val="18"/>
              </w:rPr>
              <w:t>6</w:t>
            </w:r>
          </w:p>
        </w:tc>
        <w:tc>
          <w:tcPr>
            <w:tcW w:w="1360" w:type="dxa"/>
            <w:tcBorders>
              <w:top w:val="nil"/>
              <w:left w:val="nil"/>
              <w:bottom w:val="nil"/>
              <w:right w:val="nil"/>
            </w:tcBorders>
          </w:tcPr>
          <w:p w14:paraId="0BD4F9C1" w14:textId="77777777" w:rsidR="00DB3721" w:rsidRPr="008D4CAE" w:rsidRDefault="00DB3721" w:rsidP="00DB3721">
            <w:pPr>
              <w:rPr>
                <w:sz w:val="18"/>
                <w:szCs w:val="18"/>
              </w:rPr>
            </w:pPr>
            <w:r w:rsidRPr="008D4CAE">
              <w:rPr>
                <w:sz w:val="18"/>
                <w:szCs w:val="18"/>
              </w:rPr>
              <w:t xml:space="preserve">Aldo </w:t>
            </w:r>
          </w:p>
        </w:tc>
        <w:tc>
          <w:tcPr>
            <w:tcW w:w="750" w:type="dxa"/>
            <w:tcBorders>
              <w:top w:val="nil"/>
              <w:left w:val="nil"/>
              <w:bottom w:val="nil"/>
              <w:right w:val="nil"/>
            </w:tcBorders>
            <w:vAlign w:val="center"/>
          </w:tcPr>
          <w:p w14:paraId="047E0635" w14:textId="77777777" w:rsidR="00DB3721" w:rsidRPr="008D4CAE" w:rsidRDefault="00DB3721" w:rsidP="00DB3721">
            <w:pPr>
              <w:jc w:val="center"/>
              <w:rPr>
                <w:sz w:val="18"/>
                <w:szCs w:val="18"/>
              </w:rPr>
            </w:pPr>
            <w:r w:rsidRPr="008D4CAE">
              <w:rPr>
                <w:sz w:val="18"/>
                <w:szCs w:val="18"/>
              </w:rPr>
              <w:t>3</w:t>
            </w:r>
          </w:p>
        </w:tc>
        <w:tc>
          <w:tcPr>
            <w:tcW w:w="522" w:type="dxa"/>
            <w:tcBorders>
              <w:top w:val="nil"/>
              <w:left w:val="nil"/>
              <w:bottom w:val="nil"/>
              <w:right w:val="nil"/>
            </w:tcBorders>
            <w:vAlign w:val="center"/>
          </w:tcPr>
          <w:p w14:paraId="71C0CF5B"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0CDFC76E" w14:textId="77777777" w:rsidR="00DB3721" w:rsidRPr="008D4CAE" w:rsidRDefault="00DB3721" w:rsidP="00DB3721">
            <w:pPr>
              <w:jc w:val="center"/>
              <w:rPr>
                <w:sz w:val="18"/>
                <w:szCs w:val="18"/>
              </w:rPr>
            </w:pPr>
            <w:r w:rsidRPr="008D4CAE">
              <w:rPr>
                <w:sz w:val="18"/>
                <w:szCs w:val="18"/>
              </w:rPr>
              <w:t>C</w:t>
            </w:r>
          </w:p>
        </w:tc>
        <w:tc>
          <w:tcPr>
            <w:tcW w:w="665" w:type="dxa"/>
            <w:tcBorders>
              <w:top w:val="nil"/>
              <w:left w:val="nil"/>
              <w:bottom w:val="nil"/>
              <w:right w:val="nil"/>
            </w:tcBorders>
            <w:vAlign w:val="center"/>
          </w:tcPr>
          <w:p w14:paraId="7FF273B1" w14:textId="77777777" w:rsidR="00DB3721" w:rsidRPr="008D4CAE" w:rsidRDefault="00DB3721" w:rsidP="00DB3721">
            <w:pPr>
              <w:jc w:val="center"/>
              <w:rPr>
                <w:sz w:val="18"/>
                <w:szCs w:val="18"/>
              </w:rPr>
            </w:pPr>
            <w:r w:rsidRPr="008D4CAE">
              <w:rPr>
                <w:sz w:val="18"/>
                <w:szCs w:val="18"/>
              </w:rPr>
              <w:t>C</w:t>
            </w:r>
          </w:p>
        </w:tc>
        <w:tc>
          <w:tcPr>
            <w:tcW w:w="623" w:type="dxa"/>
            <w:tcBorders>
              <w:top w:val="nil"/>
              <w:left w:val="nil"/>
              <w:bottom w:val="nil"/>
              <w:right w:val="nil"/>
            </w:tcBorders>
            <w:vAlign w:val="center"/>
          </w:tcPr>
          <w:p w14:paraId="134D3800" w14:textId="77777777" w:rsidR="00DB3721" w:rsidRPr="008D4CAE" w:rsidRDefault="00DB3721" w:rsidP="00DB3721">
            <w:pPr>
              <w:jc w:val="center"/>
              <w:rPr>
                <w:sz w:val="18"/>
                <w:szCs w:val="18"/>
              </w:rPr>
            </w:pPr>
            <w:r w:rsidRPr="008D4CAE">
              <w:rPr>
                <w:sz w:val="18"/>
                <w:szCs w:val="18"/>
              </w:rPr>
              <w:t>B</w:t>
            </w:r>
          </w:p>
        </w:tc>
        <w:tc>
          <w:tcPr>
            <w:tcW w:w="653" w:type="dxa"/>
            <w:tcBorders>
              <w:top w:val="nil"/>
              <w:left w:val="nil"/>
              <w:bottom w:val="nil"/>
              <w:right w:val="nil"/>
            </w:tcBorders>
            <w:vAlign w:val="center"/>
          </w:tcPr>
          <w:p w14:paraId="146A24A8" w14:textId="77777777" w:rsidR="00DB3721" w:rsidRPr="008D4CAE" w:rsidRDefault="00DB3721" w:rsidP="00DB3721">
            <w:pPr>
              <w:jc w:val="center"/>
              <w:rPr>
                <w:sz w:val="18"/>
                <w:szCs w:val="18"/>
              </w:rPr>
            </w:pPr>
            <w:r w:rsidRPr="008D4CAE">
              <w:rPr>
                <w:sz w:val="18"/>
                <w:szCs w:val="18"/>
              </w:rPr>
              <w:t>A</w:t>
            </w:r>
          </w:p>
        </w:tc>
        <w:tc>
          <w:tcPr>
            <w:tcW w:w="747" w:type="dxa"/>
            <w:gridSpan w:val="2"/>
            <w:tcBorders>
              <w:top w:val="nil"/>
              <w:left w:val="nil"/>
              <w:bottom w:val="nil"/>
              <w:right w:val="nil"/>
            </w:tcBorders>
            <w:vAlign w:val="center"/>
          </w:tcPr>
          <w:p w14:paraId="470CED8A" w14:textId="77777777" w:rsidR="00DB3721" w:rsidRPr="008D4CAE" w:rsidRDefault="00DB3721" w:rsidP="00DB3721">
            <w:pPr>
              <w:jc w:val="center"/>
              <w:rPr>
                <w:sz w:val="18"/>
                <w:szCs w:val="18"/>
              </w:rPr>
            </w:pPr>
            <w:r w:rsidRPr="008D4CAE">
              <w:rPr>
                <w:sz w:val="18"/>
                <w:szCs w:val="18"/>
              </w:rPr>
              <w:t>D</w:t>
            </w:r>
          </w:p>
        </w:tc>
        <w:tc>
          <w:tcPr>
            <w:tcW w:w="753" w:type="dxa"/>
            <w:tcBorders>
              <w:top w:val="nil"/>
              <w:left w:val="nil"/>
              <w:bottom w:val="nil"/>
              <w:right w:val="nil"/>
            </w:tcBorders>
            <w:vAlign w:val="center"/>
          </w:tcPr>
          <w:p w14:paraId="56019CED" w14:textId="77777777" w:rsidR="00DB3721" w:rsidRPr="008D4CAE" w:rsidRDefault="00DB3721" w:rsidP="00DB3721">
            <w:pPr>
              <w:jc w:val="center"/>
              <w:rPr>
                <w:sz w:val="18"/>
                <w:szCs w:val="18"/>
              </w:rPr>
            </w:pPr>
            <w:r w:rsidRPr="008D4CAE">
              <w:rPr>
                <w:sz w:val="18"/>
                <w:szCs w:val="18"/>
              </w:rPr>
              <w:t>C</w:t>
            </w:r>
          </w:p>
        </w:tc>
        <w:tc>
          <w:tcPr>
            <w:tcW w:w="630" w:type="dxa"/>
            <w:tcBorders>
              <w:top w:val="nil"/>
              <w:left w:val="nil"/>
              <w:bottom w:val="nil"/>
              <w:right w:val="nil"/>
            </w:tcBorders>
            <w:vAlign w:val="center"/>
          </w:tcPr>
          <w:p w14:paraId="16EE091E" w14:textId="77777777" w:rsidR="00DB3721" w:rsidRPr="008D4CAE" w:rsidRDefault="00DB3721" w:rsidP="00DB3721">
            <w:pPr>
              <w:jc w:val="center"/>
              <w:rPr>
                <w:sz w:val="18"/>
                <w:szCs w:val="18"/>
              </w:rPr>
            </w:pPr>
            <w:r w:rsidRPr="008D4CAE">
              <w:rPr>
                <w:sz w:val="18"/>
                <w:szCs w:val="18"/>
              </w:rPr>
              <w:t>C</w:t>
            </w:r>
          </w:p>
        </w:tc>
        <w:tc>
          <w:tcPr>
            <w:tcW w:w="567" w:type="dxa"/>
            <w:tcBorders>
              <w:top w:val="nil"/>
              <w:left w:val="nil"/>
              <w:bottom w:val="nil"/>
              <w:right w:val="nil"/>
            </w:tcBorders>
            <w:vAlign w:val="center"/>
          </w:tcPr>
          <w:p w14:paraId="44E06F48" w14:textId="77777777" w:rsidR="00DB3721" w:rsidRPr="008D4CAE" w:rsidRDefault="00DB3721" w:rsidP="00DB3721">
            <w:pPr>
              <w:jc w:val="center"/>
              <w:rPr>
                <w:sz w:val="18"/>
                <w:szCs w:val="18"/>
              </w:rPr>
            </w:pPr>
            <w:r w:rsidRPr="008D4CAE">
              <w:rPr>
                <w:sz w:val="18"/>
                <w:szCs w:val="18"/>
              </w:rPr>
              <w:t>B</w:t>
            </w:r>
          </w:p>
        </w:tc>
        <w:tc>
          <w:tcPr>
            <w:tcW w:w="659" w:type="dxa"/>
            <w:tcBorders>
              <w:top w:val="nil"/>
              <w:left w:val="nil"/>
              <w:bottom w:val="nil"/>
              <w:right w:val="nil"/>
            </w:tcBorders>
            <w:vAlign w:val="center"/>
          </w:tcPr>
          <w:p w14:paraId="7119FD83" w14:textId="77777777" w:rsidR="00DB3721" w:rsidRPr="008D4CAE" w:rsidRDefault="00DB3721" w:rsidP="00DB3721">
            <w:pPr>
              <w:jc w:val="center"/>
              <w:rPr>
                <w:sz w:val="18"/>
                <w:szCs w:val="18"/>
              </w:rPr>
            </w:pPr>
            <w:r w:rsidRPr="008D4CAE">
              <w:rPr>
                <w:sz w:val="18"/>
                <w:szCs w:val="18"/>
              </w:rPr>
              <w:t>B</w:t>
            </w:r>
          </w:p>
        </w:tc>
      </w:tr>
      <w:tr w:rsidR="00DB3721" w:rsidRPr="008D4CAE" w14:paraId="738C736C" w14:textId="77777777" w:rsidTr="006C75BB">
        <w:trPr>
          <w:gridAfter w:val="1"/>
          <w:wAfter w:w="7" w:type="dxa"/>
        </w:trPr>
        <w:tc>
          <w:tcPr>
            <w:tcW w:w="482" w:type="dxa"/>
            <w:tcBorders>
              <w:top w:val="nil"/>
              <w:left w:val="nil"/>
              <w:bottom w:val="nil"/>
              <w:right w:val="nil"/>
            </w:tcBorders>
            <w:vAlign w:val="center"/>
          </w:tcPr>
          <w:p w14:paraId="0BC0BAA8" w14:textId="77777777" w:rsidR="00DB3721" w:rsidRPr="008D4CAE" w:rsidRDefault="00DB3721" w:rsidP="00DB3721">
            <w:pPr>
              <w:jc w:val="center"/>
              <w:rPr>
                <w:sz w:val="18"/>
                <w:szCs w:val="18"/>
              </w:rPr>
            </w:pPr>
            <w:r w:rsidRPr="008D4CAE">
              <w:rPr>
                <w:sz w:val="18"/>
                <w:szCs w:val="18"/>
              </w:rPr>
              <w:t>7</w:t>
            </w:r>
          </w:p>
        </w:tc>
        <w:tc>
          <w:tcPr>
            <w:tcW w:w="1360" w:type="dxa"/>
            <w:tcBorders>
              <w:top w:val="nil"/>
              <w:left w:val="nil"/>
              <w:bottom w:val="nil"/>
              <w:right w:val="nil"/>
            </w:tcBorders>
          </w:tcPr>
          <w:p w14:paraId="7BC56817" w14:textId="77777777" w:rsidR="00DB3721" w:rsidRPr="008D4CAE" w:rsidRDefault="00DB3721" w:rsidP="00DB3721">
            <w:pPr>
              <w:rPr>
                <w:sz w:val="18"/>
                <w:szCs w:val="18"/>
              </w:rPr>
            </w:pPr>
            <w:r w:rsidRPr="008D4CAE">
              <w:rPr>
                <w:sz w:val="18"/>
                <w:szCs w:val="18"/>
              </w:rPr>
              <w:t xml:space="preserve">Fajar </w:t>
            </w:r>
          </w:p>
        </w:tc>
        <w:tc>
          <w:tcPr>
            <w:tcW w:w="750" w:type="dxa"/>
            <w:tcBorders>
              <w:top w:val="nil"/>
              <w:left w:val="nil"/>
              <w:bottom w:val="nil"/>
              <w:right w:val="nil"/>
            </w:tcBorders>
            <w:vAlign w:val="center"/>
          </w:tcPr>
          <w:p w14:paraId="5F3728E0" w14:textId="77777777" w:rsidR="00DB3721" w:rsidRPr="008D4CAE" w:rsidRDefault="00DB3721" w:rsidP="00DB3721">
            <w:pPr>
              <w:jc w:val="center"/>
              <w:rPr>
                <w:sz w:val="18"/>
                <w:szCs w:val="18"/>
              </w:rPr>
            </w:pPr>
            <w:r w:rsidRPr="008D4CAE">
              <w:rPr>
                <w:sz w:val="18"/>
                <w:szCs w:val="18"/>
              </w:rPr>
              <w:t>6</w:t>
            </w:r>
          </w:p>
        </w:tc>
        <w:tc>
          <w:tcPr>
            <w:tcW w:w="522" w:type="dxa"/>
            <w:tcBorders>
              <w:top w:val="nil"/>
              <w:left w:val="nil"/>
              <w:bottom w:val="nil"/>
              <w:right w:val="nil"/>
            </w:tcBorders>
            <w:vAlign w:val="center"/>
          </w:tcPr>
          <w:p w14:paraId="6227F037"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31375BD4" w14:textId="77777777" w:rsidR="00DB3721" w:rsidRPr="008D4CAE" w:rsidRDefault="00DB3721" w:rsidP="00DB3721">
            <w:pPr>
              <w:jc w:val="center"/>
              <w:rPr>
                <w:sz w:val="18"/>
                <w:szCs w:val="18"/>
              </w:rPr>
            </w:pPr>
            <w:r w:rsidRPr="008D4CAE">
              <w:rPr>
                <w:sz w:val="18"/>
                <w:szCs w:val="18"/>
              </w:rPr>
              <w:t>B</w:t>
            </w:r>
          </w:p>
        </w:tc>
        <w:tc>
          <w:tcPr>
            <w:tcW w:w="665" w:type="dxa"/>
            <w:tcBorders>
              <w:top w:val="nil"/>
              <w:left w:val="nil"/>
              <w:bottom w:val="nil"/>
              <w:right w:val="nil"/>
            </w:tcBorders>
            <w:vAlign w:val="center"/>
          </w:tcPr>
          <w:p w14:paraId="33CA926F" w14:textId="77777777" w:rsidR="00DB3721" w:rsidRPr="008D4CAE" w:rsidRDefault="00DB3721" w:rsidP="00DB3721">
            <w:pPr>
              <w:jc w:val="center"/>
              <w:rPr>
                <w:sz w:val="18"/>
                <w:szCs w:val="18"/>
              </w:rPr>
            </w:pPr>
            <w:r w:rsidRPr="008D4CAE">
              <w:rPr>
                <w:sz w:val="18"/>
                <w:szCs w:val="18"/>
              </w:rPr>
              <w:t>B</w:t>
            </w:r>
          </w:p>
        </w:tc>
        <w:tc>
          <w:tcPr>
            <w:tcW w:w="623" w:type="dxa"/>
            <w:tcBorders>
              <w:top w:val="nil"/>
              <w:left w:val="nil"/>
              <w:bottom w:val="nil"/>
              <w:right w:val="nil"/>
            </w:tcBorders>
            <w:vAlign w:val="center"/>
          </w:tcPr>
          <w:p w14:paraId="7D606B8F" w14:textId="77777777" w:rsidR="00DB3721" w:rsidRPr="008D4CAE" w:rsidRDefault="00DB3721" w:rsidP="00DB3721">
            <w:pPr>
              <w:jc w:val="center"/>
              <w:rPr>
                <w:sz w:val="18"/>
                <w:szCs w:val="18"/>
              </w:rPr>
            </w:pPr>
            <w:r w:rsidRPr="008D4CAE">
              <w:rPr>
                <w:sz w:val="18"/>
                <w:szCs w:val="18"/>
              </w:rPr>
              <w:t>A</w:t>
            </w:r>
          </w:p>
        </w:tc>
        <w:tc>
          <w:tcPr>
            <w:tcW w:w="653" w:type="dxa"/>
            <w:tcBorders>
              <w:top w:val="nil"/>
              <w:left w:val="nil"/>
              <w:bottom w:val="nil"/>
              <w:right w:val="nil"/>
            </w:tcBorders>
            <w:vAlign w:val="center"/>
          </w:tcPr>
          <w:p w14:paraId="770B58D6" w14:textId="77777777" w:rsidR="00DB3721" w:rsidRPr="008D4CAE" w:rsidRDefault="00DB3721" w:rsidP="00DB3721">
            <w:pPr>
              <w:jc w:val="center"/>
              <w:rPr>
                <w:sz w:val="18"/>
                <w:szCs w:val="18"/>
              </w:rPr>
            </w:pPr>
            <w:r w:rsidRPr="008D4CAE">
              <w:rPr>
                <w:sz w:val="18"/>
                <w:szCs w:val="18"/>
              </w:rPr>
              <w:t>A</w:t>
            </w:r>
          </w:p>
        </w:tc>
        <w:tc>
          <w:tcPr>
            <w:tcW w:w="747" w:type="dxa"/>
            <w:gridSpan w:val="2"/>
            <w:tcBorders>
              <w:top w:val="nil"/>
              <w:left w:val="nil"/>
              <w:bottom w:val="nil"/>
              <w:right w:val="nil"/>
            </w:tcBorders>
            <w:vAlign w:val="center"/>
          </w:tcPr>
          <w:p w14:paraId="095C0EBE"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bottom w:val="nil"/>
              <w:right w:val="nil"/>
            </w:tcBorders>
            <w:vAlign w:val="center"/>
          </w:tcPr>
          <w:p w14:paraId="2BAE5263" w14:textId="77777777" w:rsidR="00DB3721" w:rsidRPr="008D4CAE" w:rsidRDefault="00DB3721" w:rsidP="00DB3721">
            <w:pPr>
              <w:jc w:val="center"/>
              <w:rPr>
                <w:sz w:val="18"/>
                <w:szCs w:val="18"/>
              </w:rPr>
            </w:pPr>
            <w:r w:rsidRPr="008D4CAE">
              <w:rPr>
                <w:sz w:val="18"/>
                <w:szCs w:val="18"/>
              </w:rPr>
              <w:t>C</w:t>
            </w:r>
          </w:p>
        </w:tc>
        <w:tc>
          <w:tcPr>
            <w:tcW w:w="630" w:type="dxa"/>
            <w:tcBorders>
              <w:top w:val="nil"/>
              <w:left w:val="nil"/>
              <w:bottom w:val="nil"/>
              <w:right w:val="nil"/>
            </w:tcBorders>
            <w:vAlign w:val="center"/>
          </w:tcPr>
          <w:p w14:paraId="599B5EC1" w14:textId="77777777" w:rsidR="00DB3721" w:rsidRPr="008D4CAE" w:rsidRDefault="00DB3721" w:rsidP="00DB3721">
            <w:pPr>
              <w:jc w:val="center"/>
              <w:rPr>
                <w:sz w:val="18"/>
                <w:szCs w:val="18"/>
              </w:rPr>
            </w:pPr>
            <w:r w:rsidRPr="008D4CAE">
              <w:rPr>
                <w:sz w:val="18"/>
                <w:szCs w:val="18"/>
              </w:rPr>
              <w:t>B</w:t>
            </w:r>
          </w:p>
        </w:tc>
        <w:tc>
          <w:tcPr>
            <w:tcW w:w="567" w:type="dxa"/>
            <w:tcBorders>
              <w:top w:val="nil"/>
              <w:left w:val="nil"/>
              <w:bottom w:val="nil"/>
              <w:right w:val="nil"/>
            </w:tcBorders>
            <w:vAlign w:val="center"/>
          </w:tcPr>
          <w:p w14:paraId="388EF432" w14:textId="77777777" w:rsidR="00DB3721" w:rsidRPr="008D4CAE" w:rsidRDefault="00DB3721" w:rsidP="00DB3721">
            <w:pPr>
              <w:jc w:val="center"/>
              <w:rPr>
                <w:sz w:val="18"/>
                <w:szCs w:val="18"/>
              </w:rPr>
            </w:pPr>
            <w:r w:rsidRPr="008D4CAE">
              <w:rPr>
                <w:sz w:val="18"/>
                <w:szCs w:val="18"/>
              </w:rPr>
              <w:t>B</w:t>
            </w:r>
          </w:p>
        </w:tc>
        <w:tc>
          <w:tcPr>
            <w:tcW w:w="659" w:type="dxa"/>
            <w:tcBorders>
              <w:top w:val="nil"/>
              <w:left w:val="nil"/>
              <w:bottom w:val="nil"/>
              <w:right w:val="nil"/>
            </w:tcBorders>
            <w:vAlign w:val="center"/>
          </w:tcPr>
          <w:p w14:paraId="5F3AF316" w14:textId="77777777" w:rsidR="00DB3721" w:rsidRPr="008D4CAE" w:rsidRDefault="00DB3721" w:rsidP="00DB3721">
            <w:pPr>
              <w:jc w:val="center"/>
              <w:rPr>
                <w:sz w:val="18"/>
                <w:szCs w:val="18"/>
              </w:rPr>
            </w:pPr>
            <w:r w:rsidRPr="008D4CAE">
              <w:rPr>
                <w:sz w:val="18"/>
                <w:szCs w:val="18"/>
              </w:rPr>
              <w:t>B</w:t>
            </w:r>
          </w:p>
        </w:tc>
      </w:tr>
      <w:tr w:rsidR="00DB3721" w:rsidRPr="008D4CAE" w14:paraId="78CF2000" w14:textId="77777777" w:rsidTr="006C75BB">
        <w:trPr>
          <w:gridAfter w:val="1"/>
          <w:wAfter w:w="7" w:type="dxa"/>
        </w:trPr>
        <w:tc>
          <w:tcPr>
            <w:tcW w:w="482" w:type="dxa"/>
            <w:tcBorders>
              <w:top w:val="nil"/>
              <w:left w:val="nil"/>
              <w:right w:val="nil"/>
            </w:tcBorders>
            <w:vAlign w:val="center"/>
          </w:tcPr>
          <w:p w14:paraId="6E34EDAB" w14:textId="77777777" w:rsidR="00DB3721" w:rsidRPr="008D4CAE" w:rsidRDefault="00DB3721" w:rsidP="00DB3721">
            <w:pPr>
              <w:jc w:val="center"/>
              <w:rPr>
                <w:sz w:val="18"/>
                <w:szCs w:val="18"/>
              </w:rPr>
            </w:pPr>
            <w:r w:rsidRPr="008D4CAE">
              <w:rPr>
                <w:sz w:val="18"/>
                <w:szCs w:val="18"/>
              </w:rPr>
              <w:t>8</w:t>
            </w:r>
          </w:p>
        </w:tc>
        <w:tc>
          <w:tcPr>
            <w:tcW w:w="1360" w:type="dxa"/>
            <w:tcBorders>
              <w:top w:val="nil"/>
              <w:left w:val="nil"/>
              <w:right w:val="nil"/>
            </w:tcBorders>
          </w:tcPr>
          <w:p w14:paraId="7F8EA7A3" w14:textId="77777777" w:rsidR="00DB3721" w:rsidRPr="008D4CAE" w:rsidRDefault="00DB3721" w:rsidP="00DB3721">
            <w:pPr>
              <w:rPr>
                <w:sz w:val="18"/>
                <w:szCs w:val="18"/>
              </w:rPr>
            </w:pPr>
            <w:r w:rsidRPr="008D4CAE">
              <w:rPr>
                <w:sz w:val="18"/>
                <w:szCs w:val="18"/>
              </w:rPr>
              <w:t>Indah. C</w:t>
            </w:r>
          </w:p>
        </w:tc>
        <w:tc>
          <w:tcPr>
            <w:tcW w:w="750" w:type="dxa"/>
            <w:tcBorders>
              <w:top w:val="nil"/>
              <w:left w:val="nil"/>
              <w:right w:val="nil"/>
            </w:tcBorders>
            <w:vAlign w:val="center"/>
          </w:tcPr>
          <w:p w14:paraId="1EC2156C" w14:textId="77777777" w:rsidR="00DB3721" w:rsidRPr="008D4CAE" w:rsidRDefault="00DB3721" w:rsidP="00DB3721">
            <w:pPr>
              <w:jc w:val="center"/>
              <w:rPr>
                <w:sz w:val="18"/>
                <w:szCs w:val="18"/>
              </w:rPr>
            </w:pPr>
            <w:r w:rsidRPr="008D4CAE">
              <w:rPr>
                <w:sz w:val="18"/>
                <w:szCs w:val="18"/>
              </w:rPr>
              <w:t>6</w:t>
            </w:r>
          </w:p>
        </w:tc>
        <w:tc>
          <w:tcPr>
            <w:tcW w:w="522" w:type="dxa"/>
            <w:tcBorders>
              <w:top w:val="nil"/>
              <w:left w:val="nil"/>
              <w:right w:val="nil"/>
            </w:tcBorders>
            <w:vAlign w:val="center"/>
          </w:tcPr>
          <w:p w14:paraId="16BC97CB" w14:textId="77777777" w:rsidR="00DB3721" w:rsidRPr="008D4CAE" w:rsidRDefault="00DB3721" w:rsidP="00DB3721">
            <w:pPr>
              <w:jc w:val="center"/>
              <w:rPr>
                <w:sz w:val="18"/>
                <w:szCs w:val="18"/>
              </w:rPr>
            </w:pPr>
            <w:r w:rsidRPr="008D4CAE">
              <w:rPr>
                <w:sz w:val="18"/>
                <w:szCs w:val="18"/>
              </w:rPr>
              <w:t>B</w:t>
            </w:r>
          </w:p>
        </w:tc>
        <w:tc>
          <w:tcPr>
            <w:tcW w:w="753" w:type="dxa"/>
            <w:tcBorders>
              <w:top w:val="nil"/>
              <w:left w:val="nil"/>
              <w:right w:val="nil"/>
            </w:tcBorders>
            <w:vAlign w:val="center"/>
          </w:tcPr>
          <w:p w14:paraId="5C180C21" w14:textId="77777777" w:rsidR="00DB3721" w:rsidRPr="008D4CAE" w:rsidRDefault="00DB3721" w:rsidP="00DB3721">
            <w:pPr>
              <w:jc w:val="center"/>
              <w:rPr>
                <w:sz w:val="18"/>
                <w:szCs w:val="18"/>
              </w:rPr>
            </w:pPr>
            <w:r w:rsidRPr="008D4CAE">
              <w:rPr>
                <w:sz w:val="18"/>
                <w:szCs w:val="18"/>
              </w:rPr>
              <w:t>B</w:t>
            </w:r>
          </w:p>
        </w:tc>
        <w:tc>
          <w:tcPr>
            <w:tcW w:w="665" w:type="dxa"/>
            <w:tcBorders>
              <w:top w:val="nil"/>
              <w:left w:val="nil"/>
              <w:right w:val="nil"/>
            </w:tcBorders>
            <w:vAlign w:val="center"/>
          </w:tcPr>
          <w:p w14:paraId="21962F79" w14:textId="77777777" w:rsidR="00DB3721" w:rsidRPr="008D4CAE" w:rsidRDefault="00DB3721" w:rsidP="00DB3721">
            <w:pPr>
              <w:jc w:val="center"/>
              <w:rPr>
                <w:sz w:val="18"/>
                <w:szCs w:val="18"/>
              </w:rPr>
            </w:pPr>
            <w:r w:rsidRPr="008D4CAE">
              <w:rPr>
                <w:sz w:val="18"/>
                <w:szCs w:val="18"/>
              </w:rPr>
              <w:t>A</w:t>
            </w:r>
          </w:p>
        </w:tc>
        <w:tc>
          <w:tcPr>
            <w:tcW w:w="623" w:type="dxa"/>
            <w:tcBorders>
              <w:top w:val="nil"/>
              <w:left w:val="nil"/>
              <w:right w:val="nil"/>
            </w:tcBorders>
            <w:vAlign w:val="center"/>
          </w:tcPr>
          <w:p w14:paraId="19A7F480" w14:textId="77777777" w:rsidR="00DB3721" w:rsidRPr="008D4CAE" w:rsidRDefault="00DB3721" w:rsidP="00DB3721">
            <w:pPr>
              <w:jc w:val="center"/>
              <w:rPr>
                <w:sz w:val="18"/>
                <w:szCs w:val="18"/>
              </w:rPr>
            </w:pPr>
            <w:r w:rsidRPr="008D4CAE">
              <w:rPr>
                <w:sz w:val="18"/>
                <w:szCs w:val="18"/>
              </w:rPr>
              <w:t>A</w:t>
            </w:r>
          </w:p>
        </w:tc>
        <w:tc>
          <w:tcPr>
            <w:tcW w:w="653" w:type="dxa"/>
            <w:tcBorders>
              <w:top w:val="nil"/>
              <w:left w:val="nil"/>
              <w:right w:val="nil"/>
            </w:tcBorders>
            <w:vAlign w:val="center"/>
          </w:tcPr>
          <w:p w14:paraId="5B5B872C" w14:textId="77777777" w:rsidR="00DB3721" w:rsidRPr="008D4CAE" w:rsidRDefault="00DB3721" w:rsidP="00DB3721">
            <w:pPr>
              <w:jc w:val="center"/>
              <w:rPr>
                <w:sz w:val="18"/>
                <w:szCs w:val="18"/>
              </w:rPr>
            </w:pPr>
            <w:r w:rsidRPr="008D4CAE">
              <w:rPr>
                <w:sz w:val="18"/>
                <w:szCs w:val="18"/>
              </w:rPr>
              <w:t>A+</w:t>
            </w:r>
          </w:p>
        </w:tc>
        <w:tc>
          <w:tcPr>
            <w:tcW w:w="747" w:type="dxa"/>
            <w:gridSpan w:val="2"/>
            <w:tcBorders>
              <w:top w:val="nil"/>
              <w:left w:val="nil"/>
              <w:right w:val="nil"/>
            </w:tcBorders>
            <w:vAlign w:val="center"/>
          </w:tcPr>
          <w:p w14:paraId="615D976C" w14:textId="77777777" w:rsidR="00DB3721" w:rsidRPr="008D4CAE" w:rsidRDefault="00DB3721" w:rsidP="00DB3721">
            <w:pPr>
              <w:jc w:val="center"/>
              <w:rPr>
                <w:sz w:val="18"/>
                <w:szCs w:val="18"/>
              </w:rPr>
            </w:pPr>
            <w:r w:rsidRPr="008D4CAE">
              <w:rPr>
                <w:sz w:val="18"/>
                <w:szCs w:val="18"/>
              </w:rPr>
              <w:t>C</w:t>
            </w:r>
          </w:p>
        </w:tc>
        <w:tc>
          <w:tcPr>
            <w:tcW w:w="753" w:type="dxa"/>
            <w:tcBorders>
              <w:top w:val="nil"/>
              <w:left w:val="nil"/>
              <w:right w:val="nil"/>
            </w:tcBorders>
            <w:vAlign w:val="center"/>
          </w:tcPr>
          <w:p w14:paraId="5E86EE69" w14:textId="77777777" w:rsidR="00DB3721" w:rsidRPr="008D4CAE" w:rsidRDefault="00DB3721" w:rsidP="00DB3721">
            <w:pPr>
              <w:jc w:val="center"/>
              <w:rPr>
                <w:sz w:val="18"/>
                <w:szCs w:val="18"/>
              </w:rPr>
            </w:pPr>
            <w:r w:rsidRPr="008D4CAE">
              <w:rPr>
                <w:sz w:val="18"/>
                <w:szCs w:val="18"/>
              </w:rPr>
              <w:t>C</w:t>
            </w:r>
          </w:p>
        </w:tc>
        <w:tc>
          <w:tcPr>
            <w:tcW w:w="630" w:type="dxa"/>
            <w:tcBorders>
              <w:top w:val="nil"/>
              <w:left w:val="nil"/>
              <w:right w:val="nil"/>
            </w:tcBorders>
            <w:vAlign w:val="center"/>
          </w:tcPr>
          <w:p w14:paraId="79752CB9" w14:textId="77777777" w:rsidR="00DB3721" w:rsidRPr="008D4CAE" w:rsidRDefault="00DB3721" w:rsidP="00DB3721">
            <w:pPr>
              <w:jc w:val="center"/>
              <w:rPr>
                <w:sz w:val="18"/>
                <w:szCs w:val="18"/>
              </w:rPr>
            </w:pPr>
            <w:r w:rsidRPr="008D4CAE">
              <w:rPr>
                <w:sz w:val="18"/>
                <w:szCs w:val="18"/>
              </w:rPr>
              <w:t>B</w:t>
            </w:r>
          </w:p>
        </w:tc>
        <w:tc>
          <w:tcPr>
            <w:tcW w:w="567" w:type="dxa"/>
            <w:tcBorders>
              <w:top w:val="nil"/>
              <w:left w:val="nil"/>
              <w:right w:val="nil"/>
            </w:tcBorders>
            <w:vAlign w:val="center"/>
          </w:tcPr>
          <w:p w14:paraId="1F41BBB5" w14:textId="77777777" w:rsidR="00DB3721" w:rsidRPr="008D4CAE" w:rsidRDefault="00DB3721" w:rsidP="00DB3721">
            <w:pPr>
              <w:jc w:val="center"/>
              <w:rPr>
                <w:sz w:val="18"/>
                <w:szCs w:val="18"/>
              </w:rPr>
            </w:pPr>
            <w:r w:rsidRPr="008D4CAE">
              <w:rPr>
                <w:sz w:val="18"/>
                <w:szCs w:val="18"/>
              </w:rPr>
              <w:t>B</w:t>
            </w:r>
          </w:p>
        </w:tc>
        <w:tc>
          <w:tcPr>
            <w:tcW w:w="659" w:type="dxa"/>
            <w:tcBorders>
              <w:top w:val="nil"/>
              <w:left w:val="nil"/>
              <w:right w:val="nil"/>
            </w:tcBorders>
            <w:vAlign w:val="center"/>
          </w:tcPr>
          <w:p w14:paraId="37CAC407" w14:textId="77777777" w:rsidR="00DB3721" w:rsidRPr="008D4CAE" w:rsidRDefault="00DB3721" w:rsidP="00DB3721">
            <w:pPr>
              <w:jc w:val="center"/>
              <w:rPr>
                <w:sz w:val="18"/>
                <w:szCs w:val="18"/>
              </w:rPr>
            </w:pPr>
            <w:r w:rsidRPr="008D4CAE">
              <w:rPr>
                <w:sz w:val="18"/>
                <w:szCs w:val="18"/>
              </w:rPr>
              <w:t>A</w:t>
            </w:r>
          </w:p>
        </w:tc>
      </w:tr>
    </w:tbl>
    <w:p w14:paraId="455760F3" w14:textId="286A4B19" w:rsidR="00DB3721" w:rsidRPr="008D4CAE" w:rsidRDefault="006C75BB" w:rsidP="006C75BB">
      <w:pPr>
        <w:spacing w:after="14" w:line="288" w:lineRule="auto"/>
        <w:ind w:left="284" w:firstLine="425"/>
        <w:jc w:val="center"/>
        <w:rPr>
          <w:rFonts w:asciiTheme="majorHAnsi" w:hAnsiTheme="majorHAnsi"/>
          <w:bCs/>
          <w:iCs/>
          <w:sz w:val="20"/>
          <w:szCs w:val="20"/>
          <w:lang w:val="en-ID"/>
        </w:rPr>
      </w:pPr>
      <w:r w:rsidRPr="008D4CAE">
        <w:rPr>
          <w:rFonts w:asciiTheme="majorHAnsi" w:hAnsiTheme="majorHAnsi"/>
          <w:bCs/>
          <w:iCs/>
          <w:sz w:val="20"/>
          <w:szCs w:val="20"/>
          <w:lang w:val="en-ID"/>
        </w:rPr>
        <w:t>Table 1.</w:t>
      </w:r>
      <w:r w:rsidRPr="008D4CAE">
        <w:rPr>
          <w:rFonts w:asciiTheme="majorHAnsi" w:hAnsiTheme="majorHAnsi"/>
          <w:bCs/>
          <w:iCs/>
          <w:sz w:val="20"/>
          <w:szCs w:val="20"/>
          <w:lang w:val="en-ID"/>
        </w:rPr>
        <w:tab/>
      </w:r>
      <w:r w:rsidRPr="008D4CAE">
        <w:rPr>
          <w:rFonts w:asciiTheme="majorHAnsi" w:hAnsiTheme="majorHAnsi"/>
          <w:bCs/>
          <w:iCs/>
          <w:sz w:val="20"/>
          <w:szCs w:val="20"/>
          <w:lang w:val="en-ID"/>
        </w:rPr>
        <w:tab/>
      </w:r>
      <w:r w:rsidRPr="008D4CAE">
        <w:rPr>
          <w:rFonts w:asciiTheme="majorHAnsi" w:hAnsiTheme="majorHAnsi"/>
          <w:bCs/>
          <w:iCs/>
          <w:sz w:val="20"/>
          <w:szCs w:val="20"/>
        </w:rPr>
        <w:t>Result of the Literacy and Reading Enhancement Activities</w:t>
      </w:r>
    </w:p>
    <w:p w14:paraId="0AD302B6" w14:textId="77777777" w:rsidR="00DB3721" w:rsidRPr="008D4CAE" w:rsidRDefault="00DB3721" w:rsidP="00B20523">
      <w:pPr>
        <w:spacing w:after="14" w:line="288" w:lineRule="auto"/>
        <w:ind w:left="284" w:firstLine="425"/>
        <w:jc w:val="both"/>
        <w:rPr>
          <w:rFonts w:asciiTheme="majorHAnsi" w:hAnsiTheme="majorHAnsi"/>
          <w:bCs/>
          <w:iCs/>
          <w:lang w:val="en-ID"/>
        </w:rPr>
      </w:pPr>
    </w:p>
    <w:p w14:paraId="55FA60FC" w14:textId="0973EC02" w:rsidR="006C75BB" w:rsidRPr="008D4CAE" w:rsidRDefault="006C75BB" w:rsidP="006C75BB">
      <w:pPr>
        <w:spacing w:after="14" w:line="288" w:lineRule="auto"/>
        <w:ind w:left="284" w:firstLine="425"/>
        <w:jc w:val="both"/>
        <w:rPr>
          <w:rFonts w:asciiTheme="majorHAnsi" w:hAnsiTheme="majorHAnsi"/>
          <w:bCs/>
          <w:iCs/>
          <w:lang w:val="en-ID"/>
        </w:rPr>
      </w:pPr>
      <w:r w:rsidRPr="008D4CAE">
        <w:rPr>
          <w:rFonts w:asciiTheme="majorHAnsi" w:hAnsiTheme="majorHAnsi"/>
          <w:bCs/>
          <w:iCs/>
          <w:lang w:val="en-ID"/>
        </w:rPr>
        <w:t xml:space="preserve">Table 1 shows that there was a noticeable improvement in both literacy skills and reading interest. The intervention included a variety of activities such as reading workshops, interactive storytelling sessions, and the introduction of a library corner in classrooms. These activities were </w:t>
      </w:r>
      <w:r w:rsidRPr="008D4CAE">
        <w:rPr>
          <w:rFonts w:asciiTheme="majorHAnsi" w:hAnsiTheme="majorHAnsi"/>
          <w:bCs/>
          <w:iCs/>
          <w:lang w:val="en-ID"/>
        </w:rPr>
        <w:lastRenderedPageBreak/>
        <w:t>designed to make reading more engaging and accessible for students. The post-intervention assessment showed a significant increase in reading comprehension levels across all grades. Students who participated in the literacy activities demonstrated better reading fluency and a deeper understanding of the texts they encountered. Additionally, there was a marked increase in voluntary reading activities, with more students choosing to read during free time.</w:t>
      </w:r>
    </w:p>
    <w:p w14:paraId="7EA9A3B1" w14:textId="2C2F81DC" w:rsidR="00DB3721" w:rsidRPr="008D4CAE" w:rsidRDefault="006C75BB" w:rsidP="006C75BB">
      <w:pPr>
        <w:spacing w:after="14" w:line="288" w:lineRule="auto"/>
        <w:ind w:left="284" w:firstLine="425"/>
        <w:jc w:val="both"/>
        <w:rPr>
          <w:rFonts w:asciiTheme="majorHAnsi" w:hAnsiTheme="majorHAnsi"/>
          <w:bCs/>
          <w:iCs/>
          <w:lang w:val="en-ID"/>
        </w:rPr>
      </w:pPr>
      <w:r w:rsidRPr="008D4CAE">
        <w:rPr>
          <w:rFonts w:asciiTheme="majorHAnsi" w:hAnsiTheme="majorHAnsi"/>
          <w:bCs/>
          <w:iCs/>
        </w:rPr>
        <w:t xml:space="preserve">Literacy enhancement is an important process in improving individual understanding and skills in reading, writing, and critical thinking. Literacy is not just about the ability to read words on paper but also involves a deep understanding of information the ability to evaluate, and creativity in conveying </w:t>
      </w:r>
      <w:proofErr w:type="gramStart"/>
      <w:r w:rsidRPr="008D4CAE">
        <w:rPr>
          <w:rFonts w:asciiTheme="majorHAnsi" w:hAnsiTheme="majorHAnsi"/>
          <w:bCs/>
          <w:iCs/>
        </w:rPr>
        <w:t>ideas</w:t>
      </w:r>
      <w:r w:rsidRPr="008D4CAE">
        <w:rPr>
          <w:rFonts w:asciiTheme="majorHAnsi" w:hAnsiTheme="majorHAnsi"/>
          <w:bCs/>
          <w:iCs/>
          <w:vertAlign w:val="superscript"/>
        </w:rPr>
        <w:t>[</w:t>
      </w:r>
      <w:proofErr w:type="gramEnd"/>
      <w:r w:rsidRPr="008D4CAE">
        <w:rPr>
          <w:rStyle w:val="FootnoteReference"/>
          <w:rFonts w:asciiTheme="majorHAnsi" w:hAnsiTheme="majorHAnsi"/>
          <w:bCs/>
          <w:iCs/>
        </w:rPr>
        <w:footnoteReference w:id="17"/>
      </w:r>
      <w:r w:rsidRPr="008D4CAE">
        <w:rPr>
          <w:rFonts w:asciiTheme="majorHAnsi" w:hAnsiTheme="majorHAnsi"/>
          <w:bCs/>
          <w:iCs/>
          <w:vertAlign w:val="superscript"/>
        </w:rPr>
        <w:t>]</w:t>
      </w:r>
      <w:r w:rsidRPr="008D4CAE">
        <w:rPr>
          <w:rFonts w:asciiTheme="majorHAnsi" w:hAnsiTheme="majorHAnsi"/>
          <w:bCs/>
          <w:iCs/>
        </w:rPr>
        <w:t xml:space="preserve">. The literacy enhancement involves increasing the book collection in the school library and socializing parents to </w:t>
      </w:r>
      <w:r w:rsidR="00B207D1" w:rsidRPr="008D4CAE">
        <w:rPr>
          <w:rFonts w:asciiTheme="majorHAnsi" w:hAnsiTheme="majorHAnsi"/>
          <w:bCs/>
          <w:iCs/>
        </w:rPr>
        <w:t>develop</w:t>
      </w:r>
      <w:r w:rsidRPr="008D4CAE">
        <w:rPr>
          <w:rFonts w:asciiTheme="majorHAnsi" w:hAnsiTheme="majorHAnsi"/>
          <w:bCs/>
          <w:iCs/>
        </w:rPr>
        <w:t xml:space="preserve"> literacy habits at home during leisure time by using different books or literacy resources from school. Teacher training in reading teaching strategies, and literacy extracurricular activities.</w:t>
      </w:r>
      <w:r w:rsidR="00B207D1" w:rsidRPr="008D4CAE">
        <w:rPr>
          <w:rFonts w:asciiTheme="majorHAnsi" w:hAnsiTheme="majorHAnsi"/>
          <w:bCs/>
          <w:iCs/>
        </w:rPr>
        <w:t xml:space="preserve"> Also using some technologies in reading practical in the school, mini library of the village. </w:t>
      </w:r>
    </w:p>
    <w:p w14:paraId="4990A0AF" w14:textId="2B917EFB" w:rsidR="00B57BBD" w:rsidRPr="008D4CAE" w:rsidRDefault="006C75BB" w:rsidP="00B207D1">
      <w:pPr>
        <w:spacing w:after="14" w:line="288" w:lineRule="auto"/>
        <w:ind w:left="284" w:firstLine="425"/>
        <w:jc w:val="both"/>
        <w:rPr>
          <w:rFonts w:asciiTheme="majorHAnsi" w:hAnsiTheme="majorHAnsi"/>
          <w:bCs/>
          <w:iCs/>
          <w:lang w:val="en-ID"/>
        </w:rPr>
      </w:pPr>
      <w:r w:rsidRPr="008D4CAE">
        <w:rPr>
          <w:rFonts w:asciiTheme="majorHAnsi" w:hAnsiTheme="majorHAnsi"/>
          <w:bCs/>
          <w:iCs/>
          <w:lang w:val="en-ID"/>
        </w:rPr>
        <w:t>The study also highlighted increased student engagement during literacy activities. Teachers reported that students were more attentive and eager to participate in reading-related tasks. The interactive and student-</w:t>
      </w:r>
      <w:proofErr w:type="spellStart"/>
      <w:r w:rsidRPr="008D4CAE">
        <w:rPr>
          <w:rFonts w:asciiTheme="majorHAnsi" w:hAnsiTheme="majorHAnsi"/>
          <w:bCs/>
          <w:iCs/>
          <w:lang w:val="en-ID"/>
        </w:rPr>
        <w:t>centered</w:t>
      </w:r>
      <w:proofErr w:type="spellEnd"/>
      <w:r w:rsidRPr="008D4CAE">
        <w:rPr>
          <w:rFonts w:asciiTheme="majorHAnsi" w:hAnsiTheme="majorHAnsi"/>
          <w:bCs/>
          <w:iCs/>
          <w:lang w:val="en-ID"/>
        </w:rPr>
        <w:t xml:space="preserve"> approach of the intervention was particularly effective in capturing the students' interest. The success of the literacy and reading interest enhancement program was also attributed to the active involvement of teachers and support from the community, especially from the parents by doing literacy and reading activities at home. Teachers received training on how to integrate literacy activities into their daily lessons, which helped sustain the momentum of the program. Furthermore, the involvement of parents and community members in literacy campaigns created a supportive environment that reinforced the importance of reading.</w:t>
      </w:r>
    </w:p>
    <w:p w14:paraId="2B238186" w14:textId="5D0ABF62" w:rsidR="005F001D" w:rsidRPr="008D4CAE" w:rsidRDefault="005F001D" w:rsidP="005F001D">
      <w:pPr>
        <w:pStyle w:val="Heading2"/>
        <w:widowControl/>
        <w:numPr>
          <w:ilvl w:val="1"/>
          <w:numId w:val="0"/>
        </w:numPr>
        <w:autoSpaceDE/>
        <w:autoSpaceDN/>
        <w:spacing w:before="120" w:after="60"/>
        <w:ind w:left="284"/>
        <w:jc w:val="both"/>
        <w:rPr>
          <w:color w:val="auto"/>
          <w:sz w:val="22"/>
          <w:szCs w:val="22"/>
        </w:rPr>
      </w:pPr>
      <w:r w:rsidRPr="008D4CAE">
        <w:rPr>
          <w:b/>
          <w:bCs/>
          <w:color w:val="auto"/>
          <w:sz w:val="22"/>
          <w:szCs w:val="22"/>
        </w:rPr>
        <w:t>3.1</w:t>
      </w:r>
      <w:r w:rsidRPr="008D4CAE">
        <w:rPr>
          <w:b/>
          <w:bCs/>
          <w:color w:val="auto"/>
          <w:sz w:val="22"/>
          <w:szCs w:val="22"/>
        </w:rPr>
        <w:tab/>
        <w:t xml:space="preserve">Literacy and Reading Interest Enhancement: Efforts to Accelerate SDGs </w:t>
      </w:r>
      <w:r w:rsidR="00ED3D3A" w:rsidRPr="008D4CAE">
        <w:rPr>
          <w:b/>
          <w:bCs/>
          <w:color w:val="auto"/>
          <w:sz w:val="22"/>
          <w:szCs w:val="22"/>
        </w:rPr>
        <w:t xml:space="preserve">4 </w:t>
      </w:r>
      <w:r w:rsidRPr="008D4CAE">
        <w:rPr>
          <w:b/>
          <w:bCs/>
          <w:color w:val="auto"/>
          <w:sz w:val="22"/>
          <w:szCs w:val="22"/>
        </w:rPr>
        <w:t>in Villages</w:t>
      </w:r>
    </w:p>
    <w:p w14:paraId="62FBF47F" w14:textId="31E4D78A" w:rsidR="005F001D" w:rsidRPr="008D4CAE" w:rsidRDefault="005F001D" w:rsidP="004B6E3B">
      <w:pPr>
        <w:pStyle w:val="Heading2"/>
        <w:widowControl/>
        <w:numPr>
          <w:ilvl w:val="1"/>
          <w:numId w:val="0"/>
        </w:numPr>
        <w:tabs>
          <w:tab w:val="left" w:pos="454"/>
        </w:tabs>
        <w:autoSpaceDE/>
        <w:autoSpaceDN/>
        <w:spacing w:before="0" w:after="14" w:line="276" w:lineRule="auto"/>
        <w:ind w:left="284" w:firstLine="425"/>
        <w:jc w:val="both"/>
        <w:rPr>
          <w:bCs/>
          <w:color w:val="auto"/>
          <w:sz w:val="22"/>
          <w:szCs w:val="22"/>
        </w:rPr>
      </w:pPr>
      <w:r w:rsidRPr="008D4CAE">
        <w:rPr>
          <w:bCs/>
          <w:color w:val="auto"/>
          <w:sz w:val="22"/>
          <w:szCs w:val="22"/>
        </w:rPr>
        <w:t xml:space="preserve">Enhancing literacy and increasing interest in reading in villages can be a very effective strategy to accelerate the achievement of the Sustainable Development Goals (SDGs). The SDGs themselves are a series of global development goals designed by the United Nations (UN) to overcome various social, economic, and environmental challenges throughout the world. </w:t>
      </w:r>
    </w:p>
    <w:p w14:paraId="4FA3BC0C" w14:textId="2493499C" w:rsidR="00012177" w:rsidRPr="008D4CAE" w:rsidRDefault="00012177" w:rsidP="004B6E3B">
      <w:pPr>
        <w:spacing w:after="14" w:line="276" w:lineRule="auto"/>
        <w:ind w:left="284" w:firstLine="425"/>
        <w:jc w:val="both"/>
      </w:pPr>
      <w:r w:rsidRPr="008D4CAE">
        <w:t xml:space="preserve">The results demonstrate the effectiveness of targeted literacy programs in rural areas as a means to accelerate progress toward the SDGs, particularly SDG 4, which focuses on quality education. By enhancing literacy and reading interest among elementary students, the program directly addresses the educational gaps often found in village settings, where resources are limited, and access to quality learning is </w:t>
      </w:r>
      <w:proofErr w:type="gramStart"/>
      <w:r w:rsidRPr="008D4CAE">
        <w:t>uneven</w:t>
      </w:r>
      <w:r w:rsidRPr="008D4CAE">
        <w:rPr>
          <w:vertAlign w:val="superscript"/>
        </w:rPr>
        <w:t>[</w:t>
      </w:r>
      <w:proofErr w:type="gramEnd"/>
      <w:r w:rsidRPr="008D4CAE">
        <w:rPr>
          <w:rStyle w:val="FootnoteReference"/>
        </w:rPr>
        <w:footnoteReference w:id="18"/>
      </w:r>
      <w:r w:rsidRPr="008D4CAE">
        <w:rPr>
          <w:vertAlign w:val="superscript"/>
        </w:rPr>
        <w:t>]</w:t>
      </w:r>
      <w:r w:rsidRPr="008D4CAE">
        <w:t>.</w:t>
      </w:r>
      <w:r w:rsidR="0076274B" w:rsidRPr="008D4CAE">
        <w:t xml:space="preserve"> </w:t>
      </w:r>
    </w:p>
    <w:p w14:paraId="1775385C" w14:textId="465D055E" w:rsidR="0076274B" w:rsidRPr="008D4CAE" w:rsidRDefault="0076274B" w:rsidP="004B6E3B">
      <w:pPr>
        <w:spacing w:after="14" w:line="276" w:lineRule="auto"/>
        <w:ind w:left="284" w:firstLine="425"/>
        <w:jc w:val="both"/>
        <w:rPr>
          <w:lang w:val="en-ID"/>
        </w:rPr>
      </w:pPr>
      <w:r w:rsidRPr="008D4CAE">
        <w:rPr>
          <w:lang w:val="en-ID"/>
        </w:rPr>
        <w:t xml:space="preserve">In village settings, access to quality education is frequently hampered by various factors such as a lack of infrastructure, insufficient educational resources, and socio-economic challenges. Enhancing literacy and fostering a strong interest in reading addresses these gaps by focusing on the foundational skills that are essential for lifelong learning. Literacy is not just a basic educational </w:t>
      </w:r>
      <w:r w:rsidRPr="008D4CAE">
        <w:rPr>
          <w:lang w:val="en-ID"/>
        </w:rPr>
        <w:lastRenderedPageBreak/>
        <w:t>outcome, but a gateway to all forms of knowledge acquisition. By equipping students with better reading skills, the program empowers them to access a broader range of learning materials, engage more deeply with their studies, and develop critical thinking skills—ultimately improving their overall educational outcomes.</w:t>
      </w:r>
      <w:r w:rsidR="00C8212C" w:rsidRPr="008D4CAE">
        <w:rPr>
          <w:lang w:val="en-ID"/>
        </w:rPr>
        <w:t xml:space="preserve"> </w:t>
      </w:r>
      <w:r w:rsidRPr="008D4CAE">
        <w:rPr>
          <w:lang w:val="en-ID"/>
        </w:rPr>
        <w:t>Additionally, by increasing reading interest, the program creates intrinsic motivation in students, which is crucial in environments where external incentives (like advanced technology or well-funded schools) are scarce. This interest drives students to continue learning independently, thus compensating for the limitations in formal schooling and available resources in the village. When students become motivated readers, they expand their knowledge even in the absence of extensive external support, helping to bridge the education gap between rural and urban areas.</w:t>
      </w:r>
    </w:p>
    <w:p w14:paraId="422DBF07" w14:textId="34278237" w:rsidR="0076274B" w:rsidRPr="008D4CAE" w:rsidRDefault="00C8212C" w:rsidP="004B6E3B">
      <w:pPr>
        <w:spacing w:line="276" w:lineRule="auto"/>
        <w:ind w:left="284" w:firstLine="425"/>
        <w:jc w:val="both"/>
      </w:pPr>
      <w:r w:rsidRPr="008D4CAE">
        <w:t>Besides</w:t>
      </w:r>
      <w:r w:rsidR="0076274B" w:rsidRPr="008D4CAE">
        <w:t xml:space="preserve"> the literacy and reading activities, the success of the program highlights the importance of a holistic approach, where the involvement of parents, teachers, and the community is crucial. The initiative extended learning beyond the classroom, embedding literacy into the fabric of daily life in the village. This comprehensive strategy addresses not just the intellectual needs of children but also their emotional and social development.</w:t>
      </w:r>
      <w:r w:rsidRPr="008D4CAE">
        <w:t xml:space="preserve"> The results underscore the program’s effectiveness in overcoming common barriers in rural education, such as a lack of reading materials, limited parental involvement, and poor infrastructure. By providing accessible, culturally relevant books and promoting communal engagement, these challenges were mitigated. Additionally, addressing dropout rates supports the SDG target of ensuring that all children complete primary and secondary education.</w:t>
      </w:r>
    </w:p>
    <w:p w14:paraId="3396B6EE" w14:textId="77777777" w:rsidR="00C8212C" w:rsidRPr="008D4CAE" w:rsidRDefault="00C8212C" w:rsidP="004B6E3B">
      <w:pPr>
        <w:spacing w:line="276" w:lineRule="auto"/>
        <w:ind w:left="284" w:firstLine="425"/>
        <w:jc w:val="both"/>
        <w:rPr>
          <w:lang w:val="en-ID"/>
        </w:rPr>
      </w:pPr>
      <w:r w:rsidRPr="008D4CAE">
        <w:rPr>
          <w:lang w:val="en-ID"/>
        </w:rPr>
        <w:t>The program's model, focused on enhancing literacy and reading interest, is both sustainable and scalable. With continued support, this approach can be replicated in other villages to address similar educational challenges. The involvement of local communities ensures that these gains can be maintained over time, promoting long-term educational success.</w:t>
      </w:r>
    </w:p>
    <w:p w14:paraId="446CFFFF" w14:textId="58A062C3" w:rsidR="00C8212C" w:rsidRPr="008D4CAE" w:rsidRDefault="00B8572B" w:rsidP="004B6E3B">
      <w:pPr>
        <w:pStyle w:val="Heading2"/>
        <w:widowControl/>
        <w:numPr>
          <w:ilvl w:val="1"/>
          <w:numId w:val="0"/>
        </w:numPr>
        <w:tabs>
          <w:tab w:val="left" w:pos="454"/>
        </w:tabs>
        <w:autoSpaceDE/>
        <w:autoSpaceDN/>
        <w:spacing w:before="120" w:after="60" w:line="276" w:lineRule="auto"/>
        <w:ind w:left="284" w:firstLine="425"/>
        <w:jc w:val="both"/>
        <w:rPr>
          <w:bCs/>
          <w:color w:val="auto"/>
          <w:sz w:val="22"/>
          <w:szCs w:val="22"/>
        </w:rPr>
      </w:pPr>
      <w:r w:rsidRPr="008D4CAE">
        <w:rPr>
          <w:bCs/>
          <w:color w:val="auto"/>
          <w:sz w:val="22"/>
          <w:szCs w:val="22"/>
        </w:rPr>
        <w:t>One of the most noticeable results was a significant increase in students' interest in reading. Regular reading sessions, coupled with fun and interactive reading activities, stimulated curiosity and a positive attitude toward reading. The introduction of local stories, culturally relevant materials, and the involvement of the community made reading more relatable and enjoyable for students.</w:t>
      </w:r>
    </w:p>
    <w:p w14:paraId="484262F3" w14:textId="7452D25D" w:rsidR="00B8572B" w:rsidRPr="008D4CAE" w:rsidRDefault="00B8572B" w:rsidP="004B6E3B">
      <w:pPr>
        <w:spacing w:after="14" w:line="276" w:lineRule="auto"/>
        <w:ind w:left="284" w:firstLine="425"/>
        <w:jc w:val="both"/>
        <w:rPr>
          <w:lang w:val="en-ID"/>
        </w:rPr>
      </w:pPr>
      <w:r w:rsidRPr="008D4CAE">
        <w:rPr>
          <w:lang w:val="en-ID"/>
        </w:rPr>
        <w:t xml:space="preserve">When students, especially young learners, are introduced to reading in a way that is both enjoyable and relevant to their lives, it naturally stimulates curiosity and enhances their engagement with the </w:t>
      </w:r>
      <w:proofErr w:type="gramStart"/>
      <w:r w:rsidRPr="008D4CAE">
        <w:rPr>
          <w:lang w:val="en-ID"/>
        </w:rPr>
        <w:t>material</w:t>
      </w:r>
      <w:r w:rsidRPr="008D4CAE">
        <w:rPr>
          <w:vertAlign w:val="superscript"/>
          <w:lang w:val="en-ID"/>
        </w:rPr>
        <w:t>[</w:t>
      </w:r>
      <w:proofErr w:type="gramEnd"/>
      <w:r w:rsidRPr="008D4CAE">
        <w:rPr>
          <w:rStyle w:val="FootnoteReference"/>
          <w:lang w:val="en-ID"/>
        </w:rPr>
        <w:footnoteReference w:id="19"/>
      </w:r>
      <w:r w:rsidRPr="008D4CAE">
        <w:rPr>
          <w:vertAlign w:val="superscript"/>
          <w:lang w:val="en-ID"/>
        </w:rPr>
        <w:t>]</w:t>
      </w:r>
      <w:r w:rsidRPr="008D4CAE">
        <w:rPr>
          <w:lang w:val="en-ID"/>
        </w:rPr>
        <w:t>. Regular reading sessions alone may improve reading skills, but when combined with interactive activities—such as storytelling, role-playing, or discussions—learning becomes an active process rather than a passive one. This shift from rote learning to experiential learning fosters a more positive relationship with reading, as students see it as something fun rather than a chore.</w:t>
      </w:r>
    </w:p>
    <w:p w14:paraId="35DAE7B5" w14:textId="7EE69B63" w:rsidR="00B8572B" w:rsidRPr="008D4CAE" w:rsidRDefault="00B8572B" w:rsidP="004B6E3B">
      <w:pPr>
        <w:spacing w:after="14" w:line="276" w:lineRule="auto"/>
        <w:ind w:left="284" w:firstLine="425"/>
        <w:jc w:val="both"/>
        <w:rPr>
          <w:lang w:val="en-ID"/>
        </w:rPr>
      </w:pPr>
      <w:r w:rsidRPr="008D4CAE">
        <w:rPr>
          <w:lang w:val="en-ID"/>
        </w:rPr>
        <w:t xml:space="preserve">Moreover, the use of local stories and culturally relevant materials makes reading more meaningful for students. When children see their own culture, traditions, and experiences reflected in the texts they read, they feel a stronger connection to the material. This relatability fosters a </w:t>
      </w:r>
      <w:r w:rsidRPr="008D4CAE">
        <w:rPr>
          <w:lang w:val="en-ID"/>
        </w:rPr>
        <w:lastRenderedPageBreak/>
        <w:t>sense of belonging and validation, which further enhances their interest in reading. It breaks down the notion that reading is a distant or foreign activity and instead presents it as a valuable tool for exploring their world and heritage.</w:t>
      </w:r>
    </w:p>
    <w:p w14:paraId="29F7E605" w14:textId="31B5780C" w:rsidR="00B8572B" w:rsidRPr="008D4CAE" w:rsidRDefault="00B8572B" w:rsidP="004B6E3B">
      <w:pPr>
        <w:spacing w:after="14" w:line="276" w:lineRule="auto"/>
        <w:ind w:left="284" w:firstLine="425"/>
        <w:jc w:val="both"/>
        <w:rPr>
          <w:lang w:val="en-ID"/>
        </w:rPr>
      </w:pPr>
      <w:r w:rsidRPr="008D4CAE">
        <w:rPr>
          <w:lang w:val="en-ID"/>
        </w:rPr>
        <w:t xml:space="preserve">In addition, involving the community in literacy programs creates a supportive and inclusive environment that further encourages reading. When reading is valued not only in the classroom but also in the home and community, students are more likely to see it as an integral part of their lives. Parents, siblings, and community members participating in reading activities create positive social reinforcement, making reading a shared, enjoyable experience rather than an isolated academic task. This communal approach ensures that students have both external and internal motivation to continue engaging with reading, further solidifying their interest in </w:t>
      </w:r>
      <w:proofErr w:type="gramStart"/>
      <w:r w:rsidRPr="008D4CAE">
        <w:rPr>
          <w:lang w:val="en-ID"/>
        </w:rPr>
        <w:t>it</w:t>
      </w:r>
      <w:r w:rsidR="002F70A1" w:rsidRPr="008D4CAE">
        <w:rPr>
          <w:vertAlign w:val="superscript"/>
          <w:lang w:val="en-ID"/>
        </w:rPr>
        <w:t>[</w:t>
      </w:r>
      <w:proofErr w:type="gramEnd"/>
      <w:r w:rsidR="002F70A1" w:rsidRPr="008D4CAE">
        <w:rPr>
          <w:rStyle w:val="FootnoteReference"/>
          <w:lang w:val="en-ID"/>
        </w:rPr>
        <w:footnoteReference w:id="20"/>
      </w:r>
      <w:r w:rsidR="002F70A1" w:rsidRPr="008D4CAE">
        <w:rPr>
          <w:vertAlign w:val="superscript"/>
          <w:lang w:val="en-ID"/>
        </w:rPr>
        <w:t>][</w:t>
      </w:r>
      <w:r w:rsidR="002F70A1" w:rsidRPr="008D4CAE">
        <w:rPr>
          <w:rStyle w:val="FootnoteReference"/>
          <w:lang w:val="en-ID"/>
        </w:rPr>
        <w:footnoteReference w:id="21"/>
      </w:r>
      <w:r w:rsidR="002F70A1" w:rsidRPr="008D4CAE">
        <w:rPr>
          <w:vertAlign w:val="superscript"/>
          <w:lang w:val="en-ID"/>
        </w:rPr>
        <w:t>]</w:t>
      </w:r>
      <w:r w:rsidR="002F70A1" w:rsidRPr="008D4CAE">
        <w:rPr>
          <w:lang w:val="en-ID"/>
        </w:rPr>
        <w:t>.</w:t>
      </w:r>
    </w:p>
    <w:p w14:paraId="2240480E" w14:textId="662A51DA" w:rsidR="00B8572B" w:rsidRPr="008D4CAE" w:rsidRDefault="002F70A1" w:rsidP="004B6E3B">
      <w:pPr>
        <w:spacing w:after="14" w:line="276" w:lineRule="auto"/>
        <w:ind w:left="284" w:firstLine="283"/>
        <w:jc w:val="both"/>
        <w:rPr>
          <w:lang w:val="en-ID"/>
        </w:rPr>
      </w:pPr>
      <w:r w:rsidRPr="008D4CAE">
        <w:t>The combination of school-based and community-driven efforts is a key factor in the success of these initiatives. Schools provide the structured learning environment necessary to impart literacy skills, while community engagement ensures that learning continues outside the classroom. Parental involvement, local reading clubs, and the inclusion of culturally relevant materials help bridge the gap between formal education and the home environment, making literacy a shared priority. This synergy helps sustain momentum, ensuring that the gains made through literacy programs are not short-lived but become embedded in the fabric of the community.</w:t>
      </w:r>
    </w:p>
    <w:p w14:paraId="47889718" w14:textId="20E86F4D" w:rsidR="002F70A1" w:rsidRPr="008D4CAE" w:rsidRDefault="002F70A1" w:rsidP="004B6E3B">
      <w:pPr>
        <w:spacing w:after="14" w:line="276" w:lineRule="auto"/>
        <w:ind w:left="284" w:firstLine="425"/>
        <w:jc w:val="both"/>
        <w:rPr>
          <w:lang w:val="en-ID"/>
        </w:rPr>
      </w:pPr>
      <w:r w:rsidRPr="008D4CAE">
        <w:rPr>
          <w:lang w:val="en-ID"/>
        </w:rPr>
        <w:t xml:space="preserve">The combination of school-based and community-driven efforts is a key factor in the long-term success of literacy initiatives, especially in underserved communities. Schools offer a structured learning environment where students can acquire foundational literacy skills through formal education. Teachers, with their expertise, </w:t>
      </w:r>
      <w:r w:rsidR="0038535E" w:rsidRPr="008D4CAE">
        <w:rPr>
          <w:lang w:val="en-ID"/>
        </w:rPr>
        <w:t>can</w:t>
      </w:r>
      <w:r w:rsidRPr="008D4CAE">
        <w:rPr>
          <w:lang w:val="en-ID"/>
        </w:rPr>
        <w:t xml:space="preserve"> guide and assess students' progress, creating a framework for measurable outcomes. However, the role of the community is equally vital in ensuring that literacy is not confined to the classroom but becomes an integral part of daily life.</w:t>
      </w:r>
    </w:p>
    <w:p w14:paraId="2E3DC3FC" w14:textId="77777777" w:rsidR="00114987" w:rsidRPr="008D4CAE" w:rsidRDefault="002F70A1" w:rsidP="00114987">
      <w:pPr>
        <w:spacing w:after="14" w:line="276" w:lineRule="auto"/>
        <w:ind w:left="284" w:firstLine="425"/>
        <w:jc w:val="both"/>
        <w:rPr>
          <w:lang w:val="en-ID"/>
        </w:rPr>
      </w:pPr>
      <w:r w:rsidRPr="008D4CAE">
        <w:rPr>
          <w:lang w:val="en-ID"/>
        </w:rPr>
        <w:t>Community engagement amplifies the reach of literacy programs by fostering a culture of reading and learning beyond school walls. Parental involvement plays a crucial role in reinforcing what is learned at school, as parents who actively participate in their children's education help sustain their motivation and commitment to literacy. This involvement could take the form of reading at home, attending literacy workshops, or joining parent-teacher associations focused on educational outcomes.</w:t>
      </w:r>
    </w:p>
    <w:p w14:paraId="0439D2A8" w14:textId="0F95FF23" w:rsidR="005F001D" w:rsidRPr="008D4CAE" w:rsidRDefault="005F001D" w:rsidP="0038535E">
      <w:pPr>
        <w:spacing w:after="14" w:line="276" w:lineRule="auto"/>
        <w:ind w:left="284" w:firstLine="425"/>
        <w:jc w:val="both"/>
        <w:rPr>
          <w:bCs/>
        </w:rPr>
      </w:pPr>
      <w:r w:rsidRPr="008D4CAE">
        <w:rPr>
          <w:bCs/>
        </w:rPr>
        <w:t xml:space="preserve">Increasing </w:t>
      </w:r>
      <w:r w:rsidR="00012177" w:rsidRPr="008D4CAE">
        <w:rPr>
          <w:bCs/>
        </w:rPr>
        <w:t xml:space="preserve">literacy has been </w:t>
      </w:r>
      <w:r w:rsidR="00114987" w:rsidRPr="008D4CAE">
        <w:rPr>
          <w:bCs/>
        </w:rPr>
        <w:t>achieved</w:t>
      </w:r>
      <w:r w:rsidR="00012177" w:rsidRPr="008D4CAE">
        <w:rPr>
          <w:bCs/>
        </w:rPr>
        <w:t xml:space="preserve"> by strengthening</w:t>
      </w:r>
      <w:r w:rsidRPr="008D4CAE">
        <w:rPr>
          <w:bCs/>
        </w:rPr>
        <w:t xml:space="preserve"> literacy in villages</w:t>
      </w:r>
      <w:r w:rsidR="00114987" w:rsidRPr="008D4CAE">
        <w:rPr>
          <w:bCs/>
        </w:rPr>
        <w:t>,</w:t>
      </w:r>
      <w:r w:rsidRPr="008D4CAE">
        <w:rPr>
          <w:bCs/>
        </w:rPr>
        <w:t xml:space="preserve"> </w:t>
      </w:r>
      <w:r w:rsidR="00012177" w:rsidRPr="008D4CAE">
        <w:rPr>
          <w:bCs/>
        </w:rPr>
        <w:t>allowing</w:t>
      </w:r>
      <w:r w:rsidRPr="008D4CAE">
        <w:rPr>
          <w:bCs/>
        </w:rPr>
        <w:t xml:space="preserve"> communities to understand information about Sustainable Development Goals (SDGs). With a better understanding of sustainable development issues, communities can actively participate in identifying local problems and finding appropriate solutions.</w:t>
      </w:r>
      <w:r w:rsidR="002F70A1" w:rsidRPr="008D4CAE">
        <w:rPr>
          <w:bCs/>
        </w:rPr>
        <w:t xml:space="preserve"> Besides that, </w:t>
      </w:r>
      <w:proofErr w:type="gramStart"/>
      <w:r w:rsidR="00114987" w:rsidRPr="008D4CAE">
        <w:rPr>
          <w:bCs/>
        </w:rPr>
        <w:t>these</w:t>
      </w:r>
      <w:r w:rsidR="002F70A1" w:rsidRPr="008D4CAE">
        <w:rPr>
          <w:bCs/>
        </w:rPr>
        <w:t xml:space="preserve"> literacy</w:t>
      </w:r>
      <w:proofErr w:type="gramEnd"/>
      <w:r w:rsidR="002F70A1" w:rsidRPr="008D4CAE">
        <w:rPr>
          <w:bCs/>
        </w:rPr>
        <w:t xml:space="preserve"> and reading interest activities also involve all parties to be included in the SDGs issues in the villages, especially </w:t>
      </w:r>
      <w:r w:rsidR="00114987" w:rsidRPr="008D4CAE">
        <w:rPr>
          <w:bCs/>
        </w:rPr>
        <w:t>SDG</w:t>
      </w:r>
      <w:r w:rsidR="002F70A1" w:rsidRPr="008D4CAE">
        <w:rPr>
          <w:bCs/>
        </w:rPr>
        <w:t xml:space="preserve"> 4 about quality education. </w:t>
      </w:r>
    </w:p>
    <w:p w14:paraId="53E3DD9D" w14:textId="77777777" w:rsidR="0038535E" w:rsidRPr="008D4CAE" w:rsidRDefault="0038535E" w:rsidP="0038535E">
      <w:pPr>
        <w:spacing w:after="14" w:line="276" w:lineRule="auto"/>
        <w:ind w:left="284" w:firstLine="425"/>
        <w:jc w:val="both"/>
        <w:rPr>
          <w:lang w:val="en-ID"/>
        </w:rPr>
      </w:pPr>
    </w:p>
    <w:p w14:paraId="4ADF8FFE" w14:textId="5F547E2C" w:rsidR="00C8212C" w:rsidRPr="008D4CAE" w:rsidRDefault="00D947F8" w:rsidP="00C8212C">
      <w:pPr>
        <w:pStyle w:val="Heading1"/>
        <w:numPr>
          <w:ilvl w:val="0"/>
          <w:numId w:val="8"/>
        </w:numPr>
        <w:spacing w:before="1" w:after="240" w:line="321" w:lineRule="exact"/>
        <w:ind w:left="284" w:hanging="284"/>
        <w:jc w:val="both"/>
      </w:pPr>
      <w:r w:rsidRPr="008D4CAE">
        <w:lastRenderedPageBreak/>
        <w:t>Conclusion</w:t>
      </w:r>
    </w:p>
    <w:p w14:paraId="65489105" w14:textId="76308132" w:rsidR="009809FD" w:rsidRPr="008D4CAE" w:rsidRDefault="00C8212C" w:rsidP="0059233C">
      <w:pPr>
        <w:ind w:left="284" w:firstLine="425"/>
        <w:jc w:val="both"/>
        <w:rPr>
          <w:lang w:val="en-ID"/>
        </w:rPr>
      </w:pPr>
      <w:r w:rsidRPr="008D4CAE">
        <w:rPr>
          <w:lang w:val="en-ID"/>
        </w:rPr>
        <w:t>In conclusion, enhancing literacy and reading interest among elementary students not only accelerates progress toward the SDGs but also creates a lasting impact on individual and community development. Through a combination of school-based and community-driven efforts, this initiative demonstrates how rural education can be transformed, contributing significantly to achieving the global goal of quality education for all by 2030.</w:t>
      </w:r>
      <w:r w:rsidR="00DE287A" w:rsidRPr="008D4CAE">
        <w:rPr>
          <w:lang w:val="en-ID"/>
        </w:rPr>
        <w:t xml:space="preserve"> </w:t>
      </w:r>
      <w:r w:rsidR="00DE287A" w:rsidRPr="008D4CAE">
        <w:rPr>
          <w:w w:val="105"/>
        </w:rPr>
        <w:t>Enhancing literacy and reading interest among elementary students serves as a crucial catalyst for accelerating progress toward the Sustainable Development Goals (SDGs), particularly SDG 4, which aims to ensure inclusive and equitable quality education. However, the impact of such initiatives extends beyond mere educational attainment, creating a lasting and transformative effect on both individual and community development.</w:t>
      </w:r>
      <w:r w:rsidR="00DE287A" w:rsidRPr="008D4CAE">
        <w:rPr>
          <w:bCs/>
        </w:rPr>
        <w:t xml:space="preserve"> </w:t>
      </w:r>
      <w:r w:rsidR="00DE287A" w:rsidRPr="008D4CAE">
        <w:rPr>
          <w:bCs/>
          <w:w w:val="105"/>
        </w:rPr>
        <w:t xml:space="preserve">This study demonstrates that with the right support and resources, significant improvements in literacy and reading interest can be achieved, contributing to the overall educational development of students in rural areas. The positive outcomes observed in this study can serve as a model for similar interventions in other communities aiming to accelerate progress towards the SDGs. </w:t>
      </w:r>
      <w:r w:rsidR="00DE287A" w:rsidRPr="008D4CAE">
        <w:rPr>
          <w:w w:val="105"/>
        </w:rPr>
        <w:t xml:space="preserve">Enhancing literacy and interest in reading has proven to be an effective strategy to accelerate the SDGs in </w:t>
      </w:r>
      <w:proofErr w:type="spellStart"/>
      <w:r w:rsidR="00DE287A" w:rsidRPr="008D4CAE">
        <w:rPr>
          <w:w w:val="105"/>
        </w:rPr>
        <w:t>Setren</w:t>
      </w:r>
      <w:proofErr w:type="spellEnd"/>
      <w:r w:rsidR="00DE287A" w:rsidRPr="008D4CAE">
        <w:rPr>
          <w:w w:val="105"/>
        </w:rPr>
        <w:t xml:space="preserve"> Village, especially in achieving quality education at the village level. In more detail, it was explained that one of the most felt impacts was increasing awareness about the importance of education in the village. </w:t>
      </w:r>
      <w:proofErr w:type="gramStart"/>
      <w:r w:rsidR="00DE287A" w:rsidRPr="008D4CAE">
        <w:rPr>
          <w:w w:val="105"/>
        </w:rPr>
        <w:t>So</w:t>
      </w:r>
      <w:proofErr w:type="gramEnd"/>
      <w:r w:rsidR="00DE287A" w:rsidRPr="008D4CAE">
        <w:rPr>
          <w:w w:val="105"/>
        </w:rPr>
        <w:t xml:space="preserve"> in the future, it is hoped that this impact will become the main foundation for preventing school dropout rates in </w:t>
      </w:r>
      <w:proofErr w:type="spellStart"/>
      <w:r w:rsidR="00DE287A" w:rsidRPr="008D4CAE">
        <w:rPr>
          <w:w w:val="105"/>
        </w:rPr>
        <w:t>Setren</w:t>
      </w:r>
      <w:proofErr w:type="spellEnd"/>
      <w:r w:rsidR="00DE287A" w:rsidRPr="008D4CAE">
        <w:rPr>
          <w:w w:val="105"/>
        </w:rPr>
        <w:t xml:space="preserve"> Village. These programs can be adopted by other regions with similar characteristics. A joint commitment is needed from the government, schools, and society to maintain the sustainability of efforts to prevent school dropout rates through developing literacy and interest in reading. Literacy and interest in reading have a crucial role in accelerating the achievement of Sustainable Development Goals (SDGs) in villages. By increasing literacy and interest in reading, village communities can become more effective agents of change in pursuing sustainable development goals. Strengthening literacy not only increases access to information but also increases the capacity of communities to take appropriate action to overcome development challenges faced by their communities</w:t>
      </w:r>
    </w:p>
    <w:p w14:paraId="5639DAD4" w14:textId="77777777" w:rsidR="0059233C" w:rsidRPr="008D4CAE" w:rsidRDefault="0059233C" w:rsidP="0059233C">
      <w:pPr>
        <w:ind w:left="284" w:firstLine="425"/>
        <w:jc w:val="both"/>
        <w:rPr>
          <w:lang w:val="en-ID"/>
        </w:rPr>
      </w:pPr>
    </w:p>
    <w:p w14:paraId="2B09BE27" w14:textId="77777777" w:rsidR="0059233C" w:rsidRPr="008D4CAE" w:rsidRDefault="0059233C" w:rsidP="0059233C">
      <w:pPr>
        <w:ind w:left="284" w:firstLine="425"/>
        <w:jc w:val="both"/>
        <w:rPr>
          <w:lang w:val="en-ID"/>
        </w:rPr>
      </w:pPr>
    </w:p>
    <w:p w14:paraId="3D99396D" w14:textId="77777777" w:rsidR="004B6E3B" w:rsidRPr="008D4CAE" w:rsidRDefault="004B6E3B" w:rsidP="0059233C">
      <w:pPr>
        <w:ind w:left="284" w:firstLine="425"/>
        <w:jc w:val="both"/>
        <w:rPr>
          <w:lang w:val="en-ID"/>
        </w:rPr>
      </w:pPr>
    </w:p>
    <w:p w14:paraId="4BC41D7D" w14:textId="77777777" w:rsidR="004B6E3B" w:rsidRPr="008D4CAE" w:rsidRDefault="004B6E3B" w:rsidP="0059233C">
      <w:pPr>
        <w:ind w:left="284" w:firstLine="425"/>
        <w:jc w:val="both"/>
        <w:rPr>
          <w:lang w:val="en-ID"/>
        </w:rPr>
      </w:pPr>
    </w:p>
    <w:p w14:paraId="12448A11" w14:textId="77777777" w:rsidR="004B6E3B" w:rsidRPr="008D4CAE" w:rsidRDefault="004B6E3B" w:rsidP="0059233C">
      <w:pPr>
        <w:ind w:left="284" w:firstLine="425"/>
        <w:jc w:val="both"/>
        <w:rPr>
          <w:lang w:val="en-ID"/>
        </w:rPr>
      </w:pPr>
    </w:p>
    <w:p w14:paraId="1CE11CA4" w14:textId="77777777" w:rsidR="004B6E3B" w:rsidRPr="008D4CAE" w:rsidRDefault="004B6E3B" w:rsidP="0059233C">
      <w:pPr>
        <w:ind w:left="284" w:firstLine="425"/>
        <w:jc w:val="both"/>
        <w:rPr>
          <w:lang w:val="en-ID"/>
        </w:rPr>
      </w:pPr>
    </w:p>
    <w:p w14:paraId="45437297" w14:textId="77777777" w:rsidR="004B6E3B" w:rsidRPr="008D4CAE" w:rsidRDefault="004B6E3B" w:rsidP="0059233C">
      <w:pPr>
        <w:ind w:left="284" w:firstLine="425"/>
        <w:jc w:val="both"/>
        <w:rPr>
          <w:lang w:val="en-ID"/>
        </w:rPr>
      </w:pPr>
    </w:p>
    <w:p w14:paraId="76D802BE" w14:textId="77777777" w:rsidR="004B6E3B" w:rsidRPr="008D4CAE" w:rsidRDefault="004B6E3B" w:rsidP="0059233C">
      <w:pPr>
        <w:ind w:left="284" w:firstLine="425"/>
        <w:jc w:val="both"/>
        <w:rPr>
          <w:lang w:val="en-ID"/>
        </w:rPr>
      </w:pPr>
    </w:p>
    <w:p w14:paraId="6402B9ED" w14:textId="77777777" w:rsidR="004B6E3B" w:rsidRPr="008D4CAE" w:rsidRDefault="004B6E3B" w:rsidP="0059233C">
      <w:pPr>
        <w:ind w:left="284" w:firstLine="425"/>
        <w:jc w:val="both"/>
        <w:rPr>
          <w:lang w:val="en-ID"/>
        </w:rPr>
      </w:pPr>
    </w:p>
    <w:p w14:paraId="58100F8C" w14:textId="77777777" w:rsidR="0038535E" w:rsidRPr="008D4CAE" w:rsidRDefault="0038535E" w:rsidP="0059233C">
      <w:pPr>
        <w:ind w:left="284" w:firstLine="425"/>
        <w:jc w:val="both"/>
        <w:rPr>
          <w:lang w:val="en-ID"/>
        </w:rPr>
      </w:pPr>
    </w:p>
    <w:p w14:paraId="2DDA6137" w14:textId="77777777" w:rsidR="0038535E" w:rsidRPr="008D4CAE" w:rsidRDefault="0038535E" w:rsidP="0059233C">
      <w:pPr>
        <w:ind w:left="284" w:firstLine="425"/>
        <w:jc w:val="both"/>
        <w:rPr>
          <w:lang w:val="en-ID"/>
        </w:rPr>
      </w:pPr>
    </w:p>
    <w:p w14:paraId="2C19508D" w14:textId="77777777" w:rsidR="0038535E" w:rsidRPr="008D4CAE" w:rsidRDefault="0038535E" w:rsidP="0059233C">
      <w:pPr>
        <w:ind w:left="284" w:firstLine="425"/>
        <w:jc w:val="both"/>
        <w:rPr>
          <w:lang w:val="en-ID"/>
        </w:rPr>
      </w:pPr>
    </w:p>
    <w:p w14:paraId="7CA2AFA5" w14:textId="77777777" w:rsidR="0038535E" w:rsidRPr="008D4CAE" w:rsidRDefault="0038535E" w:rsidP="0059233C">
      <w:pPr>
        <w:ind w:left="284" w:firstLine="425"/>
        <w:jc w:val="both"/>
        <w:rPr>
          <w:lang w:val="en-ID"/>
        </w:rPr>
      </w:pPr>
    </w:p>
    <w:p w14:paraId="1643795E" w14:textId="77777777" w:rsidR="0038535E" w:rsidRPr="008D4CAE" w:rsidRDefault="0038535E" w:rsidP="0059233C">
      <w:pPr>
        <w:ind w:left="284" w:firstLine="425"/>
        <w:jc w:val="both"/>
        <w:rPr>
          <w:lang w:val="en-ID"/>
        </w:rPr>
      </w:pPr>
    </w:p>
    <w:p w14:paraId="0240D811" w14:textId="77777777" w:rsidR="0038535E" w:rsidRPr="008D4CAE" w:rsidRDefault="0038535E" w:rsidP="0059233C">
      <w:pPr>
        <w:ind w:left="284" w:firstLine="425"/>
        <w:jc w:val="both"/>
        <w:rPr>
          <w:lang w:val="en-ID"/>
        </w:rPr>
      </w:pPr>
    </w:p>
    <w:p w14:paraId="7D2F4D13" w14:textId="77777777" w:rsidR="0038535E" w:rsidRPr="008D4CAE" w:rsidRDefault="0038535E" w:rsidP="0059233C">
      <w:pPr>
        <w:ind w:left="284" w:firstLine="425"/>
        <w:jc w:val="both"/>
        <w:rPr>
          <w:lang w:val="en-ID"/>
        </w:rPr>
      </w:pPr>
    </w:p>
    <w:p w14:paraId="72D10DDE" w14:textId="77777777" w:rsidR="0038535E" w:rsidRPr="008D4CAE" w:rsidRDefault="0038535E" w:rsidP="0059233C">
      <w:pPr>
        <w:ind w:left="284" w:firstLine="425"/>
        <w:jc w:val="both"/>
        <w:rPr>
          <w:lang w:val="en-ID"/>
        </w:rPr>
      </w:pPr>
    </w:p>
    <w:p w14:paraId="091842A3" w14:textId="77777777" w:rsidR="0038535E" w:rsidRPr="008D4CAE" w:rsidRDefault="0038535E" w:rsidP="0059233C">
      <w:pPr>
        <w:ind w:left="284" w:firstLine="425"/>
        <w:jc w:val="both"/>
        <w:rPr>
          <w:lang w:val="en-ID"/>
        </w:rPr>
      </w:pPr>
    </w:p>
    <w:p w14:paraId="46E755ED" w14:textId="77777777" w:rsidR="0038535E" w:rsidRPr="008D4CAE" w:rsidRDefault="0038535E" w:rsidP="0059233C">
      <w:pPr>
        <w:ind w:left="284" w:firstLine="425"/>
        <w:jc w:val="both"/>
        <w:rPr>
          <w:lang w:val="en-ID"/>
        </w:rPr>
      </w:pPr>
    </w:p>
    <w:p w14:paraId="0FF397E0" w14:textId="77777777" w:rsidR="004B6E3B" w:rsidRPr="008D4CAE" w:rsidRDefault="004B6E3B" w:rsidP="0059233C">
      <w:pPr>
        <w:ind w:left="284" w:firstLine="425"/>
        <w:jc w:val="both"/>
        <w:rPr>
          <w:lang w:val="en-ID"/>
        </w:rPr>
      </w:pPr>
    </w:p>
    <w:p w14:paraId="7CE91743" w14:textId="38864F37" w:rsidR="002067E1" w:rsidRPr="008D4CAE" w:rsidRDefault="00DE287A" w:rsidP="004B6E3B">
      <w:pPr>
        <w:pStyle w:val="Heading1"/>
        <w:spacing w:after="240"/>
        <w:ind w:left="284"/>
        <w:rPr>
          <w:rFonts w:asciiTheme="majorHAnsi" w:hAnsiTheme="majorHAnsi"/>
          <w:lang w:val="id-ID"/>
        </w:rPr>
      </w:pPr>
      <w:r w:rsidRPr="008D4CAE">
        <w:rPr>
          <w:rFonts w:asciiTheme="majorHAnsi" w:hAnsiTheme="majorHAnsi"/>
          <w:lang w:val="id-ID"/>
        </w:rPr>
        <w:lastRenderedPageBreak/>
        <w:t>References</w:t>
      </w:r>
      <w:r w:rsidR="002067E1" w:rsidRPr="008D4CAE">
        <w:rPr>
          <w:rFonts w:asciiTheme="majorHAnsi" w:hAnsiTheme="majorHAnsi"/>
          <w:lang w:val="id-ID"/>
        </w:rPr>
        <w:t xml:space="preserve"> </w:t>
      </w:r>
    </w:p>
    <w:p w14:paraId="456D51BB" w14:textId="67898A16" w:rsidR="002F70A1" w:rsidRPr="008D4CAE" w:rsidRDefault="00331E4A" w:rsidP="00ED3D3A">
      <w:pPr>
        <w:adjustRightInd w:val="0"/>
        <w:spacing w:after="240"/>
        <w:ind w:left="480" w:hanging="480"/>
        <w:jc w:val="both"/>
        <w:rPr>
          <w:rFonts w:cs="Times New Roman"/>
          <w:noProof/>
          <w:sz w:val="24"/>
          <w:szCs w:val="24"/>
        </w:rPr>
      </w:pPr>
      <w:r w:rsidRPr="008D4CAE">
        <w:rPr>
          <w:rFonts w:asciiTheme="majorHAnsi" w:hAnsiTheme="majorHAnsi"/>
        </w:rPr>
        <w:fldChar w:fldCharType="begin" w:fldLock="1"/>
      </w:r>
      <w:r w:rsidRPr="008D4CAE">
        <w:rPr>
          <w:rFonts w:asciiTheme="majorHAnsi" w:hAnsiTheme="majorHAnsi"/>
        </w:rPr>
        <w:instrText xml:space="preserve">ADDIN Mendeley Bibliography CSL_BIBLIOGRAPHY </w:instrText>
      </w:r>
      <w:r w:rsidRPr="008D4CAE">
        <w:rPr>
          <w:rFonts w:asciiTheme="majorHAnsi" w:hAnsiTheme="majorHAnsi"/>
        </w:rPr>
        <w:fldChar w:fldCharType="separate"/>
      </w:r>
      <w:r w:rsidR="002F70A1" w:rsidRPr="008D4CAE">
        <w:rPr>
          <w:rFonts w:cs="Times New Roman"/>
          <w:noProof/>
          <w:sz w:val="24"/>
          <w:szCs w:val="24"/>
        </w:rPr>
        <w:t xml:space="preserve">Bai, Barry, and Jing Wang, ‘The Role of Growth Mindset, Self-Efficacy and Intrinsic Value in Self-Regulated Learning and English Language Learning Achievements’, </w:t>
      </w:r>
      <w:r w:rsidR="002F70A1" w:rsidRPr="008D4CAE">
        <w:rPr>
          <w:rFonts w:cs="Times New Roman"/>
          <w:i/>
          <w:iCs/>
          <w:noProof/>
          <w:sz w:val="24"/>
          <w:szCs w:val="24"/>
        </w:rPr>
        <w:t>Language Teaching Research</w:t>
      </w:r>
      <w:r w:rsidR="002F70A1" w:rsidRPr="008D4CAE">
        <w:rPr>
          <w:rFonts w:cs="Times New Roman"/>
          <w:noProof/>
          <w:sz w:val="24"/>
          <w:szCs w:val="24"/>
        </w:rPr>
        <w:t>, 27.1 (2023), 207–28 &lt;https://doi.org/10.1177/1362168820933190&gt;</w:t>
      </w:r>
    </w:p>
    <w:p w14:paraId="0DE54A61"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Braunger, Jane, D Ed, Jan Patricia Lewis, and D Ph, </w:t>
      </w:r>
      <w:r w:rsidRPr="008D4CAE">
        <w:rPr>
          <w:rFonts w:cs="Times New Roman"/>
          <w:i/>
          <w:iCs/>
          <w:noProof/>
          <w:sz w:val="24"/>
          <w:szCs w:val="24"/>
        </w:rPr>
        <w:t>Educational Laboratory ’ S</w:t>
      </w:r>
      <w:r w:rsidRPr="008D4CAE">
        <w:rPr>
          <w:rFonts w:cs="Times New Roman"/>
          <w:noProof/>
          <w:sz w:val="24"/>
          <w:szCs w:val="24"/>
        </w:rPr>
        <w:t>, 1997</w:t>
      </w:r>
    </w:p>
    <w:p w14:paraId="30631DBE"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Burbules, Nicholas C., Guorui Fan, and Philip Repp, ‘Five Trends of Education and Technology in a Sustainable Future’, </w:t>
      </w:r>
      <w:r w:rsidRPr="008D4CAE">
        <w:rPr>
          <w:rFonts w:cs="Times New Roman"/>
          <w:i/>
          <w:iCs/>
          <w:noProof/>
          <w:sz w:val="24"/>
          <w:szCs w:val="24"/>
        </w:rPr>
        <w:t>Geography and Sustainability</w:t>
      </w:r>
      <w:r w:rsidRPr="008D4CAE">
        <w:rPr>
          <w:rFonts w:cs="Times New Roman"/>
          <w:noProof/>
          <w:sz w:val="24"/>
          <w:szCs w:val="24"/>
        </w:rPr>
        <w:t>, 1.2 (2020), 93–97 &lt;https://doi.org/10.1016/j.geosus.2020.05.001&gt;</w:t>
      </w:r>
    </w:p>
    <w:p w14:paraId="6578C5D5"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Creswell, John W., and J. David Creswell, </w:t>
      </w:r>
      <w:r w:rsidRPr="008D4CAE">
        <w:rPr>
          <w:rFonts w:cs="Times New Roman"/>
          <w:i/>
          <w:iCs/>
          <w:noProof/>
          <w:sz w:val="24"/>
          <w:szCs w:val="24"/>
        </w:rPr>
        <w:t>Mixed Methods Procedures</w:t>
      </w:r>
      <w:r w:rsidRPr="008D4CAE">
        <w:rPr>
          <w:rFonts w:cs="Times New Roman"/>
          <w:noProof/>
          <w:sz w:val="24"/>
          <w:szCs w:val="24"/>
        </w:rPr>
        <w:t xml:space="preserve">, </w:t>
      </w:r>
      <w:r w:rsidRPr="008D4CAE">
        <w:rPr>
          <w:rFonts w:cs="Times New Roman"/>
          <w:i/>
          <w:iCs/>
          <w:noProof/>
          <w:sz w:val="24"/>
          <w:szCs w:val="24"/>
        </w:rPr>
        <w:t>Research Defign: Qualitative, Quantitative, and Mixed M Ethods Approaches</w:t>
      </w:r>
      <w:r w:rsidRPr="008D4CAE">
        <w:rPr>
          <w:rFonts w:cs="Times New Roman"/>
          <w:noProof/>
          <w:sz w:val="24"/>
          <w:szCs w:val="24"/>
        </w:rPr>
        <w:t>, 2018</w:t>
      </w:r>
    </w:p>
    <w:p w14:paraId="654A64FA"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Danladi, Diyoshak Rhoda, and Yohanna Rejoice Soko, ‘The Role of School Libraries in Promoting Reading Culture among Secondary School Students: A Case Study of Federal Government College, Jos’, </w:t>
      </w:r>
      <w:r w:rsidRPr="008D4CAE">
        <w:rPr>
          <w:rFonts w:cs="Times New Roman"/>
          <w:i/>
          <w:iCs/>
          <w:noProof/>
          <w:sz w:val="24"/>
          <w:szCs w:val="24"/>
        </w:rPr>
        <w:t>Library Philosophy and Practice</w:t>
      </w:r>
      <w:r w:rsidRPr="008D4CAE">
        <w:rPr>
          <w:rFonts w:cs="Times New Roman"/>
          <w:noProof/>
          <w:sz w:val="24"/>
          <w:szCs w:val="24"/>
        </w:rPr>
        <w:t>, 2019.June (2019)</w:t>
      </w:r>
    </w:p>
    <w:p w14:paraId="7210BA89"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Garate, Jhonny, ‘No Title</w:t>
      </w:r>
      <w:r w:rsidRPr="008D4CAE">
        <w:rPr>
          <w:rFonts w:cs="Times New Roman"/>
          <w:noProof/>
          <w:sz w:val="24"/>
          <w:szCs w:val="24"/>
          <w:rtl/>
        </w:rPr>
        <w:t>سلطنه عمان</w:t>
      </w:r>
      <w:r w:rsidRPr="008D4CAE">
        <w:rPr>
          <w:rFonts w:cs="Times New Roman"/>
          <w:noProof/>
          <w:sz w:val="24"/>
          <w:szCs w:val="24"/>
        </w:rPr>
        <w:t xml:space="preserve">’, </w:t>
      </w:r>
      <w:r w:rsidRPr="008D4CAE">
        <w:rPr>
          <w:rFonts w:cs="Times New Roman"/>
          <w:i/>
          <w:iCs/>
          <w:noProof/>
          <w:sz w:val="24"/>
          <w:szCs w:val="24"/>
        </w:rPr>
        <w:t>Occupational Medicine</w:t>
      </w:r>
      <w:r w:rsidRPr="008D4CAE">
        <w:rPr>
          <w:rFonts w:cs="Times New Roman"/>
          <w:noProof/>
          <w:sz w:val="24"/>
          <w:szCs w:val="24"/>
        </w:rPr>
        <w:t>, 53.4 (2017), 130</w:t>
      </w:r>
    </w:p>
    <w:p w14:paraId="06D1134F"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Hopkins, Sarah, Graham Ogle, Lisette Kaleveld, John Maurice, Betty Keria, William Louden, and others, ‘“Education for Equality” and “Education for Life”: Examining Reading Literacy and Reading Interest in Papua New Guinea Primary Schools1’, </w:t>
      </w:r>
      <w:r w:rsidRPr="008D4CAE">
        <w:rPr>
          <w:rFonts w:cs="Times New Roman"/>
          <w:i/>
          <w:iCs/>
          <w:noProof/>
          <w:sz w:val="24"/>
          <w:szCs w:val="24"/>
        </w:rPr>
        <w:t>Asia-Pacific Journal of Teacher Education</w:t>
      </w:r>
      <w:r w:rsidRPr="008D4CAE">
        <w:rPr>
          <w:rFonts w:cs="Times New Roman"/>
          <w:noProof/>
          <w:sz w:val="24"/>
          <w:szCs w:val="24"/>
        </w:rPr>
        <w:t>, 33.1 (2005), 77–96 &lt;https://doi.org/10.1080/1359866052000341142&gt;</w:t>
      </w:r>
    </w:p>
    <w:p w14:paraId="1DDE62CB"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Inayah A.M, Muh, Reni Lolotandung, and Irmawati M, ‘Pengaruh Model Pembelajaran PAKEM Terhadap Hasil Belajar IPA Siswa Di Sekolah Dasar’, </w:t>
      </w:r>
      <w:r w:rsidRPr="008D4CAE">
        <w:rPr>
          <w:rFonts w:cs="Times New Roman"/>
          <w:i/>
          <w:iCs/>
          <w:noProof/>
          <w:sz w:val="24"/>
          <w:szCs w:val="24"/>
        </w:rPr>
        <w:t>Elementary Journal : Jurnal Pendidikan Guru Sekolah Dasar</w:t>
      </w:r>
      <w:r w:rsidRPr="008D4CAE">
        <w:rPr>
          <w:rFonts w:cs="Times New Roman"/>
          <w:noProof/>
          <w:sz w:val="24"/>
          <w:szCs w:val="24"/>
        </w:rPr>
        <w:t>, 6.1 (2023), 29–38 &lt;https://doi.org/10.47178/elementary.v6i1.2056&gt;</w:t>
      </w:r>
    </w:p>
    <w:p w14:paraId="7780B5D9"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Mehigan, Gene, ‘Effects of Fluency Oriented Instruction on Motivation for Reading of Struggling Readers’, </w:t>
      </w:r>
      <w:r w:rsidRPr="008D4CAE">
        <w:rPr>
          <w:rFonts w:cs="Times New Roman"/>
          <w:i/>
          <w:iCs/>
          <w:noProof/>
          <w:sz w:val="24"/>
          <w:szCs w:val="24"/>
        </w:rPr>
        <w:t>Education Sciences</w:t>
      </w:r>
      <w:r w:rsidRPr="008D4CAE">
        <w:rPr>
          <w:rFonts w:cs="Times New Roman"/>
          <w:noProof/>
          <w:sz w:val="24"/>
          <w:szCs w:val="24"/>
        </w:rPr>
        <w:t>, 10.3 (2020) &lt;https://doi.org/10.3390/educsci10030056&gt;</w:t>
      </w:r>
    </w:p>
    <w:p w14:paraId="1FCD3733"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Murdiyanto, Eko, </w:t>
      </w:r>
      <w:r w:rsidRPr="008D4CAE">
        <w:rPr>
          <w:rFonts w:cs="Times New Roman"/>
          <w:i/>
          <w:iCs/>
          <w:noProof/>
          <w:sz w:val="24"/>
          <w:szCs w:val="24"/>
        </w:rPr>
        <w:t>Metode Penelitian Kualitatif (Sistematika Penelitian Kualitatif)</w:t>
      </w:r>
      <w:r w:rsidRPr="008D4CAE">
        <w:rPr>
          <w:rFonts w:cs="Times New Roman"/>
          <w:noProof/>
          <w:sz w:val="24"/>
          <w:szCs w:val="24"/>
        </w:rPr>
        <w:t xml:space="preserve">, </w:t>
      </w:r>
      <w:r w:rsidRPr="008D4CAE">
        <w:rPr>
          <w:rFonts w:cs="Times New Roman"/>
          <w:i/>
          <w:iCs/>
          <w:noProof/>
          <w:sz w:val="24"/>
          <w:szCs w:val="24"/>
        </w:rPr>
        <w:t>Bandung: Rosda Karya</w:t>
      </w:r>
      <w:r w:rsidRPr="008D4CAE">
        <w:rPr>
          <w:rFonts w:cs="Times New Roman"/>
          <w:noProof/>
          <w:sz w:val="24"/>
          <w:szCs w:val="24"/>
        </w:rPr>
        <w:t>, 2020 &lt;http://www.academia.edu/download/35360663/METODE_PENELITIAN_KUALITAIF.docx&gt;</w:t>
      </w:r>
    </w:p>
    <w:p w14:paraId="1ECB72A0"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Permendesa, ‘Peraturan Menteri Desa, Pembangunan Daerah Tertinggal, Dan Transmigrasi Republik Indonesia No. 13 Tahun 2020’, </w:t>
      </w:r>
      <w:r w:rsidRPr="008D4CAE">
        <w:rPr>
          <w:rFonts w:cs="Times New Roman"/>
          <w:i/>
          <w:iCs/>
          <w:noProof/>
          <w:sz w:val="24"/>
          <w:szCs w:val="24"/>
        </w:rPr>
        <w:t>PDTT, Pemendes</w:t>
      </w:r>
      <w:r w:rsidRPr="008D4CAE">
        <w:rPr>
          <w:rFonts w:cs="Times New Roman"/>
          <w:noProof/>
          <w:sz w:val="24"/>
          <w:szCs w:val="24"/>
        </w:rPr>
        <w:t>, 16, 2020, 32</w:t>
      </w:r>
    </w:p>
    <w:p w14:paraId="7DF92875"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Perry, Kristen H., ‘What Is Literacy? -- A Critical Overview of Sociocultural Perspectives.’, </w:t>
      </w:r>
      <w:r w:rsidRPr="008D4CAE">
        <w:rPr>
          <w:rFonts w:cs="Times New Roman"/>
          <w:i/>
          <w:iCs/>
          <w:noProof/>
          <w:sz w:val="24"/>
          <w:szCs w:val="24"/>
        </w:rPr>
        <w:t>Journal of Language and Literacy Education</w:t>
      </w:r>
      <w:r w:rsidRPr="008D4CAE">
        <w:rPr>
          <w:rFonts w:cs="Times New Roman"/>
          <w:noProof/>
          <w:sz w:val="24"/>
          <w:szCs w:val="24"/>
        </w:rPr>
        <w:t xml:space="preserve">, 8.1 (2012), 50–71 </w:t>
      </w:r>
      <w:r w:rsidRPr="008D4CAE">
        <w:rPr>
          <w:rFonts w:cs="Times New Roman"/>
          <w:noProof/>
          <w:sz w:val="24"/>
          <w:szCs w:val="24"/>
        </w:rPr>
        <w:lastRenderedPageBreak/>
        <w:t>&lt;https://doi.org/10.1017/CBO9781107415324.004&gt;</w:t>
      </w:r>
    </w:p>
    <w:p w14:paraId="5A920384"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Ragelienė Supervisor, Tija, Alice Grønhøj Co-Supervisor, and Jessica Aschemann-Witzel Programme, ‘Peer, Sibling and Social Media Influence on Preadolescent Children’s Healthy Eating Behaviour’, 2021</w:t>
      </w:r>
    </w:p>
    <w:p w14:paraId="2E9DD843"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Ranti, Kadek, Nengah Bawa Atmadja, and Luh Putu Sendratari, ‘Upaya Pencegahan Anak Putus Sekolah Di SMP Negeri 1 Gerokgak, Kecamatan Gerokgak, Buleleng, Bali’, </w:t>
      </w:r>
      <w:r w:rsidRPr="008D4CAE">
        <w:rPr>
          <w:rFonts w:cs="Times New Roman"/>
          <w:i/>
          <w:iCs/>
          <w:noProof/>
          <w:sz w:val="24"/>
          <w:szCs w:val="24"/>
        </w:rPr>
        <w:t>E-Journal Pendidikan Sosiologi Universitas Pendidikan Ganesha</w:t>
      </w:r>
      <w:r w:rsidRPr="008D4CAE">
        <w:rPr>
          <w:rFonts w:cs="Times New Roman"/>
          <w:noProof/>
          <w:sz w:val="24"/>
          <w:szCs w:val="24"/>
        </w:rPr>
        <w:t>, 1.1 (2019), 12–22</w:t>
      </w:r>
    </w:p>
    <w:p w14:paraId="787E5F19"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Rohim, Cahya Dhina, and Septina Rahmawati, ‘Di Sekolah Dasar Negeri’, </w:t>
      </w:r>
      <w:r w:rsidRPr="008D4CAE">
        <w:rPr>
          <w:rFonts w:cs="Times New Roman"/>
          <w:i/>
          <w:iCs/>
          <w:noProof/>
          <w:sz w:val="24"/>
          <w:szCs w:val="24"/>
        </w:rPr>
        <w:t>Kajian Pendidikan Dan Hasil Penelitian</w:t>
      </w:r>
      <w:r w:rsidRPr="008D4CAE">
        <w:rPr>
          <w:rFonts w:cs="Times New Roman"/>
          <w:noProof/>
          <w:sz w:val="24"/>
          <w:szCs w:val="24"/>
        </w:rPr>
        <w:t>, 6.3 (2020), 2</w:t>
      </w:r>
    </w:p>
    <w:p w14:paraId="23133D57"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SALAM, EVELINA SATRIYA, ‘Membangun Budaya Literasi Melalui Mata Kuliah Bahasa Indonesia Sebagai Media Revolusi Mental Generasi Produktif’, </w:t>
      </w:r>
      <w:r w:rsidRPr="008D4CAE">
        <w:rPr>
          <w:rFonts w:cs="Times New Roman"/>
          <w:i/>
          <w:iCs/>
          <w:noProof/>
          <w:sz w:val="24"/>
          <w:szCs w:val="24"/>
        </w:rPr>
        <w:t>Didaktika</w:t>
      </w:r>
      <w:r w:rsidRPr="008D4CAE">
        <w:rPr>
          <w:rFonts w:cs="Times New Roman"/>
          <w:noProof/>
          <w:sz w:val="24"/>
          <w:szCs w:val="24"/>
        </w:rPr>
        <w:t>, 11.2 (2019), 158 &lt;https://doi.org/10.30863/didaktika.v11i2.163&gt;</w:t>
      </w:r>
    </w:p>
    <w:p w14:paraId="342504CE"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Singh, Aditya, and Jaison A. Manjaly, ‘Using Curiosity to Improve Learning Outcomes in Schools’, </w:t>
      </w:r>
      <w:r w:rsidRPr="008D4CAE">
        <w:rPr>
          <w:rFonts w:cs="Times New Roman"/>
          <w:i/>
          <w:iCs/>
          <w:noProof/>
          <w:sz w:val="24"/>
          <w:szCs w:val="24"/>
        </w:rPr>
        <w:t>SAGE Open</w:t>
      </w:r>
      <w:r w:rsidRPr="008D4CAE">
        <w:rPr>
          <w:rFonts w:cs="Times New Roman"/>
          <w:noProof/>
          <w:sz w:val="24"/>
          <w:szCs w:val="24"/>
        </w:rPr>
        <w:t>, 12.1 (2022) &lt;https://doi.org/10.1177/21582440211069392&gt;</w:t>
      </w:r>
    </w:p>
    <w:p w14:paraId="0B361048" w14:textId="77777777" w:rsidR="002F70A1" w:rsidRPr="008D4CAE" w:rsidRDefault="002F70A1" w:rsidP="00ED3D3A">
      <w:pPr>
        <w:adjustRightInd w:val="0"/>
        <w:spacing w:after="240"/>
        <w:ind w:left="480" w:hanging="480"/>
        <w:jc w:val="both"/>
        <w:rPr>
          <w:rFonts w:cs="Times New Roman"/>
          <w:noProof/>
          <w:sz w:val="24"/>
          <w:szCs w:val="24"/>
        </w:rPr>
      </w:pPr>
      <w:r w:rsidRPr="008D4CAE">
        <w:rPr>
          <w:rFonts w:cs="Times New Roman"/>
          <w:noProof/>
          <w:sz w:val="24"/>
          <w:szCs w:val="24"/>
        </w:rPr>
        <w:t xml:space="preserve">Szabo, Thomas G., Sarah Richling, Dennis D. Embry, Anthony Biglan, and Kelly G. Wilson, ‘From Helpless to Hero: Promoting Values-Based Behavior and Positive Family Interaction in the Midst of COVID-19’, </w:t>
      </w:r>
      <w:r w:rsidRPr="008D4CAE">
        <w:rPr>
          <w:rFonts w:cs="Times New Roman"/>
          <w:i/>
          <w:iCs/>
          <w:noProof/>
          <w:sz w:val="24"/>
          <w:szCs w:val="24"/>
        </w:rPr>
        <w:t>Behavior Analysis in Practice</w:t>
      </w:r>
      <w:r w:rsidRPr="008D4CAE">
        <w:rPr>
          <w:rFonts w:cs="Times New Roman"/>
          <w:noProof/>
          <w:sz w:val="24"/>
          <w:szCs w:val="24"/>
        </w:rPr>
        <w:t>, 13.3 (2020), 568–76 &lt;https://doi.org/10.1007/s40617-020-00431-0&gt;</w:t>
      </w:r>
    </w:p>
    <w:p w14:paraId="341B4B89" w14:textId="77777777" w:rsidR="002F70A1" w:rsidRPr="008D4CAE" w:rsidRDefault="002F70A1" w:rsidP="00ED3D3A">
      <w:pPr>
        <w:adjustRightInd w:val="0"/>
        <w:spacing w:after="240"/>
        <w:ind w:left="480" w:hanging="480"/>
        <w:jc w:val="both"/>
        <w:rPr>
          <w:noProof/>
          <w:sz w:val="24"/>
        </w:rPr>
      </w:pPr>
      <w:r w:rsidRPr="008D4CAE">
        <w:rPr>
          <w:rFonts w:cs="Times New Roman"/>
          <w:noProof/>
          <w:sz w:val="24"/>
          <w:szCs w:val="24"/>
        </w:rPr>
        <w:t xml:space="preserve">Walsh, Patrick Paul, Aparajita Banerjee, and Enda Murphy, ‘The UN 2030 Agenda for Sustainable Development’, </w:t>
      </w:r>
      <w:r w:rsidRPr="008D4CAE">
        <w:rPr>
          <w:rFonts w:cs="Times New Roman"/>
          <w:i/>
          <w:iCs/>
          <w:noProof/>
          <w:sz w:val="24"/>
          <w:szCs w:val="24"/>
        </w:rPr>
        <w:t>Sustainable Development Goals Series</w:t>
      </w:r>
      <w:r w:rsidRPr="008D4CAE">
        <w:rPr>
          <w:rFonts w:cs="Times New Roman"/>
          <w:noProof/>
          <w:sz w:val="24"/>
          <w:szCs w:val="24"/>
        </w:rPr>
        <w:t>, Part F2740 (2022), 1–12 &lt;https://doi.org/10.1007/978-3-031-07461-5_1&gt;</w:t>
      </w:r>
    </w:p>
    <w:p w14:paraId="5A4621EF" w14:textId="37C18DB4" w:rsidR="00331E4A" w:rsidRPr="00331E4A" w:rsidRDefault="00331E4A" w:rsidP="00ED3D3A">
      <w:pPr>
        <w:pStyle w:val="Heading1"/>
        <w:spacing w:after="240"/>
        <w:ind w:left="284"/>
        <w:jc w:val="both"/>
        <w:rPr>
          <w:rFonts w:asciiTheme="majorHAnsi" w:hAnsiTheme="majorHAnsi"/>
        </w:rPr>
      </w:pPr>
      <w:r w:rsidRPr="008D4CAE">
        <w:rPr>
          <w:rFonts w:asciiTheme="majorHAnsi" w:hAnsiTheme="majorHAnsi"/>
        </w:rPr>
        <w:fldChar w:fldCharType="end"/>
      </w:r>
    </w:p>
    <w:p w14:paraId="2F3F7FBA" w14:textId="77777777" w:rsidR="002067E1" w:rsidRPr="002067E1" w:rsidRDefault="002067E1" w:rsidP="002067E1">
      <w:pPr>
        <w:jc w:val="both"/>
        <w:rPr>
          <w:rStyle w:val="Strong"/>
          <w:rFonts w:asciiTheme="majorHAnsi" w:hAnsiTheme="majorHAnsi"/>
        </w:rPr>
      </w:pPr>
    </w:p>
    <w:p w14:paraId="5B289205" w14:textId="77777777" w:rsidR="00C7376B" w:rsidRPr="00ED3D3A" w:rsidRDefault="00C7376B" w:rsidP="00133C45">
      <w:pPr>
        <w:pStyle w:val="FootnoteText"/>
        <w:jc w:val="both"/>
        <w:rPr>
          <w:rFonts w:ascii="Palatino Linotype" w:hAnsi="Palatino Linotype"/>
        </w:rPr>
      </w:pPr>
    </w:p>
    <w:sectPr w:rsidR="00C7376B" w:rsidRPr="00ED3D3A" w:rsidSect="00A76CBC">
      <w:headerReference w:type="even" r:id="rId8"/>
      <w:headerReference w:type="default" r:id="rId9"/>
      <w:footerReference w:type="even" r:id="rId10"/>
      <w:footerReference w:type="default" r:id="rId11"/>
      <w:headerReference w:type="first" r:id="rId12"/>
      <w:footerReference w:type="first" r:id="rId13"/>
      <w:type w:val="continuous"/>
      <w:pgSz w:w="11910" w:h="16850"/>
      <w:pgMar w:top="1600" w:right="1220" w:bottom="2420" w:left="1240" w:header="0" w:footer="22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04D87" w14:textId="77777777" w:rsidR="0051599C" w:rsidRDefault="0051599C">
      <w:r>
        <w:separator/>
      </w:r>
    </w:p>
  </w:endnote>
  <w:endnote w:type="continuationSeparator" w:id="0">
    <w:p w14:paraId="6DA6C440" w14:textId="77777777" w:rsidR="0051599C" w:rsidRDefault="0051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2856" w14:textId="77777777" w:rsidR="00E04801" w:rsidRDefault="00E04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105A" w14:textId="782C504B" w:rsidR="00FF5DDB" w:rsidRPr="005175CC" w:rsidRDefault="00FF5DDB" w:rsidP="005175CC">
    <w:pPr>
      <w:pStyle w:val="Footer"/>
      <w:tabs>
        <w:tab w:val="clear" w:pos="9360"/>
        <w:tab w:val="right" w:pos="9356"/>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0562" w14:textId="77777777" w:rsidR="00E04801" w:rsidRDefault="00E0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CFC5" w14:textId="77777777" w:rsidR="0051599C" w:rsidRDefault="0051599C">
      <w:r>
        <w:separator/>
      </w:r>
    </w:p>
  </w:footnote>
  <w:footnote w:type="continuationSeparator" w:id="0">
    <w:p w14:paraId="7F4924D5" w14:textId="77777777" w:rsidR="0051599C" w:rsidRDefault="0051599C">
      <w:r>
        <w:continuationSeparator/>
      </w:r>
    </w:p>
  </w:footnote>
  <w:footnote w:id="1">
    <w:p w14:paraId="4AA0DCE4" w14:textId="1A6B9FDA" w:rsidR="00951442" w:rsidRDefault="00951442" w:rsidP="00951442">
      <w:pPr>
        <w:pStyle w:val="FootnoteText"/>
        <w:jc w:val="both"/>
      </w:pPr>
      <w:r>
        <w:rPr>
          <w:rStyle w:val="FootnoteReference"/>
        </w:rPr>
        <w:footnoteRef/>
      </w:r>
      <w:r>
        <w:t xml:space="preserve"> </w:t>
      </w:r>
      <w:r>
        <w:fldChar w:fldCharType="begin" w:fldLock="1"/>
      </w:r>
      <w:r w:rsidR="008B0B61">
        <w:instrText>ADDIN CSL_CITATION {"citationItems":[{"id":"ITEM-1","itemData":{"DOI":"10.1007/978-3-031-07461-5_1","ISSN":"25233092","abstract":"In this chapter, we provide an overview of the UN 2030 Agenda for Sustainable Development. In doing so, we offer an overview of the Sustainable Development Goals (SDGs) and other key elements of the 2030 Agenda. These include a vision, means of implementation, and follow-up and review processes. In addition, we discuss the role of partnerships in the Agenda, outlining their historical and future role in the architecture for implementing sustainable development at global and nation levels.","author":[{"dropping-particle":"","family":"Walsh","given":"Patrick Paul","non-dropping-particle":"","parse-names":false,"suffix":""},{"dropping-particle":"","family":"Banerjee","given":"Aparajita","non-dropping-particle":"","parse-names":false,"suffix":""},{"dropping-particle":"","family":"Murphy","given":"Enda","non-dropping-particle":"","parse-names":false,"suffix":""}],"container-title":"Sustainable Development Goals Series","id":"ITEM-1","issued":{"date-parts":[["2022"]]},"page":"1-12","title":"The UN 2030 Agenda for Sustainable Development","type":"article-journal","volume":"Part F2740"},"uris":["http://www.mendeley.com/documents/?uuid=b91e91c2-7b2f-4872-989f-035983acdb7d"]}],"mendeley":{"formattedCitation":"Patrick Paul Walsh, Aparajita Banerjee, and Enda Murphy, ‘The UN 2030 Agenda for Sustainable Development’, &lt;i&gt;Sustainable Development Goals Series&lt;/i&gt;, Part F2740 (2022), 1–12 &lt;https://doi.org/10.1007/978-3-031-07461-5_1&gt;.","plainTextFormattedCitation":"Patrick Paul Walsh, Aparajita Banerjee, and Enda Murphy, ‘The UN 2030 Agenda for Sustainable Development’, Sustainable Development Goals Series, Part F2740 (2022), 1–12 .","previouslyFormattedCitation":"Patrick Paul Walsh, Aparajita Banerjee, and Enda Murphy, ‘The UN 2030 Agenda for Sustainable Development’, &lt;i&gt;Sustainable Development Goals Series&lt;/i&gt;, Part F2740 (2022), 1–12 &lt;https://doi.org/10.1007/978-3-031-07461-5_1&gt;."},"properties":{"noteIndex":1},"schema":"https://github.com/citation-style-language/schema/raw/master/csl-citation.json"}</w:instrText>
      </w:r>
      <w:r>
        <w:fldChar w:fldCharType="separate"/>
      </w:r>
      <w:r w:rsidR="002F70A1" w:rsidRPr="002F70A1">
        <w:rPr>
          <w:noProof/>
        </w:rPr>
        <w:t xml:space="preserve">Patrick Paul Walsh, Aparajita Banerjee, and Enda Murphy, ‘The UN 2030 Agenda for Sustainable Development’, </w:t>
      </w:r>
      <w:r w:rsidR="002F70A1" w:rsidRPr="002F70A1">
        <w:rPr>
          <w:i/>
          <w:noProof/>
        </w:rPr>
        <w:t>Sustainable Development Goals Series</w:t>
      </w:r>
      <w:r w:rsidR="002F70A1" w:rsidRPr="002F70A1">
        <w:rPr>
          <w:noProof/>
        </w:rPr>
        <w:t>, Part F2740 (2022), 1–12 &lt;https://doi.org/10.1007/978-3-031-07461-5_1&gt;.</w:t>
      </w:r>
      <w:r>
        <w:fldChar w:fldCharType="end"/>
      </w:r>
    </w:p>
  </w:footnote>
  <w:footnote w:id="2">
    <w:p w14:paraId="4362F7A8" w14:textId="3905B039" w:rsidR="00331E4A" w:rsidRDefault="00331E4A" w:rsidP="00951442">
      <w:pPr>
        <w:pStyle w:val="FootnoteText"/>
        <w:jc w:val="both"/>
      </w:pPr>
      <w:r>
        <w:rPr>
          <w:rStyle w:val="FootnoteReference"/>
        </w:rPr>
        <w:footnoteRef/>
      </w:r>
      <w:r>
        <w:t xml:space="preserve"> </w:t>
      </w:r>
      <w:r>
        <w:fldChar w:fldCharType="begin" w:fldLock="1"/>
      </w:r>
      <w:r w:rsidR="00951442">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approach.","author":[{"dropping-particle":"","family":"Permendesa","given":"","non-dropping-particle":"","parse-names":false,"suffix":""}],"container-title":"PDTT, Pemendes","id":"ITEM-1","issue":"16","issued":{"date-parts":[["2020"]]},"page":"32","title":"Peraturan Menteri Desa, Pembangunan Daerah Tertinggal, Dan Transmigrasi Republik Indonesia No. 13 Tahun 2020","type":"article-journal"},"uris":["http://www.mendeley.com/documents/?uuid=3f6b441d-a9ba-4649-ad5e-7a7904c3b5fe"]}],"mendeley":{"formattedCitation":"Permendesa, ‘Peraturan Menteri Desa, Pembangunan Daerah Tertinggal, Dan Transmigrasi Republik Indonesia No. 13 Tahun 2020’, &lt;i&gt;PDTT, Pemendes&lt;/i&gt;, 16, 2020, 32.","plainTextFormattedCitation":"Permendesa, ‘Peraturan Menteri Desa, Pembangunan Daerah Tertinggal, Dan Transmigrasi Republik Indonesia No. 13 Tahun 2020’, PDTT, Pemendes, 16, 2020, 32.","previouslyFormattedCitation":"Permendesa, ‘Peraturan Menteri Desa, Pembangunan Daerah Tertinggal, Dan Transmigrasi Republik Indonesia No. 13 Tahun 2020’, &lt;i&gt;PDTT, Pemendes&lt;/i&gt;, 16, 2020, 32."},"properties":{"noteIndex":2},"schema":"https://github.com/citation-style-language/schema/raw/master/csl-citation.json"}</w:instrText>
      </w:r>
      <w:r>
        <w:fldChar w:fldCharType="separate"/>
      </w:r>
      <w:r w:rsidRPr="00331E4A">
        <w:rPr>
          <w:noProof/>
        </w:rPr>
        <w:t xml:space="preserve">Permendesa, ‘Peraturan Menteri Desa, Pembangunan Daerah Tertinggal, Dan Transmigrasi Republik Indonesia No. 13 Tahun 2020’, </w:t>
      </w:r>
      <w:r w:rsidRPr="00331E4A">
        <w:rPr>
          <w:i/>
          <w:noProof/>
        </w:rPr>
        <w:t>PDTT, Pemendes</w:t>
      </w:r>
      <w:r w:rsidRPr="00331E4A">
        <w:rPr>
          <w:noProof/>
        </w:rPr>
        <w:t>, 16, 2020, 32.</w:t>
      </w:r>
      <w:r>
        <w:fldChar w:fldCharType="end"/>
      </w:r>
    </w:p>
  </w:footnote>
  <w:footnote w:id="3">
    <w:p w14:paraId="7A5F2A81" w14:textId="37BE0CE2" w:rsidR="009809FD" w:rsidRDefault="009809FD" w:rsidP="00951442">
      <w:pPr>
        <w:pStyle w:val="FootnoteText"/>
        <w:jc w:val="both"/>
      </w:pPr>
      <w:r>
        <w:rPr>
          <w:rStyle w:val="FootnoteReference"/>
        </w:rPr>
        <w:footnoteRef/>
      </w:r>
      <w:r>
        <w:t xml:space="preserve"> </w:t>
      </w:r>
      <w:r>
        <w:fldChar w:fldCharType="begin" w:fldLock="1"/>
      </w:r>
      <w:r w:rsidR="00951442">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future","type":"article-journal","volume":"1"},"uris":["http://www.mendeley.com/documents/?uuid=875c092c-0bef-4184-823c-e282b3f41a82"]}],"mendeley":{"formattedCitation":"Nicholas C. Burbules, Guorui Fan, and Philip Repp, ‘Five Trends of Education and Technology in a Sustainable Future’, &lt;i&gt;Geography and Sustainability&lt;/i&gt;, 1.2 (2020), 93–97 &lt;https://doi.org/10.1016/j.geosus.2020.05.001&gt;.","plainTextFormattedCitation":"Nicholas C. Burbules, Guorui Fan, and Philip Repp, ‘Five Trends of Education and Technology in a Sustainable Future’, Geography and Sustainability, 1.2 (2020), 93–97 .","previouslyFormattedCitation":"Nicholas C. Burbules, Guorui Fan, and Philip Repp, ‘Five Trends of Education and Technology in a Sustainable Future’, &lt;i&gt;Geography and Sustainability&lt;/i&gt;, 1.2 (2020), 93–97 &lt;https://doi.org/10.1016/j.geosus.2020.05.001&gt;."},"properties":{"noteIndex":3},"schema":"https://github.com/citation-style-language/schema/raw/master/csl-citation.json"}</w:instrText>
      </w:r>
      <w:r>
        <w:fldChar w:fldCharType="separate"/>
      </w:r>
      <w:r w:rsidR="002F70A1" w:rsidRPr="002F70A1">
        <w:rPr>
          <w:noProof/>
        </w:rPr>
        <w:t xml:space="preserve">Nicholas C. Burbules, Guorui Fan, and Philip Repp, ‘Five Trends of Education and Technology in a Sustainable Future’, </w:t>
      </w:r>
      <w:r w:rsidR="002F70A1" w:rsidRPr="002F70A1">
        <w:rPr>
          <w:i/>
          <w:noProof/>
        </w:rPr>
        <w:t>Geography and Sustainability</w:t>
      </w:r>
      <w:r w:rsidR="002F70A1" w:rsidRPr="002F70A1">
        <w:rPr>
          <w:noProof/>
        </w:rPr>
        <w:t>, 1.2 (2020), 93–97 &lt;https://doi.org/10.1016/j.geosus.2020.05.001&gt;.</w:t>
      </w:r>
      <w:r>
        <w:fldChar w:fldCharType="end"/>
      </w:r>
    </w:p>
  </w:footnote>
  <w:footnote w:id="4">
    <w:p w14:paraId="149B30FD" w14:textId="1068BD36" w:rsidR="009809FD" w:rsidRDefault="009809FD" w:rsidP="00951442">
      <w:pPr>
        <w:pStyle w:val="FootnoteText"/>
        <w:jc w:val="both"/>
      </w:pPr>
      <w:r>
        <w:rPr>
          <w:rStyle w:val="FootnoteReference"/>
        </w:rPr>
        <w:footnoteRef/>
      </w:r>
      <w:r>
        <w:t xml:space="preserve"> </w:t>
      </w:r>
      <w:r>
        <w:fldChar w:fldCharType="begin" w:fldLock="1"/>
      </w:r>
      <w:r w:rsidR="00951442">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readers","type":"article-journal","volume":"10"},"uris":["http://www.mendeley.com/documents/?uuid=d0567f2e-a9d8-40ad-9357-284926ce486f"]}],"mendeley":{"formattedCitation":"Gene Mehigan, ‘Effects of Fluency Oriented Instruction on Motivation for Reading of Struggling Readers’, &lt;i&gt;Education Sciences&lt;/i&gt;, 10.3 (2020) &lt;https://doi.org/10.3390/educsci10030056&gt;.","plainTextFormattedCitation":"Gene Mehigan, ‘Effects of Fluency Oriented Instruction on Motivation for Reading of Struggling Readers’, Education Sciences, 10.3 (2020) .","previouslyFormattedCitation":"Gene Mehigan, ‘Effects of Fluency Oriented Instruction on Motivation for Reading of Struggling Readers’, &lt;i&gt;Education Sciences&lt;/i&gt;, 10.3 (2020) &lt;https://doi.org/10.3390/educsci10030056&gt;."},"properties":{"noteIndex":4},"schema":"https://github.com/citation-style-language/schema/raw/master/csl-citation.json"}</w:instrText>
      </w:r>
      <w:r>
        <w:fldChar w:fldCharType="separate"/>
      </w:r>
      <w:r w:rsidR="002F70A1" w:rsidRPr="002F70A1">
        <w:rPr>
          <w:noProof/>
        </w:rPr>
        <w:t xml:space="preserve">Gene Mehigan, ‘Effects of Fluency Oriented Instruction on Motivation for Reading of Struggling Readers’, </w:t>
      </w:r>
      <w:r w:rsidR="002F70A1" w:rsidRPr="002F70A1">
        <w:rPr>
          <w:i/>
          <w:noProof/>
        </w:rPr>
        <w:t>Education Sciences</w:t>
      </w:r>
      <w:r w:rsidR="002F70A1" w:rsidRPr="002F70A1">
        <w:rPr>
          <w:noProof/>
        </w:rPr>
        <w:t>, 10.3 (2020) &lt;https://doi.org/10.3390/educsci10030056&gt;.</w:t>
      </w:r>
      <w:r>
        <w:fldChar w:fldCharType="end"/>
      </w:r>
    </w:p>
  </w:footnote>
  <w:footnote w:id="5">
    <w:p w14:paraId="1B7A0BE2" w14:textId="32DED6BE" w:rsidR="00331E4A" w:rsidRDefault="00331E4A">
      <w:pPr>
        <w:pStyle w:val="FootnoteText"/>
      </w:pPr>
      <w:r>
        <w:rPr>
          <w:rStyle w:val="FootnoteReference"/>
        </w:rPr>
        <w:footnoteRef/>
      </w:r>
      <w:r>
        <w:t xml:space="preserve"> </w:t>
      </w:r>
      <w:r>
        <w:fldChar w:fldCharType="begin" w:fldLock="1"/>
      </w:r>
      <w:r w:rsidR="00951442">
        <w:instrText>ADDIN CSL_CITATION {"citationItems":[{"id":"ITEM-1","itemData":{"DOI":"10.30863/didaktika.v11i2.163","ISSN":"1978-0214","abstract":"In the era of highly advanced communication as it is today, the role of sophisticated mobile phones and tablets replaced many of the roles of the book. As the result, students are more interseted in spending time with gadgets than reading and writing books. Moving from the phenomenom, the culture of literacy is sustained in the Indonesian language course. The Indonesian course as an MPK emphasizes the skills of using Indonesian as the national language and national in a good and correct way to master, apply, and develop science, technology, and art as the embodiment of love and nationality to the Indonesian language. The title raised in this paper is “ to build a culture of literacy through the Indonesian language as a medium of productive generation of mental revolution”. Importan issues that will be the author of lift, namely: How to build a culture of literacy through the Indonesian language as a medium of productive generation of mental revolution. The theory used, taht is mentally related to the mind. Mentality is related to the way of thinking. Indonesian language courses serve as a medium of mental revolution of productive generation. By presenting the substance of the term revolution of the study should be incorporated into the activities of using the Indonesian language through listening, speaking, reading and writing skills with focused academic writing skills so as to train or familiarize the mental revolution with the productive generation.","author":[{"dropping-particle":"","family":"SALAM","given":"EVELINA SATRIYA","non-dropping-particle":"","parse-names":false,"suffix":""}],"container-title":"Didaktika","id":"ITEM-1","issue":"2","issued":{"date-parts":[["2019"]]},"page":"158","title":"Membangun Budaya Literasi Melalui Mata Kuliah Bahasa Indonesia Sebagai Media Revolusi Mental Generasi Produktif","type":"article-journal","volume":"11"},"uris":["http://www.mendeley.com/documents/?uuid=02c41b6c-4109-4eec-b827-047209c6af7d"]}],"mendeley":{"formattedCitation":"EVELINA SATRIYA SALAM, ‘Membangun Budaya Literasi Melalui Mata Kuliah Bahasa Indonesia Sebagai Media Revolusi Mental Generasi Produktif’, &lt;i&gt;Didaktika&lt;/i&gt;, 11.2 (2019), 158 &lt;https://doi.org/10.30863/didaktika.v11i2.163&gt;.","plainTextFormattedCitation":"EVELINA SATRIYA SALAM, ‘Membangun Budaya Literasi Melalui Mata Kuliah Bahasa Indonesia Sebagai Media Revolusi Mental Generasi Produktif’, Didaktika, 11.2 (2019), 158 .","previouslyFormattedCitation":"EVELINA SATRIYA SALAM, ‘Membangun Budaya Literasi Melalui Mata Kuliah Bahasa Indonesia Sebagai Media Revolusi Mental Generasi Produktif’, &lt;i&gt;Didaktika&lt;/i&gt;, 11.2 (2019), 158 &lt;https://doi.org/10.30863/didaktika.v11i2.163&gt;."},"properties":{"noteIndex":5},"schema":"https://github.com/citation-style-language/schema/raw/master/csl-citation.json"}</w:instrText>
      </w:r>
      <w:r>
        <w:fldChar w:fldCharType="separate"/>
      </w:r>
      <w:r w:rsidR="002F70A1" w:rsidRPr="002F70A1">
        <w:rPr>
          <w:noProof/>
        </w:rPr>
        <w:t xml:space="preserve">EVELINA SATRIYA SALAM, ‘Membangun Budaya Literasi Melalui Mata Kuliah Bahasa Indonesia Sebagai Media Revolusi Mental Generasi Produktif’, </w:t>
      </w:r>
      <w:r w:rsidR="002F70A1" w:rsidRPr="002F70A1">
        <w:rPr>
          <w:i/>
          <w:noProof/>
        </w:rPr>
        <w:t>Didaktika</w:t>
      </w:r>
      <w:r w:rsidR="002F70A1" w:rsidRPr="002F70A1">
        <w:rPr>
          <w:noProof/>
        </w:rPr>
        <w:t>, 11.2 (2019), 158 &lt;https://doi.org/10.30863/didaktika.v11i2.163&gt;.</w:t>
      </w:r>
      <w:r>
        <w:fldChar w:fldCharType="end"/>
      </w:r>
    </w:p>
  </w:footnote>
  <w:footnote w:id="6">
    <w:p w14:paraId="4ECA80C9" w14:textId="367DBCD2" w:rsidR="008B0B61" w:rsidRDefault="008B0B61">
      <w:pPr>
        <w:pStyle w:val="FootnoteText"/>
      </w:pPr>
      <w:r>
        <w:rPr>
          <w:rStyle w:val="FootnoteReference"/>
        </w:rPr>
        <w:footnoteRef/>
      </w:r>
      <w:r>
        <w:t xml:space="preserve"> </w:t>
      </w:r>
      <w:r>
        <w:fldChar w:fldCharType="begin" w:fldLock="1"/>
      </w:r>
      <w:r>
        <w:instrText>ADDIN CSL_CITATION {"citationItems":[{"id":"ITEM-1","itemData":{"DOI":"10.1177/1362168820933190","ISSN":"14770954","abstract":"This study examined the role of growth mindset, self-efficacy, and intrinsic value in self-regulated learning (SRL) and English language learning achievements in Hong Kong primary school students. A sample of 690 4th graders participated in the study. The findings suggest that the level of SRL strategy use (i.e. monitoring, effort regulation, and goal setting and planning) was driven by the students’ motivational beliefs (i.e. growth mindset, self-efficacy, and intrinsic value) in different ways. Monitoring and effort regulation, in turn, were significant contributors to the participants’ English language learning achievements, but goal setting and planning did not predict their English language learning achievements. The finding suggests that growth mindset was a stronger predictor of SRL than self-efficacy and intrinsic value. Implications for fostering adaptive motivational beliefs and SRL are discussed. Future research should consider the influence of the socio-cultural context on the relationships between motivational factors, SRL strategy use, and English language learning achievements.","author":[{"dropping-particle":"","family":"Bai","given":"Barry","non-dropping-particle":"","parse-names":false,"suffix":""},{"dropping-particle":"","family":"Wang","given":"Jing","non-dropping-particle":"","parse-names":false,"suffix":""}],"container-title":"Language Teaching Research","id":"ITEM-1","issue":"1","issued":{"date-parts":[["2023"]]},"page":"207-228","title":"The role of growth mindset, self-efficacy and intrinsic value in self-regulated learning and English language learning achievements","type":"article-journal","volume":"27"},"uris":["http://www.mendeley.com/documents/?uuid=7154cc92-4f44-4ae5-8dd6-eb637a492920"]}],"mendeley":{"formattedCitation":"Barry Bai and Jing Wang, ‘The Role of Growth Mindset, Self-Efficacy and Intrinsic Value in Self-Regulated Learning and English Language Learning Achievements’, &lt;i&gt;Language Teaching Research&lt;/i&gt;, 27.1 (2023), 207–28 &lt;https://doi.org/10.1177/1362168820933190&gt;.","plainTextFormattedCitation":"Barry Bai and Jing Wang, ‘The Role of Growth Mindset, Self-Efficacy and Intrinsic Value in Self-Regulated Learning and English Language Learning Achievements’, Language Teaching Research, 27.1 (2023), 207–28 .","previouslyFormattedCitation":"Barry Bai and Jing Wang, ‘The Role of Growth Mindset, Self-Efficacy and Intrinsic Value in Self-Regulated Learning and English Language Learning Achievements’, &lt;i&gt;Language Teaching Research&lt;/i&gt;, 27.1 (2023), 207–28 &lt;https://doi.org/10.1177/1362168820933190&gt;."},"properties":{"noteIndex":6},"schema":"https://github.com/citation-style-language/schema/raw/master/csl-citation.json"}</w:instrText>
      </w:r>
      <w:r>
        <w:fldChar w:fldCharType="separate"/>
      </w:r>
      <w:r w:rsidR="002F70A1" w:rsidRPr="002F70A1">
        <w:rPr>
          <w:noProof/>
        </w:rPr>
        <w:t xml:space="preserve">Barry Bai and Jing Wang, ‘The Role of Growth Mindset, Self-Efficacy and Intrinsic Value in Self-Regulated Learning and English Language Learning Achievements’, </w:t>
      </w:r>
      <w:r w:rsidR="002F70A1" w:rsidRPr="002F70A1">
        <w:rPr>
          <w:i/>
          <w:noProof/>
        </w:rPr>
        <w:t>Language Teaching Research</w:t>
      </w:r>
      <w:r w:rsidR="002F70A1" w:rsidRPr="002F70A1">
        <w:rPr>
          <w:noProof/>
        </w:rPr>
        <w:t>, 27.1 (2023), 207–28 &lt;https://doi.org/10.1177/1362168820933190&gt;.</w:t>
      </w:r>
      <w:r>
        <w:fldChar w:fldCharType="end"/>
      </w:r>
    </w:p>
  </w:footnote>
  <w:footnote w:id="7">
    <w:p w14:paraId="166DEAF4" w14:textId="6A3E387B" w:rsidR="008B0B61" w:rsidRDefault="008B0B61">
      <w:pPr>
        <w:pStyle w:val="FootnoteText"/>
      </w:pPr>
      <w:r>
        <w:rPr>
          <w:rStyle w:val="FootnoteReference"/>
        </w:rPr>
        <w:footnoteRef/>
      </w:r>
      <w:r>
        <w:t xml:space="preserve"> </w:t>
      </w:r>
      <w:r>
        <w:fldChar w:fldCharType="begin" w:fldLock="1"/>
      </w:r>
      <w:r>
        <w:instrText>ADDIN CSL_CITATION {"citationItems":[{"id":"ITEM-1","itemData":{"ISBN":"8003696283","author":[{"dropping-particle":"","family":"Braunger","given":"Jane","non-dropping-particle":"","parse-names":false,"suffix":""},{"dropping-particle":"","family":"Ed","given":"D","non-dropping-particle":"","parse-names":false,"suffix":""},{"dropping-particle":"","family":"Lewis","given":"Jan Patricia","non-dropping-particle":"","parse-names":false,"suffix":""},{"dropping-particle":"","family":"Ph","given":"D","non-dropping-particle":"","parse-names":false,"suffix":""}],"id":"ITEM-1","issued":{"date-parts":[["1997"]]},"title":"Educational Laboratory ' s","type":"book"},"uris":["http://www.mendeley.com/documents/?uuid=9fdc0e4c-0e8a-4690-b9e2-973c09e71246"]}],"mendeley":{"formattedCitation":"Jane Braunger and others, &lt;i&gt;Educational Laboratory ’ S&lt;/i&gt;, 1997.","plainTextFormattedCitation":"Jane Braunger and others, Educational Laboratory ’ S, 1997.","previouslyFormattedCitation":"Jane Braunger and others, &lt;i&gt;Educational Laboratory ’ S&lt;/i&gt;, 1997."},"properties":{"noteIndex":7},"schema":"https://github.com/citation-style-language/schema/raw/master/csl-citation.json"}</w:instrText>
      </w:r>
      <w:r>
        <w:fldChar w:fldCharType="separate"/>
      </w:r>
      <w:r w:rsidRPr="008B0B61">
        <w:rPr>
          <w:noProof/>
        </w:rPr>
        <w:t xml:space="preserve">Jane Braunger and others, </w:t>
      </w:r>
      <w:r w:rsidRPr="008B0B61">
        <w:rPr>
          <w:i/>
          <w:noProof/>
        </w:rPr>
        <w:t>Educational Laboratory ’ S</w:t>
      </w:r>
      <w:r w:rsidRPr="008B0B61">
        <w:rPr>
          <w:noProof/>
        </w:rPr>
        <w:t>, 1997.</w:t>
      </w:r>
      <w:r>
        <w:fldChar w:fldCharType="end"/>
      </w:r>
    </w:p>
  </w:footnote>
  <w:footnote w:id="8">
    <w:p w14:paraId="64D1430A" w14:textId="3FCB6A86" w:rsidR="008B0B61" w:rsidRDefault="008B0B61">
      <w:pPr>
        <w:pStyle w:val="FootnoteText"/>
      </w:pPr>
      <w:r>
        <w:rPr>
          <w:rStyle w:val="FootnoteReference"/>
        </w:rPr>
        <w:footnoteRef/>
      </w:r>
      <w:r>
        <w:t xml:space="preserve"> </w:t>
      </w:r>
      <w:r>
        <w:fldChar w:fldCharType="begin" w:fldLock="1"/>
      </w:r>
      <w:r w:rsidR="00E35EC8">
        <w:instrText>ADDIN CSL_CITATION {"citationItems":[{"id":"ITEM-1","itemData":{"DOI":"10.1017/CBO9781107415324.004","abstract":"Sociocultural perspectives on literacy include various theories focused on the myriad ways in which people use literacy in context, which include a strong emphasis on power relations. Yet, these theories also have important differences, and many in the field of literacy do not clearly differentiate among them. I provide a critical overview of influential sociocultural perspectives on literacy, focusing on three major perspectives: (1) literacy as social practice, (2) multiliteracies, and (3) critical literacy. In an effort to support researchers in framing their scholarly work and to support practitioners and other consumers of research make sense of research, I discuss the ways in which each theory would answer the question, “What is literacy?” as well as the affordances and limitations of these theories in terms of literacy development, literacy use, and literacy instruction.","author":[{"dropping-particle":"","family":"Perry","given":"Kristen H.","non-dropping-particle":"","parse-names":false,"suffix":""}],"container-title":"Journal of Language and Literacy Education","id":"ITEM-1","issue":"1","issued":{"date-parts":[["2012"]]},"page":"50-71","title":"What is literacy? -- A critical overview of sociocultural perspectives.","type":"article-journal","volume":"8"},"uris":["http://www.mendeley.com/documents/?uuid=a25a1fdc-ac7f-4486-a3b1-240f22e44f46"]}],"mendeley":{"formattedCitation":"Kristen H. Perry, ‘What Is Literacy? -- A Critical Overview of Sociocultural Perspectives.’, &lt;i&gt;Journal of Language and Literacy Education&lt;/i&gt;, 8.1 (2012), 50–71 &lt;https://doi.org/10.1017/CBO9781107415324.004&gt;.","plainTextFormattedCitation":"Kristen H. Perry, ‘What Is Literacy? -- A Critical Overview of Sociocultural Perspectives.’, Journal of Language and Literacy Education, 8.1 (2012), 50–71 .","previouslyFormattedCitation":"Kristen H. Perry, ‘What Is Literacy? -- A Critical Overview of Sociocultural Perspectives.’, &lt;i&gt;Journal of Language and Literacy Education&lt;/i&gt;, 8.1 (2012), 50–71 &lt;https://doi.org/10.1017/CBO9781107415324.004&gt;."},"properties":{"noteIndex":8},"schema":"https://github.com/citation-style-language/schema/raw/master/csl-citation.json"}</w:instrText>
      </w:r>
      <w:r>
        <w:fldChar w:fldCharType="separate"/>
      </w:r>
      <w:r w:rsidR="002F70A1" w:rsidRPr="002F70A1">
        <w:rPr>
          <w:noProof/>
        </w:rPr>
        <w:t xml:space="preserve">Kristen H. Perry, ‘What Is Literacy? -- A Critical Overview of Sociocultural Perspectives.’, </w:t>
      </w:r>
      <w:r w:rsidR="002F70A1" w:rsidRPr="002F70A1">
        <w:rPr>
          <w:i/>
          <w:noProof/>
        </w:rPr>
        <w:t>Journal of Language and Literacy Education</w:t>
      </w:r>
      <w:r w:rsidR="002F70A1" w:rsidRPr="002F70A1">
        <w:rPr>
          <w:noProof/>
        </w:rPr>
        <w:t>, 8.1 (2012), 50–71 &lt;https://doi.org/10.1017/CBO9781107415324.004&gt;.</w:t>
      </w:r>
      <w:r>
        <w:fldChar w:fldCharType="end"/>
      </w:r>
    </w:p>
  </w:footnote>
  <w:footnote w:id="9">
    <w:p w14:paraId="6CBE2066" w14:textId="358DAFDD" w:rsidR="009809FD" w:rsidRDefault="009809FD">
      <w:pPr>
        <w:pStyle w:val="FootnoteText"/>
      </w:pPr>
      <w:r>
        <w:rPr>
          <w:rStyle w:val="FootnoteReference"/>
        </w:rPr>
        <w:footnoteRef/>
      </w:r>
      <w:r>
        <w:t xml:space="preserve"> </w:t>
      </w:r>
      <w:r>
        <w:fldChar w:fldCharType="begin" w:fldLock="1"/>
      </w:r>
      <w:r w:rsidR="008B0B61">
        <w:instrText>ADDIN CSL_CITATION {"citationItems":[{"id":"ITEM-1","itemData":{"ISSN":"15220222","abstract":"For the past couple of years, reading culture has been on the decline, especially in Nigeria, and Africa in general. Research has shown that this is partly due to the emergence of Technology and the rise of social media. It is despairing that young adults spend hours watching televisions, and chatting on social sites at the detriment of reading. This study examined the roles school libraries can play in promoting reading culture among secondary school students, using F.G.C Jos as a case study. On the basis of this, five (5) research questions were developed to guide the researchers. The descriptive survey method was used, and simple random sampling adopted. Questionnaire was the major instrument of data collection. Results of the findings were interpreted using simple percentages and organized in tables, and charts for clarity and better comprehension. The results of the findings revealed that students do not have good reading habit. This was represented by 51.4% who read for only 1-2 hours on a daily basis, which is unsatisfactory. Also students depend largely on textbooks and lecture notes as sources of reading materials, hence they read only to pass examinations; this is an indication of poor reading habit. The findings also revealed that students do not have opportunities of borrowing books from the library, and the library is not integrated in the school curriculum. Also, it was revealed that major factors hindering students from reading include watching television, phone addiction/chatting on social sites, and lack of interesting books. Major recommendations put forward by the researchers include: that teacher librarians should host reading-related events at school as a way to promote reading, create attractive displays of books in the library to arouse the interest of learners; librarians should take advantage of the social media. They should create social media platforms, such as social media discussion forum where students can discuss books they have read. Recommendations were also made for school management, and the government.","author":[{"dropping-particle":"","family":"Danladi","given":"Diyoshak Rhoda","non-dropping-particle":"","parse-names":false,"suffix":""},{"dropping-particle":"","family":"Soko","given":"Yohanna Rejoice","non-dropping-particle":"","parse-names":false,"suffix":""}],"container-title":"Library Philosophy and Practice","id":"ITEM-1","issue":"June","issued":{"date-parts":[["2019"]]},"title":"The role of school libraries in promoting reading culture among secondary school students: A case study of federal government college, Jos","type":"article-journal","volume":"2019"},"uris":["http://www.mendeley.com/documents/?uuid=7a7d6934-e985-448c-ac4b-cbcedd5b3dc3"]}],"mendeley":{"formattedCitation":"Diyoshak Rhoda Danladi and Yohanna Rejoice Soko, ‘The Role of School Libraries in Promoting Reading Culture among Secondary School Students: A Case Study of Federal Government College, Jos’, &lt;i&gt;Library Philosophy and Practice&lt;/i&gt;, 2019.June (2019).","plainTextFormattedCitation":"Diyoshak Rhoda Danladi and Yohanna Rejoice Soko, ‘The Role of School Libraries in Promoting Reading Culture among Secondary School Students: A Case Study of Federal Government College, Jos’, Library Philosophy and Practice, 2019.June (2019).","previouslyFormattedCitation":"Diyoshak Rhoda Danladi and Yohanna Rejoice Soko, ‘The Role of School Libraries in Promoting Reading Culture among Secondary School Students: A Case Study of Federal Government College, Jos’, &lt;i&gt;Library Philosophy and Practice&lt;/i&gt;, 2019.June (2019)."},"properties":{"noteIndex":9},"schema":"https://github.com/citation-style-language/schema/raw/master/csl-citation.json"}</w:instrText>
      </w:r>
      <w:r>
        <w:fldChar w:fldCharType="separate"/>
      </w:r>
      <w:r w:rsidRPr="009809FD">
        <w:rPr>
          <w:noProof/>
        </w:rPr>
        <w:t xml:space="preserve">Diyoshak Rhoda Danladi and Yohanna Rejoice Soko, ‘The Role of School Libraries in Promoting Reading Culture among Secondary School Students: A Case Study of Federal Government College, Jos’, </w:t>
      </w:r>
      <w:r w:rsidRPr="009809FD">
        <w:rPr>
          <w:i/>
          <w:noProof/>
        </w:rPr>
        <w:t>Library Philosophy and Practice</w:t>
      </w:r>
      <w:r w:rsidRPr="009809FD">
        <w:rPr>
          <w:noProof/>
        </w:rPr>
        <w:t>, 2019.June (2019).</w:t>
      </w:r>
      <w:r>
        <w:fldChar w:fldCharType="end"/>
      </w:r>
    </w:p>
  </w:footnote>
  <w:footnote w:id="10">
    <w:p w14:paraId="45B3AC42" w14:textId="1C2DD5A0" w:rsidR="00E35EC8" w:rsidRDefault="00E35EC8">
      <w:pPr>
        <w:pStyle w:val="FootnoteText"/>
      </w:pPr>
      <w:r>
        <w:rPr>
          <w:rStyle w:val="FootnoteReference"/>
        </w:rPr>
        <w:footnoteRef/>
      </w:r>
      <w:r>
        <w:t xml:space="preserve"> </w:t>
      </w:r>
      <w:r>
        <w:fldChar w:fldCharType="begin" w:fldLock="1"/>
      </w:r>
      <w:r>
        <w:instrText>ADDIN CSL_CITATION {"citationItems":[{"id":"ITEM-1","itemData":{"abstract":"… Kegiatan observasi meliputi pencatatan secara sistematik kejadian-kejadian, prilaku, obyek-obyek yang … Dorongan atau hasrat untuk melakukan hubungan seksual selalu muncul pada remaja … diluar rumah tentu akan meningkatkan resiko anak untuk mengalami seks pra nikah …","author":[{"dropping-particle":"","family":"Ranti","given":"Kadek","non-dropping-particle":"","parse-names":false,"suffix":""},{"dropping-particle":"","family":"Atmadja","given":"Nengah Bawa","non-dropping-particle":"","parse-names":false,"suffix":""},{"dropping-particle":"","family":"Sendratari","given":"Luh Putu","non-dropping-particle":"","parse-names":false,"suffix":""}],"container-title":"e-Journal Pendidikan Sosiologi Universitas Pendidikan Ganesha","id":"ITEM-1","issue":"1","issued":{"date-parts":[["2019"]]},"page":"12-22","title":"Upaya Pencegahan Anak Putus Sekolah di SMP Negeri 1 Gerokgak, Kecamatan Gerokgak, Buleleng, Bali","type":"article-journal","volume":"1"},"uris":["http://www.mendeley.com/documents/?uuid=0076788d-eccf-4bfb-88be-653fa6ad6414"]}],"mendeley":{"formattedCitation":"Kadek Ranti, Nengah Bawa Atmadja, and Luh Putu Sendratari, ‘Upaya Pencegahan Anak Putus Sekolah Di SMP Negeri 1 Gerokgak, Kecamatan Gerokgak, Buleleng, Bali’, &lt;i&gt;E-Journal Pendidikan Sosiologi Universitas Pendidikan Ganesha&lt;/i&gt;, 1.1 (2019), 12–22.","plainTextFormattedCitation":"Kadek Ranti, Nengah Bawa Atmadja, and Luh Putu Sendratari, ‘Upaya Pencegahan Anak Putus Sekolah Di SMP Negeri 1 Gerokgak, Kecamatan Gerokgak, Buleleng, Bali’, E-Journal Pendidikan Sosiologi Universitas Pendidikan Ganesha, 1.1 (2019), 12–22.","previouslyFormattedCitation":"Kadek Ranti, Nengah Bawa Atmadja, and Luh Putu Sendratari, ‘Upaya Pencegahan Anak Putus Sekolah Di SMP Negeri 1 Gerokgak, Kecamatan Gerokgak, Buleleng, Bali’, &lt;i&gt;E-Journal Pendidikan Sosiologi Universitas Pendidikan Ganesha&lt;/i&gt;, 1.1 (2019), 12–22."},"properties":{"noteIndex":10},"schema":"https://github.com/citation-style-language/schema/raw/master/csl-citation.json"}</w:instrText>
      </w:r>
      <w:r>
        <w:fldChar w:fldCharType="separate"/>
      </w:r>
      <w:r w:rsidRPr="00E35EC8">
        <w:rPr>
          <w:noProof/>
        </w:rPr>
        <w:t xml:space="preserve">Kadek Ranti, Nengah Bawa Atmadja, and Luh Putu Sendratari, ‘Upaya Pencegahan Anak Putus Sekolah Di SMP Negeri 1 Gerokgak, Kecamatan Gerokgak, Buleleng, Bali’, </w:t>
      </w:r>
      <w:r w:rsidRPr="00E35EC8">
        <w:rPr>
          <w:i/>
          <w:noProof/>
        </w:rPr>
        <w:t>E-Journal Pendidikan Sosiologi Universitas Pendidikan Ganesha</w:t>
      </w:r>
      <w:r w:rsidRPr="00E35EC8">
        <w:rPr>
          <w:noProof/>
        </w:rPr>
        <w:t>, 1.1 (2019), 12–22.</w:t>
      </w:r>
      <w:r>
        <w:fldChar w:fldCharType="end"/>
      </w:r>
    </w:p>
  </w:footnote>
  <w:footnote w:id="11">
    <w:p w14:paraId="0B00147B" w14:textId="52783C91" w:rsidR="00E35EC8" w:rsidRDefault="00E35EC8">
      <w:pPr>
        <w:pStyle w:val="FootnoteText"/>
      </w:pPr>
      <w:r>
        <w:rPr>
          <w:rStyle w:val="FootnoteReference"/>
        </w:rPr>
        <w:footnoteRef/>
      </w:r>
      <w:r>
        <w:t xml:space="preserve"> </w:t>
      </w:r>
      <w:r>
        <w:fldChar w:fldCharType="begin" w:fldLock="1"/>
      </w:r>
      <w:r>
        <w:instrText>ADDIN CSL_CITATION {"citationItems":[{"id":"ITEM-1","itemData":{"DOI":"10.47178/elementary.v6i1.2056","ISSN":"2622-0431","abstract":"Mata pelajaran Ilmu Pengetahuan Alam (IPA) adalah salah satu mata pelajaran di sekolah tingkat dasar (SD). Materi yang diajarkan di SD pun terkait dengan kehidupan sehari-hari siswa tersebut. Penelitian ini bertujuan untuk mengetahui pengaruh model pembelajaran PAKEM terhadap hasil belajar IPA siswa kelas V SDN Inp. No. 49 Pasanggrahan Majene. Jenis Penelitian ini adalah Penelitian Tindakan Kelas (PTK). Subjek penelitian ini adalah siswa kelas V SDN Inp. No. 49 Pasanggrahan Majene yang berjumlah 20 siswa yang terdiri dari 8 laki-laki dan 12 perempuan. Penelitian Tindakan Kelas ini dilaksanakan secara bersiklus dengan empat tahapan yaitu perencanaan, pelaksanaan, pengamatan dan refleksi. Teknik pengumpulan data, menggunakan observasi, untuk mengumpulkan data tentang aktivitas belajar siswa pada saat proses kegiatan belajar mengajar berlangsung dan tes hasil belajar IPA siswa. Hasil penelitian ini menunjukkan telah terjadi peningktan hasil belajar IPA siswa setelah model pembelajaran tersebut diterapkan. Hal tersebut terbukti dari meningkatnya persentase ketuntasan hasil belajar IPA siswa yang sebelumnya siklus I hanya mencapai 58,20, naik mencapai rata-rata persentase 83,80 siklus II, sehingga dikatakan bahwa kemampuan siswa sudah mencapai target minimal yang dicantumkan dalam kurikulum. Seluruh siswa juga sudah mencapai ketuntasan belajar, karena semua siswa atau 100% sudah mencapai KKM ?70. Kesimpulan penelitian ini adalah hasil belajar IPA siswa kelas V SDN Inp. No. 49 Pasanggrahan Majene meningkat dan pengaruh model pembelajaran PAKEM dikatakan berhasil.","author":[{"dropping-particle":"","family":"Inayah A.M","given":"Muh","non-dropping-particle":"","parse-names":false,"suffix":""},{"dropping-particle":"","family":"Lolotandung","given":"Reni","non-dropping-particle":"","parse-names":false,"suffix":""},{"dropping-particle":"","family":"Irmawati M","given":"","non-dropping-particle":"","parse-names":false,"suffix":""}],"container-title":"Elementary Journal : Jurnal Pendidikan Guru Sekolah Dasar","id":"ITEM-1","issue":"1","issued":{"date-parts":[["2023"]]},"page":"29-38","title":"Pengaruh Model Pembelajaran PAKEM Terhadap Hasil Belajar IPA Siswa Di Sekolah Dasar","type":"article-journal","volume":"6"},"uris":["http://www.mendeley.com/documents/?uuid=f3e64520-d257-4173-92e6-febca634ca02"]}],"mendeley":{"formattedCitation":"Muh Inayah A.M, Reni Lolotandung, and Irmawati M, ‘Pengaruh Model Pembelajaran PAKEM Terhadap Hasil Belajar IPA Siswa Di Sekolah Dasar’, &lt;i&gt;Elementary Journal : Jurnal Pendidikan Guru Sekolah Dasar&lt;/i&gt;, 6.1 (2023), 29–38 &lt;https://doi.org/10.47178/elementary.v6i1.2056&gt;.","plainTextFormattedCitation":"Muh Inayah A.M, Reni Lolotandung, and Irmawati M, ‘Pengaruh Model Pembelajaran PAKEM Terhadap Hasil Belajar IPA Siswa Di Sekolah Dasar’, Elementary Journal : Jurnal Pendidikan Guru Sekolah Dasar, 6.1 (2023), 29–38 .","previouslyFormattedCitation":"Muh Inayah A.M, Reni Lolotandung, and Irmawati M, ‘Pengaruh Model Pembelajaran PAKEM Terhadap Hasil Belajar IPA Siswa Di Sekolah Dasar’, &lt;i&gt;Elementary Journal : Jurnal Pendidikan Guru Sekolah Dasar&lt;/i&gt;, 6.1 (2023), 29–38 &lt;https://doi.org/10.47178/elementary.v6i1.2056&gt;."},"properties":{"noteIndex":11},"schema":"https://github.com/citation-style-language/schema/raw/master/csl-citation.json"}</w:instrText>
      </w:r>
      <w:r>
        <w:fldChar w:fldCharType="separate"/>
      </w:r>
      <w:r w:rsidR="002F70A1" w:rsidRPr="002F70A1">
        <w:rPr>
          <w:noProof/>
        </w:rPr>
        <w:t xml:space="preserve">Muh Inayah A.M, Reni Lolotandung, and Irmawati M, ‘Pengaruh Model Pembelajaran PAKEM Terhadap Hasil Belajar IPA Siswa Di Sekolah Dasar’, </w:t>
      </w:r>
      <w:r w:rsidR="002F70A1" w:rsidRPr="002F70A1">
        <w:rPr>
          <w:i/>
          <w:noProof/>
        </w:rPr>
        <w:t>Elementary Journal : Jurnal Pendidikan Guru Sekolah Dasar</w:t>
      </w:r>
      <w:r w:rsidR="002F70A1" w:rsidRPr="002F70A1">
        <w:rPr>
          <w:noProof/>
        </w:rPr>
        <w:t>, 6.1 (2023), 29–38 &lt;https://doi.org/10.47178/elementary.v6i1.2056&gt;.</w:t>
      </w:r>
      <w:r>
        <w:fldChar w:fldCharType="end"/>
      </w:r>
    </w:p>
  </w:footnote>
  <w:footnote w:id="12">
    <w:p w14:paraId="787ED6C3" w14:textId="3AB5BE24" w:rsidR="00E35EC8" w:rsidRDefault="00E35EC8">
      <w:pPr>
        <w:pStyle w:val="FootnoteText"/>
      </w:pPr>
      <w:r>
        <w:rPr>
          <w:rStyle w:val="FootnoteReference"/>
        </w:rPr>
        <w:footnoteRef/>
      </w:r>
      <w:r>
        <w:t xml:space="preserve"> </w:t>
      </w:r>
      <w:r>
        <w:fldChar w:fldCharType="begin" w:fldLock="1"/>
      </w:r>
      <w:r>
        <w:instrText>ADDIN CSL_CITATION {"citationItems":[{"id":"ITEM-1","itemData":{"author":[{"dropping-particle":"","family":"Garate","given":"Jhonny","non-dropping-particle":"","parse-names":false,"suffix":""}],"container-title":"Occupational Medicine","id":"ITEM-1","issue":"4","issued":{"date-parts":[["2017"]]},"page":"130","title":"No Title</w:instrText>
      </w:r>
      <w:r>
        <w:rPr>
          <w:rtl/>
        </w:rPr>
        <w:instrText>سلطنه عمان</w:instrText>
      </w:r>
      <w:r>
        <w:instrText>","type":"article-journal","volume":"53"},"uris":["http://www.mendeley.com/documents/?uuid=35456f2a-5211-4f4c-a781-34bfa264440b"]}],"mendeley":{"formattedCitation":"Jhonny Garate, ‘No Title</w:instrText>
      </w:r>
      <w:r>
        <w:rPr>
          <w:rtl/>
        </w:rPr>
        <w:instrText>سلطنه عمان</w:instrText>
      </w:r>
      <w:r>
        <w:instrText>’, &lt;i&gt;Occupational Medicine&lt;/i&gt;, 53.4 (2017), 130.","plainTextFormattedCitation":"Jhonny Garate, ‘No Title</w:instrText>
      </w:r>
      <w:r>
        <w:rPr>
          <w:rtl/>
        </w:rPr>
        <w:instrText>سلطنه عمان</w:instrText>
      </w:r>
      <w:r>
        <w:instrText>’, Occupational Medicine, 53.4 (2017), 130.","previouslyFormattedCitation":"Jhonny Garate, ‘No Title</w:instrText>
      </w:r>
      <w:r>
        <w:rPr>
          <w:rtl/>
        </w:rPr>
        <w:instrText>سلطنه عمان</w:instrText>
      </w:r>
      <w:r>
        <w:instrText>’, &lt;i&gt;Occupational Medicine&lt;/i&gt;, 53.4 (2017), 130."},"properties":{"noteIndex":12},"schema":"https://github.com/citation-style-language/schema/raw/master/csl-citation.json"}</w:instrText>
      </w:r>
      <w:r>
        <w:fldChar w:fldCharType="separate"/>
      </w:r>
      <w:r w:rsidRPr="00E35EC8">
        <w:rPr>
          <w:noProof/>
        </w:rPr>
        <w:t>Jhonny Garate, ‘No Title</w:t>
      </w:r>
      <w:r w:rsidRPr="00E35EC8">
        <w:rPr>
          <w:noProof/>
          <w:rtl/>
        </w:rPr>
        <w:t>سلطنه عمان</w:t>
      </w:r>
      <w:r w:rsidRPr="00E35EC8">
        <w:rPr>
          <w:noProof/>
        </w:rPr>
        <w:t xml:space="preserve">’, </w:t>
      </w:r>
      <w:r w:rsidRPr="00E35EC8">
        <w:rPr>
          <w:i/>
          <w:noProof/>
        </w:rPr>
        <w:t>Occupational Medicine</w:t>
      </w:r>
      <w:r w:rsidRPr="00E35EC8">
        <w:rPr>
          <w:noProof/>
        </w:rPr>
        <w:t>, 53.4 (2017), 130.</w:t>
      </w:r>
      <w:r>
        <w:fldChar w:fldCharType="end"/>
      </w:r>
    </w:p>
  </w:footnote>
  <w:footnote w:id="13">
    <w:p w14:paraId="7399EEB7" w14:textId="75426092" w:rsidR="00E35EC8" w:rsidRDefault="00E35EC8">
      <w:pPr>
        <w:pStyle w:val="FootnoteText"/>
      </w:pPr>
      <w:r>
        <w:rPr>
          <w:rStyle w:val="FootnoteReference"/>
        </w:rPr>
        <w:footnoteRef/>
      </w:r>
      <w:r>
        <w:t xml:space="preserve"> </w:t>
      </w:r>
      <w:r>
        <w:fldChar w:fldCharType="begin" w:fldLock="1"/>
      </w:r>
      <w:r w:rsidR="00C20210">
        <w:instrText>ADDIN CSL_CITATION {"citationItems":[{"id":"ITEM-1","itemData":{"DOI":"10.1016/j.geosus.2020.05.001","ISSN":"26666839","abstract":"Quality education is one of the pillars in the United Nations 2030 Agenda for Sustainable Development, which aims to ensure inclusive and equitable quality education and promote lifelong learning opportunities for all. This overall goal can be connected to some general trends affecting education in the information age. We argue that education is key to the future quality of human life and the sustainability of the world. Generally, education is being transformed in both formal and informal learning contexts by new digital technologies. Overall, some of these major innovations and how they are changing education can be summarized into the following aspects: 1) our educational aims and objectives; 2) educational ecologies and contexts of learning; 3) the processes of learning; 4) the processes of teaching; and 5) educational governance and policy. Meanwhile, we note some of the potential risks and downsides of these technology trends. From the sustainable perspective, our review points to a great potential for educational reform, but it can only be achieved if we are willing to rethink and even abandon some of our traditional ways of doing things in education.","author":[{"dropping-particle":"","family":"Burbules","given":"Nicholas C.","non-dropping-particle":"","parse-names":false,"suffix":""},{"dropping-particle":"","family":"Fan","given":"Guorui","non-dropping-particle":"","parse-names":false,"suffix":""},{"dropping-particle":"","family":"Repp","given":"Philip","non-dropping-particle":"","parse-names":false,"suffix":""}],"container-title":"Geography and Sustainability","id":"ITEM-1","issue":"2","issued":{"date-parts":[["2020"]]},"page":"93-97","publisher":"Elsevier B.V.","title":"Five trends of education and technology in a sustainable future","type":"article-journal","volume":"1"},"uris":["http://www.mendeley.com/documents/?uuid=875c092c-0bef-4184-823c-e282b3f41a82"]}],"mendeley":{"formattedCitation":"Burbules, Fan, and Repp.","plainTextFormattedCitation":"Burbules, Fan, and Repp.","previouslyFormattedCitation":"Burbules, Fan, and Repp."},"properties":{"noteIndex":13},"schema":"https://github.com/citation-style-language/schema/raw/master/csl-citation.json"}</w:instrText>
      </w:r>
      <w:r>
        <w:fldChar w:fldCharType="separate"/>
      </w:r>
      <w:r w:rsidRPr="00E35EC8">
        <w:rPr>
          <w:noProof/>
        </w:rPr>
        <w:t>Burbules, Fan, and Repp.</w:t>
      </w:r>
      <w:r>
        <w:fldChar w:fldCharType="end"/>
      </w:r>
    </w:p>
  </w:footnote>
  <w:footnote w:id="14">
    <w:p w14:paraId="6DA39CC3" w14:textId="118D0A3D" w:rsidR="00C20210" w:rsidRDefault="00C20210">
      <w:pPr>
        <w:pStyle w:val="FootnoteText"/>
      </w:pPr>
      <w:r>
        <w:rPr>
          <w:rStyle w:val="FootnoteReference"/>
        </w:rPr>
        <w:footnoteRef/>
      </w:r>
      <w:r>
        <w:t xml:space="preserve"> </w:t>
      </w:r>
      <w:r>
        <w:fldChar w:fldCharType="begin" w:fldLock="1"/>
      </w:r>
      <w:r w:rsidR="00DB3721">
        <w:instrText>ADDIN CSL_CITATION {"citationItems":[{"id":"ITEM-1","itemData":{"abstract":"ABTRACT The purpose of this study was to determine the role of literacy activities, obstacles and efforts made by the school in increasing reading interest in elementary school students. This research is a qualitative research. The research subjects were the principal, teachers and fourth grade students of Kutoharjo 02 Elementary School. The technique of collecting data was through interviews, observation and documentation. Based on the results of the research it can be seen that 1) literacy activities play a role in increasing students' reading interest, 2) obstacles in carrying out literacy activities in schools include the lack of infrastructure, the methods applied are less varied and the low discipline of students in the process of habituating literacy activities, and 3 ) efforts made by the school to overcome these obstacles are by providing socialization about literacy activities, adding facilities and holding competition activities as a forum for students to actively participate. Keywords: elementary school students, literacy, reading interest. ABSTRAK","author":[{"dropping-particle":"","family":"Rohim","given":"Cahya Dhina","non-dropping-particle":"","parse-names":false,"suffix":""},{"dropping-particle":"","family":"Rahmawati","given":"Septina","non-dropping-particle":"","parse-names":false,"suffix":""}],"container-title":"Kajian Pendidikan Dan Hasil Penelitian","id":"ITEM-1","issue":"3","issued":{"date-parts":[["2020"]]},"page":"2","title":"Di Sekolah Dasar Negeri","type":"article-journal","volume":"6"},"uris":["http://www.mendeley.com/documents/?uuid=f29c2b7f-4b68-487e-bc12-d189be8518fe"]}],"mendeley":{"formattedCitation":"Cahya Dhina Rohim and Septina Rahmawati, ‘Di Sekolah Dasar Negeri’, &lt;i&gt;Kajian Pendidikan Dan Hasil Penelitian&lt;/i&gt;, 6.3 (2020), 2.","plainTextFormattedCitation":"Cahya Dhina Rohim and Septina Rahmawati, ‘Di Sekolah Dasar Negeri’, Kajian Pendidikan Dan Hasil Penelitian, 6.3 (2020), 2.","previouslyFormattedCitation":"Cahya Dhina Rohim and Septina Rahmawati, ‘Di Sekolah Dasar Negeri’, &lt;i&gt;Kajian Pendidikan Dan Hasil Penelitian&lt;/i&gt;, 6.3 (2020), 2."},"properties":{"noteIndex":14},"schema":"https://github.com/citation-style-language/schema/raw/master/csl-citation.json"}</w:instrText>
      </w:r>
      <w:r>
        <w:fldChar w:fldCharType="separate"/>
      </w:r>
      <w:r w:rsidRPr="00C20210">
        <w:rPr>
          <w:noProof/>
        </w:rPr>
        <w:t xml:space="preserve">Cahya Dhina Rohim and Septina Rahmawati, ‘Di Sekolah Dasar Negeri’, </w:t>
      </w:r>
      <w:r w:rsidRPr="00C20210">
        <w:rPr>
          <w:i/>
          <w:noProof/>
        </w:rPr>
        <w:t>Kajian Pendidikan Dan Hasil Penelitian</w:t>
      </w:r>
      <w:r w:rsidRPr="00C20210">
        <w:rPr>
          <w:noProof/>
        </w:rPr>
        <w:t>, 6.3 (2020), 2.</w:t>
      </w:r>
      <w:r>
        <w:fldChar w:fldCharType="end"/>
      </w:r>
    </w:p>
  </w:footnote>
  <w:footnote w:id="15">
    <w:p w14:paraId="5CF674EE" w14:textId="5BCC2958" w:rsidR="00DB3721" w:rsidRDefault="00DB3721">
      <w:pPr>
        <w:pStyle w:val="FootnoteText"/>
      </w:pPr>
      <w:r>
        <w:rPr>
          <w:rStyle w:val="FootnoteReference"/>
        </w:rPr>
        <w:footnoteRef/>
      </w:r>
      <w:r>
        <w:t xml:space="preserve"> </w:t>
      </w:r>
      <w:r>
        <w:fldChar w:fldCharType="begin" w:fldLock="1"/>
      </w:r>
      <w:r w:rsidR="006C75BB">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Procedures","type":"book"},"uris":["http://www.mendeley.com/documents/?uuid=978da64d-22e7-4957-b4da-b9654e8cae89"]}],"mendeley":{"formattedCitation":"John W. Creswell and J. David Creswell, &lt;i&gt;Mixed Methods Procedures&lt;/i&gt;, &lt;i&gt;Research Defign: Qualitative, Quantitative, and Mixed M Ethods Approaches&lt;/i&gt;, 2018.","plainTextFormattedCitation":"John W. Creswell and J. David Creswell, Mixed Methods Procedures, Research Defign: Qualitative, Quantitative, and Mixed M Ethods Approaches, 2018.","previouslyFormattedCitation":"John W. Creswell and J. David Creswell, &lt;i&gt;Mixed Methods Procedures&lt;/i&gt;, &lt;i&gt;Research Defign: Qualitative, Quantitative, and Mixed M Ethods Approaches&lt;/i&gt;, 2018."},"properties":{"noteIndex":15},"schema":"https://github.com/citation-style-language/schema/raw/master/csl-citation.json"}</w:instrText>
      </w:r>
      <w:r>
        <w:fldChar w:fldCharType="separate"/>
      </w:r>
      <w:r w:rsidRPr="00DB3721">
        <w:rPr>
          <w:noProof/>
        </w:rPr>
        <w:t xml:space="preserve">John W. Creswell and J. David Creswell, </w:t>
      </w:r>
      <w:r w:rsidRPr="00DB3721">
        <w:rPr>
          <w:i/>
          <w:noProof/>
        </w:rPr>
        <w:t>Mixed Methods Procedures</w:t>
      </w:r>
      <w:r w:rsidRPr="00DB3721">
        <w:rPr>
          <w:noProof/>
        </w:rPr>
        <w:t xml:space="preserve">, </w:t>
      </w:r>
      <w:r w:rsidRPr="00DB3721">
        <w:rPr>
          <w:i/>
          <w:noProof/>
        </w:rPr>
        <w:t>Research Defign: Qualitative, Quantitative, and Mixed M Ethods Approaches</w:t>
      </w:r>
      <w:r w:rsidRPr="00DB3721">
        <w:rPr>
          <w:noProof/>
        </w:rPr>
        <w:t>, 2018.</w:t>
      </w:r>
      <w:r>
        <w:fldChar w:fldCharType="end"/>
      </w:r>
    </w:p>
  </w:footnote>
  <w:footnote w:id="16">
    <w:p w14:paraId="3C80F162" w14:textId="7482D0DA" w:rsidR="009809FD" w:rsidRDefault="009809FD">
      <w:pPr>
        <w:pStyle w:val="FootnoteText"/>
      </w:pPr>
      <w:r>
        <w:rPr>
          <w:rStyle w:val="FootnoteReference"/>
        </w:rPr>
        <w:footnoteRef/>
      </w:r>
      <w:r>
        <w:t xml:space="preserve"> </w:t>
      </w:r>
      <w:r>
        <w:fldChar w:fldCharType="begin" w:fldLock="1"/>
      </w:r>
      <w:r w:rsidR="00DB3721">
        <w:instrText>ADDIN CSL_CITATION {"citationItems":[{"id":"ITEM-1","itemData":{"ISBN":"9786237840329","abstract":"Penelitian kualitatif adalah penelitian yang bertujuan memahami realitas sosial, yaitu melihat dunia dari apa adanya, bukan dunia yang seharusnya, maka seorang peneliti kualitatif haruslah orang yang memiliki sifat open minded. Karenanya, melakukan penelitian …","author":[{"dropping-particle":"","family":"Murdiyanto","given":"Eko","non-dropping-particle":"","parse-names":false,"suffix":""}],"container-title":"Bandung: Rosda Karya","id":"ITEM-1","issued":{"date-parts":[["2020"]]},"number-of-pages":"12","title":"Metode Penelitian Kualitatif (Sistematika Penelitian Kualitatif)","type":"book"},"uris":["http://www.mendeley.com/documents/?uuid=f5dc7e00-31f3-4153-b828-509fc68cbbf3"]}],"mendeley":{"formattedCitation":"Eko Murdiyanto, &lt;i&gt;Metode Penelitian Kualitatif (Sistematika Penelitian Kualitatif)&lt;/i&gt;, &lt;i&gt;Bandung: Rosda Karya&lt;/i&gt;, 2020 &lt;http://www.academia.edu/download/35360663/METODE_PENELITIAN_KUALITAIF.docx&gt;.","plainTextFormattedCitation":"Eko Murdiyanto, Metode Penelitian Kualitatif (Sistematika Penelitian Kualitatif), Bandung: Rosda Karya, 2020 .","previouslyFormattedCitation":"Eko Murdiyanto, &lt;i&gt;Metode Penelitian Kualitatif (Sistematika Penelitian Kualitatif)&lt;/i&gt;, &lt;i&gt;Bandung: Rosda Karya&lt;/i&gt;, 2020 &lt;http://www.academia.edu/download/35360663/METODE_PENELITIAN_KUALITAIF.docx&gt;."},"properties":{"noteIndex":16},"schema":"https://github.com/citation-style-language/schema/raw/master/csl-citation.json"}</w:instrText>
      </w:r>
      <w:r>
        <w:fldChar w:fldCharType="separate"/>
      </w:r>
      <w:r w:rsidR="002F70A1" w:rsidRPr="002F70A1">
        <w:rPr>
          <w:noProof/>
        </w:rPr>
        <w:t xml:space="preserve">Eko Murdiyanto, </w:t>
      </w:r>
      <w:r w:rsidR="002F70A1" w:rsidRPr="002F70A1">
        <w:rPr>
          <w:i/>
          <w:noProof/>
        </w:rPr>
        <w:t>Metode Penelitian Kualitatif (Sistematika Penelitian Kualitatif)</w:t>
      </w:r>
      <w:r w:rsidR="002F70A1" w:rsidRPr="002F70A1">
        <w:rPr>
          <w:noProof/>
        </w:rPr>
        <w:t xml:space="preserve">, </w:t>
      </w:r>
      <w:r w:rsidR="002F70A1" w:rsidRPr="002F70A1">
        <w:rPr>
          <w:i/>
          <w:noProof/>
        </w:rPr>
        <w:t>Bandung: Rosda Karya</w:t>
      </w:r>
      <w:r w:rsidR="002F70A1" w:rsidRPr="002F70A1">
        <w:rPr>
          <w:noProof/>
        </w:rPr>
        <w:t>, 2020 &lt;http://www.academia.edu/download/35360663/METODE_PENELITIAN_KUALITAIF.docx&gt;.</w:t>
      </w:r>
      <w:r>
        <w:fldChar w:fldCharType="end"/>
      </w:r>
    </w:p>
  </w:footnote>
  <w:footnote w:id="17">
    <w:p w14:paraId="6D07FDAC" w14:textId="4D060CAA" w:rsidR="006C75BB" w:rsidRDefault="006C75BB">
      <w:pPr>
        <w:pStyle w:val="FootnoteText"/>
      </w:pPr>
      <w:r>
        <w:rPr>
          <w:rStyle w:val="FootnoteReference"/>
        </w:rPr>
        <w:footnoteRef/>
      </w:r>
      <w:r>
        <w:t xml:space="preserve"> </w:t>
      </w:r>
      <w:r>
        <w:fldChar w:fldCharType="begin" w:fldLock="1"/>
      </w:r>
      <w:r w:rsidR="00012177">
        <w:instrText>ADDIN CSL_CITATION {"citationItems":[{"id":"ITEM-1","itemData":{"DOI":"10.3390/educsci10030056","ISSN":"22277102","abstract":"This paper looks at the effects of an intervention, based on fluency oriented reading instruction (FORI), on the motivation for reading among struggling readers in First Class in Irish primary schools. The intervention took place in learning support settings in three primary schools located in urban educationally disadvantaged communities in North Dublin. The study was conducted through a pragmatic lens with research questions framed to shed light on the motivation for reading of students in First Class from disadvantaged backgrounds. A mixed methods design with a concurrent triangulation strategy was employed, facilitating the exploration of multiple research questions using questionnaires and semi‐structured interviews with teachers and parents and conversational interviews and surveys with students. The perspective of reading motivation guiding the study recognised the overlapping influences of teachers, parents and the student himself or herself. Findings, as reported by these research informants, indicate that the FORI intervention had a positive impact on the motivation for reading of struggling readers in First Class. In particular, the intervention was found to decrease students’ perceived difficulty with reading and increase their reading self‐efficacy and orientation towards reading.","author":[{"dropping-particle":"","family":"Mehigan","given":"Gene","non-dropping-particle":"","parse-names":false,"suffix":""}],"container-title":"Education Sciences","id":"ITEM-1","issue":"3","issued":{"date-parts":[["2020"]]},"title":"Effects of fluency oriented instruction on motivation for reading of struggling readers","type":"article-journal","volume":"10"},"uris":["http://www.mendeley.com/documents/?uuid=d0567f2e-a9d8-40ad-9357-284926ce486f"]}],"mendeley":{"formattedCitation":"Mehigan.","plainTextFormattedCitation":"Mehigan.","previouslyFormattedCitation":"Mehigan."},"properties":{"noteIndex":17},"schema":"https://github.com/citation-style-language/schema/raw/master/csl-citation.json"}</w:instrText>
      </w:r>
      <w:r>
        <w:fldChar w:fldCharType="separate"/>
      </w:r>
      <w:r w:rsidRPr="006C75BB">
        <w:rPr>
          <w:noProof/>
        </w:rPr>
        <w:t>Mehigan.</w:t>
      </w:r>
      <w:r>
        <w:fldChar w:fldCharType="end"/>
      </w:r>
    </w:p>
  </w:footnote>
  <w:footnote w:id="18">
    <w:p w14:paraId="38C4202F" w14:textId="73B23A9C" w:rsidR="00012177" w:rsidRDefault="00012177">
      <w:pPr>
        <w:pStyle w:val="FootnoteText"/>
      </w:pPr>
      <w:r>
        <w:rPr>
          <w:rStyle w:val="FootnoteReference"/>
        </w:rPr>
        <w:footnoteRef/>
      </w:r>
      <w:r>
        <w:t xml:space="preserve"> </w:t>
      </w:r>
      <w:r>
        <w:fldChar w:fldCharType="begin" w:fldLock="1"/>
      </w:r>
      <w:r w:rsidR="00B8572B">
        <w:instrText>ADDIN CSL_CITATION {"citationItems":[{"id":"ITEM-1","itemData":{"DOI":"10.1080/1359866052000341142","ISSN":"1359-866X","abstract":" Reading literacy and reading interest was examined in four primary schools in Papua New Guinea: in an international, suburban, settlement and village school. In this paper we present a summary of findings located within a local context and examine the implications as viewed through two lenses. From an 'educational for equality' perspective, the findings suggest a critical need to re-evaluate the use of national testing to select children for further education and address the serious shortage of reading books in school libraries. From an 'education for life' perspective, the findings indicate a continuing need for community-based actions together with innovative teacher education programs aimed at developing ways of strengthening the connections between home and school.","author":[{"dropping-particle":"","family":"Hopkins","given":"Sarah","non-dropping-particle":"","parse-names":false,"suffix":""},{"dropping-particle":"","family":"Ogle","given":"Graham","non-dropping-particle":"","parse-names":false,"suffix":""},{"dropping-particle":"","family":"Kaleveld","given":"Lisette","non-dropping-particle":"","parse-names":false,"suffix":""},{"dropping-particle":"","family":"Maurice","given":"John","non-dropping-particle":"","parse-names":false,"suffix":""},{"dropping-particle":"","family":"Keria","given":"Betty","non-dropping-particle":"","parse-names":false,"suffix":""},{"dropping-particle":"","family":"Louden","given":"William","non-dropping-particle":"","parse-names":false,"suffix":""},{"dropping-particle":"","family":"Rohl","given":"Mary","non-dropping-particle":"","parse-names":false,"suffix":""}],"container-title":"Asia-Pacific Journal of Teacher Education","id":"ITEM-1","issue":"1","issued":{"date-parts":[["2005"]]},"page":"77-96","title":"‘Education for equality’ and ‘education for life’: examining reading literacy and reading interest in Papua New Guinea primary schools1","type":"article-journal","volume":"33"},"uris":["http://www.mendeley.com/documents/?uuid=900989f0-25ba-44f9-b617-c6ac9b43ab92"]}],"mendeley":{"formattedCitation":"Sarah Hopkins and others, ‘“Education for Equality” and “Education for Life”: Examining Reading Literacy and Reading Interest in Papua New Guinea Primary Schools1’, &lt;i&gt;Asia-Pacific Journal of Teacher Education&lt;/i&gt;, 33.1 (2005), 77–96 &lt;https://doi.org/10.1080/1359866052000341142&gt;.","plainTextFormattedCitation":"Sarah Hopkins and others, ‘“Education for Equality” and “Education for Life”: Examining Reading Literacy and Reading Interest in Papua New Guinea Primary Schools1’, Asia-Pacific Journal of Teacher Education, 33.1 (2005), 77–96 .","previouslyFormattedCitation":"Sarah Hopkins and others, ‘“Education for Equality” and “Education for Life”: Examining Reading Literacy and Reading Interest in Papua New Guinea Primary Schools1’, &lt;i&gt;Asia-Pacific Journal of Teacher Education&lt;/i&gt;, 33.1 (2005), 77–96 &lt;https://doi.org/10.1080/1359866052000341142&gt;."},"properties":{"noteIndex":18},"schema":"https://github.com/citation-style-language/schema/raw/master/csl-citation.json"}</w:instrText>
      </w:r>
      <w:r>
        <w:fldChar w:fldCharType="separate"/>
      </w:r>
      <w:r w:rsidR="002F70A1" w:rsidRPr="002F70A1">
        <w:rPr>
          <w:noProof/>
        </w:rPr>
        <w:t xml:space="preserve">Sarah Hopkins and others, ‘“Education for Equality” and “Education for Life”: Examining Reading Literacy and Reading Interest in Papua New Guinea Primary Schools1’, </w:t>
      </w:r>
      <w:r w:rsidR="002F70A1" w:rsidRPr="002F70A1">
        <w:rPr>
          <w:i/>
          <w:noProof/>
        </w:rPr>
        <w:t>Asia-Pacific Journal of Teacher Education</w:t>
      </w:r>
      <w:r w:rsidR="002F70A1" w:rsidRPr="002F70A1">
        <w:rPr>
          <w:noProof/>
        </w:rPr>
        <w:t>, 33.1 (2005), 77–96 &lt;https://doi.org/10.1080/1359866052000341142&gt;.</w:t>
      </w:r>
      <w:r>
        <w:fldChar w:fldCharType="end"/>
      </w:r>
    </w:p>
  </w:footnote>
  <w:footnote w:id="19">
    <w:p w14:paraId="0B76468A" w14:textId="46CB5070" w:rsidR="00B8572B" w:rsidRDefault="00B8572B">
      <w:pPr>
        <w:pStyle w:val="FootnoteText"/>
      </w:pPr>
      <w:r>
        <w:rPr>
          <w:rStyle w:val="FootnoteReference"/>
        </w:rPr>
        <w:footnoteRef/>
      </w:r>
      <w:r>
        <w:t xml:space="preserve"> </w:t>
      </w:r>
      <w:r>
        <w:fldChar w:fldCharType="begin" w:fldLock="1"/>
      </w:r>
      <w:r w:rsidR="002F70A1">
        <w:instrText>ADDIN CSL_CITATION {"citationItems":[{"id":"ITEM-1","itemData":{"DOI":"10.1177/21582440211069392","ISSN":"21582440","abstract":"Despite a high primary school enrollment in India, the overall learning levels have been low, and the dropout level in secondary school and beyond has been high. One reason for low learning levels and high drop-out rates is the student’s lack of motivation to learn in the classroom. We suggest that curiosity may be a useful tool to improve student motivation. We look at some important variables that have been found to affect curiosity in the classroom: self-determination needs, information relevance, coherence, concreteness, ease of comprehension, fantasy, belief about interest malleability, and information gap. Finally, we suggest ways to incorporate them in the classroom to improve student motivation.","author":[{"dropping-particle":"","family":"Singh","given":"Aditya","non-dropping-particle":"","parse-names":false,"suffix":""},{"dropping-particle":"","family":"Manjaly","given":"Jaison A.","non-dropping-particle":"","parse-names":false,"suffix":""}],"container-title":"SAGE Open","id":"ITEM-1","issue":"1","issued":{"date-parts":[["2022"]]},"title":"Using Curiosity to Improve Learning Outcomes in Schools","type":"article-journal","volume":"12"},"uris":["http://www.mendeley.com/documents/?uuid=759f821e-4fd8-4e45-9a37-f763427fd7e6"]}],"mendeley":{"formattedCitation":"Aditya Singh and Jaison A. Manjaly, ‘Using Curiosity to Improve Learning Outcomes in Schools’, &lt;i&gt;SAGE Open&lt;/i&gt;, 12.1 (2022) &lt;https://doi.org/10.1177/21582440211069392&gt;.","plainTextFormattedCitation":"Aditya Singh and Jaison A. Manjaly, ‘Using Curiosity to Improve Learning Outcomes in Schools’, SAGE Open, 12.1 (2022) .","previouslyFormattedCitation":"Aditya Singh and Jaison A. Manjaly, ‘Using Curiosity to Improve Learning Outcomes in Schools’, &lt;i&gt;SAGE Open&lt;/i&gt;, 12.1 (2022) &lt;https://doi.org/10.1177/21582440211069392&gt;."},"properties":{"noteIndex":19},"schema":"https://github.com/citation-style-language/schema/raw/master/csl-citation.json"}</w:instrText>
      </w:r>
      <w:r>
        <w:fldChar w:fldCharType="separate"/>
      </w:r>
      <w:r w:rsidR="002F70A1" w:rsidRPr="002F70A1">
        <w:rPr>
          <w:noProof/>
        </w:rPr>
        <w:t xml:space="preserve">Aditya Singh and Jaison A. Manjaly, ‘Using Curiosity to Improve Learning Outcomes in Schools’, </w:t>
      </w:r>
      <w:r w:rsidR="002F70A1" w:rsidRPr="002F70A1">
        <w:rPr>
          <w:i/>
          <w:noProof/>
        </w:rPr>
        <w:t>SAGE Open</w:t>
      </w:r>
      <w:r w:rsidR="002F70A1" w:rsidRPr="002F70A1">
        <w:rPr>
          <w:noProof/>
        </w:rPr>
        <w:t>, 12.1 (2022) &lt;https://doi.org/10.1177/21582440211069392&gt;.</w:t>
      </w:r>
      <w:r>
        <w:fldChar w:fldCharType="end"/>
      </w:r>
    </w:p>
  </w:footnote>
  <w:footnote w:id="20">
    <w:p w14:paraId="55D14F5D" w14:textId="1DFC5B7A" w:rsidR="002F70A1" w:rsidRDefault="002F70A1">
      <w:pPr>
        <w:pStyle w:val="FootnoteText"/>
      </w:pPr>
      <w:r>
        <w:rPr>
          <w:rStyle w:val="FootnoteReference"/>
        </w:rPr>
        <w:footnoteRef/>
      </w:r>
      <w:r>
        <w:t xml:space="preserve"> </w:t>
      </w:r>
      <w:r>
        <w:fldChar w:fldCharType="begin" w:fldLock="1"/>
      </w:r>
      <w:r>
        <w:instrText>ADDIN CSL_CITATION {"citationItems":[{"id":"ITEM-1","itemData":{"author":[{"dropping-particle":"","family":"Ragelienė Supervisor","given":"Tija","non-dropping-particle":"","parse-names":false,"suffix":""},{"dropping-particle":"","family":"Grønhøj Co-Supervisor","given":"Alice","non-dropping-particle":"","parse-names":false,"suffix":""},{"dropping-particle":"","family":"Aschemann-Witzel Programme","given":"Jessica","non-dropping-particle":"","parse-names":false,"suffix":""}],"id":"ITEM-1","issued":{"date-parts":[["2021"]]},"title":"Peer, Sibling and Social Media Influence on Preadolescent Children's Healthy Eating Behaviour","type":"article-journal"},"uris":["http://www.mendeley.com/documents/?uuid=6aa265f1-f7bc-4b71-ab9c-8ef7a15cd3d0"]}],"mendeley":{"formattedCitation":"Tija Ragelienė Supervisor, Alice Grønhøj Co-Supervisor, and Jessica Aschemann-Witzel Programme, ‘Peer, Sibling and Social Media Influence on Preadolescent Children’s Healthy Eating Behaviour’, 2021.","plainTextFormattedCitation":"Tija Ragelienė Supervisor, Alice Grønhøj Co-Supervisor, and Jessica Aschemann-Witzel Programme, ‘Peer, Sibling and Social Media Influence on Preadolescent Children’s Healthy Eating Behaviour’, 2021.","previouslyFormattedCitation":"Tija Ragelienė Supervisor, Alice Grønhøj Co-Supervisor, and Jessica Aschemann-Witzel Programme, ‘Peer, Sibling and Social Media Influence on Preadolescent Children’s Healthy Eating Behaviour’, 2021."},"properties":{"noteIndex":20},"schema":"https://github.com/citation-style-language/schema/raw/master/csl-citation.json"}</w:instrText>
      </w:r>
      <w:r>
        <w:fldChar w:fldCharType="separate"/>
      </w:r>
      <w:r w:rsidRPr="002F70A1">
        <w:rPr>
          <w:noProof/>
        </w:rPr>
        <w:t>Tija Ragelienė Supervisor, Alice Grønhøj Co-Supervisor, and Jessica Aschemann-Witzel Programme, ‘Peer, Sibling and Social Media Influence on Preadolescent Children’s Healthy Eating Behaviour’, 2021.</w:t>
      </w:r>
      <w:r>
        <w:fldChar w:fldCharType="end"/>
      </w:r>
    </w:p>
  </w:footnote>
  <w:footnote w:id="21">
    <w:p w14:paraId="2AF25FAC" w14:textId="1FA44671" w:rsidR="002F70A1" w:rsidRDefault="002F70A1">
      <w:pPr>
        <w:pStyle w:val="FootnoteText"/>
      </w:pPr>
      <w:r>
        <w:rPr>
          <w:rStyle w:val="FootnoteReference"/>
        </w:rPr>
        <w:footnoteRef/>
      </w:r>
      <w:r>
        <w:t xml:space="preserve"> </w:t>
      </w:r>
      <w:r>
        <w:fldChar w:fldCharType="begin" w:fldLock="1"/>
      </w:r>
      <w:r>
        <w:instrText>ADDIN CSL_CITATION {"citationItems":[{"id":"ITEM-1","itemData":{"DOI":"10.1007/s40617-020-00431-0","ISSN":"1998-1929","abstract":"Parents managing their home environments during government-ordered stay-at-home periods are likely to need new skills for occupying their children’s time with activities that promote health and emotional well-being. Moreover, parents and children know they need help managing these circumstances. Perhaps for the first time, behavior analysts hold the reinforcers for increasing parental involvement in effective child-rearing practices. In fact, behavior analysts can help parents enlist their children in managing the household by framing their behavior in terms of hidden superpowers. In the current article, we argue that behavior analysts have a range of tools to offer that are grounded in evidence-based principles, strategies, and kernels—or essential units of behavioral influence. When combined into scheduled daily practices and invoked by children taught to see their use of the tools as nothing short of heroic, these practices function as “vaccinations” that inoculate families against toxic and unsafe behaviors.","author":[{"dropping-particle":"","family":"Szabo","given":"Thomas G.","non-dropping-particle":"","parse-names":false,"suffix":""},{"dropping-particle":"","family":"Richling","given":"Sarah","non-dropping-particle":"","parse-names":false,"suffix":""},{"dropping-particle":"","family":"Embry","given":"Dennis D.","non-dropping-particle":"","parse-names":false,"suffix":""},{"dropping-particle":"","family":"Biglan","given":"Anthony","non-dropping-particle":"","parse-names":false,"suffix":""},{"dropping-particle":"","family":"Wilson","given":"Kelly G.","non-dropping-particle":"","parse-names":false,"suffix":""}],"container-title":"Behavior Analysis in Practice","id":"ITEM-1","issue":"3","issued":{"date-parts":[["2020"]]},"page":"568-576","publisher":"Behavior Analysis in Practice","title":"From Helpless to Hero: Promoting Values-Based Behavior and Positive Family Interaction in the Midst of COVID-19","type":"article-journal","volume":"13"},"uris":["http://www.mendeley.com/documents/?uuid=481e0df3-b208-47f0-b3fd-919ab4e43ffc"]}],"mendeley":{"formattedCitation":"Thomas G. Szabo and others, ‘From Helpless to Hero: Promoting Values-Based Behavior and Positive Family Interaction in the Midst of COVID-19’, &lt;i&gt;Behavior Analysis in Practice&lt;/i&gt;, 13.3 (2020), 568–76 &lt;https://doi.org/10.1007/s40617-020-00431-0&gt;.","plainTextFormattedCitation":"Thomas G. Szabo and others, ‘From Helpless to Hero: Promoting Values-Based Behavior and Positive Family Interaction in the Midst of COVID-19’, Behavior Analysis in Practice, 13.3 (2020), 568–76 ."},"properties":{"noteIndex":21},"schema":"https://github.com/citation-style-language/schema/raw/master/csl-citation.json"}</w:instrText>
      </w:r>
      <w:r>
        <w:fldChar w:fldCharType="separate"/>
      </w:r>
      <w:r w:rsidRPr="002F70A1">
        <w:rPr>
          <w:noProof/>
        </w:rPr>
        <w:t xml:space="preserve">Thomas G. Szabo and others, ‘From Helpless to Hero: Promoting Values-Based Behavior and Positive Family Interaction in the Midst of COVID-19’, </w:t>
      </w:r>
      <w:r w:rsidRPr="002F70A1">
        <w:rPr>
          <w:i/>
          <w:noProof/>
        </w:rPr>
        <w:t>Behavior Analysis in Practice</w:t>
      </w:r>
      <w:r w:rsidRPr="002F70A1">
        <w:rPr>
          <w:noProof/>
        </w:rPr>
        <w:t>, 13.3 (2020), 568–76 &lt;https://doi.org/10.1007/s40617-020-00431-0&gt;.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9924" w14:textId="5152DA60" w:rsidR="00E04801" w:rsidRDefault="00E04801">
    <w:pPr>
      <w:pStyle w:val="Header"/>
    </w:pPr>
    <w:r>
      <w:rPr>
        <w:noProof/>
      </w:rPr>
      <w:pict w14:anchorId="33514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0.95pt;height:75.1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7E1D" w14:textId="17D4B3DD" w:rsidR="00FF5DDB" w:rsidRPr="008923B2" w:rsidRDefault="00E04801" w:rsidP="008923B2">
    <w:pPr>
      <w:pStyle w:val="Header"/>
      <w:ind w:left="-1134"/>
    </w:pPr>
    <w:r>
      <w:rPr>
        <w:noProof/>
      </w:rPr>
      <w:pict w14:anchorId="37E99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0.95pt;height:75.1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EA3C" w14:textId="431978F0" w:rsidR="00E2642E" w:rsidRDefault="00E04801" w:rsidP="00E2642E">
    <w:pPr>
      <w:spacing w:before="89"/>
      <w:ind w:left="2989"/>
      <w:rPr>
        <w:b/>
        <w:color w:val="76923B"/>
        <w:w w:val="95"/>
        <w:sz w:val="16"/>
      </w:rPr>
    </w:pPr>
    <w:r>
      <w:rPr>
        <w:noProof/>
      </w:rPr>
      <w:pict w14:anchorId="11429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0.95pt;height:75.1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p w14:paraId="10C3AEDB" w14:textId="77777777" w:rsidR="00E2642E" w:rsidRDefault="00E2642E" w:rsidP="00E2642E">
    <w:pPr>
      <w:spacing w:before="89"/>
      <w:ind w:left="2989"/>
      <w:rPr>
        <w:b/>
        <w:color w:val="76923B"/>
        <w:w w:val="95"/>
        <w:sz w:val="16"/>
      </w:rPr>
    </w:pPr>
  </w:p>
  <w:p w14:paraId="3E17BDBB" w14:textId="634A72B1" w:rsidR="00074D70" w:rsidRPr="00996A98" w:rsidRDefault="00E2642E" w:rsidP="00074D70">
    <w:pPr>
      <w:ind w:left="3600"/>
      <w:rPr>
        <w:rFonts w:ascii="Palatino Linotype" w:hAnsi="Palatino Linotype"/>
        <w:b/>
        <w:w w:val="95"/>
        <w:sz w:val="18"/>
        <w:szCs w:val="18"/>
      </w:rPr>
    </w:pPr>
    <w:r>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r>
    <w:r w:rsidRPr="000A7F1C">
      <w:rPr>
        <w:rFonts w:ascii="Palatino Linotype" w:hAnsi="Palatino Linotype"/>
        <w:b/>
        <w:color w:val="000000" w:themeColor="text1"/>
        <w:w w:val="95"/>
        <w:sz w:val="16"/>
      </w:rPr>
      <w:tab/>
      <w:t xml:space="preserve">                 </w:t>
    </w:r>
  </w:p>
  <w:p w14:paraId="21E93214" w14:textId="3A1ECDF6" w:rsidR="008C0DD5" w:rsidRPr="00E2642E" w:rsidRDefault="008C0DD5" w:rsidP="00E2642E">
    <w:pPr>
      <w:ind w:left="3828"/>
      <w:jc w:val="right"/>
      <w:rPr>
        <w:rFonts w:ascii="Palatino Linotype" w:hAnsi="Palatino Linotype"/>
        <w:b/>
        <w:color w:val="76923B"/>
        <w:w w:val="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D9C"/>
    <w:multiLevelType w:val="hybridMultilevel"/>
    <w:tmpl w:val="F78419AC"/>
    <w:lvl w:ilvl="0" w:tplc="20689D6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4AB0B1D6">
      <w:numFmt w:val="bullet"/>
      <w:lvlText w:val="•"/>
      <w:lvlJc w:val="left"/>
      <w:pPr>
        <w:ind w:left="1736" w:hanging="428"/>
      </w:pPr>
      <w:rPr>
        <w:rFonts w:hint="default"/>
        <w:lang w:val="en-US" w:eastAsia="en-US" w:bidi="ar-SA"/>
      </w:rPr>
    </w:lvl>
    <w:lvl w:ilvl="2" w:tplc="E3CCB5FE">
      <w:numFmt w:val="bullet"/>
      <w:lvlText w:val="•"/>
      <w:lvlJc w:val="left"/>
      <w:pPr>
        <w:ind w:left="2593" w:hanging="428"/>
      </w:pPr>
      <w:rPr>
        <w:rFonts w:hint="default"/>
        <w:lang w:val="en-US" w:eastAsia="en-US" w:bidi="ar-SA"/>
      </w:rPr>
    </w:lvl>
    <w:lvl w:ilvl="3" w:tplc="43601E6A">
      <w:numFmt w:val="bullet"/>
      <w:lvlText w:val="•"/>
      <w:lvlJc w:val="left"/>
      <w:pPr>
        <w:ind w:left="3449" w:hanging="428"/>
      </w:pPr>
      <w:rPr>
        <w:rFonts w:hint="default"/>
        <w:lang w:val="en-US" w:eastAsia="en-US" w:bidi="ar-SA"/>
      </w:rPr>
    </w:lvl>
    <w:lvl w:ilvl="4" w:tplc="1F265FD0">
      <w:numFmt w:val="bullet"/>
      <w:lvlText w:val="•"/>
      <w:lvlJc w:val="left"/>
      <w:pPr>
        <w:ind w:left="4306" w:hanging="428"/>
      </w:pPr>
      <w:rPr>
        <w:rFonts w:hint="default"/>
        <w:lang w:val="en-US" w:eastAsia="en-US" w:bidi="ar-SA"/>
      </w:rPr>
    </w:lvl>
    <w:lvl w:ilvl="5" w:tplc="29E0D21C">
      <w:numFmt w:val="bullet"/>
      <w:lvlText w:val="•"/>
      <w:lvlJc w:val="left"/>
      <w:pPr>
        <w:ind w:left="5163" w:hanging="428"/>
      </w:pPr>
      <w:rPr>
        <w:rFonts w:hint="default"/>
        <w:lang w:val="en-US" w:eastAsia="en-US" w:bidi="ar-SA"/>
      </w:rPr>
    </w:lvl>
    <w:lvl w:ilvl="6" w:tplc="0C52E300">
      <w:numFmt w:val="bullet"/>
      <w:lvlText w:val="•"/>
      <w:lvlJc w:val="left"/>
      <w:pPr>
        <w:ind w:left="6019" w:hanging="428"/>
      </w:pPr>
      <w:rPr>
        <w:rFonts w:hint="default"/>
        <w:lang w:val="en-US" w:eastAsia="en-US" w:bidi="ar-SA"/>
      </w:rPr>
    </w:lvl>
    <w:lvl w:ilvl="7" w:tplc="17080CD2">
      <w:numFmt w:val="bullet"/>
      <w:lvlText w:val="•"/>
      <w:lvlJc w:val="left"/>
      <w:pPr>
        <w:ind w:left="6876" w:hanging="428"/>
      </w:pPr>
      <w:rPr>
        <w:rFonts w:hint="default"/>
        <w:lang w:val="en-US" w:eastAsia="en-US" w:bidi="ar-SA"/>
      </w:rPr>
    </w:lvl>
    <w:lvl w:ilvl="8" w:tplc="4072E178">
      <w:numFmt w:val="bullet"/>
      <w:lvlText w:val="•"/>
      <w:lvlJc w:val="left"/>
      <w:pPr>
        <w:ind w:left="7733" w:hanging="428"/>
      </w:pPr>
      <w:rPr>
        <w:rFonts w:hint="default"/>
        <w:lang w:val="en-US" w:eastAsia="en-US" w:bidi="ar-SA"/>
      </w:rPr>
    </w:lvl>
  </w:abstractNum>
  <w:abstractNum w:abstractNumId="1" w15:restartNumberingAfterBreak="0">
    <w:nsid w:val="06D53F9E"/>
    <w:multiLevelType w:val="multilevel"/>
    <w:tmpl w:val="C0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07361"/>
    <w:multiLevelType w:val="hybridMultilevel"/>
    <w:tmpl w:val="33B86A70"/>
    <w:lvl w:ilvl="0" w:tplc="75745D14">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 w15:restartNumberingAfterBreak="0">
    <w:nsid w:val="0B821E61"/>
    <w:multiLevelType w:val="hybridMultilevel"/>
    <w:tmpl w:val="3B54825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C84461D"/>
    <w:multiLevelType w:val="multilevel"/>
    <w:tmpl w:val="2936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304120"/>
    <w:multiLevelType w:val="multilevel"/>
    <w:tmpl w:val="6CEAEA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E80F08"/>
    <w:multiLevelType w:val="hybridMultilevel"/>
    <w:tmpl w:val="9F40C2CA"/>
    <w:lvl w:ilvl="0" w:tplc="4B14C3E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506A8ADA">
      <w:numFmt w:val="bullet"/>
      <w:lvlText w:val="•"/>
      <w:lvlJc w:val="left"/>
      <w:pPr>
        <w:ind w:left="1736" w:hanging="428"/>
      </w:pPr>
      <w:rPr>
        <w:rFonts w:hint="default"/>
        <w:lang w:val="en-US" w:eastAsia="en-US" w:bidi="ar-SA"/>
      </w:rPr>
    </w:lvl>
    <w:lvl w:ilvl="2" w:tplc="6D6E8178">
      <w:numFmt w:val="bullet"/>
      <w:lvlText w:val="•"/>
      <w:lvlJc w:val="left"/>
      <w:pPr>
        <w:ind w:left="2593" w:hanging="428"/>
      </w:pPr>
      <w:rPr>
        <w:rFonts w:hint="default"/>
        <w:lang w:val="en-US" w:eastAsia="en-US" w:bidi="ar-SA"/>
      </w:rPr>
    </w:lvl>
    <w:lvl w:ilvl="3" w:tplc="47A88470">
      <w:numFmt w:val="bullet"/>
      <w:lvlText w:val="•"/>
      <w:lvlJc w:val="left"/>
      <w:pPr>
        <w:ind w:left="3449" w:hanging="428"/>
      </w:pPr>
      <w:rPr>
        <w:rFonts w:hint="default"/>
        <w:lang w:val="en-US" w:eastAsia="en-US" w:bidi="ar-SA"/>
      </w:rPr>
    </w:lvl>
    <w:lvl w:ilvl="4" w:tplc="4E0A4E14">
      <w:numFmt w:val="bullet"/>
      <w:lvlText w:val="•"/>
      <w:lvlJc w:val="left"/>
      <w:pPr>
        <w:ind w:left="4306" w:hanging="428"/>
      </w:pPr>
      <w:rPr>
        <w:rFonts w:hint="default"/>
        <w:lang w:val="en-US" w:eastAsia="en-US" w:bidi="ar-SA"/>
      </w:rPr>
    </w:lvl>
    <w:lvl w:ilvl="5" w:tplc="D7B48D1C">
      <w:numFmt w:val="bullet"/>
      <w:lvlText w:val="•"/>
      <w:lvlJc w:val="left"/>
      <w:pPr>
        <w:ind w:left="5163" w:hanging="428"/>
      </w:pPr>
      <w:rPr>
        <w:rFonts w:hint="default"/>
        <w:lang w:val="en-US" w:eastAsia="en-US" w:bidi="ar-SA"/>
      </w:rPr>
    </w:lvl>
    <w:lvl w:ilvl="6" w:tplc="D4348D8C">
      <w:numFmt w:val="bullet"/>
      <w:lvlText w:val="•"/>
      <w:lvlJc w:val="left"/>
      <w:pPr>
        <w:ind w:left="6019" w:hanging="428"/>
      </w:pPr>
      <w:rPr>
        <w:rFonts w:hint="default"/>
        <w:lang w:val="en-US" w:eastAsia="en-US" w:bidi="ar-SA"/>
      </w:rPr>
    </w:lvl>
    <w:lvl w:ilvl="7" w:tplc="A59A98F2">
      <w:numFmt w:val="bullet"/>
      <w:lvlText w:val="•"/>
      <w:lvlJc w:val="left"/>
      <w:pPr>
        <w:ind w:left="6876" w:hanging="428"/>
      </w:pPr>
      <w:rPr>
        <w:rFonts w:hint="default"/>
        <w:lang w:val="en-US" w:eastAsia="en-US" w:bidi="ar-SA"/>
      </w:rPr>
    </w:lvl>
    <w:lvl w:ilvl="8" w:tplc="FEE6684E">
      <w:numFmt w:val="bullet"/>
      <w:lvlText w:val="•"/>
      <w:lvlJc w:val="left"/>
      <w:pPr>
        <w:ind w:left="7733" w:hanging="428"/>
      </w:pPr>
      <w:rPr>
        <w:rFonts w:hint="default"/>
        <w:lang w:val="en-US" w:eastAsia="en-US" w:bidi="ar-SA"/>
      </w:rPr>
    </w:lvl>
  </w:abstractNum>
  <w:abstractNum w:abstractNumId="7" w15:restartNumberingAfterBreak="0">
    <w:nsid w:val="1A794C38"/>
    <w:multiLevelType w:val="multilevel"/>
    <w:tmpl w:val="A9465F10"/>
    <w:lvl w:ilvl="0">
      <w:start w:val="1"/>
      <w:numFmt w:val="bullet"/>
      <w:lvlText w:val="●"/>
      <w:lvlJc w:val="left"/>
      <w:pPr>
        <w:ind w:left="426" w:hanging="360"/>
      </w:pPr>
      <w:rPr>
        <w:rFonts w:ascii="Noto Sans Symbols" w:eastAsia="Noto Sans Symbols" w:hAnsi="Noto Sans Symbols" w:cs="Noto Sans Symbols"/>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8" w15:restartNumberingAfterBreak="0">
    <w:nsid w:val="25E86D86"/>
    <w:multiLevelType w:val="hybridMultilevel"/>
    <w:tmpl w:val="37C84BA2"/>
    <w:lvl w:ilvl="0" w:tplc="08748802">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A984D7B"/>
    <w:multiLevelType w:val="hybridMultilevel"/>
    <w:tmpl w:val="4298131C"/>
    <w:lvl w:ilvl="0" w:tplc="665082B0">
      <w:start w:val="2"/>
      <w:numFmt w:val="decimal"/>
      <w:lvlText w:val="%1."/>
      <w:lvlJc w:val="left"/>
      <w:pPr>
        <w:ind w:left="560" w:hanging="240"/>
      </w:pPr>
      <w:rPr>
        <w:rFonts w:ascii="Palatino Linotype" w:eastAsia="Palatino Linotype" w:hAnsi="Palatino Linotype" w:cs="Palatino Linotype" w:hint="default"/>
        <w:b/>
        <w:bCs/>
        <w:w w:val="100"/>
        <w:sz w:val="24"/>
        <w:szCs w:val="24"/>
        <w:lang w:val="en-US" w:eastAsia="en-US" w:bidi="ar-SA"/>
      </w:rPr>
    </w:lvl>
    <w:lvl w:ilvl="1" w:tplc="3DA2FA50">
      <w:start w:val="1"/>
      <w:numFmt w:val="decimal"/>
      <w:lvlText w:val="%2."/>
      <w:lvlJc w:val="left"/>
      <w:pPr>
        <w:ind w:left="889" w:hanging="428"/>
      </w:pPr>
      <w:rPr>
        <w:rFonts w:ascii="Cambria" w:eastAsia="Cambria" w:hAnsi="Cambria" w:cs="Cambria" w:hint="default"/>
        <w:w w:val="98"/>
        <w:sz w:val="24"/>
        <w:szCs w:val="24"/>
        <w:lang w:val="en-US" w:eastAsia="en-US" w:bidi="ar-SA"/>
      </w:rPr>
    </w:lvl>
    <w:lvl w:ilvl="2" w:tplc="749C28BC">
      <w:numFmt w:val="bullet"/>
      <w:lvlText w:val="•"/>
      <w:lvlJc w:val="left"/>
      <w:pPr>
        <w:ind w:left="1831" w:hanging="428"/>
      </w:pPr>
      <w:rPr>
        <w:rFonts w:hint="default"/>
        <w:lang w:val="en-US" w:eastAsia="en-US" w:bidi="ar-SA"/>
      </w:rPr>
    </w:lvl>
    <w:lvl w:ilvl="3" w:tplc="15D85C0A">
      <w:numFmt w:val="bullet"/>
      <w:lvlText w:val="•"/>
      <w:lvlJc w:val="left"/>
      <w:pPr>
        <w:ind w:left="2783" w:hanging="428"/>
      </w:pPr>
      <w:rPr>
        <w:rFonts w:hint="default"/>
        <w:lang w:val="en-US" w:eastAsia="en-US" w:bidi="ar-SA"/>
      </w:rPr>
    </w:lvl>
    <w:lvl w:ilvl="4" w:tplc="3D8A683E">
      <w:numFmt w:val="bullet"/>
      <w:lvlText w:val="•"/>
      <w:lvlJc w:val="left"/>
      <w:pPr>
        <w:ind w:left="3735" w:hanging="428"/>
      </w:pPr>
      <w:rPr>
        <w:rFonts w:hint="default"/>
        <w:lang w:val="en-US" w:eastAsia="en-US" w:bidi="ar-SA"/>
      </w:rPr>
    </w:lvl>
    <w:lvl w:ilvl="5" w:tplc="B1F8F036">
      <w:numFmt w:val="bullet"/>
      <w:lvlText w:val="•"/>
      <w:lvlJc w:val="left"/>
      <w:pPr>
        <w:ind w:left="4687" w:hanging="428"/>
      </w:pPr>
      <w:rPr>
        <w:rFonts w:hint="default"/>
        <w:lang w:val="en-US" w:eastAsia="en-US" w:bidi="ar-SA"/>
      </w:rPr>
    </w:lvl>
    <w:lvl w:ilvl="6" w:tplc="D6A89610">
      <w:numFmt w:val="bullet"/>
      <w:lvlText w:val="•"/>
      <w:lvlJc w:val="left"/>
      <w:pPr>
        <w:ind w:left="5639" w:hanging="428"/>
      </w:pPr>
      <w:rPr>
        <w:rFonts w:hint="default"/>
        <w:lang w:val="en-US" w:eastAsia="en-US" w:bidi="ar-SA"/>
      </w:rPr>
    </w:lvl>
    <w:lvl w:ilvl="7" w:tplc="83920F24">
      <w:numFmt w:val="bullet"/>
      <w:lvlText w:val="•"/>
      <w:lvlJc w:val="left"/>
      <w:pPr>
        <w:ind w:left="6590" w:hanging="428"/>
      </w:pPr>
      <w:rPr>
        <w:rFonts w:hint="default"/>
        <w:lang w:val="en-US" w:eastAsia="en-US" w:bidi="ar-SA"/>
      </w:rPr>
    </w:lvl>
    <w:lvl w:ilvl="8" w:tplc="39EA3930">
      <w:numFmt w:val="bullet"/>
      <w:lvlText w:val="•"/>
      <w:lvlJc w:val="left"/>
      <w:pPr>
        <w:ind w:left="7542" w:hanging="428"/>
      </w:pPr>
      <w:rPr>
        <w:rFonts w:hint="default"/>
        <w:lang w:val="en-US" w:eastAsia="en-US" w:bidi="ar-SA"/>
      </w:rPr>
    </w:lvl>
  </w:abstractNum>
  <w:abstractNum w:abstractNumId="10" w15:restartNumberingAfterBreak="0">
    <w:nsid w:val="30921AC2"/>
    <w:multiLevelType w:val="multilevel"/>
    <w:tmpl w:val="F2148BF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77D8E"/>
    <w:multiLevelType w:val="multilevel"/>
    <w:tmpl w:val="26DAF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5E59CA"/>
    <w:multiLevelType w:val="hybridMultilevel"/>
    <w:tmpl w:val="DB0A884C"/>
    <w:lvl w:ilvl="0" w:tplc="4E989496">
      <w:start w:val="1"/>
      <w:numFmt w:val="lowerLetter"/>
      <w:lvlText w:val="%1."/>
      <w:lvlJc w:val="left"/>
      <w:pPr>
        <w:ind w:left="889" w:hanging="360"/>
        <w:jc w:val="right"/>
      </w:pPr>
      <w:rPr>
        <w:rFonts w:ascii="Cambria" w:eastAsia="Cambria" w:hAnsi="Cambria" w:cs="Cambria" w:hint="default"/>
        <w:w w:val="108"/>
        <w:sz w:val="24"/>
        <w:szCs w:val="24"/>
        <w:lang w:val="en-US" w:eastAsia="en-US" w:bidi="ar-SA"/>
      </w:rPr>
    </w:lvl>
    <w:lvl w:ilvl="1" w:tplc="CAE0694E">
      <w:numFmt w:val="bullet"/>
      <w:lvlText w:val="•"/>
      <w:lvlJc w:val="left"/>
      <w:pPr>
        <w:ind w:left="1736" w:hanging="360"/>
      </w:pPr>
      <w:rPr>
        <w:rFonts w:hint="default"/>
        <w:lang w:val="en-US" w:eastAsia="en-US" w:bidi="ar-SA"/>
      </w:rPr>
    </w:lvl>
    <w:lvl w:ilvl="2" w:tplc="3474D706">
      <w:numFmt w:val="bullet"/>
      <w:lvlText w:val="•"/>
      <w:lvlJc w:val="left"/>
      <w:pPr>
        <w:ind w:left="2593" w:hanging="360"/>
      </w:pPr>
      <w:rPr>
        <w:rFonts w:hint="default"/>
        <w:lang w:val="en-US" w:eastAsia="en-US" w:bidi="ar-SA"/>
      </w:rPr>
    </w:lvl>
    <w:lvl w:ilvl="3" w:tplc="8B4C7B14">
      <w:numFmt w:val="bullet"/>
      <w:lvlText w:val="•"/>
      <w:lvlJc w:val="left"/>
      <w:pPr>
        <w:ind w:left="3449" w:hanging="360"/>
      </w:pPr>
      <w:rPr>
        <w:rFonts w:hint="default"/>
        <w:lang w:val="en-US" w:eastAsia="en-US" w:bidi="ar-SA"/>
      </w:rPr>
    </w:lvl>
    <w:lvl w:ilvl="4" w:tplc="217CED0A">
      <w:numFmt w:val="bullet"/>
      <w:lvlText w:val="•"/>
      <w:lvlJc w:val="left"/>
      <w:pPr>
        <w:ind w:left="4306" w:hanging="360"/>
      </w:pPr>
      <w:rPr>
        <w:rFonts w:hint="default"/>
        <w:lang w:val="en-US" w:eastAsia="en-US" w:bidi="ar-SA"/>
      </w:rPr>
    </w:lvl>
    <w:lvl w:ilvl="5" w:tplc="2A88F808">
      <w:numFmt w:val="bullet"/>
      <w:lvlText w:val="•"/>
      <w:lvlJc w:val="left"/>
      <w:pPr>
        <w:ind w:left="5163" w:hanging="360"/>
      </w:pPr>
      <w:rPr>
        <w:rFonts w:hint="default"/>
        <w:lang w:val="en-US" w:eastAsia="en-US" w:bidi="ar-SA"/>
      </w:rPr>
    </w:lvl>
    <w:lvl w:ilvl="6" w:tplc="D5E8E0CE">
      <w:numFmt w:val="bullet"/>
      <w:lvlText w:val="•"/>
      <w:lvlJc w:val="left"/>
      <w:pPr>
        <w:ind w:left="6019" w:hanging="360"/>
      </w:pPr>
      <w:rPr>
        <w:rFonts w:hint="default"/>
        <w:lang w:val="en-US" w:eastAsia="en-US" w:bidi="ar-SA"/>
      </w:rPr>
    </w:lvl>
    <w:lvl w:ilvl="7" w:tplc="DC2E8C7E">
      <w:numFmt w:val="bullet"/>
      <w:lvlText w:val="•"/>
      <w:lvlJc w:val="left"/>
      <w:pPr>
        <w:ind w:left="6876" w:hanging="360"/>
      </w:pPr>
      <w:rPr>
        <w:rFonts w:hint="default"/>
        <w:lang w:val="en-US" w:eastAsia="en-US" w:bidi="ar-SA"/>
      </w:rPr>
    </w:lvl>
    <w:lvl w:ilvl="8" w:tplc="468E4B60">
      <w:numFmt w:val="bullet"/>
      <w:lvlText w:val="•"/>
      <w:lvlJc w:val="left"/>
      <w:pPr>
        <w:ind w:left="7733" w:hanging="360"/>
      </w:pPr>
      <w:rPr>
        <w:rFonts w:hint="default"/>
        <w:lang w:val="en-US" w:eastAsia="en-US" w:bidi="ar-SA"/>
      </w:rPr>
    </w:lvl>
  </w:abstractNum>
  <w:abstractNum w:abstractNumId="13" w15:restartNumberingAfterBreak="0">
    <w:nsid w:val="3B306187"/>
    <w:multiLevelType w:val="hybridMultilevel"/>
    <w:tmpl w:val="94B42D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B4A4018"/>
    <w:multiLevelType w:val="hybridMultilevel"/>
    <w:tmpl w:val="614C14CE"/>
    <w:lvl w:ilvl="0" w:tplc="C78CF2CE">
      <w:start w:val="1"/>
      <w:numFmt w:val="lowerLetter"/>
      <w:lvlText w:val="%1."/>
      <w:lvlJc w:val="left"/>
      <w:pPr>
        <w:ind w:left="1069" w:hanging="360"/>
      </w:pPr>
      <w:rPr>
        <w:rFonts w:hint="default"/>
        <w:b/>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3ECF52B2"/>
    <w:multiLevelType w:val="hybridMultilevel"/>
    <w:tmpl w:val="6674FB08"/>
    <w:lvl w:ilvl="0" w:tplc="2920F99C">
      <w:start w:val="1"/>
      <w:numFmt w:val="lowerLetter"/>
      <w:lvlText w:val="%1."/>
      <w:lvlJc w:val="left"/>
      <w:pPr>
        <w:ind w:left="680" w:hanging="360"/>
      </w:pPr>
      <w:rPr>
        <w:rFonts w:ascii="Cambria" w:eastAsia="Cambria" w:hAnsi="Cambria" w:cs="Cambria" w:hint="default"/>
        <w:w w:val="108"/>
        <w:sz w:val="24"/>
        <w:szCs w:val="24"/>
        <w:lang w:val="en-US" w:eastAsia="en-US" w:bidi="ar-SA"/>
      </w:rPr>
    </w:lvl>
    <w:lvl w:ilvl="1" w:tplc="5E44C85E">
      <w:numFmt w:val="bullet"/>
      <w:lvlText w:val="•"/>
      <w:lvlJc w:val="left"/>
      <w:pPr>
        <w:ind w:left="1556" w:hanging="360"/>
      </w:pPr>
      <w:rPr>
        <w:rFonts w:hint="default"/>
        <w:lang w:val="en-US" w:eastAsia="en-US" w:bidi="ar-SA"/>
      </w:rPr>
    </w:lvl>
    <w:lvl w:ilvl="2" w:tplc="367C99D4">
      <w:numFmt w:val="bullet"/>
      <w:lvlText w:val="•"/>
      <w:lvlJc w:val="left"/>
      <w:pPr>
        <w:ind w:left="2433" w:hanging="360"/>
      </w:pPr>
      <w:rPr>
        <w:rFonts w:hint="default"/>
        <w:lang w:val="en-US" w:eastAsia="en-US" w:bidi="ar-SA"/>
      </w:rPr>
    </w:lvl>
    <w:lvl w:ilvl="3" w:tplc="C2524AF4">
      <w:numFmt w:val="bullet"/>
      <w:lvlText w:val="•"/>
      <w:lvlJc w:val="left"/>
      <w:pPr>
        <w:ind w:left="3309" w:hanging="360"/>
      </w:pPr>
      <w:rPr>
        <w:rFonts w:hint="default"/>
        <w:lang w:val="en-US" w:eastAsia="en-US" w:bidi="ar-SA"/>
      </w:rPr>
    </w:lvl>
    <w:lvl w:ilvl="4" w:tplc="C8D639C0">
      <w:numFmt w:val="bullet"/>
      <w:lvlText w:val="•"/>
      <w:lvlJc w:val="left"/>
      <w:pPr>
        <w:ind w:left="4186" w:hanging="360"/>
      </w:pPr>
      <w:rPr>
        <w:rFonts w:hint="default"/>
        <w:lang w:val="en-US" w:eastAsia="en-US" w:bidi="ar-SA"/>
      </w:rPr>
    </w:lvl>
    <w:lvl w:ilvl="5" w:tplc="0BE0E51E">
      <w:numFmt w:val="bullet"/>
      <w:lvlText w:val="•"/>
      <w:lvlJc w:val="left"/>
      <w:pPr>
        <w:ind w:left="5063" w:hanging="360"/>
      </w:pPr>
      <w:rPr>
        <w:rFonts w:hint="default"/>
        <w:lang w:val="en-US" w:eastAsia="en-US" w:bidi="ar-SA"/>
      </w:rPr>
    </w:lvl>
    <w:lvl w:ilvl="6" w:tplc="6A7ED59C">
      <w:numFmt w:val="bullet"/>
      <w:lvlText w:val="•"/>
      <w:lvlJc w:val="left"/>
      <w:pPr>
        <w:ind w:left="5939" w:hanging="360"/>
      </w:pPr>
      <w:rPr>
        <w:rFonts w:hint="default"/>
        <w:lang w:val="en-US" w:eastAsia="en-US" w:bidi="ar-SA"/>
      </w:rPr>
    </w:lvl>
    <w:lvl w:ilvl="7" w:tplc="56E85FB4">
      <w:numFmt w:val="bullet"/>
      <w:lvlText w:val="•"/>
      <w:lvlJc w:val="left"/>
      <w:pPr>
        <w:ind w:left="6816" w:hanging="360"/>
      </w:pPr>
      <w:rPr>
        <w:rFonts w:hint="default"/>
        <w:lang w:val="en-US" w:eastAsia="en-US" w:bidi="ar-SA"/>
      </w:rPr>
    </w:lvl>
    <w:lvl w:ilvl="8" w:tplc="F836E13A">
      <w:numFmt w:val="bullet"/>
      <w:lvlText w:val="•"/>
      <w:lvlJc w:val="left"/>
      <w:pPr>
        <w:ind w:left="7693" w:hanging="360"/>
      </w:pPr>
      <w:rPr>
        <w:rFonts w:hint="default"/>
        <w:lang w:val="en-US" w:eastAsia="en-US" w:bidi="ar-SA"/>
      </w:rPr>
    </w:lvl>
  </w:abstractNum>
  <w:abstractNum w:abstractNumId="16" w15:restartNumberingAfterBreak="0">
    <w:nsid w:val="4CD13067"/>
    <w:multiLevelType w:val="hybridMultilevel"/>
    <w:tmpl w:val="410CD39E"/>
    <w:lvl w:ilvl="0" w:tplc="0A781F98">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781A0522">
      <w:numFmt w:val="bullet"/>
      <w:lvlText w:val="•"/>
      <w:lvlJc w:val="left"/>
      <w:pPr>
        <w:ind w:left="1736" w:hanging="428"/>
      </w:pPr>
      <w:rPr>
        <w:rFonts w:hint="default"/>
        <w:lang w:val="en-US" w:eastAsia="en-US" w:bidi="ar-SA"/>
      </w:rPr>
    </w:lvl>
    <w:lvl w:ilvl="2" w:tplc="4956CC7C">
      <w:numFmt w:val="bullet"/>
      <w:lvlText w:val="•"/>
      <w:lvlJc w:val="left"/>
      <w:pPr>
        <w:ind w:left="2593" w:hanging="428"/>
      </w:pPr>
      <w:rPr>
        <w:rFonts w:hint="default"/>
        <w:lang w:val="en-US" w:eastAsia="en-US" w:bidi="ar-SA"/>
      </w:rPr>
    </w:lvl>
    <w:lvl w:ilvl="3" w:tplc="64E28692">
      <w:numFmt w:val="bullet"/>
      <w:lvlText w:val="•"/>
      <w:lvlJc w:val="left"/>
      <w:pPr>
        <w:ind w:left="3449" w:hanging="428"/>
      </w:pPr>
      <w:rPr>
        <w:rFonts w:hint="default"/>
        <w:lang w:val="en-US" w:eastAsia="en-US" w:bidi="ar-SA"/>
      </w:rPr>
    </w:lvl>
    <w:lvl w:ilvl="4" w:tplc="25E2B498">
      <w:numFmt w:val="bullet"/>
      <w:lvlText w:val="•"/>
      <w:lvlJc w:val="left"/>
      <w:pPr>
        <w:ind w:left="4306" w:hanging="428"/>
      </w:pPr>
      <w:rPr>
        <w:rFonts w:hint="default"/>
        <w:lang w:val="en-US" w:eastAsia="en-US" w:bidi="ar-SA"/>
      </w:rPr>
    </w:lvl>
    <w:lvl w:ilvl="5" w:tplc="9E70C2CA">
      <w:numFmt w:val="bullet"/>
      <w:lvlText w:val="•"/>
      <w:lvlJc w:val="left"/>
      <w:pPr>
        <w:ind w:left="5163" w:hanging="428"/>
      </w:pPr>
      <w:rPr>
        <w:rFonts w:hint="default"/>
        <w:lang w:val="en-US" w:eastAsia="en-US" w:bidi="ar-SA"/>
      </w:rPr>
    </w:lvl>
    <w:lvl w:ilvl="6" w:tplc="45088EEE">
      <w:numFmt w:val="bullet"/>
      <w:lvlText w:val="•"/>
      <w:lvlJc w:val="left"/>
      <w:pPr>
        <w:ind w:left="6019" w:hanging="428"/>
      </w:pPr>
      <w:rPr>
        <w:rFonts w:hint="default"/>
        <w:lang w:val="en-US" w:eastAsia="en-US" w:bidi="ar-SA"/>
      </w:rPr>
    </w:lvl>
    <w:lvl w:ilvl="7" w:tplc="B488653E">
      <w:numFmt w:val="bullet"/>
      <w:lvlText w:val="•"/>
      <w:lvlJc w:val="left"/>
      <w:pPr>
        <w:ind w:left="6876" w:hanging="428"/>
      </w:pPr>
      <w:rPr>
        <w:rFonts w:hint="default"/>
        <w:lang w:val="en-US" w:eastAsia="en-US" w:bidi="ar-SA"/>
      </w:rPr>
    </w:lvl>
    <w:lvl w:ilvl="8" w:tplc="8908864C">
      <w:numFmt w:val="bullet"/>
      <w:lvlText w:val="•"/>
      <w:lvlJc w:val="left"/>
      <w:pPr>
        <w:ind w:left="7733" w:hanging="428"/>
      </w:pPr>
      <w:rPr>
        <w:rFonts w:hint="default"/>
        <w:lang w:val="en-US" w:eastAsia="en-US" w:bidi="ar-SA"/>
      </w:rPr>
    </w:lvl>
  </w:abstractNum>
  <w:abstractNum w:abstractNumId="17" w15:restartNumberingAfterBreak="0">
    <w:nsid w:val="540A4700"/>
    <w:multiLevelType w:val="multilevel"/>
    <w:tmpl w:val="1B447F66"/>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574E1BEA"/>
    <w:multiLevelType w:val="multilevel"/>
    <w:tmpl w:val="26C23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234432"/>
    <w:multiLevelType w:val="hybridMultilevel"/>
    <w:tmpl w:val="0974EA76"/>
    <w:lvl w:ilvl="0" w:tplc="55E6BD52">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8190E0CC">
      <w:numFmt w:val="bullet"/>
      <w:lvlText w:val="•"/>
      <w:lvlJc w:val="left"/>
      <w:pPr>
        <w:ind w:left="1736" w:hanging="428"/>
      </w:pPr>
      <w:rPr>
        <w:rFonts w:hint="default"/>
        <w:lang w:val="en-US" w:eastAsia="en-US" w:bidi="ar-SA"/>
      </w:rPr>
    </w:lvl>
    <w:lvl w:ilvl="2" w:tplc="939E9810">
      <w:numFmt w:val="bullet"/>
      <w:lvlText w:val="•"/>
      <w:lvlJc w:val="left"/>
      <w:pPr>
        <w:ind w:left="2593" w:hanging="428"/>
      </w:pPr>
      <w:rPr>
        <w:rFonts w:hint="default"/>
        <w:lang w:val="en-US" w:eastAsia="en-US" w:bidi="ar-SA"/>
      </w:rPr>
    </w:lvl>
    <w:lvl w:ilvl="3" w:tplc="0E2C13B6">
      <w:numFmt w:val="bullet"/>
      <w:lvlText w:val="•"/>
      <w:lvlJc w:val="left"/>
      <w:pPr>
        <w:ind w:left="3449" w:hanging="428"/>
      </w:pPr>
      <w:rPr>
        <w:rFonts w:hint="default"/>
        <w:lang w:val="en-US" w:eastAsia="en-US" w:bidi="ar-SA"/>
      </w:rPr>
    </w:lvl>
    <w:lvl w:ilvl="4" w:tplc="836413F8">
      <w:numFmt w:val="bullet"/>
      <w:lvlText w:val="•"/>
      <w:lvlJc w:val="left"/>
      <w:pPr>
        <w:ind w:left="4306" w:hanging="428"/>
      </w:pPr>
      <w:rPr>
        <w:rFonts w:hint="default"/>
        <w:lang w:val="en-US" w:eastAsia="en-US" w:bidi="ar-SA"/>
      </w:rPr>
    </w:lvl>
    <w:lvl w:ilvl="5" w:tplc="7A00E7E2">
      <w:numFmt w:val="bullet"/>
      <w:lvlText w:val="•"/>
      <w:lvlJc w:val="left"/>
      <w:pPr>
        <w:ind w:left="5163" w:hanging="428"/>
      </w:pPr>
      <w:rPr>
        <w:rFonts w:hint="default"/>
        <w:lang w:val="en-US" w:eastAsia="en-US" w:bidi="ar-SA"/>
      </w:rPr>
    </w:lvl>
    <w:lvl w:ilvl="6" w:tplc="6D56E6B8">
      <w:numFmt w:val="bullet"/>
      <w:lvlText w:val="•"/>
      <w:lvlJc w:val="left"/>
      <w:pPr>
        <w:ind w:left="6019" w:hanging="428"/>
      </w:pPr>
      <w:rPr>
        <w:rFonts w:hint="default"/>
        <w:lang w:val="en-US" w:eastAsia="en-US" w:bidi="ar-SA"/>
      </w:rPr>
    </w:lvl>
    <w:lvl w:ilvl="7" w:tplc="A01A802A">
      <w:numFmt w:val="bullet"/>
      <w:lvlText w:val="•"/>
      <w:lvlJc w:val="left"/>
      <w:pPr>
        <w:ind w:left="6876" w:hanging="428"/>
      </w:pPr>
      <w:rPr>
        <w:rFonts w:hint="default"/>
        <w:lang w:val="en-US" w:eastAsia="en-US" w:bidi="ar-SA"/>
      </w:rPr>
    </w:lvl>
    <w:lvl w:ilvl="8" w:tplc="727C8D74">
      <w:numFmt w:val="bullet"/>
      <w:lvlText w:val="•"/>
      <w:lvlJc w:val="left"/>
      <w:pPr>
        <w:ind w:left="7733" w:hanging="428"/>
      </w:pPr>
      <w:rPr>
        <w:rFonts w:hint="default"/>
        <w:lang w:val="en-US" w:eastAsia="en-US" w:bidi="ar-SA"/>
      </w:rPr>
    </w:lvl>
  </w:abstractNum>
  <w:abstractNum w:abstractNumId="20" w15:restartNumberingAfterBreak="0">
    <w:nsid w:val="621331E8"/>
    <w:multiLevelType w:val="multilevel"/>
    <w:tmpl w:val="80AEF1B8"/>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 w15:restartNumberingAfterBreak="0">
    <w:nsid w:val="65816521"/>
    <w:multiLevelType w:val="multilevel"/>
    <w:tmpl w:val="E67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573BF"/>
    <w:multiLevelType w:val="multilevel"/>
    <w:tmpl w:val="DCD0C6B4"/>
    <w:lvl w:ilvl="0">
      <w:start w:val="1"/>
      <w:numFmt w:val="lowerLetter"/>
      <w:lvlText w:val="%1."/>
      <w:lvlJc w:val="left"/>
      <w:pPr>
        <w:tabs>
          <w:tab w:val="num" w:pos="720"/>
        </w:tabs>
        <w:ind w:left="720" w:hanging="360"/>
      </w:pPr>
      <w:rPr>
        <w:rFonts w:ascii="Cambria" w:eastAsia="Cambria" w:hAnsi="Cambria" w:cs="Cambr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4" w15:restartNumberingAfterBreak="0">
    <w:nsid w:val="6CD56353"/>
    <w:multiLevelType w:val="hybridMultilevel"/>
    <w:tmpl w:val="7FCE6FFC"/>
    <w:lvl w:ilvl="0" w:tplc="AD004AF0">
      <w:start w:val="1"/>
      <w:numFmt w:val="decimal"/>
      <w:lvlText w:val="%1."/>
      <w:lvlJc w:val="left"/>
      <w:pPr>
        <w:ind w:left="889" w:hanging="428"/>
      </w:pPr>
      <w:rPr>
        <w:rFonts w:ascii="Cambria" w:eastAsia="Cambria" w:hAnsi="Cambria" w:cs="Cambria" w:hint="default"/>
        <w:w w:val="98"/>
        <w:sz w:val="24"/>
        <w:szCs w:val="24"/>
        <w:lang w:val="en-US" w:eastAsia="en-US" w:bidi="ar-SA"/>
      </w:rPr>
    </w:lvl>
    <w:lvl w:ilvl="1" w:tplc="27929230">
      <w:numFmt w:val="bullet"/>
      <w:lvlText w:val="•"/>
      <w:lvlJc w:val="left"/>
      <w:pPr>
        <w:ind w:left="1736" w:hanging="428"/>
      </w:pPr>
      <w:rPr>
        <w:rFonts w:hint="default"/>
        <w:lang w:val="en-US" w:eastAsia="en-US" w:bidi="ar-SA"/>
      </w:rPr>
    </w:lvl>
    <w:lvl w:ilvl="2" w:tplc="B802D5EA">
      <w:numFmt w:val="bullet"/>
      <w:lvlText w:val="•"/>
      <w:lvlJc w:val="left"/>
      <w:pPr>
        <w:ind w:left="2593" w:hanging="428"/>
      </w:pPr>
      <w:rPr>
        <w:rFonts w:hint="default"/>
        <w:lang w:val="en-US" w:eastAsia="en-US" w:bidi="ar-SA"/>
      </w:rPr>
    </w:lvl>
    <w:lvl w:ilvl="3" w:tplc="2418141C">
      <w:numFmt w:val="bullet"/>
      <w:lvlText w:val="•"/>
      <w:lvlJc w:val="left"/>
      <w:pPr>
        <w:ind w:left="3449" w:hanging="428"/>
      </w:pPr>
      <w:rPr>
        <w:rFonts w:hint="default"/>
        <w:lang w:val="en-US" w:eastAsia="en-US" w:bidi="ar-SA"/>
      </w:rPr>
    </w:lvl>
    <w:lvl w:ilvl="4" w:tplc="F5D0BB32">
      <w:numFmt w:val="bullet"/>
      <w:lvlText w:val="•"/>
      <w:lvlJc w:val="left"/>
      <w:pPr>
        <w:ind w:left="4306" w:hanging="428"/>
      </w:pPr>
      <w:rPr>
        <w:rFonts w:hint="default"/>
        <w:lang w:val="en-US" w:eastAsia="en-US" w:bidi="ar-SA"/>
      </w:rPr>
    </w:lvl>
    <w:lvl w:ilvl="5" w:tplc="EC529B12">
      <w:numFmt w:val="bullet"/>
      <w:lvlText w:val="•"/>
      <w:lvlJc w:val="left"/>
      <w:pPr>
        <w:ind w:left="5163" w:hanging="428"/>
      </w:pPr>
      <w:rPr>
        <w:rFonts w:hint="default"/>
        <w:lang w:val="en-US" w:eastAsia="en-US" w:bidi="ar-SA"/>
      </w:rPr>
    </w:lvl>
    <w:lvl w:ilvl="6" w:tplc="A6126C8C">
      <w:numFmt w:val="bullet"/>
      <w:lvlText w:val="•"/>
      <w:lvlJc w:val="left"/>
      <w:pPr>
        <w:ind w:left="6019" w:hanging="428"/>
      </w:pPr>
      <w:rPr>
        <w:rFonts w:hint="default"/>
        <w:lang w:val="en-US" w:eastAsia="en-US" w:bidi="ar-SA"/>
      </w:rPr>
    </w:lvl>
    <w:lvl w:ilvl="7" w:tplc="B65421D4">
      <w:numFmt w:val="bullet"/>
      <w:lvlText w:val="•"/>
      <w:lvlJc w:val="left"/>
      <w:pPr>
        <w:ind w:left="6876" w:hanging="428"/>
      </w:pPr>
      <w:rPr>
        <w:rFonts w:hint="default"/>
        <w:lang w:val="en-US" w:eastAsia="en-US" w:bidi="ar-SA"/>
      </w:rPr>
    </w:lvl>
    <w:lvl w:ilvl="8" w:tplc="3566E68A">
      <w:numFmt w:val="bullet"/>
      <w:lvlText w:val="•"/>
      <w:lvlJc w:val="left"/>
      <w:pPr>
        <w:ind w:left="7733" w:hanging="428"/>
      </w:pPr>
      <w:rPr>
        <w:rFonts w:hint="default"/>
        <w:lang w:val="en-US" w:eastAsia="en-US" w:bidi="ar-SA"/>
      </w:rPr>
    </w:lvl>
  </w:abstractNum>
  <w:abstractNum w:abstractNumId="25" w15:restartNumberingAfterBreak="0">
    <w:nsid w:val="75737D86"/>
    <w:multiLevelType w:val="multilevel"/>
    <w:tmpl w:val="88E2D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9"/>
  </w:num>
  <w:num w:numId="4">
    <w:abstractNumId w:val="24"/>
  </w:num>
  <w:num w:numId="5">
    <w:abstractNumId w:val="0"/>
  </w:num>
  <w:num w:numId="6">
    <w:abstractNumId w:val="16"/>
  </w:num>
  <w:num w:numId="7">
    <w:abstractNumId w:val="15"/>
  </w:num>
  <w:num w:numId="8">
    <w:abstractNumId w:val="9"/>
  </w:num>
  <w:num w:numId="9">
    <w:abstractNumId w:val="23"/>
  </w:num>
  <w:num w:numId="10">
    <w:abstractNumId w:val="2"/>
  </w:num>
  <w:num w:numId="11">
    <w:abstractNumId w:val="17"/>
  </w:num>
  <w:num w:numId="12">
    <w:abstractNumId w:val="7"/>
  </w:num>
  <w:num w:numId="13">
    <w:abstractNumId w:val="20"/>
  </w:num>
  <w:num w:numId="14">
    <w:abstractNumId w:val="18"/>
  </w:num>
  <w:num w:numId="15">
    <w:abstractNumId w:val="4"/>
  </w:num>
  <w:num w:numId="16">
    <w:abstractNumId w:val="5"/>
  </w:num>
  <w:num w:numId="17">
    <w:abstractNumId w:val="11"/>
  </w:num>
  <w:num w:numId="18">
    <w:abstractNumId w:val="8"/>
  </w:num>
  <w:num w:numId="19">
    <w:abstractNumId w:val="1"/>
  </w:num>
  <w:num w:numId="20">
    <w:abstractNumId w:val="21"/>
  </w:num>
  <w:num w:numId="21">
    <w:abstractNumId w:val="22"/>
  </w:num>
  <w:num w:numId="22">
    <w:abstractNumId w:val="25"/>
  </w:num>
  <w:num w:numId="23">
    <w:abstractNumId w:val="3"/>
  </w:num>
  <w:num w:numId="24">
    <w:abstractNumId w:val="14"/>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DB"/>
    <w:rsid w:val="00010378"/>
    <w:rsid w:val="00012177"/>
    <w:rsid w:val="00012704"/>
    <w:rsid w:val="00053089"/>
    <w:rsid w:val="00074D70"/>
    <w:rsid w:val="00092E6A"/>
    <w:rsid w:val="000A483E"/>
    <w:rsid w:val="000A7F1C"/>
    <w:rsid w:val="000E1AE1"/>
    <w:rsid w:val="000F708E"/>
    <w:rsid w:val="001004F2"/>
    <w:rsid w:val="00113EE8"/>
    <w:rsid w:val="00114987"/>
    <w:rsid w:val="00133C45"/>
    <w:rsid w:val="001509E8"/>
    <w:rsid w:val="001A7009"/>
    <w:rsid w:val="001E4CE0"/>
    <w:rsid w:val="0020120A"/>
    <w:rsid w:val="002067E1"/>
    <w:rsid w:val="0021092D"/>
    <w:rsid w:val="00212CB2"/>
    <w:rsid w:val="00223931"/>
    <w:rsid w:val="0023421C"/>
    <w:rsid w:val="002C7C64"/>
    <w:rsid w:val="002F3EA1"/>
    <w:rsid w:val="002F5253"/>
    <w:rsid w:val="002F70A1"/>
    <w:rsid w:val="00327B84"/>
    <w:rsid w:val="00331E4A"/>
    <w:rsid w:val="00355C7B"/>
    <w:rsid w:val="00356CB5"/>
    <w:rsid w:val="00365E35"/>
    <w:rsid w:val="0038535E"/>
    <w:rsid w:val="00385999"/>
    <w:rsid w:val="003D586F"/>
    <w:rsid w:val="003E6889"/>
    <w:rsid w:val="00415ECF"/>
    <w:rsid w:val="0047217C"/>
    <w:rsid w:val="004A5F0F"/>
    <w:rsid w:val="004A7710"/>
    <w:rsid w:val="004B6E3B"/>
    <w:rsid w:val="004C267B"/>
    <w:rsid w:val="004D6626"/>
    <w:rsid w:val="004E0F40"/>
    <w:rsid w:val="004E3D22"/>
    <w:rsid w:val="00510B90"/>
    <w:rsid w:val="0051599C"/>
    <w:rsid w:val="005175CC"/>
    <w:rsid w:val="00524C71"/>
    <w:rsid w:val="005338B9"/>
    <w:rsid w:val="00570A7D"/>
    <w:rsid w:val="00576E6A"/>
    <w:rsid w:val="005848B9"/>
    <w:rsid w:val="0059233C"/>
    <w:rsid w:val="005A6062"/>
    <w:rsid w:val="005A6D37"/>
    <w:rsid w:val="005C6601"/>
    <w:rsid w:val="005F001D"/>
    <w:rsid w:val="006027E6"/>
    <w:rsid w:val="00641F52"/>
    <w:rsid w:val="00645EED"/>
    <w:rsid w:val="00690ACC"/>
    <w:rsid w:val="006B6915"/>
    <w:rsid w:val="006C75BB"/>
    <w:rsid w:val="00702C96"/>
    <w:rsid w:val="0076274B"/>
    <w:rsid w:val="007B3A1A"/>
    <w:rsid w:val="007B6EB1"/>
    <w:rsid w:val="007D318C"/>
    <w:rsid w:val="0080743E"/>
    <w:rsid w:val="008247A9"/>
    <w:rsid w:val="00824B1A"/>
    <w:rsid w:val="00827839"/>
    <w:rsid w:val="00834B8E"/>
    <w:rsid w:val="00885149"/>
    <w:rsid w:val="008923B2"/>
    <w:rsid w:val="008B0B61"/>
    <w:rsid w:val="008C0DD5"/>
    <w:rsid w:val="008D4CAE"/>
    <w:rsid w:val="008E0FEB"/>
    <w:rsid w:val="00917394"/>
    <w:rsid w:val="00917E3D"/>
    <w:rsid w:val="009445FE"/>
    <w:rsid w:val="00946881"/>
    <w:rsid w:val="00951442"/>
    <w:rsid w:val="0096497C"/>
    <w:rsid w:val="00970C2D"/>
    <w:rsid w:val="009809FD"/>
    <w:rsid w:val="00994E45"/>
    <w:rsid w:val="009C1B92"/>
    <w:rsid w:val="009C371B"/>
    <w:rsid w:val="009D54AA"/>
    <w:rsid w:val="009E7FFB"/>
    <w:rsid w:val="00A122AC"/>
    <w:rsid w:val="00A76CBC"/>
    <w:rsid w:val="00A81408"/>
    <w:rsid w:val="00A81F1E"/>
    <w:rsid w:val="00AA2F57"/>
    <w:rsid w:val="00AE3F77"/>
    <w:rsid w:val="00B10949"/>
    <w:rsid w:val="00B20523"/>
    <w:rsid w:val="00B207D1"/>
    <w:rsid w:val="00B57BBD"/>
    <w:rsid w:val="00B8572B"/>
    <w:rsid w:val="00B9164A"/>
    <w:rsid w:val="00BE5C12"/>
    <w:rsid w:val="00BE7175"/>
    <w:rsid w:val="00C046C0"/>
    <w:rsid w:val="00C20210"/>
    <w:rsid w:val="00C41194"/>
    <w:rsid w:val="00C44247"/>
    <w:rsid w:val="00C55181"/>
    <w:rsid w:val="00C55C02"/>
    <w:rsid w:val="00C57749"/>
    <w:rsid w:val="00C7376B"/>
    <w:rsid w:val="00C8212C"/>
    <w:rsid w:val="00CB1C0D"/>
    <w:rsid w:val="00CB7538"/>
    <w:rsid w:val="00CC2963"/>
    <w:rsid w:val="00CD2591"/>
    <w:rsid w:val="00CE7283"/>
    <w:rsid w:val="00CF348C"/>
    <w:rsid w:val="00D35AD2"/>
    <w:rsid w:val="00D524F1"/>
    <w:rsid w:val="00D947F8"/>
    <w:rsid w:val="00DB3721"/>
    <w:rsid w:val="00DD2D5F"/>
    <w:rsid w:val="00DE287A"/>
    <w:rsid w:val="00E04801"/>
    <w:rsid w:val="00E2642E"/>
    <w:rsid w:val="00E35EC8"/>
    <w:rsid w:val="00E776AA"/>
    <w:rsid w:val="00EA731A"/>
    <w:rsid w:val="00EC3384"/>
    <w:rsid w:val="00ED3D3A"/>
    <w:rsid w:val="00ED57D8"/>
    <w:rsid w:val="00EF5295"/>
    <w:rsid w:val="00F16D4D"/>
    <w:rsid w:val="00F61E4A"/>
    <w:rsid w:val="00F7780A"/>
    <w:rsid w:val="00FF5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662390"/>
  <w15:docId w15:val="{6340535C-F5D7-4A22-9F03-E08767AC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62"/>
      <w:outlineLvl w:val="0"/>
    </w:pPr>
    <w:rPr>
      <w:rFonts w:ascii="Palatino Linotype" w:eastAsia="Palatino Linotype" w:hAnsi="Palatino Linotype" w:cs="Palatino Linotype"/>
      <w:b/>
      <w:bCs/>
      <w:sz w:val="24"/>
      <w:szCs w:val="24"/>
    </w:rPr>
  </w:style>
  <w:style w:type="paragraph" w:styleId="Heading2">
    <w:name w:val="heading 2"/>
    <w:basedOn w:val="Normal"/>
    <w:next w:val="Normal"/>
    <w:link w:val="Heading2Char"/>
    <w:uiPriority w:val="9"/>
    <w:unhideWhenUsed/>
    <w:qFormat/>
    <w:rsid w:val="002067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9"/>
      <w:jc w:val="both"/>
    </w:pPr>
    <w:rPr>
      <w:sz w:val="24"/>
      <w:szCs w:val="24"/>
    </w:rPr>
  </w:style>
  <w:style w:type="paragraph" w:styleId="ListParagraph">
    <w:name w:val="List Paragraph"/>
    <w:basedOn w:val="Normal"/>
    <w:uiPriority w:val="1"/>
    <w:qFormat/>
    <w:pPr>
      <w:ind w:left="889" w:hanging="428"/>
      <w:jc w:val="both"/>
    </w:pPr>
  </w:style>
  <w:style w:type="paragraph" w:customStyle="1" w:styleId="TableParagraph">
    <w:name w:val="Table Paragraph"/>
    <w:basedOn w:val="Normal"/>
    <w:uiPriority w:val="1"/>
    <w:qFormat/>
    <w:pPr>
      <w:ind w:left="108"/>
    </w:pPr>
    <w:rPr>
      <w:rFonts w:ascii="Palatino Linotype" w:eastAsia="Palatino Linotype" w:hAnsi="Palatino Linotype" w:cs="Palatino Linotype"/>
    </w:rPr>
  </w:style>
  <w:style w:type="paragraph" w:styleId="Header">
    <w:name w:val="header"/>
    <w:basedOn w:val="Normal"/>
    <w:link w:val="HeaderChar"/>
    <w:uiPriority w:val="99"/>
    <w:unhideWhenUsed/>
    <w:rsid w:val="00576E6A"/>
    <w:pPr>
      <w:tabs>
        <w:tab w:val="center" w:pos="4680"/>
        <w:tab w:val="right" w:pos="9360"/>
      </w:tabs>
    </w:pPr>
  </w:style>
  <w:style w:type="character" w:customStyle="1" w:styleId="HeaderChar">
    <w:name w:val="Header Char"/>
    <w:basedOn w:val="DefaultParagraphFont"/>
    <w:link w:val="Header"/>
    <w:uiPriority w:val="99"/>
    <w:rsid w:val="00576E6A"/>
    <w:rPr>
      <w:rFonts w:ascii="Cambria" w:eastAsia="Cambria" w:hAnsi="Cambria" w:cs="Cambria"/>
    </w:rPr>
  </w:style>
  <w:style w:type="paragraph" w:styleId="Footer">
    <w:name w:val="footer"/>
    <w:basedOn w:val="Normal"/>
    <w:link w:val="FooterChar"/>
    <w:uiPriority w:val="99"/>
    <w:unhideWhenUsed/>
    <w:rsid w:val="00576E6A"/>
    <w:pPr>
      <w:tabs>
        <w:tab w:val="center" w:pos="4680"/>
        <w:tab w:val="right" w:pos="9360"/>
      </w:tabs>
    </w:pPr>
  </w:style>
  <w:style w:type="character" w:customStyle="1" w:styleId="FooterChar">
    <w:name w:val="Footer Char"/>
    <w:basedOn w:val="DefaultParagraphFont"/>
    <w:link w:val="Footer"/>
    <w:uiPriority w:val="99"/>
    <w:rsid w:val="00576E6A"/>
    <w:rPr>
      <w:rFonts w:ascii="Cambria" w:eastAsia="Cambria" w:hAnsi="Cambria" w:cs="Cambria"/>
    </w:rPr>
  </w:style>
  <w:style w:type="paragraph" w:styleId="Title">
    <w:name w:val="Title"/>
    <w:aliases w:val="notused"/>
    <w:basedOn w:val="Normal"/>
    <w:next w:val="Normal"/>
    <w:link w:val="TitleChar"/>
    <w:uiPriority w:val="10"/>
    <w:rsid w:val="00576E6A"/>
    <w:pPr>
      <w:widowControl/>
      <w:autoSpaceDE/>
      <w:autoSpaceDN/>
      <w:spacing w:before="240" w:after="60" w:line="259"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aliases w:val="notused Char"/>
    <w:basedOn w:val="DefaultParagraphFont"/>
    <w:link w:val="Title"/>
    <w:uiPriority w:val="10"/>
    <w:rsid w:val="00576E6A"/>
    <w:rPr>
      <w:rFonts w:ascii="Calibri Light" w:eastAsia="Times New Roman" w:hAnsi="Calibri Light" w:cs="Times New Roman"/>
      <w:b/>
      <w:bCs/>
      <w:kern w:val="28"/>
      <w:sz w:val="32"/>
      <w:szCs w:val="32"/>
    </w:rPr>
  </w:style>
  <w:style w:type="paragraph" w:customStyle="1" w:styleId="AbstractText">
    <w:name w:val="AbstractText"/>
    <w:rsid w:val="00576E6A"/>
    <w:pPr>
      <w:widowControl/>
      <w:autoSpaceDE/>
      <w:autoSpaceDN/>
      <w:spacing w:after="80" w:line="200" w:lineRule="exact"/>
      <w:jc w:val="both"/>
    </w:pPr>
    <w:rPr>
      <w:rFonts w:ascii="Palatino Linotype" w:eastAsia="Times New Roman" w:hAnsi="Palatino Linotype" w:cs="Times New Roman"/>
      <w:sz w:val="20"/>
      <w:szCs w:val="20"/>
      <w:lang w:val="en"/>
    </w:rPr>
  </w:style>
  <w:style w:type="character" w:styleId="Hyperlink">
    <w:name w:val="Hyperlink"/>
    <w:uiPriority w:val="99"/>
    <w:unhideWhenUsed/>
    <w:rsid w:val="00576E6A"/>
    <w:rPr>
      <w:color w:val="0563C1"/>
      <w:u w:val="single"/>
    </w:rPr>
  </w:style>
  <w:style w:type="paragraph" w:customStyle="1" w:styleId="Copyright">
    <w:name w:val="Copyright"/>
    <w:basedOn w:val="AbstractText"/>
    <w:qFormat/>
    <w:rsid w:val="00576E6A"/>
    <w:pPr>
      <w:framePr w:hSpace="187" w:wrap="around" w:vAnchor="text" w:hAnchor="text" w:y="1"/>
      <w:spacing w:after="0"/>
      <w:suppressOverlap/>
      <w:jc w:val="right"/>
    </w:pPr>
    <w:rPr>
      <w:sz w:val="17"/>
      <w:szCs w:val="14"/>
    </w:rPr>
  </w:style>
  <w:style w:type="character" w:customStyle="1" w:styleId="Heading2Char">
    <w:name w:val="Heading 2 Char"/>
    <w:basedOn w:val="DefaultParagraphFont"/>
    <w:link w:val="Heading2"/>
    <w:uiPriority w:val="9"/>
    <w:rsid w:val="002067E1"/>
    <w:rPr>
      <w:rFonts w:asciiTheme="majorHAnsi" w:eastAsiaTheme="majorEastAsia" w:hAnsiTheme="majorHAnsi" w:cstheme="majorBidi"/>
      <w:color w:val="365F91" w:themeColor="accent1" w:themeShade="BF"/>
      <w:sz w:val="26"/>
      <w:szCs w:val="26"/>
    </w:rPr>
  </w:style>
  <w:style w:type="paragraph" w:customStyle="1" w:styleId="AuthorAffiliation">
    <w:name w:val="AuthorAffiliation"/>
    <w:next w:val="Normal"/>
    <w:rsid w:val="002067E1"/>
    <w:pPr>
      <w:widowControl/>
      <w:suppressAutoHyphens/>
      <w:autoSpaceDE/>
      <w:autoSpaceDN/>
      <w:spacing w:line="200" w:lineRule="exact"/>
    </w:pPr>
    <w:rPr>
      <w:rFonts w:ascii="Palatino Linotype" w:eastAsia="SimSun" w:hAnsi="Palatino Linotype" w:cs="Times New Roman"/>
      <w:noProof/>
      <w:sz w:val="14"/>
      <w:szCs w:val="20"/>
    </w:rPr>
  </w:style>
  <w:style w:type="paragraph" w:customStyle="1" w:styleId="tablecolhead">
    <w:name w:val="table col head"/>
    <w:basedOn w:val="Normal"/>
    <w:uiPriority w:val="99"/>
    <w:rsid w:val="002067E1"/>
    <w:pPr>
      <w:widowControl/>
      <w:autoSpaceDE/>
      <w:autoSpaceDN/>
      <w:jc w:val="center"/>
    </w:pPr>
    <w:rPr>
      <w:rFonts w:ascii="Junicode" w:eastAsia="Times New Roman" w:hAnsi="Junicode" w:cs="Times New Roman"/>
      <w:b/>
      <w:bCs/>
      <w:sz w:val="20"/>
      <w:szCs w:val="16"/>
    </w:rPr>
  </w:style>
  <w:style w:type="paragraph" w:customStyle="1" w:styleId="tablecopy">
    <w:name w:val="table copy"/>
    <w:uiPriority w:val="99"/>
    <w:rsid w:val="002067E1"/>
    <w:pPr>
      <w:widowControl/>
      <w:autoSpaceDE/>
      <w:autoSpaceDN/>
      <w:jc w:val="center"/>
    </w:pPr>
    <w:rPr>
      <w:rFonts w:ascii="Junicode" w:eastAsia="Times New Roman" w:hAnsi="Junicode" w:cs="Times New Roman"/>
      <w:noProof/>
      <w:sz w:val="18"/>
      <w:szCs w:val="16"/>
    </w:rPr>
  </w:style>
  <w:style w:type="paragraph" w:customStyle="1" w:styleId="tablehead">
    <w:name w:val="table head"/>
    <w:uiPriority w:val="99"/>
    <w:rsid w:val="002067E1"/>
    <w:pPr>
      <w:widowControl/>
      <w:numPr>
        <w:numId w:val="9"/>
      </w:numPr>
      <w:autoSpaceDE/>
      <w:autoSpaceDN/>
      <w:spacing w:before="240" w:after="120"/>
      <w:jc w:val="center"/>
    </w:pPr>
    <w:rPr>
      <w:rFonts w:ascii="Junicode" w:eastAsia="Times New Roman" w:hAnsi="Junicode" w:cs="Times New Roman"/>
      <w:noProof/>
      <w:sz w:val="20"/>
      <w:szCs w:val="16"/>
    </w:rPr>
  </w:style>
  <w:style w:type="character" w:styleId="Strong">
    <w:name w:val="Strong"/>
    <w:uiPriority w:val="22"/>
    <w:qFormat/>
    <w:rsid w:val="002067E1"/>
    <w:rPr>
      <w:b/>
      <w:bCs/>
    </w:rPr>
  </w:style>
  <w:style w:type="paragraph" w:styleId="FootnoteText">
    <w:name w:val="footnote text"/>
    <w:basedOn w:val="Normal"/>
    <w:link w:val="FootnoteTextChar"/>
    <w:uiPriority w:val="99"/>
    <w:unhideWhenUsed/>
    <w:rsid w:val="002067E1"/>
    <w:pPr>
      <w:widowControl/>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067E1"/>
    <w:rPr>
      <w:rFonts w:ascii="Calibri" w:eastAsia="Calibri" w:hAnsi="Calibri" w:cs="Times New Roman"/>
      <w:sz w:val="20"/>
      <w:szCs w:val="20"/>
    </w:rPr>
  </w:style>
  <w:style w:type="character" w:styleId="FootnoteReference">
    <w:name w:val="footnote reference"/>
    <w:uiPriority w:val="99"/>
    <w:semiHidden/>
    <w:unhideWhenUsed/>
    <w:rsid w:val="002067E1"/>
    <w:rPr>
      <w:vertAlign w:val="superscript"/>
    </w:rPr>
  </w:style>
  <w:style w:type="table" w:styleId="TableGrid">
    <w:name w:val="Table Grid"/>
    <w:basedOn w:val="TableNormal"/>
    <w:uiPriority w:val="39"/>
    <w:rsid w:val="002F3EA1"/>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0F40"/>
    <w:rPr>
      <w:color w:val="605E5C"/>
      <w:shd w:val="clear" w:color="auto" w:fill="E1DFDD"/>
    </w:rPr>
  </w:style>
  <w:style w:type="paragraph" w:styleId="NormalWeb">
    <w:name w:val="Normal (Web)"/>
    <w:basedOn w:val="Normal"/>
    <w:uiPriority w:val="99"/>
    <w:semiHidden/>
    <w:unhideWhenUsed/>
    <w:rsid w:val="00951442"/>
    <w:rPr>
      <w:rFonts w:ascii="Times New Roman" w:hAnsi="Times New Roman" w:cs="Times New Roman"/>
      <w:sz w:val="24"/>
      <w:szCs w:val="24"/>
    </w:rPr>
  </w:style>
  <w:style w:type="paragraph" w:customStyle="1" w:styleId="Paragraph">
    <w:name w:val="Paragraph"/>
    <w:basedOn w:val="Normal"/>
    <w:rsid w:val="00917E3D"/>
    <w:pPr>
      <w:widowControl/>
      <w:autoSpaceDE/>
      <w:autoSpaceDN/>
      <w:ind w:firstLine="284"/>
      <w:jc w:val="both"/>
    </w:pPr>
    <w:rPr>
      <w:rFonts w:ascii="Times New Roman" w:eastAsia="MS Mincho" w:hAnsi="Times New Roman" w:cs="Calibri"/>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071">
      <w:bodyDiv w:val="1"/>
      <w:marLeft w:val="0"/>
      <w:marRight w:val="0"/>
      <w:marTop w:val="0"/>
      <w:marBottom w:val="0"/>
      <w:divBdr>
        <w:top w:val="none" w:sz="0" w:space="0" w:color="auto"/>
        <w:left w:val="none" w:sz="0" w:space="0" w:color="auto"/>
        <w:bottom w:val="none" w:sz="0" w:space="0" w:color="auto"/>
        <w:right w:val="none" w:sz="0" w:space="0" w:color="auto"/>
      </w:divBdr>
      <w:divsChild>
        <w:div w:id="713623488">
          <w:marLeft w:val="0"/>
          <w:marRight w:val="0"/>
          <w:marTop w:val="0"/>
          <w:marBottom w:val="0"/>
          <w:divBdr>
            <w:top w:val="none" w:sz="0" w:space="0" w:color="auto"/>
            <w:left w:val="none" w:sz="0" w:space="0" w:color="auto"/>
            <w:bottom w:val="none" w:sz="0" w:space="0" w:color="auto"/>
            <w:right w:val="none" w:sz="0" w:space="0" w:color="auto"/>
          </w:divBdr>
        </w:div>
        <w:div w:id="1695573078">
          <w:marLeft w:val="0"/>
          <w:marRight w:val="0"/>
          <w:marTop w:val="0"/>
          <w:marBottom w:val="0"/>
          <w:divBdr>
            <w:top w:val="none" w:sz="0" w:space="0" w:color="auto"/>
            <w:left w:val="none" w:sz="0" w:space="0" w:color="auto"/>
            <w:bottom w:val="none" w:sz="0" w:space="0" w:color="auto"/>
            <w:right w:val="none" w:sz="0" w:space="0" w:color="auto"/>
          </w:divBdr>
        </w:div>
        <w:div w:id="1740321985">
          <w:marLeft w:val="0"/>
          <w:marRight w:val="0"/>
          <w:marTop w:val="0"/>
          <w:marBottom w:val="0"/>
          <w:divBdr>
            <w:top w:val="none" w:sz="0" w:space="0" w:color="auto"/>
            <w:left w:val="none" w:sz="0" w:space="0" w:color="auto"/>
            <w:bottom w:val="none" w:sz="0" w:space="0" w:color="auto"/>
            <w:right w:val="none" w:sz="0" w:space="0" w:color="auto"/>
          </w:divBdr>
        </w:div>
        <w:div w:id="1888829934">
          <w:marLeft w:val="0"/>
          <w:marRight w:val="0"/>
          <w:marTop w:val="0"/>
          <w:marBottom w:val="0"/>
          <w:divBdr>
            <w:top w:val="none" w:sz="0" w:space="0" w:color="auto"/>
            <w:left w:val="none" w:sz="0" w:space="0" w:color="auto"/>
            <w:bottom w:val="none" w:sz="0" w:space="0" w:color="auto"/>
            <w:right w:val="none" w:sz="0" w:space="0" w:color="auto"/>
          </w:divBdr>
        </w:div>
        <w:div w:id="1954441159">
          <w:marLeft w:val="0"/>
          <w:marRight w:val="0"/>
          <w:marTop w:val="0"/>
          <w:marBottom w:val="0"/>
          <w:divBdr>
            <w:top w:val="none" w:sz="0" w:space="0" w:color="auto"/>
            <w:left w:val="none" w:sz="0" w:space="0" w:color="auto"/>
            <w:bottom w:val="none" w:sz="0" w:space="0" w:color="auto"/>
            <w:right w:val="none" w:sz="0" w:space="0" w:color="auto"/>
          </w:divBdr>
        </w:div>
        <w:div w:id="1909531824">
          <w:marLeft w:val="0"/>
          <w:marRight w:val="0"/>
          <w:marTop w:val="0"/>
          <w:marBottom w:val="0"/>
          <w:divBdr>
            <w:top w:val="none" w:sz="0" w:space="0" w:color="auto"/>
            <w:left w:val="none" w:sz="0" w:space="0" w:color="auto"/>
            <w:bottom w:val="none" w:sz="0" w:space="0" w:color="auto"/>
            <w:right w:val="none" w:sz="0" w:space="0" w:color="auto"/>
          </w:divBdr>
        </w:div>
        <w:div w:id="235867437">
          <w:marLeft w:val="0"/>
          <w:marRight w:val="0"/>
          <w:marTop w:val="0"/>
          <w:marBottom w:val="0"/>
          <w:divBdr>
            <w:top w:val="none" w:sz="0" w:space="0" w:color="auto"/>
            <w:left w:val="none" w:sz="0" w:space="0" w:color="auto"/>
            <w:bottom w:val="none" w:sz="0" w:space="0" w:color="auto"/>
            <w:right w:val="none" w:sz="0" w:space="0" w:color="auto"/>
          </w:divBdr>
        </w:div>
        <w:div w:id="1883129152">
          <w:marLeft w:val="0"/>
          <w:marRight w:val="0"/>
          <w:marTop w:val="0"/>
          <w:marBottom w:val="0"/>
          <w:divBdr>
            <w:top w:val="none" w:sz="0" w:space="0" w:color="auto"/>
            <w:left w:val="none" w:sz="0" w:space="0" w:color="auto"/>
            <w:bottom w:val="none" w:sz="0" w:space="0" w:color="auto"/>
            <w:right w:val="none" w:sz="0" w:space="0" w:color="auto"/>
          </w:divBdr>
        </w:div>
        <w:div w:id="1335642134">
          <w:marLeft w:val="0"/>
          <w:marRight w:val="0"/>
          <w:marTop w:val="0"/>
          <w:marBottom w:val="0"/>
          <w:divBdr>
            <w:top w:val="none" w:sz="0" w:space="0" w:color="auto"/>
            <w:left w:val="none" w:sz="0" w:space="0" w:color="auto"/>
            <w:bottom w:val="none" w:sz="0" w:space="0" w:color="auto"/>
            <w:right w:val="none" w:sz="0" w:space="0" w:color="auto"/>
          </w:divBdr>
        </w:div>
        <w:div w:id="484391632">
          <w:marLeft w:val="0"/>
          <w:marRight w:val="0"/>
          <w:marTop w:val="0"/>
          <w:marBottom w:val="0"/>
          <w:divBdr>
            <w:top w:val="none" w:sz="0" w:space="0" w:color="auto"/>
            <w:left w:val="none" w:sz="0" w:space="0" w:color="auto"/>
            <w:bottom w:val="none" w:sz="0" w:space="0" w:color="auto"/>
            <w:right w:val="none" w:sz="0" w:space="0" w:color="auto"/>
          </w:divBdr>
        </w:div>
        <w:div w:id="1773476078">
          <w:marLeft w:val="0"/>
          <w:marRight w:val="0"/>
          <w:marTop w:val="0"/>
          <w:marBottom w:val="0"/>
          <w:divBdr>
            <w:top w:val="none" w:sz="0" w:space="0" w:color="auto"/>
            <w:left w:val="none" w:sz="0" w:space="0" w:color="auto"/>
            <w:bottom w:val="none" w:sz="0" w:space="0" w:color="auto"/>
            <w:right w:val="none" w:sz="0" w:space="0" w:color="auto"/>
          </w:divBdr>
        </w:div>
      </w:divsChild>
    </w:div>
    <w:div w:id="249312181">
      <w:bodyDiv w:val="1"/>
      <w:marLeft w:val="0"/>
      <w:marRight w:val="0"/>
      <w:marTop w:val="0"/>
      <w:marBottom w:val="0"/>
      <w:divBdr>
        <w:top w:val="none" w:sz="0" w:space="0" w:color="auto"/>
        <w:left w:val="none" w:sz="0" w:space="0" w:color="auto"/>
        <w:bottom w:val="none" w:sz="0" w:space="0" w:color="auto"/>
        <w:right w:val="none" w:sz="0" w:space="0" w:color="auto"/>
      </w:divBdr>
    </w:div>
    <w:div w:id="293291336">
      <w:bodyDiv w:val="1"/>
      <w:marLeft w:val="0"/>
      <w:marRight w:val="0"/>
      <w:marTop w:val="0"/>
      <w:marBottom w:val="0"/>
      <w:divBdr>
        <w:top w:val="none" w:sz="0" w:space="0" w:color="auto"/>
        <w:left w:val="none" w:sz="0" w:space="0" w:color="auto"/>
        <w:bottom w:val="none" w:sz="0" w:space="0" w:color="auto"/>
        <w:right w:val="none" w:sz="0" w:space="0" w:color="auto"/>
      </w:divBdr>
    </w:div>
    <w:div w:id="297954303">
      <w:bodyDiv w:val="1"/>
      <w:marLeft w:val="0"/>
      <w:marRight w:val="0"/>
      <w:marTop w:val="0"/>
      <w:marBottom w:val="0"/>
      <w:divBdr>
        <w:top w:val="none" w:sz="0" w:space="0" w:color="auto"/>
        <w:left w:val="none" w:sz="0" w:space="0" w:color="auto"/>
        <w:bottom w:val="none" w:sz="0" w:space="0" w:color="auto"/>
        <w:right w:val="none" w:sz="0" w:space="0" w:color="auto"/>
      </w:divBdr>
    </w:div>
    <w:div w:id="380633703">
      <w:bodyDiv w:val="1"/>
      <w:marLeft w:val="0"/>
      <w:marRight w:val="0"/>
      <w:marTop w:val="0"/>
      <w:marBottom w:val="0"/>
      <w:divBdr>
        <w:top w:val="none" w:sz="0" w:space="0" w:color="auto"/>
        <w:left w:val="none" w:sz="0" w:space="0" w:color="auto"/>
        <w:bottom w:val="none" w:sz="0" w:space="0" w:color="auto"/>
        <w:right w:val="none" w:sz="0" w:space="0" w:color="auto"/>
      </w:divBdr>
    </w:div>
    <w:div w:id="423649761">
      <w:bodyDiv w:val="1"/>
      <w:marLeft w:val="0"/>
      <w:marRight w:val="0"/>
      <w:marTop w:val="0"/>
      <w:marBottom w:val="0"/>
      <w:divBdr>
        <w:top w:val="none" w:sz="0" w:space="0" w:color="auto"/>
        <w:left w:val="none" w:sz="0" w:space="0" w:color="auto"/>
        <w:bottom w:val="none" w:sz="0" w:space="0" w:color="auto"/>
        <w:right w:val="none" w:sz="0" w:space="0" w:color="auto"/>
      </w:divBdr>
    </w:div>
    <w:div w:id="444496195">
      <w:bodyDiv w:val="1"/>
      <w:marLeft w:val="0"/>
      <w:marRight w:val="0"/>
      <w:marTop w:val="0"/>
      <w:marBottom w:val="0"/>
      <w:divBdr>
        <w:top w:val="none" w:sz="0" w:space="0" w:color="auto"/>
        <w:left w:val="none" w:sz="0" w:space="0" w:color="auto"/>
        <w:bottom w:val="none" w:sz="0" w:space="0" w:color="auto"/>
        <w:right w:val="none" w:sz="0" w:space="0" w:color="auto"/>
      </w:divBdr>
    </w:div>
    <w:div w:id="499809973">
      <w:bodyDiv w:val="1"/>
      <w:marLeft w:val="0"/>
      <w:marRight w:val="0"/>
      <w:marTop w:val="0"/>
      <w:marBottom w:val="0"/>
      <w:divBdr>
        <w:top w:val="none" w:sz="0" w:space="0" w:color="auto"/>
        <w:left w:val="none" w:sz="0" w:space="0" w:color="auto"/>
        <w:bottom w:val="none" w:sz="0" w:space="0" w:color="auto"/>
        <w:right w:val="none" w:sz="0" w:space="0" w:color="auto"/>
      </w:divBdr>
    </w:div>
    <w:div w:id="587273796">
      <w:bodyDiv w:val="1"/>
      <w:marLeft w:val="0"/>
      <w:marRight w:val="0"/>
      <w:marTop w:val="0"/>
      <w:marBottom w:val="0"/>
      <w:divBdr>
        <w:top w:val="none" w:sz="0" w:space="0" w:color="auto"/>
        <w:left w:val="none" w:sz="0" w:space="0" w:color="auto"/>
        <w:bottom w:val="none" w:sz="0" w:space="0" w:color="auto"/>
        <w:right w:val="none" w:sz="0" w:space="0" w:color="auto"/>
      </w:divBdr>
    </w:div>
    <w:div w:id="699277828">
      <w:bodyDiv w:val="1"/>
      <w:marLeft w:val="0"/>
      <w:marRight w:val="0"/>
      <w:marTop w:val="0"/>
      <w:marBottom w:val="0"/>
      <w:divBdr>
        <w:top w:val="none" w:sz="0" w:space="0" w:color="auto"/>
        <w:left w:val="none" w:sz="0" w:space="0" w:color="auto"/>
        <w:bottom w:val="none" w:sz="0" w:space="0" w:color="auto"/>
        <w:right w:val="none" w:sz="0" w:space="0" w:color="auto"/>
      </w:divBdr>
    </w:div>
    <w:div w:id="791166333">
      <w:bodyDiv w:val="1"/>
      <w:marLeft w:val="0"/>
      <w:marRight w:val="0"/>
      <w:marTop w:val="0"/>
      <w:marBottom w:val="0"/>
      <w:divBdr>
        <w:top w:val="none" w:sz="0" w:space="0" w:color="auto"/>
        <w:left w:val="none" w:sz="0" w:space="0" w:color="auto"/>
        <w:bottom w:val="none" w:sz="0" w:space="0" w:color="auto"/>
        <w:right w:val="none" w:sz="0" w:space="0" w:color="auto"/>
      </w:divBdr>
    </w:div>
    <w:div w:id="795029951">
      <w:bodyDiv w:val="1"/>
      <w:marLeft w:val="0"/>
      <w:marRight w:val="0"/>
      <w:marTop w:val="0"/>
      <w:marBottom w:val="0"/>
      <w:divBdr>
        <w:top w:val="none" w:sz="0" w:space="0" w:color="auto"/>
        <w:left w:val="none" w:sz="0" w:space="0" w:color="auto"/>
        <w:bottom w:val="none" w:sz="0" w:space="0" w:color="auto"/>
        <w:right w:val="none" w:sz="0" w:space="0" w:color="auto"/>
      </w:divBdr>
      <w:divsChild>
        <w:div w:id="1651396839">
          <w:marLeft w:val="0"/>
          <w:marRight w:val="0"/>
          <w:marTop w:val="0"/>
          <w:marBottom w:val="0"/>
          <w:divBdr>
            <w:top w:val="none" w:sz="0" w:space="0" w:color="auto"/>
            <w:left w:val="none" w:sz="0" w:space="0" w:color="auto"/>
            <w:bottom w:val="none" w:sz="0" w:space="0" w:color="auto"/>
            <w:right w:val="none" w:sz="0" w:space="0" w:color="auto"/>
          </w:divBdr>
        </w:div>
        <w:div w:id="1040204009">
          <w:marLeft w:val="0"/>
          <w:marRight w:val="0"/>
          <w:marTop w:val="0"/>
          <w:marBottom w:val="0"/>
          <w:divBdr>
            <w:top w:val="none" w:sz="0" w:space="0" w:color="auto"/>
            <w:left w:val="none" w:sz="0" w:space="0" w:color="auto"/>
            <w:bottom w:val="none" w:sz="0" w:space="0" w:color="auto"/>
            <w:right w:val="none" w:sz="0" w:space="0" w:color="auto"/>
          </w:divBdr>
        </w:div>
        <w:div w:id="1265377725">
          <w:marLeft w:val="0"/>
          <w:marRight w:val="0"/>
          <w:marTop w:val="0"/>
          <w:marBottom w:val="0"/>
          <w:divBdr>
            <w:top w:val="none" w:sz="0" w:space="0" w:color="auto"/>
            <w:left w:val="none" w:sz="0" w:space="0" w:color="auto"/>
            <w:bottom w:val="none" w:sz="0" w:space="0" w:color="auto"/>
            <w:right w:val="none" w:sz="0" w:space="0" w:color="auto"/>
          </w:divBdr>
        </w:div>
        <w:div w:id="1358196022">
          <w:marLeft w:val="0"/>
          <w:marRight w:val="0"/>
          <w:marTop w:val="0"/>
          <w:marBottom w:val="0"/>
          <w:divBdr>
            <w:top w:val="none" w:sz="0" w:space="0" w:color="auto"/>
            <w:left w:val="none" w:sz="0" w:space="0" w:color="auto"/>
            <w:bottom w:val="none" w:sz="0" w:space="0" w:color="auto"/>
            <w:right w:val="none" w:sz="0" w:space="0" w:color="auto"/>
          </w:divBdr>
        </w:div>
        <w:div w:id="1573854513">
          <w:marLeft w:val="0"/>
          <w:marRight w:val="0"/>
          <w:marTop w:val="0"/>
          <w:marBottom w:val="0"/>
          <w:divBdr>
            <w:top w:val="none" w:sz="0" w:space="0" w:color="auto"/>
            <w:left w:val="none" w:sz="0" w:space="0" w:color="auto"/>
            <w:bottom w:val="none" w:sz="0" w:space="0" w:color="auto"/>
            <w:right w:val="none" w:sz="0" w:space="0" w:color="auto"/>
          </w:divBdr>
        </w:div>
        <w:div w:id="1678388479">
          <w:marLeft w:val="0"/>
          <w:marRight w:val="0"/>
          <w:marTop w:val="0"/>
          <w:marBottom w:val="0"/>
          <w:divBdr>
            <w:top w:val="none" w:sz="0" w:space="0" w:color="auto"/>
            <w:left w:val="none" w:sz="0" w:space="0" w:color="auto"/>
            <w:bottom w:val="none" w:sz="0" w:space="0" w:color="auto"/>
            <w:right w:val="none" w:sz="0" w:space="0" w:color="auto"/>
          </w:divBdr>
        </w:div>
        <w:div w:id="1047074226">
          <w:marLeft w:val="0"/>
          <w:marRight w:val="0"/>
          <w:marTop w:val="0"/>
          <w:marBottom w:val="0"/>
          <w:divBdr>
            <w:top w:val="none" w:sz="0" w:space="0" w:color="auto"/>
            <w:left w:val="none" w:sz="0" w:space="0" w:color="auto"/>
            <w:bottom w:val="none" w:sz="0" w:space="0" w:color="auto"/>
            <w:right w:val="none" w:sz="0" w:space="0" w:color="auto"/>
          </w:divBdr>
        </w:div>
        <w:div w:id="1315063567">
          <w:marLeft w:val="0"/>
          <w:marRight w:val="0"/>
          <w:marTop w:val="0"/>
          <w:marBottom w:val="0"/>
          <w:divBdr>
            <w:top w:val="none" w:sz="0" w:space="0" w:color="auto"/>
            <w:left w:val="none" w:sz="0" w:space="0" w:color="auto"/>
            <w:bottom w:val="none" w:sz="0" w:space="0" w:color="auto"/>
            <w:right w:val="none" w:sz="0" w:space="0" w:color="auto"/>
          </w:divBdr>
        </w:div>
        <w:div w:id="915088628">
          <w:marLeft w:val="0"/>
          <w:marRight w:val="0"/>
          <w:marTop w:val="0"/>
          <w:marBottom w:val="0"/>
          <w:divBdr>
            <w:top w:val="none" w:sz="0" w:space="0" w:color="auto"/>
            <w:left w:val="none" w:sz="0" w:space="0" w:color="auto"/>
            <w:bottom w:val="none" w:sz="0" w:space="0" w:color="auto"/>
            <w:right w:val="none" w:sz="0" w:space="0" w:color="auto"/>
          </w:divBdr>
        </w:div>
        <w:div w:id="693503978">
          <w:marLeft w:val="0"/>
          <w:marRight w:val="0"/>
          <w:marTop w:val="0"/>
          <w:marBottom w:val="0"/>
          <w:divBdr>
            <w:top w:val="none" w:sz="0" w:space="0" w:color="auto"/>
            <w:left w:val="none" w:sz="0" w:space="0" w:color="auto"/>
            <w:bottom w:val="none" w:sz="0" w:space="0" w:color="auto"/>
            <w:right w:val="none" w:sz="0" w:space="0" w:color="auto"/>
          </w:divBdr>
        </w:div>
        <w:div w:id="898901393">
          <w:marLeft w:val="0"/>
          <w:marRight w:val="0"/>
          <w:marTop w:val="0"/>
          <w:marBottom w:val="0"/>
          <w:divBdr>
            <w:top w:val="none" w:sz="0" w:space="0" w:color="auto"/>
            <w:left w:val="none" w:sz="0" w:space="0" w:color="auto"/>
            <w:bottom w:val="none" w:sz="0" w:space="0" w:color="auto"/>
            <w:right w:val="none" w:sz="0" w:space="0" w:color="auto"/>
          </w:divBdr>
        </w:div>
      </w:divsChild>
    </w:div>
    <w:div w:id="812210273">
      <w:bodyDiv w:val="1"/>
      <w:marLeft w:val="0"/>
      <w:marRight w:val="0"/>
      <w:marTop w:val="0"/>
      <w:marBottom w:val="0"/>
      <w:divBdr>
        <w:top w:val="none" w:sz="0" w:space="0" w:color="auto"/>
        <w:left w:val="none" w:sz="0" w:space="0" w:color="auto"/>
        <w:bottom w:val="none" w:sz="0" w:space="0" w:color="auto"/>
        <w:right w:val="none" w:sz="0" w:space="0" w:color="auto"/>
      </w:divBdr>
    </w:div>
    <w:div w:id="813642017">
      <w:bodyDiv w:val="1"/>
      <w:marLeft w:val="0"/>
      <w:marRight w:val="0"/>
      <w:marTop w:val="0"/>
      <w:marBottom w:val="0"/>
      <w:divBdr>
        <w:top w:val="none" w:sz="0" w:space="0" w:color="auto"/>
        <w:left w:val="none" w:sz="0" w:space="0" w:color="auto"/>
        <w:bottom w:val="none" w:sz="0" w:space="0" w:color="auto"/>
        <w:right w:val="none" w:sz="0" w:space="0" w:color="auto"/>
      </w:divBdr>
    </w:div>
    <w:div w:id="820392575">
      <w:bodyDiv w:val="1"/>
      <w:marLeft w:val="0"/>
      <w:marRight w:val="0"/>
      <w:marTop w:val="0"/>
      <w:marBottom w:val="0"/>
      <w:divBdr>
        <w:top w:val="none" w:sz="0" w:space="0" w:color="auto"/>
        <w:left w:val="none" w:sz="0" w:space="0" w:color="auto"/>
        <w:bottom w:val="none" w:sz="0" w:space="0" w:color="auto"/>
        <w:right w:val="none" w:sz="0" w:space="0" w:color="auto"/>
      </w:divBdr>
    </w:div>
    <w:div w:id="829171475">
      <w:bodyDiv w:val="1"/>
      <w:marLeft w:val="0"/>
      <w:marRight w:val="0"/>
      <w:marTop w:val="0"/>
      <w:marBottom w:val="0"/>
      <w:divBdr>
        <w:top w:val="none" w:sz="0" w:space="0" w:color="auto"/>
        <w:left w:val="none" w:sz="0" w:space="0" w:color="auto"/>
        <w:bottom w:val="none" w:sz="0" w:space="0" w:color="auto"/>
        <w:right w:val="none" w:sz="0" w:space="0" w:color="auto"/>
      </w:divBdr>
    </w:div>
    <w:div w:id="872230782">
      <w:bodyDiv w:val="1"/>
      <w:marLeft w:val="0"/>
      <w:marRight w:val="0"/>
      <w:marTop w:val="0"/>
      <w:marBottom w:val="0"/>
      <w:divBdr>
        <w:top w:val="none" w:sz="0" w:space="0" w:color="auto"/>
        <w:left w:val="none" w:sz="0" w:space="0" w:color="auto"/>
        <w:bottom w:val="none" w:sz="0" w:space="0" w:color="auto"/>
        <w:right w:val="none" w:sz="0" w:space="0" w:color="auto"/>
      </w:divBdr>
    </w:div>
    <w:div w:id="1172911629">
      <w:bodyDiv w:val="1"/>
      <w:marLeft w:val="0"/>
      <w:marRight w:val="0"/>
      <w:marTop w:val="0"/>
      <w:marBottom w:val="0"/>
      <w:divBdr>
        <w:top w:val="none" w:sz="0" w:space="0" w:color="auto"/>
        <w:left w:val="none" w:sz="0" w:space="0" w:color="auto"/>
        <w:bottom w:val="none" w:sz="0" w:space="0" w:color="auto"/>
        <w:right w:val="none" w:sz="0" w:space="0" w:color="auto"/>
      </w:divBdr>
    </w:div>
    <w:div w:id="1215266589">
      <w:bodyDiv w:val="1"/>
      <w:marLeft w:val="0"/>
      <w:marRight w:val="0"/>
      <w:marTop w:val="0"/>
      <w:marBottom w:val="0"/>
      <w:divBdr>
        <w:top w:val="none" w:sz="0" w:space="0" w:color="auto"/>
        <w:left w:val="none" w:sz="0" w:space="0" w:color="auto"/>
        <w:bottom w:val="none" w:sz="0" w:space="0" w:color="auto"/>
        <w:right w:val="none" w:sz="0" w:space="0" w:color="auto"/>
      </w:divBdr>
    </w:div>
    <w:div w:id="1244074015">
      <w:bodyDiv w:val="1"/>
      <w:marLeft w:val="0"/>
      <w:marRight w:val="0"/>
      <w:marTop w:val="0"/>
      <w:marBottom w:val="0"/>
      <w:divBdr>
        <w:top w:val="none" w:sz="0" w:space="0" w:color="auto"/>
        <w:left w:val="none" w:sz="0" w:space="0" w:color="auto"/>
        <w:bottom w:val="none" w:sz="0" w:space="0" w:color="auto"/>
        <w:right w:val="none" w:sz="0" w:space="0" w:color="auto"/>
      </w:divBdr>
    </w:div>
    <w:div w:id="1252200263">
      <w:bodyDiv w:val="1"/>
      <w:marLeft w:val="0"/>
      <w:marRight w:val="0"/>
      <w:marTop w:val="0"/>
      <w:marBottom w:val="0"/>
      <w:divBdr>
        <w:top w:val="none" w:sz="0" w:space="0" w:color="auto"/>
        <w:left w:val="none" w:sz="0" w:space="0" w:color="auto"/>
        <w:bottom w:val="none" w:sz="0" w:space="0" w:color="auto"/>
        <w:right w:val="none" w:sz="0" w:space="0" w:color="auto"/>
      </w:divBdr>
    </w:div>
    <w:div w:id="1274826915">
      <w:bodyDiv w:val="1"/>
      <w:marLeft w:val="0"/>
      <w:marRight w:val="0"/>
      <w:marTop w:val="0"/>
      <w:marBottom w:val="0"/>
      <w:divBdr>
        <w:top w:val="none" w:sz="0" w:space="0" w:color="auto"/>
        <w:left w:val="none" w:sz="0" w:space="0" w:color="auto"/>
        <w:bottom w:val="none" w:sz="0" w:space="0" w:color="auto"/>
        <w:right w:val="none" w:sz="0" w:space="0" w:color="auto"/>
      </w:divBdr>
    </w:div>
    <w:div w:id="1290355023">
      <w:bodyDiv w:val="1"/>
      <w:marLeft w:val="0"/>
      <w:marRight w:val="0"/>
      <w:marTop w:val="0"/>
      <w:marBottom w:val="0"/>
      <w:divBdr>
        <w:top w:val="none" w:sz="0" w:space="0" w:color="auto"/>
        <w:left w:val="none" w:sz="0" w:space="0" w:color="auto"/>
        <w:bottom w:val="none" w:sz="0" w:space="0" w:color="auto"/>
        <w:right w:val="none" w:sz="0" w:space="0" w:color="auto"/>
      </w:divBdr>
    </w:div>
    <w:div w:id="1294336006">
      <w:bodyDiv w:val="1"/>
      <w:marLeft w:val="0"/>
      <w:marRight w:val="0"/>
      <w:marTop w:val="0"/>
      <w:marBottom w:val="0"/>
      <w:divBdr>
        <w:top w:val="none" w:sz="0" w:space="0" w:color="auto"/>
        <w:left w:val="none" w:sz="0" w:space="0" w:color="auto"/>
        <w:bottom w:val="none" w:sz="0" w:space="0" w:color="auto"/>
        <w:right w:val="none" w:sz="0" w:space="0" w:color="auto"/>
      </w:divBdr>
    </w:div>
    <w:div w:id="1294484988">
      <w:bodyDiv w:val="1"/>
      <w:marLeft w:val="0"/>
      <w:marRight w:val="0"/>
      <w:marTop w:val="0"/>
      <w:marBottom w:val="0"/>
      <w:divBdr>
        <w:top w:val="none" w:sz="0" w:space="0" w:color="auto"/>
        <w:left w:val="none" w:sz="0" w:space="0" w:color="auto"/>
        <w:bottom w:val="none" w:sz="0" w:space="0" w:color="auto"/>
        <w:right w:val="none" w:sz="0" w:space="0" w:color="auto"/>
      </w:divBdr>
    </w:div>
    <w:div w:id="1324702489">
      <w:bodyDiv w:val="1"/>
      <w:marLeft w:val="0"/>
      <w:marRight w:val="0"/>
      <w:marTop w:val="0"/>
      <w:marBottom w:val="0"/>
      <w:divBdr>
        <w:top w:val="none" w:sz="0" w:space="0" w:color="auto"/>
        <w:left w:val="none" w:sz="0" w:space="0" w:color="auto"/>
        <w:bottom w:val="none" w:sz="0" w:space="0" w:color="auto"/>
        <w:right w:val="none" w:sz="0" w:space="0" w:color="auto"/>
      </w:divBdr>
    </w:div>
    <w:div w:id="1373962640">
      <w:bodyDiv w:val="1"/>
      <w:marLeft w:val="0"/>
      <w:marRight w:val="0"/>
      <w:marTop w:val="0"/>
      <w:marBottom w:val="0"/>
      <w:divBdr>
        <w:top w:val="none" w:sz="0" w:space="0" w:color="auto"/>
        <w:left w:val="none" w:sz="0" w:space="0" w:color="auto"/>
        <w:bottom w:val="none" w:sz="0" w:space="0" w:color="auto"/>
        <w:right w:val="none" w:sz="0" w:space="0" w:color="auto"/>
      </w:divBdr>
    </w:div>
    <w:div w:id="1428303397">
      <w:bodyDiv w:val="1"/>
      <w:marLeft w:val="0"/>
      <w:marRight w:val="0"/>
      <w:marTop w:val="0"/>
      <w:marBottom w:val="0"/>
      <w:divBdr>
        <w:top w:val="none" w:sz="0" w:space="0" w:color="auto"/>
        <w:left w:val="none" w:sz="0" w:space="0" w:color="auto"/>
        <w:bottom w:val="none" w:sz="0" w:space="0" w:color="auto"/>
        <w:right w:val="none" w:sz="0" w:space="0" w:color="auto"/>
      </w:divBdr>
    </w:div>
    <w:div w:id="1514681980">
      <w:bodyDiv w:val="1"/>
      <w:marLeft w:val="0"/>
      <w:marRight w:val="0"/>
      <w:marTop w:val="0"/>
      <w:marBottom w:val="0"/>
      <w:divBdr>
        <w:top w:val="none" w:sz="0" w:space="0" w:color="auto"/>
        <w:left w:val="none" w:sz="0" w:space="0" w:color="auto"/>
        <w:bottom w:val="none" w:sz="0" w:space="0" w:color="auto"/>
        <w:right w:val="none" w:sz="0" w:space="0" w:color="auto"/>
      </w:divBdr>
    </w:div>
    <w:div w:id="1530296229">
      <w:bodyDiv w:val="1"/>
      <w:marLeft w:val="0"/>
      <w:marRight w:val="0"/>
      <w:marTop w:val="0"/>
      <w:marBottom w:val="0"/>
      <w:divBdr>
        <w:top w:val="none" w:sz="0" w:space="0" w:color="auto"/>
        <w:left w:val="none" w:sz="0" w:space="0" w:color="auto"/>
        <w:bottom w:val="none" w:sz="0" w:space="0" w:color="auto"/>
        <w:right w:val="none" w:sz="0" w:space="0" w:color="auto"/>
      </w:divBdr>
    </w:div>
    <w:div w:id="1543059232">
      <w:bodyDiv w:val="1"/>
      <w:marLeft w:val="0"/>
      <w:marRight w:val="0"/>
      <w:marTop w:val="0"/>
      <w:marBottom w:val="0"/>
      <w:divBdr>
        <w:top w:val="none" w:sz="0" w:space="0" w:color="auto"/>
        <w:left w:val="none" w:sz="0" w:space="0" w:color="auto"/>
        <w:bottom w:val="none" w:sz="0" w:space="0" w:color="auto"/>
        <w:right w:val="none" w:sz="0" w:space="0" w:color="auto"/>
      </w:divBdr>
    </w:div>
    <w:div w:id="1599867757">
      <w:bodyDiv w:val="1"/>
      <w:marLeft w:val="0"/>
      <w:marRight w:val="0"/>
      <w:marTop w:val="0"/>
      <w:marBottom w:val="0"/>
      <w:divBdr>
        <w:top w:val="none" w:sz="0" w:space="0" w:color="auto"/>
        <w:left w:val="none" w:sz="0" w:space="0" w:color="auto"/>
        <w:bottom w:val="none" w:sz="0" w:space="0" w:color="auto"/>
        <w:right w:val="none" w:sz="0" w:space="0" w:color="auto"/>
      </w:divBdr>
    </w:div>
    <w:div w:id="1624651288">
      <w:bodyDiv w:val="1"/>
      <w:marLeft w:val="0"/>
      <w:marRight w:val="0"/>
      <w:marTop w:val="0"/>
      <w:marBottom w:val="0"/>
      <w:divBdr>
        <w:top w:val="none" w:sz="0" w:space="0" w:color="auto"/>
        <w:left w:val="none" w:sz="0" w:space="0" w:color="auto"/>
        <w:bottom w:val="none" w:sz="0" w:space="0" w:color="auto"/>
        <w:right w:val="none" w:sz="0" w:space="0" w:color="auto"/>
      </w:divBdr>
    </w:div>
    <w:div w:id="1632981468">
      <w:bodyDiv w:val="1"/>
      <w:marLeft w:val="0"/>
      <w:marRight w:val="0"/>
      <w:marTop w:val="0"/>
      <w:marBottom w:val="0"/>
      <w:divBdr>
        <w:top w:val="none" w:sz="0" w:space="0" w:color="auto"/>
        <w:left w:val="none" w:sz="0" w:space="0" w:color="auto"/>
        <w:bottom w:val="none" w:sz="0" w:space="0" w:color="auto"/>
        <w:right w:val="none" w:sz="0" w:space="0" w:color="auto"/>
      </w:divBdr>
    </w:div>
    <w:div w:id="1649430683">
      <w:bodyDiv w:val="1"/>
      <w:marLeft w:val="0"/>
      <w:marRight w:val="0"/>
      <w:marTop w:val="0"/>
      <w:marBottom w:val="0"/>
      <w:divBdr>
        <w:top w:val="none" w:sz="0" w:space="0" w:color="auto"/>
        <w:left w:val="none" w:sz="0" w:space="0" w:color="auto"/>
        <w:bottom w:val="none" w:sz="0" w:space="0" w:color="auto"/>
        <w:right w:val="none" w:sz="0" w:space="0" w:color="auto"/>
      </w:divBdr>
    </w:div>
    <w:div w:id="1708987807">
      <w:bodyDiv w:val="1"/>
      <w:marLeft w:val="0"/>
      <w:marRight w:val="0"/>
      <w:marTop w:val="0"/>
      <w:marBottom w:val="0"/>
      <w:divBdr>
        <w:top w:val="none" w:sz="0" w:space="0" w:color="auto"/>
        <w:left w:val="none" w:sz="0" w:space="0" w:color="auto"/>
        <w:bottom w:val="none" w:sz="0" w:space="0" w:color="auto"/>
        <w:right w:val="none" w:sz="0" w:space="0" w:color="auto"/>
      </w:divBdr>
    </w:div>
    <w:div w:id="1759132659">
      <w:bodyDiv w:val="1"/>
      <w:marLeft w:val="0"/>
      <w:marRight w:val="0"/>
      <w:marTop w:val="0"/>
      <w:marBottom w:val="0"/>
      <w:divBdr>
        <w:top w:val="none" w:sz="0" w:space="0" w:color="auto"/>
        <w:left w:val="none" w:sz="0" w:space="0" w:color="auto"/>
        <w:bottom w:val="none" w:sz="0" w:space="0" w:color="auto"/>
        <w:right w:val="none" w:sz="0" w:space="0" w:color="auto"/>
      </w:divBdr>
    </w:div>
    <w:div w:id="1789935055">
      <w:bodyDiv w:val="1"/>
      <w:marLeft w:val="0"/>
      <w:marRight w:val="0"/>
      <w:marTop w:val="0"/>
      <w:marBottom w:val="0"/>
      <w:divBdr>
        <w:top w:val="none" w:sz="0" w:space="0" w:color="auto"/>
        <w:left w:val="none" w:sz="0" w:space="0" w:color="auto"/>
        <w:bottom w:val="none" w:sz="0" w:space="0" w:color="auto"/>
        <w:right w:val="none" w:sz="0" w:space="0" w:color="auto"/>
      </w:divBdr>
    </w:div>
    <w:div w:id="1821925369">
      <w:bodyDiv w:val="1"/>
      <w:marLeft w:val="0"/>
      <w:marRight w:val="0"/>
      <w:marTop w:val="0"/>
      <w:marBottom w:val="0"/>
      <w:divBdr>
        <w:top w:val="none" w:sz="0" w:space="0" w:color="auto"/>
        <w:left w:val="none" w:sz="0" w:space="0" w:color="auto"/>
        <w:bottom w:val="none" w:sz="0" w:space="0" w:color="auto"/>
        <w:right w:val="none" w:sz="0" w:space="0" w:color="auto"/>
      </w:divBdr>
    </w:div>
    <w:div w:id="1828592526">
      <w:bodyDiv w:val="1"/>
      <w:marLeft w:val="0"/>
      <w:marRight w:val="0"/>
      <w:marTop w:val="0"/>
      <w:marBottom w:val="0"/>
      <w:divBdr>
        <w:top w:val="none" w:sz="0" w:space="0" w:color="auto"/>
        <w:left w:val="none" w:sz="0" w:space="0" w:color="auto"/>
        <w:bottom w:val="none" w:sz="0" w:space="0" w:color="auto"/>
        <w:right w:val="none" w:sz="0" w:space="0" w:color="auto"/>
      </w:divBdr>
    </w:div>
    <w:div w:id="1909806407">
      <w:bodyDiv w:val="1"/>
      <w:marLeft w:val="0"/>
      <w:marRight w:val="0"/>
      <w:marTop w:val="0"/>
      <w:marBottom w:val="0"/>
      <w:divBdr>
        <w:top w:val="none" w:sz="0" w:space="0" w:color="auto"/>
        <w:left w:val="none" w:sz="0" w:space="0" w:color="auto"/>
        <w:bottom w:val="none" w:sz="0" w:space="0" w:color="auto"/>
        <w:right w:val="none" w:sz="0" w:space="0" w:color="auto"/>
      </w:divBdr>
    </w:div>
    <w:div w:id="1991442863">
      <w:bodyDiv w:val="1"/>
      <w:marLeft w:val="0"/>
      <w:marRight w:val="0"/>
      <w:marTop w:val="0"/>
      <w:marBottom w:val="0"/>
      <w:divBdr>
        <w:top w:val="none" w:sz="0" w:space="0" w:color="auto"/>
        <w:left w:val="none" w:sz="0" w:space="0" w:color="auto"/>
        <w:bottom w:val="none" w:sz="0" w:space="0" w:color="auto"/>
        <w:right w:val="none" w:sz="0" w:space="0" w:color="auto"/>
      </w:divBdr>
    </w:div>
    <w:div w:id="2083944696">
      <w:bodyDiv w:val="1"/>
      <w:marLeft w:val="0"/>
      <w:marRight w:val="0"/>
      <w:marTop w:val="0"/>
      <w:marBottom w:val="0"/>
      <w:divBdr>
        <w:top w:val="none" w:sz="0" w:space="0" w:color="auto"/>
        <w:left w:val="none" w:sz="0" w:space="0" w:color="auto"/>
        <w:bottom w:val="none" w:sz="0" w:space="0" w:color="auto"/>
        <w:right w:val="none" w:sz="0" w:space="0" w:color="auto"/>
      </w:divBdr>
    </w:div>
    <w:div w:id="211308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5B6A0-762F-408B-9DFB-25E57611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11</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UBAY</dc:creator>
  <cp:lastModifiedBy>SDI 1084</cp:lastModifiedBy>
  <cp:revision>54</cp:revision>
  <dcterms:created xsi:type="dcterms:W3CDTF">2023-06-13T00:21:00Z</dcterms:created>
  <dcterms:modified xsi:type="dcterms:W3CDTF">2026-02-04T10:36:00Z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2021</vt:lpwstr>
  </property>
  <property fmtid="{D5CDD505-2E9C-101B-9397-08002B2CF9AE}" pid="4" name="LastSaved">
    <vt:filetime>2023-06-13T00:00:00Z</vt:filetime>
  </property>
  <property fmtid="{D5CDD505-2E9C-101B-9397-08002B2CF9AE}" pid="5" name="GrammarlyDocumentId">
    <vt:lpwstr>c1a819ae88ab25e0c8f30b4d70ced77888b565d1ec119b96d6983506a9bd69e6</vt:lpwstr>
  </property>
  <property fmtid="{D5CDD505-2E9C-101B-9397-08002B2CF9AE}" pid="6" name="Mendeley Document_1">
    <vt:lpwstr>True</vt:lpwstr>
  </property>
  <property fmtid="{D5CDD505-2E9C-101B-9397-08002B2CF9AE}" pid="7" name="Mendeley Citation Style_1">
    <vt:lpwstr>http://www.zotero.org/styles/modern-humanities-research-association</vt:lpwstr>
  </property>
  <property fmtid="{D5CDD505-2E9C-101B-9397-08002B2CF9AE}" pid="8" name="Mendeley Unique User Id_1">
    <vt:lpwstr>5d1e8e4b-2749-3c93-b932-d3ead00a7609</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 6th edition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12th edition - Harvard</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