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CFEB2A" w14:textId="77777777" w:rsidR="00CB6606" w:rsidRDefault="00CB6606" w:rsidP="00F233BD">
      <w:pPr>
        <w:jc w:val="both"/>
        <w:rPr>
          <w:rFonts w:ascii="Times New Roman" w:hAnsi="Times New Roman" w:cs="Times New Roman"/>
          <w:b/>
          <w:bCs/>
        </w:rPr>
      </w:pPr>
      <w:r w:rsidRPr="00CB6606">
        <w:rPr>
          <w:rFonts w:ascii="Times New Roman" w:hAnsi="Times New Roman" w:cs="Times New Roman"/>
          <w:b/>
          <w:bCs/>
        </w:rPr>
        <w:t>Closing the Loop on E-Waste: Health-Centered Circular Economy Pathways to Reduce Environmental and Health Risks in Low- and Middle-Income Countries</w:t>
      </w:r>
    </w:p>
    <w:p w14:paraId="4D9B7022" w14:textId="77777777" w:rsidR="00FF504F" w:rsidRPr="00FF504F" w:rsidRDefault="00FF504F" w:rsidP="00F233BD">
      <w:pPr>
        <w:jc w:val="both"/>
        <w:rPr>
          <w:rFonts w:ascii="Times New Roman" w:hAnsi="Times New Roman" w:cs="Times New Roman"/>
        </w:rPr>
      </w:pPr>
      <w:bookmarkStart w:id="0" w:name="_GoBack"/>
      <w:bookmarkEnd w:id="0"/>
    </w:p>
    <w:p w14:paraId="5F299BAC" w14:textId="77777777" w:rsidR="004468FB" w:rsidRPr="004468FB" w:rsidRDefault="004468FB" w:rsidP="00F233BD">
      <w:pPr>
        <w:jc w:val="both"/>
        <w:rPr>
          <w:rFonts w:ascii="Times New Roman" w:hAnsi="Times New Roman" w:cs="Times New Roman"/>
          <w:b/>
          <w:bCs/>
        </w:rPr>
      </w:pPr>
      <w:r w:rsidRPr="004468FB">
        <w:rPr>
          <w:rFonts w:ascii="Times New Roman" w:hAnsi="Times New Roman" w:cs="Times New Roman"/>
          <w:b/>
          <w:bCs/>
        </w:rPr>
        <w:t>Abstract</w:t>
      </w:r>
    </w:p>
    <w:p w14:paraId="5A45EEB9" w14:textId="77777777" w:rsidR="004468FB" w:rsidRPr="004468FB" w:rsidRDefault="004468FB" w:rsidP="00F233BD">
      <w:pPr>
        <w:jc w:val="both"/>
        <w:rPr>
          <w:rFonts w:ascii="Times New Roman" w:hAnsi="Times New Roman" w:cs="Times New Roman"/>
        </w:rPr>
      </w:pPr>
      <w:r w:rsidRPr="004468FB">
        <w:rPr>
          <w:rFonts w:ascii="Times New Roman" w:hAnsi="Times New Roman" w:cs="Times New Roman"/>
        </w:rPr>
        <w:t>The rapid expansion of electronic waste (e-waste) has emerged as a critical global sustainability challenge, with low- and middle-income countries (LMICs) bearing a disproportionate share of its environmental and health burdens. Large volumes of discarded electronics are processed through informal and weakly regulated systems that rely on manual dismantling, open burning, and crude material recovery, leading to widespread contamination of air, soil, water, and food systems. These environmental releases generate chronic exposure pathways that contribute to neurological, respiratory, reproductive, and developmental health risks, particularly among informal workers, women, and children.</w:t>
      </w:r>
    </w:p>
    <w:p w14:paraId="47E415DC" w14:textId="77777777" w:rsidR="004468FB" w:rsidRPr="004468FB" w:rsidRDefault="004468FB" w:rsidP="00F233BD">
      <w:pPr>
        <w:jc w:val="both"/>
        <w:rPr>
          <w:rFonts w:ascii="Times New Roman" w:hAnsi="Times New Roman" w:cs="Times New Roman"/>
        </w:rPr>
      </w:pPr>
      <w:r w:rsidRPr="004468FB">
        <w:rPr>
          <w:rFonts w:ascii="Times New Roman" w:hAnsi="Times New Roman" w:cs="Times New Roman"/>
        </w:rPr>
        <w:t>Although circular economy strategies are increasingly promoted to address resource loss and waste accumulation, their application to e-waste in LMICs has often prioritized material recovery while overlooking health protection, equity, and governance constraints. This review synthesizes evidence on environmental contamination pathways, human health impacts, and institutional challenges associated with e-waste in LMICs and advances a health-embedded circular economy framework to guide risk mitigation. We examine policy instruments, technological pathways, and community-based and hybrid models that seek to close material loops while reducing toxic exposures, with particular attention to the central role of the informal sector.</w:t>
      </w:r>
    </w:p>
    <w:p w14:paraId="14276CEB" w14:textId="77777777" w:rsidR="004468FB" w:rsidRPr="00F233BD" w:rsidRDefault="004468FB" w:rsidP="00F233BD">
      <w:pPr>
        <w:jc w:val="both"/>
        <w:rPr>
          <w:rFonts w:ascii="Times New Roman" w:hAnsi="Times New Roman" w:cs="Times New Roman"/>
        </w:rPr>
      </w:pPr>
      <w:r w:rsidRPr="004468FB">
        <w:rPr>
          <w:rFonts w:ascii="Times New Roman" w:hAnsi="Times New Roman" w:cs="Times New Roman"/>
        </w:rPr>
        <w:t>Our analysis demonstrates that circular interventions focused solely on recycling efficiency are insufficient and may reproduce existing inequities if health outcomes and social inclusion are not treated as core performance metrics. Embedding health protection, equity considerations, and global responsibility into circular e-waste systems is essential for achieving sustainable and just transitions. Aligning e-waste governance with planetary health principles and the Sustainable Development Goals offers a pragmatic pathway to reduce environmental contamination, safeguard vulnerable populations, and transform e-waste from a public health liability into an opportunity for inclusive and health-protective development in LMICs.</w:t>
      </w:r>
    </w:p>
    <w:p w14:paraId="478A3E99" w14:textId="77777777" w:rsidR="003E5976" w:rsidRPr="003E5976" w:rsidRDefault="003E5976" w:rsidP="00F233BD">
      <w:pPr>
        <w:jc w:val="both"/>
        <w:rPr>
          <w:rFonts w:ascii="Times New Roman" w:hAnsi="Times New Roman" w:cs="Times New Roman"/>
        </w:rPr>
      </w:pPr>
      <w:r w:rsidRPr="003E5976">
        <w:rPr>
          <w:rFonts w:ascii="Times New Roman" w:hAnsi="Times New Roman" w:cs="Times New Roman"/>
          <w:b/>
          <w:bCs/>
        </w:rPr>
        <w:t xml:space="preserve"> Keywords</w:t>
      </w:r>
      <w:r w:rsidRPr="00F233BD">
        <w:rPr>
          <w:rFonts w:ascii="Times New Roman" w:hAnsi="Times New Roman" w:cs="Times New Roman"/>
        </w:rPr>
        <w:t xml:space="preserve">: </w:t>
      </w:r>
      <w:r w:rsidRPr="003E5976">
        <w:rPr>
          <w:rFonts w:ascii="Times New Roman" w:hAnsi="Times New Roman" w:cs="Times New Roman"/>
        </w:rPr>
        <w:t>Electronic waste (e-waste)</w:t>
      </w:r>
      <w:r w:rsidRPr="00F233BD">
        <w:rPr>
          <w:rFonts w:ascii="Times New Roman" w:hAnsi="Times New Roman" w:cs="Times New Roman"/>
        </w:rPr>
        <w:t xml:space="preserve">, </w:t>
      </w:r>
      <w:r w:rsidRPr="003E5976">
        <w:rPr>
          <w:rFonts w:ascii="Times New Roman" w:hAnsi="Times New Roman" w:cs="Times New Roman"/>
        </w:rPr>
        <w:t>Circular economy</w:t>
      </w:r>
      <w:r w:rsidRPr="00F233BD">
        <w:rPr>
          <w:rFonts w:ascii="Times New Roman" w:hAnsi="Times New Roman" w:cs="Times New Roman"/>
        </w:rPr>
        <w:t xml:space="preserve">, </w:t>
      </w:r>
      <w:r w:rsidRPr="003E5976">
        <w:rPr>
          <w:rFonts w:ascii="Times New Roman" w:hAnsi="Times New Roman" w:cs="Times New Roman"/>
        </w:rPr>
        <w:t>Environmental health</w:t>
      </w:r>
      <w:r w:rsidRPr="00F233BD">
        <w:rPr>
          <w:rFonts w:ascii="Times New Roman" w:hAnsi="Times New Roman" w:cs="Times New Roman"/>
        </w:rPr>
        <w:t xml:space="preserve">, </w:t>
      </w:r>
      <w:r w:rsidRPr="003E5976">
        <w:rPr>
          <w:rFonts w:ascii="Times New Roman" w:hAnsi="Times New Roman" w:cs="Times New Roman"/>
        </w:rPr>
        <w:t>Informal recycling</w:t>
      </w:r>
      <w:r w:rsidRPr="00F233BD">
        <w:rPr>
          <w:rFonts w:ascii="Times New Roman" w:hAnsi="Times New Roman" w:cs="Times New Roman"/>
        </w:rPr>
        <w:t xml:space="preserve">, </w:t>
      </w:r>
      <w:r w:rsidRPr="003E5976">
        <w:rPr>
          <w:rFonts w:ascii="Times New Roman" w:hAnsi="Times New Roman" w:cs="Times New Roman"/>
        </w:rPr>
        <w:t>Health equity</w:t>
      </w:r>
    </w:p>
    <w:p w14:paraId="1D905B83" w14:textId="77777777" w:rsidR="007E7C56" w:rsidRPr="007E7C56" w:rsidRDefault="00F87EEE" w:rsidP="00F233BD">
      <w:pPr>
        <w:jc w:val="both"/>
        <w:rPr>
          <w:rFonts w:ascii="Times New Roman" w:hAnsi="Times New Roman" w:cs="Times New Roman"/>
          <w:b/>
          <w:bCs/>
        </w:rPr>
      </w:pPr>
      <w:r w:rsidRPr="00F233BD">
        <w:rPr>
          <w:rFonts w:ascii="Times New Roman" w:hAnsi="Times New Roman" w:cs="Times New Roman"/>
          <w:b/>
          <w:bCs/>
        </w:rPr>
        <w:t>1</w:t>
      </w:r>
      <w:r w:rsidR="007E7C56" w:rsidRPr="007E7C56">
        <w:rPr>
          <w:rFonts w:ascii="Times New Roman" w:hAnsi="Times New Roman" w:cs="Times New Roman"/>
          <w:b/>
          <w:bCs/>
        </w:rPr>
        <w:t>. Introduction</w:t>
      </w:r>
    </w:p>
    <w:p w14:paraId="46136198"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proliferation of electronic devices has transformed modern life, accelerating digital connectivity, economic productivity, and access to information. However, this rapid technological turnover has generated an unintended and escalating consequence: electronic waste (e-waste)</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{"citationID":"9mSdoFVd","properties":{"formattedCitation":"(1)","plainCitation":"(1)","noteIndex":0},"citationItems":[{"id":14788,"uris":["http://zotero.org/users/16652950/items/PA4GBRRJ"],"itemData":{"id":14788,"type":"article-journal","abstract":"Electronic waste (e-waste) is the fastest-growing waste stream on the planet, yet it remains critically under-addressed in global waste management and...","container-title":"Recycling","DOI":"10.3390/recycling10020072","ISSN":"2313-4321","issue":"2","language":"en","license":"http://creativecommons.org/licenses/by/3.0/","note":"Company: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publisher","source":"www.mdpi.com","title":"Exploring the E-Waste Crisis: Strategies for Sustainable Recycling and Circular Economy Integration","title-short":"Exploring the E-Waste Crisis","URL":"https://www.mdpi.com/2313-4321/10/2/72","volume":"10","author":[{"family":"Quinto","given":"Shanti"},{"family":"Law","given":"Noah"},{"family":"Fletcher","given":"Christopher"},{"family":"Le","given":"Justin"},{"family":"Jose","given":"Subin Antony"},{"family":"Menezes","given":"Pradeep L."}],"accessed":{"date-parts":[["2026",2,16]]},"issued":{"date-parts":[["2025",4,13]]}}}],"schema":"https://github.com/citation-style-language/schema/raw/master/csl-citation.json"}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(1)</w:t>
      </w:r>
      <w:r w:rsidR="00D22C8F">
        <w:rPr>
          <w:rFonts w:ascii="Times New Roman" w:hAnsi="Times New Roman" w:cs="Times New Roman"/>
        </w:rPr>
        <w:fldChar w:fldCharType="end"/>
      </w:r>
      <w:r w:rsidRPr="007E7C56">
        <w:rPr>
          <w:rFonts w:ascii="Times New Roman" w:hAnsi="Times New Roman" w:cs="Times New Roman"/>
        </w:rPr>
        <w:t xml:space="preserve">. E-waste is now the fastest-growing solid waste stream globally, driven by shortened product lifespans, planned obsolescence, and expanding consumer markets. Recent estimates indicate that </w:t>
      </w:r>
      <w:r w:rsidRPr="007E7C56">
        <w:rPr>
          <w:rFonts w:ascii="Times New Roman" w:hAnsi="Times New Roman" w:cs="Times New Roman"/>
        </w:rPr>
        <w:lastRenderedPageBreak/>
        <w:t xml:space="preserve">tens of millions of metric </w:t>
      </w:r>
      <w:proofErr w:type="spellStart"/>
      <w:r w:rsidRPr="007E7C56">
        <w:rPr>
          <w:rFonts w:ascii="Times New Roman" w:hAnsi="Times New Roman" w:cs="Times New Roman"/>
        </w:rPr>
        <w:t>tonnes</w:t>
      </w:r>
      <w:proofErr w:type="spellEnd"/>
      <w:r w:rsidRPr="007E7C56">
        <w:rPr>
          <w:rFonts w:ascii="Times New Roman" w:hAnsi="Times New Roman" w:cs="Times New Roman"/>
        </w:rPr>
        <w:t xml:space="preserve"> of e-waste are generated annually, with projections showing continued growth as digitalization intensifies across all sectors of society. Despite its high material value, e-waste remains predominantly managed through linear systems of production, consumption, and disposal, resulting in substantial environmental leakage and lost economic opportunity</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{"citationID":"d85JEzGq","properties":{"formattedCitation":"(2,3)","plainCitation":"(2,3)","noteIndex":0},"citationItems":[{"id":14790,"uris":["http://zotero.org/users/16652950/items/IWC92V8S"],"itemData":{"id":14790,"type":"webpage","title":"Electronic waste (e-waste)","URL":"https://www.who.int/news-room/fact-sheets/detail/electronic-waste-(e-waste)","accessed":{"date-parts":[["2026",2,16]]}}},{"id":14792,"uris":["http://zotero.org/users/16652950/items/4QZ3MXBG"],"itemData":{"id":14792,"type":"article-journal","abstract":"Waste from electrical and electronic equipment exponentially increased due to the innovation and the ever-increasing demand for electronic products in our life. The quantities of electronic waste (e-waste) produced are expected to reach 44.4 million metric tons over the next five years. Consequently, the global market for electronics recycling is expected to reach $65.8 billion by 2026. However, electronic waste management in developing countries is not appropriately handled, as only 17.4% has been collected and recycled. The inadequate electronic waste treatment causes significant environmental and health issues and a systematic depletion of natural resources in secondary material recycling and extracting valuable materials. Electronic waste contains numerous valuable materials that can be recovered and reused to create renewable energy technologies to overcome the shortage of raw materials and the adverse effects of using non-renewable energy resources. Several approaches were devoted to mitigate the impact of climate change. The cooperate social responsibilities supported integrating informal collection and recycling agencies into a well-structured management program. Moreover, the emission reductions resulting from recycling and proper management systems significantly impact climate change solutions. This emission reduction will create a channel in carbon market mechanisms by trading the CO2 emission reductions. This review provides an up-to-date overview and discussion of the different categories of electronic waste, the recycling methods, and the use of high recycled value-added (HAV) materials from various e-waste components in green renewable energy technologies.","container-title":"Environment, Development and Sustainability","DOI":"10.1007/s10668-023-02925-7","ISSN":"1387-585X","journalAbbreviation":"Environ Dev Sustain","note":"PMID: 36691418\nPMCID: PMC9848041","page":"1-36","source":"PubMed Central","title":"E-waste recycled materials as efficient catalysts for renewable energy technologies and better environmental sustainability","author":[{"family":"Seif","given":"Rania"},{"family":"Salem","given":"Fatma Zakaria"},{"family":"Allam","given":"Nageh K."}],"issued":{"date-parts":[["2023",1,18]]}}}],"schema":"https://github.com/citation-style-language/schema/raw/master/csl-citation.json"}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(2,3)</w:t>
      </w:r>
      <w:r w:rsidR="00D22C8F">
        <w:rPr>
          <w:rFonts w:ascii="Times New Roman" w:hAnsi="Times New Roman" w:cs="Times New Roman"/>
        </w:rPr>
        <w:fldChar w:fldCharType="end"/>
      </w:r>
      <w:r w:rsidRPr="007E7C56">
        <w:rPr>
          <w:rFonts w:ascii="Times New Roman" w:hAnsi="Times New Roman" w:cs="Times New Roman"/>
        </w:rPr>
        <w:t>.</w:t>
      </w:r>
    </w:p>
    <w:p w14:paraId="7093D61D"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global e-waste economy is deeply asymmetric. While high-income countries generate the majority of discarded electronics, low- and middle-income countries (LMICs) disproportionately absorb the environmental and health consequences of their disposal. Through a combination of legal trade in second-hand electronics and illegal transboundary dumping, large volumes of end-of-life devices are exported to LMICs, where regulatory oversight, waste infrastructure, and occupational protections are often limited. In these settings, e-waste processing is frequently undertaken by informal actors using rudimentary methods such as open burning, manual dismantling, and acid leaching to recover valuable metals. These practices release toxic substances</w:t>
      </w:r>
      <w:r w:rsidR="00D22C8F">
        <w:rPr>
          <w:rFonts w:ascii="Times New Roman" w:hAnsi="Times New Roman" w:cs="Times New Roman"/>
        </w:rPr>
        <w:t xml:space="preserve"> </w:t>
      </w:r>
      <w:r w:rsidRPr="007E7C56">
        <w:rPr>
          <w:rFonts w:ascii="Times New Roman" w:hAnsi="Times New Roman" w:cs="Times New Roman"/>
        </w:rPr>
        <w:t>including heavy metals and persistent organic pollutants</w:t>
      </w:r>
      <w:r w:rsidR="00D22C8F">
        <w:rPr>
          <w:rFonts w:ascii="Times New Roman" w:hAnsi="Times New Roman" w:cs="Times New Roman"/>
        </w:rPr>
        <w:t xml:space="preserve"> </w:t>
      </w:r>
      <w:r w:rsidRPr="007E7C56">
        <w:rPr>
          <w:rFonts w:ascii="Times New Roman" w:hAnsi="Times New Roman" w:cs="Times New Roman"/>
        </w:rPr>
        <w:t>into surrounding air, soil, and water, contaminating ecosystems and human settlements alike</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{"citationID":"0aAkF6IH","properties":{"formattedCitation":"(4)","plainCitation":"(4)","noteIndex":0},"citationItems":[{"id":14795,"uris":["http://zotero.org/users/16652950/items/GFEC2QF7"],"itemData":{"id":14795,"type":"article-journal","abstract":"The volume of e-waste generated worldwide is surging, and it is set to escalate further due to continuing technological innovation and the early obsol...","container-title":"Sustainability","DOI":"10.3390/su151310405","ISSN":"2071-1050","issue":"13","language":"en","license":"http://creativecommons.org/licenses/by/3.0/","note":"Company: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Consequences of E-Waste Dumping and Recycling Carried out by Selected Countries in Asia and Latin America","URL":"https://www.mdpi.com/2071-1050/15/13/10405","volume":"15","author":[{"family":"Andeobu","given":"Lynda"},{"family":"Wibowo","given":"Santoso"},{"family":"Grandhi","given":"Srimannarayana"}],"accessed":{"date-parts":[["2026",2,16]]},"issued":{"date-parts":[["2023",6,30]]}}}],"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(4)</w:t>
      </w:r>
      <w:r w:rsidR="00D22C8F">
        <w:rPr>
          <w:rFonts w:ascii="Times New Roman" w:hAnsi="Times New Roman" w:cs="Times New Roman"/>
        </w:rPr>
        <w:fldChar w:fldCharType="end"/>
      </w:r>
      <w:r w:rsidRPr="007E7C56">
        <w:rPr>
          <w:rFonts w:ascii="Times New Roman" w:hAnsi="Times New Roman" w:cs="Times New Roman"/>
        </w:rPr>
        <w:t>.</w:t>
      </w:r>
    </w:p>
    <w:p w14:paraId="728A04D4"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burden of exposure in LMICs is neither evenly distributed nor accidental. Informal recyclers, often operating without protective equipment or health surveillance, face chronic occupational exposure, while surrounding communities experience secondary contamination through food, water, and ambient air</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{"citationID":"dq1iS7GJ","properties":{"formattedCitation":"(5)","plainCitation":"(5)","noteIndex":0},"citationItems":[{"id":14797,"uris":["http://zotero.org/users/16652950/items/GGQ9AZU9"],"itemData":{"id":14797,"type":"article-journal","abstract":"Exposure to high levels of harmful agents in the workplace can significantly impact workers’ health, contributing to morbidity and mortality. Levels of these exposures are often measured in high-income countries in research studies and, in some places, to monitor levels in line with health and safety regulations. However, less is known about workplace exposure levels in low- and middle-income countries (LMICs). Our aim was to describe the quantitative exposure measurements of different occupational agents across industries within LMICs. We conducted a scoping review of peer-reviewed publications available on Web of Science and PubMed from inception to 1 September 2023. Our search focused on quantitative occupational exposure measurements across industries in LMICs. We identified a total of 8,676 publications. After screening, 58 studies from 25 countries were retained for final review. China, Iran, and Tanzania contributed the greatest number of studies. Manufacturing, mining, and agriculture were the most studied sectors, with factory workers and miners being the most common job titles. Exposure measurements included vapour, gases, dust, and fumes (VGDF), solvents, metals, pesticides and particulate matter. Occupational exposure levels for the same industry varied widely across geographical regions. This review provides a comprehensive overview of occupational exposures in LMICs and highlights the absence of data in certain geographical areas and industries. The study contributes valuable insights for directing future research, and the need to optimise the assessment of occupational exposures in LMICs with the aim ultimately of reducing disease.","container-title":"PLOS Global Public Health","DOI":"10.1371/journal.pgph.0003888","ISSN":"2767-3375","issue":"11","journalAbbreviation":"PLOS Glob Public Health","note":"PMID: 39546491\nPMCID: PMC11567621","page":"e0003888","source":"PubMed Central","title":"Occupational exposures in low- and middle-income countries: A scoping review","title-short":"Occupational exposures in low- and middle-income countries","volume":"4","author":[{"family":"Quintero Santofimio","given":"Valentina"},{"family":"Amaral","given":"Andre F. S."},{"family":"Feary","given":"Johanna"}],"issued":{"date-parts":[["2024",11,15]]}}}],"schema":"https://github.com/citation-style-language/schema/raw/master/csl-citation.json"}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(5)</w:t>
      </w:r>
      <w:r w:rsidR="00D22C8F">
        <w:rPr>
          <w:rFonts w:ascii="Times New Roman" w:hAnsi="Times New Roman" w:cs="Times New Roman"/>
        </w:rPr>
        <w:fldChar w:fldCharType="end"/>
      </w:r>
      <w:r w:rsidRPr="007E7C56">
        <w:rPr>
          <w:rFonts w:ascii="Times New Roman" w:hAnsi="Times New Roman" w:cs="Times New Roman"/>
        </w:rPr>
        <w:t>. Children are particularly vulnerable, with evidence linking e-waste-related exposures to impaired neurodevelopment, respiratory illness, and long-term metabolic and reproductive effects. Women, especially those engaged in informal sorting or residing near recycling sites, face compounded risks during pregnancy and early child development</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{"citationID":"OiDzKprX","properties":{"formattedCitation":"(6)","plainCitation":"(6)","noteIndex":0},"citationItems":[{"id":14800,"uris":["http://zotero.org/users/16652950/items/ERQ7DF3M"],"itemData":{"id":14800,"type":"article-journal","abstract":"Electronic waste (e-waste) contains numerous chemicals harmful to human and ecological health. To update a 2013 review assessing adverse human health consequences of exposure to e-waste, we systematically reviewed studies reporting effects on humans related to e-waste exposure. We searched EMBASE, PsycNET, Web of Science, CINAHL, and PubMed for articles published between Dec 18, 2012, and Jan 28, 2020, restricting our search to publications in English. Of the 5645 records identified, we included 70 studies that met the preset criteria. People living in e-waste exposed regions had significantly elevated levels of heavy metals and persistent organic pollutants. Children and pregnant women were especially susceptible during the critical periods of exposure that detrimentally affect diverse biological systems and organs. Elevated toxic chemicals negatively impact on neonatal growth indices and hormone level alterations in e-waste exposed populations. We recorded possible connections between chronic exposure to e-waste and DNA lesions, telomere attrition, inhibited vaccine responsiveness, elevated oxidative stress, and altered immune function. The existence of various toxic chemicals in e-waste recycling areas impose plausible adverse health outcomes. Novel cost-effective methods for safe recycling operations need to be employed in e-waste sites to ensure the health and safety of vulnerable populations.","container-title":"The Lancet. Planetary Health","DOI":"10.1016/S2542-5196(21)00263-1","ISSN":"2542-5196","issue":"12","journalAbbreviation":"Lancet Planet Health","note":"PMID: 34895498\nPMCID: PMC8674120","page":"e905-e920","source":"PubMed Central","title":"Health consequences of exposure to e-waste: an updated systematic review","title-short":"Health consequences of exposure to e-waste","volume":"5","author":[{"family":"Parvez","given":"Sarker M"},{"family":"Jahan","given":"Farjana"},{"family":"Brune","given":"Marie-Noel"},{"family":"Gorman","given":"Julia F"},{"family":"Rahman","given":"Musarrat J"},{"family":"Carpenter","given":"David"},{"family":"Islam","given":"Zahir"},{"family":"Rahman","given":"Mahbubur"},{"family":"Aich","given":"Nirupam"},{"family":"Knibbs","given":"Luke D"},{"family":"Sly","given":"Peter D"}],"issued":{"date-parts":[["2021",12,8]]}}}],"schema":"https://github.com/citation-style-language/schema/raw/master/csl-citation.json"}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(6)</w:t>
      </w:r>
      <w:r w:rsidR="00D22C8F">
        <w:rPr>
          <w:rFonts w:ascii="Times New Roman" w:hAnsi="Times New Roman" w:cs="Times New Roman"/>
        </w:rPr>
        <w:fldChar w:fldCharType="end"/>
      </w:r>
      <w:r w:rsidRPr="007E7C56">
        <w:rPr>
          <w:rFonts w:ascii="Times New Roman" w:hAnsi="Times New Roman" w:cs="Times New Roman"/>
        </w:rPr>
        <w:t>. These patterns reflect broader environmental justice concerns, whereby populations contributing least to global electronic consumption bear the greatest health costs</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{"citationID":"w1U99wqb","properties":{"formattedCitation":"(7)","plainCitation":"(7)","noteIndex":0},"citationItems":[{"id":14802,"uris":["http://zotero.org/users/16652950/items/EU7IGE3C"],"itemData":{"id":14802,"type":"webpage","abstract":"Electronic and electrical waste (e-waste) is the fastest growing solid waste stream in the world.","language":"en","title":"E-waste and Child Health","URL":"https://www.who.int/news-room/facts-in-pictures/detail/e-waste-and-child-health","accessed":{"date-parts":[["2026",2,16]]}}}],"schema":"https://github.com/citation-style-language/schema/raw/master/csl-citation.json"}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(7)</w:t>
      </w:r>
      <w:r w:rsidR="00D22C8F">
        <w:rPr>
          <w:rFonts w:ascii="Times New Roman" w:hAnsi="Times New Roman" w:cs="Times New Roman"/>
        </w:rPr>
        <w:fldChar w:fldCharType="end"/>
      </w:r>
      <w:r w:rsidRPr="007E7C56">
        <w:rPr>
          <w:rFonts w:ascii="Times New Roman" w:hAnsi="Times New Roman" w:cs="Times New Roman"/>
        </w:rPr>
        <w:t>.</w:t>
      </w:r>
    </w:p>
    <w:p w14:paraId="33E8213E"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Despite increasing global awareness of e-waste as an environmental challenge, policy and research responses have remained fragmented. Environmental governance frameworks have largely focused on waste volumes, material recovery rates, and compliance with international conventions, while public health research has often examined exposure and disease outcomes in isolation from upstream economic and policy drivers</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{"citationID":"O0IOUI4I","properties":{"formattedCitation":"(8)","plainCitation":"(8)","noteIndex":0},"citationItems":[{"id":14804,"uris":["http://zotero.org/users/16652950/items/3CEYH82E"],"itemData":{"id":14804,"type":"article-journal","abstract":"E-Waste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(8)</w:t>
      </w:r>
      <w:r w:rsidR="00D22C8F">
        <w:rPr>
          <w:rFonts w:ascii="Times New Roman" w:hAnsi="Times New Roman" w:cs="Times New Roman"/>
        </w:rPr>
        <w:fldChar w:fldCharType="end"/>
      </w:r>
      <w:r w:rsidRPr="007E7C56">
        <w:rPr>
          <w:rFonts w:ascii="Times New Roman" w:hAnsi="Times New Roman" w:cs="Times New Roman"/>
        </w:rPr>
        <w:t>. At the same time, circular economy approaches</w:t>
      </w:r>
      <w:r w:rsidR="00D22C8F">
        <w:rPr>
          <w:rFonts w:ascii="Times New Roman" w:hAnsi="Times New Roman" w:cs="Times New Roman"/>
        </w:rPr>
        <w:t xml:space="preserve"> </w:t>
      </w:r>
      <w:r w:rsidRPr="007E7C56">
        <w:rPr>
          <w:rFonts w:ascii="Times New Roman" w:hAnsi="Times New Roman" w:cs="Times New Roman"/>
        </w:rPr>
        <w:t>promoted as solutions to resource depletion and waste accumulation</w:t>
      </w:r>
      <w:r w:rsidR="00D22C8F">
        <w:rPr>
          <w:rFonts w:ascii="Times New Roman" w:hAnsi="Times New Roman" w:cs="Times New Roman"/>
        </w:rPr>
        <w:t xml:space="preserve"> </w:t>
      </w:r>
      <w:r w:rsidRPr="007E7C56">
        <w:rPr>
          <w:rFonts w:ascii="Times New Roman" w:hAnsi="Times New Roman" w:cs="Times New Roman"/>
        </w:rPr>
        <w:t>have primarily emphasized efficiency, recycling, and value retention, frequently overlooking health protection and equity considerations. As a result, circular economy interventions in LMICs risk reproducing existing harms if they prioritize material recovery without addressing unsafe labor conditions, informal sector realities, and exposure reduction</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{"citationID":"HlvuWX80","properties":{"formattedCitation":"(9)","plainCitation":"(9)","noteIndex":0},"citationItems":[{"id":14807,"uris":["http://zotero.org/users/16652950/items/ZCMF6KGE"],"itemData":{"id":14807,"type":"article-journal","abstract":"The rapid growth of industrialization and urbanization has led to an unprecedented rise in solid waste generation, posing significant environmental and energy challenges. Integrating circular economy (CE) principles into wasteto-energy (WTE) systems offers a sustainable pathway to address these issues by transforming waste streams into valuable energy resources while minimizing material loss. This paper explores the interconnection between CE and WTE approaches, emphasizing the transition from a traditional linear “take–make–dispose” model to a regenerative “reduce–reuse–recover” framework. It critically analyzes current WTE technologies such as incineration, anaerobic digestion, and gasification, highlighting their potential to contribute to energy recovery, emission reduction, and resource efficiency. The study also identifies key challenges—including technological limitations, policy gaps, economic feasibility, and public acceptance—that hinder large-scale CE integration in WTE projects. Furthermore, it discusses opportunities for innovation through advanced material recovery, digital monitoring systems, and hybrid renewable energy networks. The findings underscore the need for holistic policy interventions, life-cycle assessments, and circular business models to enhance the sustainability of waste-toenergy initiatives. Ultimately, this paper contributes to advancing sustainable development goals (SDGs) by promoting an integrated framework that aligns energy generation with environmental stewardship and circular resource management.","container-title":"Energy Systems","language":"en","source":"Zotero","title":"Integrating Circular Economy Principles In Waste-To- Energy Systems: Challenges And Opportunities For Sustainable Development","author":[{"family":"Bezawada","given":"Vinuthna"},{"family":"Yedelli","given":"Avinash"}]}}],"schema":"https://github.com/citation-style-language/schema/raw/master/csl-citation.json"}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(9)</w:t>
      </w:r>
      <w:r w:rsidR="00D22C8F">
        <w:rPr>
          <w:rFonts w:ascii="Times New Roman" w:hAnsi="Times New Roman" w:cs="Times New Roman"/>
        </w:rPr>
        <w:fldChar w:fldCharType="end"/>
      </w:r>
      <w:r w:rsidRPr="007E7C56">
        <w:rPr>
          <w:rFonts w:ascii="Times New Roman" w:hAnsi="Times New Roman" w:cs="Times New Roman"/>
        </w:rPr>
        <w:t>.</w:t>
      </w:r>
    </w:p>
    <w:p w14:paraId="6B501479"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 xml:space="preserve">This disconnect reveals a critical gap at the intersection of environmental sustainability, public health, and development. There is a pressing need for integrated frameworks that conceptualize e-waste not only as a material flow problem but also as a determinant of environmental and population health. In LMIC contexts, where informality dominates e-waste management systems, </w:t>
      </w:r>
      <w:r w:rsidRPr="007E7C56">
        <w:rPr>
          <w:rFonts w:ascii="Times New Roman" w:hAnsi="Times New Roman" w:cs="Times New Roman"/>
        </w:rPr>
        <w:lastRenderedPageBreak/>
        <w:t>effective solutions must reconcile economic livelihoods with health protection, regulatory feasibility, and social inclusion. Moreover, responsibility for e-waste harms cannot be localized solely within LMICs; global production, consumption, and design decisions play a decisive role in shaping downstream risks</w:t>
      </w:r>
      <w:r w:rsidR="00D22C8F">
        <w:rPr>
          <w:rFonts w:ascii="Times New Roman" w:hAnsi="Times New Roman" w:cs="Times New Roman"/>
        </w:rPr>
        <w:fldChar w:fldCharType="begin"/>
      </w:r>
      <w:r w:rsidR="00D22C8F">
        <w:rPr>
          <w:rFonts w:ascii="Times New Roman" w:hAnsi="Times New Roman" w:cs="Times New Roman"/>
        </w:rPr>
        <w:instrText xml:space="preserve"> ADDIN ZOTERO_ITEM CSL_CITATION {"citationID":"j5yvuMh8","properties":{"formattedCitation":"(10)","plainCitation":"(10)","noteIndex":0},"citationItems":[{"id":14808,"uris":["http://zotero.org/users/16652950/items/I6CVSPVD"],"itemData":{"id":14808,"type":"article-journal","abstract":"Electronic waste (e-waste) refers to discarded or obsolete electronic and electrical equipment that poses serious environmental, social, and health challenges globally. In Ghana, these challenges are...","container-title":"Geo: Geography and Environment","DOI":"10.1002/geo2.70032","ISSN":"2054-4049","issue":"2","language":"en","note":"publisher: John Wiley &amp; Sons, Ltd","page":"e70032","source":"rgs-ibg.onlinelibrary.wiley.com","title":"Electronic waste and environmental sustainability in Ghana: Aligning national policies with the sustainable development goals","title-short":"Electronic waste and environmental sustainability in Ghana","volume":"12","author":[{"family":"Adom","given":"Richard Kwame"},{"family":"Simatele","given":"Mulala Danny"}],"issued":{"date-parts":[["2025",7,1]]}}}],"schema":"https://github.com/citation-style-language/schema/raw/master/csl-citation.json"} </w:instrText>
      </w:r>
      <w:r w:rsidR="00D22C8F">
        <w:rPr>
          <w:rFonts w:ascii="Times New Roman" w:hAnsi="Times New Roman" w:cs="Times New Roman"/>
        </w:rPr>
        <w:fldChar w:fldCharType="separate"/>
      </w:r>
      <w:r w:rsidR="00D22C8F" w:rsidRPr="00D22C8F">
        <w:rPr>
          <w:rFonts w:ascii="Times New Roman" w:hAnsi="Times New Roman" w:cs="Times New Roman"/>
        </w:rPr>
        <w:t>(10)</w:t>
      </w:r>
      <w:r w:rsidR="00D22C8F">
        <w:rPr>
          <w:rFonts w:ascii="Times New Roman" w:hAnsi="Times New Roman" w:cs="Times New Roman"/>
        </w:rPr>
        <w:fldChar w:fldCharType="end"/>
      </w:r>
      <w:r w:rsidRPr="007E7C56">
        <w:rPr>
          <w:rFonts w:ascii="Times New Roman" w:hAnsi="Times New Roman" w:cs="Times New Roman"/>
        </w:rPr>
        <w:t>.</w:t>
      </w:r>
    </w:p>
    <w:p w14:paraId="7A2E54B3"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This review addresses these gaps by synthesizing evidence on e-waste generation, environmental contamination pathways, and health impacts in LMICs through the lens of a health-centered circular economy. We advance the argument that closing the e-waste loop must be understood as a preventive public health intervention as much as an environmental or economic strategy. By integrating insights from environmental science, epidemiology, policy analysis, and circular economy scholarship, we propose an equity-informed framework for mitigating e-waste-related risks while supporting sustainable development.</w:t>
      </w:r>
    </w:p>
    <w:p w14:paraId="5E7442D9" w14:textId="77777777" w:rsidR="007E7C56" w:rsidRPr="007E7C56" w:rsidRDefault="007E7C56" w:rsidP="00F233BD">
      <w:pPr>
        <w:jc w:val="both"/>
        <w:rPr>
          <w:rFonts w:ascii="Times New Roman" w:hAnsi="Times New Roman" w:cs="Times New Roman"/>
        </w:rPr>
      </w:pPr>
      <w:r w:rsidRPr="007E7C56">
        <w:rPr>
          <w:rFonts w:ascii="Times New Roman" w:hAnsi="Times New Roman" w:cs="Times New Roman"/>
        </w:rPr>
        <w:t>The remainder of this article is structured as follows. We first present a conceptual framework linking e-waste flows, circular economy interventions, exposure pathways, and health outcomes in LMICs. We then examine environmental contamination mechanisms and associated ecological impacts, followed by a synthesis of human health evidence spanning occupational and community exposures. The role of the informal e-waste sector is critically assessed, highlighting both vulnerabilities and opportunities for inclusive transitions. We subsequently evaluate circular economy interventions and governance approaches relevant to LMIC contexts, before outlining future research and policy priorities. The article concludes by framing health-protective e-waste circularity as a global equity and planetary health imperative.</w:t>
      </w:r>
    </w:p>
    <w:p w14:paraId="2D35675C" w14:textId="77777777" w:rsidR="00F87EEE" w:rsidRPr="00F87EEE" w:rsidRDefault="00F87EEE" w:rsidP="00F233BD">
      <w:pPr>
        <w:jc w:val="both"/>
        <w:rPr>
          <w:rFonts w:ascii="Times New Roman" w:hAnsi="Times New Roman" w:cs="Times New Roman"/>
          <w:b/>
          <w:bCs/>
        </w:rPr>
      </w:pPr>
      <w:r w:rsidRPr="00F233BD">
        <w:rPr>
          <w:rFonts w:ascii="Times New Roman" w:hAnsi="Times New Roman" w:cs="Times New Roman"/>
          <w:b/>
          <w:bCs/>
        </w:rPr>
        <w:t>2</w:t>
      </w:r>
      <w:r w:rsidRPr="00F87EEE">
        <w:rPr>
          <w:rFonts w:ascii="Times New Roman" w:hAnsi="Times New Roman" w:cs="Times New Roman"/>
          <w:b/>
          <w:bCs/>
        </w:rPr>
        <w:t>. Conceptual Framework: Circular Economy, E-Waste, and Health</w:t>
      </w:r>
    </w:p>
    <w:p w14:paraId="74CAF6CE"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Conventional approaches to electronic waste management are grounded in a linear economic model characterized by extraction, production, consumption, and disposal. Within this paradigm, end-of-life electronics are treated primarily as residual waste rather than as carriers of both recoverable value and potential harm</w:t>
      </w:r>
      <w:r w:rsidR="00B73F41">
        <w:rPr>
          <w:rFonts w:ascii="Times New Roman" w:hAnsi="Times New Roman" w:cs="Times New Roman"/>
        </w:rPr>
        <w:fldChar w:fldCharType="begin"/>
      </w:r>
      <w:r w:rsidR="00B73F41">
        <w:rPr>
          <w:rFonts w:ascii="Times New Roman" w:hAnsi="Times New Roman" w:cs="Times New Roman"/>
        </w:rPr>
        <w:instrText xml:space="preserve"> ADDIN ZOTERO_ITEM CSL_CITATION {"citationID":"vajmFctj","properties":{"formattedCitation":"(11)","plainCitation":"(11)","noteIndex":0},"citationItems":[{"id":14809,"uris":["http://zotero.org/users/16652950/items/LNLD3WQ2"],"itemData":{"id":14809,"type":"article-journal","abstract":"The global generation of electronic waste (e-waste) has been increasing alarmingly, posing significant environmental and health risks. Urban mining, which involves extracting valuable resources from e-waste, has emerged as a promising solution to address these challenges and promote sustainable resource management. This study explores urban mining as a transformative practice for e-waste management, examining its alignment with sustainable development goals (SDGs) and identifying the associated challenges and opportunities. It underscores the critical importance of comprehensive regulations in effectively managing e-waste. The study aims to achieve the following specific objectives: 1) Scrutinize the state of the art of e-waste and urban mining practices, as documented in the literature; 2) Assess the relation between urban mining and circular economy; 3) Explore what kind of wastes are more explored in urban mining; 4) Examine the different case studies on urban mining; 5) Analyze data from collected documents and 6) propose a research agenda. The review synthesized 124 studies to gain insights into the effectiveness of urban mining and its potential contribution to sustainability. The findings reveal that urban mining is more frequently emphasized in the e-waste sector than in the construction sector, representing this study's essential contribution. Furthermore, the study highlights the technologies and research areas currently capturing the attention of researchers, as well as the gaps that need to be addressed in future studies. However, challenges remain, including adequate regulations, extended producer responsibility, and the inclusive participation of consumers and informal workers in urban mining. While urban mining holds significant potential to revolutionize e-waste management and contribute to sustainable resource management, realizing this potential will require robust regulatory support.","container-title":"Cleaner Waste Systems","DOI":"10.1016/j.clwas.2024.100162","ISSN":"2772-9125","journalAbbreviation":"Cleaner Waste Systems","page":"100162","source":"ScienceDirect","title":"Urban mining of e-waste management globally: Literature review","title-short":"Urban mining of e-waste management globally","volume":"9","author":[{"family":"Ouro-Salim","given":"Omar"}],"issued":{"date-parts":[["2024",12,1]]}}}],"schema":"https://github.com/citation-style-language/schema/raw/master/csl-citation.json"} </w:instrText>
      </w:r>
      <w:r w:rsidR="00B73F41">
        <w:rPr>
          <w:rFonts w:ascii="Times New Roman" w:hAnsi="Times New Roman" w:cs="Times New Roman"/>
        </w:rPr>
        <w:fldChar w:fldCharType="separate"/>
      </w:r>
      <w:r w:rsidR="00B73F41" w:rsidRPr="00B73F41">
        <w:rPr>
          <w:rFonts w:ascii="Times New Roman" w:hAnsi="Times New Roman" w:cs="Times New Roman"/>
        </w:rPr>
        <w:t>(11)</w:t>
      </w:r>
      <w:r w:rsidR="00B73F41">
        <w:rPr>
          <w:rFonts w:ascii="Times New Roman" w:hAnsi="Times New Roman" w:cs="Times New Roman"/>
        </w:rPr>
        <w:fldChar w:fldCharType="end"/>
      </w:r>
      <w:r w:rsidRPr="00F87EEE">
        <w:rPr>
          <w:rFonts w:ascii="Times New Roman" w:hAnsi="Times New Roman" w:cs="Times New Roman"/>
        </w:rPr>
        <w:t>. Linear systems externalize environmental and health costs by allowing hazardous components to leak into ecosystems and human settlements, particularly in contexts where regulatory oversight and waste infrastructure are limited</w:t>
      </w:r>
      <w:r w:rsidR="00B73F41">
        <w:rPr>
          <w:rFonts w:ascii="Times New Roman" w:hAnsi="Times New Roman" w:cs="Times New Roman"/>
        </w:rPr>
        <w:fldChar w:fldCharType="begin"/>
      </w:r>
      <w:r w:rsidR="00B73F41">
        <w:rPr>
          <w:rFonts w:ascii="Times New Roman" w:hAnsi="Times New Roman" w:cs="Times New Roman"/>
        </w:rPr>
        <w:instrText xml:space="preserve"> ADDIN ZOTERO_ITEM CSL_CITATION {"citationID":"zzSnuUSu","properties":{"formattedCitation":"(12)","plainCitation":"(12)","noteIndex":0},"citationItems":[{"id":14811,"uris":["http://zotero.org/users/16652950/items/8ZCRXX74"],"itemData":{"id":14811,"type":"article-journal","abstract":"Zero waste management is a holistic concept that recognizes waste both as a resource and a measure of the inefficiency of our modern society. While th...","container-title":"Sustainability","DOI":"10.3390/su15031998","ISSN":"2071-1050","issue":"3","language":"en","license":"http://creativecommons.org/licenses/by/3.0/","note":"Company: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Paradigm of Circular Economy and an Effective Electronic Waste Management","URL":"https://www.mdpi.com/2071-1050/15/3/1998","volume":"15","author":[{"family":"Ali","given":"Saidia"},{"family":"Shirazi","given":"Farid"}],"accessed":{"date-parts":[["2026",2,16]]},"issued":{"date-parts":[["2023",1,19]]}}}],"schema":"https://github.com/citation-style-language/schema/raw/master/csl-citation.json"} </w:instrText>
      </w:r>
      <w:r w:rsidR="00B73F41">
        <w:rPr>
          <w:rFonts w:ascii="Times New Roman" w:hAnsi="Times New Roman" w:cs="Times New Roman"/>
        </w:rPr>
        <w:fldChar w:fldCharType="separate"/>
      </w:r>
      <w:r w:rsidR="00B73F41" w:rsidRPr="00B73F41">
        <w:rPr>
          <w:rFonts w:ascii="Times New Roman" w:hAnsi="Times New Roman" w:cs="Times New Roman"/>
        </w:rPr>
        <w:t>(12)</w:t>
      </w:r>
      <w:r w:rsidR="00B73F41">
        <w:rPr>
          <w:rFonts w:ascii="Times New Roman" w:hAnsi="Times New Roman" w:cs="Times New Roman"/>
        </w:rPr>
        <w:fldChar w:fldCharType="end"/>
      </w:r>
      <w:r w:rsidRPr="00F87EEE">
        <w:rPr>
          <w:rFonts w:ascii="Times New Roman" w:hAnsi="Times New Roman" w:cs="Times New Roman"/>
        </w:rPr>
        <w:t>. In low- and middle-income countries (LMICs), this linearity is reinforced by global trade asymmetries, whereby discarded electronics from high-income economies are transferred downstream with little accountability for their eventual environmental and health impacts</w:t>
      </w:r>
      <w:r w:rsidR="00B73F41">
        <w:rPr>
          <w:rFonts w:ascii="Times New Roman" w:hAnsi="Times New Roman" w:cs="Times New Roman"/>
        </w:rPr>
        <w:fldChar w:fldCharType="begin"/>
      </w:r>
      <w:r w:rsidR="00B73F41">
        <w:rPr>
          <w:rFonts w:ascii="Times New Roman" w:hAnsi="Times New Roman" w:cs="Times New Roman"/>
        </w:rPr>
        <w:instrText xml:space="preserve"> ADDIN ZOTERO_ITEM CSL_CITATION {"citationID":"vF6Itadl","properties":{"formattedCitation":"(13)","plainCitation":"(13)","noteIndex":0},"citationItems":[{"id":14813,"uris":["http://zotero.org/users/16652950/items/PNFHLAWJ"],"itemData":{"id":14813,"type":"article-journal","abstract":"Electronic waste (e-waste) is a rapidly developing environmental problem particularly for the most developed countries. There are technological soluti...","container-title":"Sustainability","DOI":"10.3390/su13095302","ISSN":"2071-1050","issue":"9","language":"en","license":"http://creativecommons.org/licenses/by/3.0/","note":"Company: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publisher","source":"www.mdpi.com","title":"Electronic Waste, an Environmental Problem Exported to Developing Countries: The GOOD, the BAD and the UGLY","title-short":"Electronic Waste, an Environmental Problem Exported to Developing Countries","URL":"https://www.mdpi.com/2071-1050/13/9/5302","volume":"13","author":[{"family":"Abalansa","given":"Samuel"},{"family":"Mahrad","given":"Badr El"},{"family":"Icely","given":"John"},{"family":"Newton","given":"Alice"}],"accessed":{"date-parts":[["2026",2,16]]},"issued":{"date-parts":[["2021",5,9]]}}}],"schema":"https://github.com/citation-style-language/schema/raw/master/csl-citation.json"} </w:instrText>
      </w:r>
      <w:r w:rsidR="00B73F41">
        <w:rPr>
          <w:rFonts w:ascii="Times New Roman" w:hAnsi="Times New Roman" w:cs="Times New Roman"/>
        </w:rPr>
        <w:fldChar w:fldCharType="separate"/>
      </w:r>
      <w:r w:rsidR="00B73F41" w:rsidRPr="00B73F41">
        <w:rPr>
          <w:rFonts w:ascii="Times New Roman" w:hAnsi="Times New Roman" w:cs="Times New Roman"/>
        </w:rPr>
        <w:t>(13)</w:t>
      </w:r>
      <w:r w:rsidR="00B73F41">
        <w:rPr>
          <w:rFonts w:ascii="Times New Roman" w:hAnsi="Times New Roman" w:cs="Times New Roman"/>
        </w:rPr>
        <w:fldChar w:fldCharType="end"/>
      </w:r>
      <w:r w:rsidRPr="00F87EEE">
        <w:rPr>
          <w:rFonts w:ascii="Times New Roman" w:hAnsi="Times New Roman" w:cs="Times New Roman"/>
        </w:rPr>
        <w:t>.</w:t>
      </w:r>
    </w:p>
    <w:p w14:paraId="296B3A7E"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 xml:space="preserve">In contrast, the circular economy reframes e-waste as part of a closed-loop system in which materials, components, and products are retained at their highest possible value for as long as feasible. Circular strategies encompass upstream design interventions, such as durability, modularity, and design for disassembly; midstream practices including repair, reuse, and refurbishment; and downstream processes focused on safe recycling and material recovery. While circular economy models have gained prominence as tools for resource efficiency and waste reduction, their application to e-waste has often prioritized economic and material outcomes over human health considerations. As a result, circularity has sometimes been operationalized in ways </w:t>
      </w:r>
      <w:r w:rsidRPr="00F87EEE">
        <w:rPr>
          <w:rFonts w:ascii="Times New Roman" w:hAnsi="Times New Roman" w:cs="Times New Roman"/>
        </w:rPr>
        <w:lastRenderedPageBreak/>
        <w:t>that increase recycling intensity without adequately addressing exposure risks, particularly in informal processing environments</w:t>
      </w:r>
      <w:r w:rsidR="002A7AEB">
        <w:rPr>
          <w:rFonts w:ascii="Times New Roman" w:hAnsi="Times New Roman" w:cs="Times New Roman"/>
        </w:rPr>
        <w:fldChar w:fldCharType="begin"/>
      </w:r>
      <w:r w:rsidR="002A7AEB">
        <w:rPr>
          <w:rFonts w:ascii="Times New Roman" w:hAnsi="Times New Roman" w:cs="Times New Roman"/>
        </w:rPr>
        <w:instrText xml:space="preserve"> ADDIN ZOTERO_ITEM CSL_CITATION {"citationID":"U0k2OJPi","properties":{"formattedCitation":"(14)","plainCitation":"(14)","noteIndex":0},"citationItems":[{"id":14815,"uris":["http://zotero.org/users/16652950/items/BMXRAGPN"],"itemData":{"id":14815,"type":"article-journal","abstract":"The circular economy (CE) encourages sustainability by shifting towards business models that prolong resource use. The quantity of waste generated by ...","container-title":"Sustainability","DOI":"10.3390/su17177700","ISSN":"2071-1050","issue":"17","language":"en","license":"http://creativecommons.org/licenses/by/3.0/","note":"Company: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publisher","source":"www.mdpi.com","title":"Circular Economy Implementation in the Electric and Electronic Equipment Industry: Challenges and Opportunities","title-short":"Circular Economy Implementation in the Electric and Electronic Equipment Industry","URL":"https://www.mdpi.com/2071-1050/17/17/7700","volume":"17","author":[{"family":"Zoka","given":"Margaret"},{"family":"Vide","given":"Romana Korez"}],"accessed":{"date-parts":[["2026",2,16]]},"issued":{"date-parts":[["2025",8,25]]}}}],"schema":"https://github.com/citation-style-language/schema/raw/master/csl-citation.json"} </w:instrText>
      </w:r>
      <w:r w:rsidR="002A7AEB">
        <w:rPr>
          <w:rFonts w:ascii="Times New Roman" w:hAnsi="Times New Roman" w:cs="Times New Roman"/>
        </w:rPr>
        <w:fldChar w:fldCharType="separate"/>
      </w:r>
      <w:r w:rsidR="002A7AEB" w:rsidRPr="002A7AEB">
        <w:rPr>
          <w:rFonts w:ascii="Times New Roman" w:hAnsi="Times New Roman" w:cs="Times New Roman"/>
        </w:rPr>
        <w:t>(14)</w:t>
      </w:r>
      <w:r w:rsidR="002A7AEB">
        <w:rPr>
          <w:rFonts w:ascii="Times New Roman" w:hAnsi="Times New Roman" w:cs="Times New Roman"/>
        </w:rPr>
        <w:fldChar w:fldCharType="end"/>
      </w:r>
      <w:r w:rsidRPr="00F87EEE">
        <w:rPr>
          <w:rFonts w:ascii="Times New Roman" w:hAnsi="Times New Roman" w:cs="Times New Roman"/>
        </w:rPr>
        <w:t>.</w:t>
      </w:r>
    </w:p>
    <w:p w14:paraId="11AFBEC8"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This review advances a health-embedded circular economy framework that explicitly integrates exposure reduction and health protection into each stage of the e-waste lifecycle. Within this framework, circular interventions are evaluated not solely on their capacity to recover materials or reduce waste volumes, but also on their ability to minimize toxic releases, interrupt exposure pathways, and protect vulnerable populations. For example, design choices that eliminate hazardous substances or facilitate non-destructive disassembly reduce downstream exposure risks, while formalized recycling processes with appropriate safeguards can substantially lower occupational and community-level health burdens. Health is thus positioned as a core performance metric of circularity rather than a secondary or incidental outcome.</w:t>
      </w:r>
    </w:p>
    <w:p w14:paraId="1E36AB51"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Equity is a central dimension of this framework, particularly in LMIC contexts where e-waste management is deeply intertwined with informal economies and social vulnerability. Informal workers often occupy the most hazardous positions within e-waste value chains while capturing only a fraction of the economic benefits. Women and children are disproportionately exposed through both occupational roles and residential proximity to recycling sites, reflecting broader patterns of environmental injustice. A health-embedded circular economy therefore requires deliberate strategies to redistribute risks and benefits, ensuring that improvements in material recovery do not come at the expense of those already bearing the greatest burdens</w:t>
      </w:r>
      <w:r w:rsidR="002A7AEB">
        <w:rPr>
          <w:rFonts w:ascii="Times New Roman" w:hAnsi="Times New Roman" w:cs="Times New Roman"/>
        </w:rPr>
        <w:fldChar w:fldCharType="begin"/>
      </w:r>
      <w:r w:rsidR="002A7AEB">
        <w:rPr>
          <w:rFonts w:ascii="Times New Roman" w:hAnsi="Times New Roman" w:cs="Times New Roman"/>
        </w:rPr>
        <w:instrText xml:space="preserve"> ADDIN ZOTERO_ITEM CSL_CITATION {"citationID":"6a62PGqr","properties":{"formattedCitation":"(8,15)","plainCitation":"(8,15)","noteIndex":0},"citationItems":[{"id":14804,"uris":["http://zotero.org/users/16652950/items/3CEYH82E"],"itemData":{"id":14804,"type":"article-journal","abstract":"E-Waste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A."}],"accessed":{"date-parts":[["2026",2,16]]},"issued":{"date-parts":[["2025",6,11]]}}},{"id":12852,"uris":["http://zotero.org/users/16652950/items/7CTE2DZF"],"itemData":{"id":12852,"type":"article-journal","abstract":"The increasing waste volumes in African cities highlight the urgent need for innovative and sustainable waste management solutions to mitigate climate change, reduce health risks, and support urban development. Rapid urbanization has exacerbated these challenges, as existing waste management systems often suffer from inefficiencies, inadequate coverage, and environmental impacts such as pollution of aquatic ecosystems. This study systematically evaluates the challenges and opportunities of integrating smart waste management technologies such as Artificial Intelligence (AI), the Internet of Things (IoT), and blockchain into waste collection and processing in African cities. Specifically, the research aims to assess the efficiency of smart waste management solutions in urban settings, identify barriers to implementing Centralized Smart Waste Management (CSWM) in African contexts, and propose a scalable framework tailored to the region's socio-economic and infrastructural conditions. Through a comprehensive review of contemporary waste management practices and global technological advancements, including case studies from South Korea and India, this study introduces a hypothetical CSWM framework. The proposed model integrates predictive waste volume sensing, real-time monitoring, and automated sorting and disposal systems to enhance operational efficiency, optimize resource utilization, and minimize environmental harm. While the CSWM framework offers economic, environmental, and social benefits, including enhanced resource recovery, job creation, and long-term cost savings, its implementation faces challenges such as infrastructure limitations, high costs, and the need for stakeholder engagement. Addressing these barriers requires collaborative efforts among governments, the private sector, and community organizations, alongside policy innovations such as tax incentives, regulatory reforms, and public-private partnerships. This study provides a structured roadmap for transitioning African cities toward efficient, resilient, and environmentally sustainable waste management systems by aligning technological advancements with sustainable policies and active stakeholder participation.","container-title":"Utilities Policy","DOI":"10.1016/j.jup.2025.101961","ISSN":"0957-1787","journalAbbreviation":"Utilities Policy","page":"101961","source":"ScienceDirect","title":"Sustainable smart waste management solutions for rapidly urbanizing African Cities","volume":"95","author":[{"family":"Atofarati","given":"Emmanuel O."},{"family":"Adogbeji","given":"Victor O."},{"family":"Enweremadu","given":"Christopher C."}],"issued":{"date-parts":[["2025",8,1]]}}}],"schema":"https://github.com/citation-style-language/schema/raw/master/csl-citation.json"} </w:instrText>
      </w:r>
      <w:r w:rsidR="002A7AEB">
        <w:rPr>
          <w:rFonts w:ascii="Times New Roman" w:hAnsi="Times New Roman" w:cs="Times New Roman"/>
        </w:rPr>
        <w:fldChar w:fldCharType="separate"/>
      </w:r>
      <w:r w:rsidR="002A7AEB" w:rsidRPr="002A7AEB">
        <w:rPr>
          <w:rFonts w:ascii="Times New Roman" w:hAnsi="Times New Roman" w:cs="Times New Roman"/>
        </w:rPr>
        <w:t>(8,15)</w:t>
      </w:r>
      <w:r w:rsidR="002A7AEB">
        <w:rPr>
          <w:rFonts w:ascii="Times New Roman" w:hAnsi="Times New Roman" w:cs="Times New Roman"/>
        </w:rPr>
        <w:fldChar w:fldCharType="end"/>
      </w:r>
      <w:r w:rsidRPr="00F87EEE">
        <w:rPr>
          <w:rFonts w:ascii="Times New Roman" w:hAnsi="Times New Roman" w:cs="Times New Roman"/>
        </w:rPr>
        <w:t>.</w:t>
      </w:r>
    </w:p>
    <w:p w14:paraId="3256FFCB"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Importantly, this framework recognizes informality not merely as a problem to be eliminated, but as a structural reality that must be engaged constructively. In many LMICs, informal e-waste workers provide essential collection and dismantling services that underpin existing recycling systems. Exclusionary formalization efforts risk undermining livelihoods and driving hazardous practices further underground. Instead, inclusive circular transitions should aim to integrate informal actors into safer, regulated systems through training, access to protective equipment, financial incentives, and participatory governance mechanisms</w:t>
      </w:r>
      <w:r w:rsidR="00AE173A">
        <w:rPr>
          <w:rFonts w:ascii="Times New Roman" w:hAnsi="Times New Roman" w:cs="Times New Roman"/>
        </w:rPr>
        <w:fldChar w:fldCharType="begin"/>
      </w:r>
      <w:r w:rsidR="00AE173A">
        <w:rPr>
          <w:rFonts w:ascii="Times New Roman" w:hAnsi="Times New Roman" w:cs="Times New Roman"/>
        </w:rPr>
        <w:instrText xml:space="preserve"> ADDIN ZOTERO_ITEM CSL_CITATION {"citationID":"cL2v3Kx8","properties":{"formattedCitation":"(8,16)","plainCitation":"(8,16)","noteIndex":0},"citationItems":[{"id":14804,"uris":["http://zotero.org/users/16652950/items/3CEYH82E"],"itemData":{"id":14804,"type":"article-journal","abstract":"E-Waste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A."}],"accessed":{"date-parts":[["2026",2,16]]},"issued":{"date-parts":[["2025",6,11]]}}},{"id":14817,"uris":["http://zotero.org/users/16652950/items/F99KFZY7"],"itemData":{"id":14817,"type":"article-journal","abstract":"Managing electronic waste (e-waste) in the Philippines is a critical challenge, no with roughly 80% handled by an informal sector using hazardous meth...","container-title":"Sustainability","DOI":"10.3390/su18041968","ISSN":"2071-1050","issue":"4","language":"en","license":"http://creativecommons.org/licenses/by/3.0/","note":"Company: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Circular Economy Approach to Developing an Efficient E-Waste Recycling Framework for Informal Recyclers in Urban Philippines","URL":"https://www.mdpi.com/2071-1050/18/4/1968","volume":"18","author":[{"family":"Kudhal","given":"Kyla"},{"family":"Barrinuevo","given":"Kathleen P."},{"family":"Saflor","given":"Charmine Sheena"},{"family":"Bernardo","given":"Ezekiel L."}],"accessed":{"date-parts":[["2026",2,16]]},"issued":{"date-parts":[["2026",2,13]]}}}],"schema":"https://github.com/citation-style-language/schema/raw/master/csl-citation.json"} </w:instrText>
      </w:r>
      <w:r w:rsidR="00AE173A">
        <w:rPr>
          <w:rFonts w:ascii="Times New Roman" w:hAnsi="Times New Roman" w:cs="Times New Roman"/>
        </w:rPr>
        <w:fldChar w:fldCharType="separate"/>
      </w:r>
      <w:r w:rsidR="00AE173A" w:rsidRPr="00AE173A">
        <w:rPr>
          <w:rFonts w:ascii="Times New Roman" w:hAnsi="Times New Roman" w:cs="Times New Roman"/>
        </w:rPr>
        <w:t>(8,16)</w:t>
      </w:r>
      <w:r w:rsidR="00AE173A">
        <w:rPr>
          <w:rFonts w:ascii="Times New Roman" w:hAnsi="Times New Roman" w:cs="Times New Roman"/>
        </w:rPr>
        <w:fldChar w:fldCharType="end"/>
      </w:r>
      <w:r w:rsidRPr="00F87EEE">
        <w:rPr>
          <w:rFonts w:ascii="Times New Roman" w:hAnsi="Times New Roman" w:cs="Times New Roman"/>
        </w:rPr>
        <w:t>.</w:t>
      </w:r>
    </w:p>
    <w:p w14:paraId="4E9FDF85" w14:textId="77777777" w:rsidR="00F87EEE" w:rsidRPr="00F87EEE" w:rsidRDefault="00F87EEE" w:rsidP="00F233BD">
      <w:pPr>
        <w:jc w:val="both"/>
        <w:rPr>
          <w:rFonts w:ascii="Times New Roman" w:hAnsi="Times New Roman" w:cs="Times New Roman"/>
        </w:rPr>
      </w:pPr>
      <w:r w:rsidRPr="00F87EEE">
        <w:rPr>
          <w:rFonts w:ascii="Times New Roman" w:hAnsi="Times New Roman" w:cs="Times New Roman"/>
        </w:rPr>
        <w:t>Figure 1 summarizes this conceptual framework by linking global e-waste flows to local processing practices, environmental contamination pathways, and health outcomes within LMICs, while highlighting points of intervention across the e-waste lifecycle. By embedding health and equity considerations into circular economy thinking, the framework provides a basis for evaluating and designing e-waste interventions that advance environmental sustainability alongside public health and social justice goals.</w:t>
      </w:r>
    </w:p>
    <w:p w14:paraId="664EC3CF" w14:textId="77777777" w:rsidR="00AD780F" w:rsidRPr="00F233BD" w:rsidRDefault="00AD780F" w:rsidP="00F233BD">
      <w:pPr>
        <w:jc w:val="both"/>
        <w:rPr>
          <w:rFonts w:ascii="Times New Roman" w:hAnsi="Times New Roman" w:cs="Times New Roman"/>
        </w:rPr>
      </w:pPr>
    </w:p>
    <w:p w14:paraId="76BADBE0" w14:textId="77777777" w:rsidR="001944B3" w:rsidRPr="00F233BD" w:rsidRDefault="00E855A9" w:rsidP="00F233BD">
      <w:pPr>
        <w:jc w:val="both"/>
        <w:rPr>
          <w:rFonts w:ascii="Times New Roman" w:hAnsi="Times New Roman" w:cs="Times New Roman"/>
        </w:rPr>
      </w:pPr>
      <w:r w:rsidRPr="00F233BD">
        <w:rPr>
          <w:rFonts w:ascii="Times New Roman" w:hAnsi="Times New Roman" w:cs="Times New Roman"/>
          <w:noProof/>
        </w:rPr>
        <w:lastRenderedPageBreak/>
        <w:drawing>
          <wp:inline distT="0" distB="0" distL="0" distR="0" wp14:anchorId="02EF4EAA" wp14:editId="31A98F00">
            <wp:extent cx="5943600" cy="3962400"/>
            <wp:effectExtent l="0" t="0" r="0" b="0"/>
            <wp:docPr id="14122042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2204283" name="Picture 1412204283"/>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79920DFE" w14:textId="77777777" w:rsidR="00E855A9" w:rsidRPr="00F233BD" w:rsidRDefault="00E855A9" w:rsidP="00F233BD">
      <w:pPr>
        <w:jc w:val="both"/>
        <w:rPr>
          <w:rFonts w:ascii="Times New Roman" w:hAnsi="Times New Roman" w:cs="Times New Roman"/>
        </w:rPr>
      </w:pPr>
    </w:p>
    <w:p w14:paraId="732FBF95" w14:textId="77777777" w:rsidR="001944B3" w:rsidRPr="00F233BD" w:rsidRDefault="001944B3" w:rsidP="00F233BD">
      <w:pPr>
        <w:jc w:val="both"/>
        <w:rPr>
          <w:rFonts w:ascii="Times New Roman" w:hAnsi="Times New Roman" w:cs="Times New Roman"/>
        </w:rPr>
      </w:pPr>
    </w:p>
    <w:p w14:paraId="09D5B024" w14:textId="77777777" w:rsidR="00E92B6F" w:rsidRPr="00E92B6F" w:rsidRDefault="00E92B6F" w:rsidP="00F233BD">
      <w:pPr>
        <w:jc w:val="both"/>
        <w:rPr>
          <w:rFonts w:ascii="Times New Roman" w:hAnsi="Times New Roman" w:cs="Times New Roman"/>
        </w:rPr>
      </w:pPr>
      <w:r w:rsidRPr="00F233BD">
        <w:rPr>
          <w:rFonts w:ascii="Times New Roman" w:hAnsi="Times New Roman" w:cs="Times New Roman"/>
          <w:b/>
          <w:bCs/>
        </w:rPr>
        <w:t xml:space="preserve">Fig 1: </w:t>
      </w:r>
      <w:r w:rsidRPr="00E92B6F">
        <w:rPr>
          <w:rFonts w:ascii="Times New Roman" w:hAnsi="Times New Roman" w:cs="Times New Roman"/>
          <w:b/>
          <w:bCs/>
        </w:rPr>
        <w:t>Circular Economy, E-Waste, and Health Equity Framework</w:t>
      </w:r>
      <w:r w:rsidRPr="00F233BD">
        <w:rPr>
          <w:rFonts w:ascii="Times New Roman" w:hAnsi="Times New Roman" w:cs="Times New Roman"/>
        </w:rPr>
        <w:t xml:space="preserve">. </w:t>
      </w:r>
      <w:r w:rsidRPr="00E92B6F">
        <w:rPr>
          <w:rFonts w:ascii="Times New Roman" w:hAnsi="Times New Roman" w:cs="Times New Roman"/>
        </w:rPr>
        <w:t>This figure contrasts the linear “take–make–waste” model with a health-embedded circular economy approach. It highlights how reduce, reuse, recycle, and recover strategies can minimize e-waste, protect environmental and human health, and promote equitable outcomes</w:t>
      </w:r>
      <w:r w:rsidR="003269B2">
        <w:rPr>
          <w:rFonts w:ascii="Times New Roman" w:hAnsi="Times New Roman" w:cs="Times New Roman"/>
        </w:rPr>
        <w:t xml:space="preserve"> </w:t>
      </w:r>
      <w:r w:rsidRPr="00E92B6F">
        <w:rPr>
          <w:rFonts w:ascii="Times New Roman" w:hAnsi="Times New Roman" w:cs="Times New Roman"/>
        </w:rPr>
        <w:t>particularly in low- and middle-income countries (LMICs).</w:t>
      </w:r>
    </w:p>
    <w:p w14:paraId="65D3160A" w14:textId="77777777" w:rsidR="001944B3" w:rsidRPr="00F233BD" w:rsidRDefault="001944B3" w:rsidP="00F233BD">
      <w:pPr>
        <w:jc w:val="both"/>
        <w:rPr>
          <w:rFonts w:ascii="Times New Roman" w:hAnsi="Times New Roman" w:cs="Times New Roman"/>
        </w:rPr>
      </w:pPr>
    </w:p>
    <w:p w14:paraId="6E0169FA" w14:textId="77777777" w:rsidR="001944B3" w:rsidRPr="001944B3" w:rsidRDefault="001944B3" w:rsidP="00F233BD">
      <w:pPr>
        <w:jc w:val="both"/>
        <w:rPr>
          <w:rFonts w:ascii="Times New Roman" w:hAnsi="Times New Roman" w:cs="Times New Roman"/>
          <w:b/>
          <w:bCs/>
        </w:rPr>
      </w:pPr>
      <w:r w:rsidRPr="00F233BD">
        <w:rPr>
          <w:rFonts w:ascii="Times New Roman" w:hAnsi="Times New Roman" w:cs="Times New Roman"/>
        </w:rPr>
        <w:t>3</w:t>
      </w:r>
      <w:r w:rsidRPr="001944B3">
        <w:rPr>
          <w:rFonts w:ascii="Times New Roman" w:hAnsi="Times New Roman" w:cs="Times New Roman"/>
          <w:b/>
          <w:bCs/>
        </w:rPr>
        <w:t>. Environmental Pathways and Ecological Impacts</w:t>
      </w:r>
    </w:p>
    <w:p w14:paraId="474B8EAF"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Electronic waste constitutes a complex mixture of hazardous substances that, when improperly managed, are released into surrounding environments through multiple, interconnected pathways. In low- and middle-income countries (LMICs), where informal processing dominates e-waste handling, environmental contamination is driven less by isolated incidents than by routine, everyday practices embedded within local recycling economies. These practices transform e-waste from a contained solid material into a diffuse source of persistent environmental pollution</w:t>
      </w:r>
      <w:r w:rsidR="003269B2">
        <w:rPr>
          <w:rFonts w:ascii="Times New Roman" w:hAnsi="Times New Roman" w:cs="Times New Roman"/>
        </w:rPr>
        <w:fldChar w:fldCharType="begin"/>
      </w:r>
      <w:r w:rsidR="003269B2">
        <w:rPr>
          <w:rFonts w:ascii="Times New Roman" w:hAnsi="Times New Roman" w:cs="Times New Roman"/>
        </w:rPr>
        <w:instrText xml:space="preserve"> ADDIN ZOTERO_ITEM CSL_CITATION {"citationID":"QARD0xQO","properties":{"formattedCitation":"(17)","plainCitation":"(17)","noteIndex":0},"citationItems":[{"id":14820,"uris":["http://zotero.org/users/16652950/items/WR7M9MXQ"],"itemData":{"id":14820,"type":"article-journal","abstract":"E-waste is an emerging waste stream that requires specialized handling mechanisms. It contains hazardous substances that, if mishandled, may cause adverse effects on the environment and human health. This study examines the composition of electronic waste and its associated environmental and health risks, linking these concerns to the Sustainable Development Goals (SDGs), which emphasize environmental conservation and public health. A systematic literature review was conducted using reliable databases such as ScienceDirect, Google Scholar, and Scopus, focusing on e-waste composition and its risks. The findings revealed that hazardous materials including mercury, lead, and cadmium are predominant, posing severe risks to soil, water, and air quality when not properly managed. Informal recycling practices further exacerbate these risks by exposing workers and nearby communities to harmful chemicals. The study concludes that toxic substances such as lead, mercury, barium, cadmium, and arsenic are dominant in e-waste and can cause severe health issues such as cancer, organ damage, and neurological disorders. Improper handling through informal recycling contributes to environmental pollution, threatening ecosystems and human well-being.","language":"en","source":"Zotero","title":"Assessment of e-waste composition and the threats it poses to human health and the environment: Empirical literature review","author":[{"family":"Mwalugeni","given":"Benjamin Robert"}],"issued":{"date-parts":[["2026"]]}}}],"schema":"https://github.com/citation-style-language/schema/raw/master/csl-citation.json"} </w:instrText>
      </w:r>
      <w:r w:rsidR="003269B2">
        <w:rPr>
          <w:rFonts w:ascii="Times New Roman" w:hAnsi="Times New Roman" w:cs="Times New Roman"/>
        </w:rPr>
        <w:fldChar w:fldCharType="separate"/>
      </w:r>
      <w:r w:rsidR="003269B2" w:rsidRPr="003269B2">
        <w:rPr>
          <w:rFonts w:ascii="Times New Roman" w:hAnsi="Times New Roman" w:cs="Times New Roman"/>
        </w:rPr>
        <w:t>(17)</w:t>
      </w:r>
      <w:r w:rsidR="003269B2">
        <w:rPr>
          <w:rFonts w:ascii="Times New Roman" w:hAnsi="Times New Roman" w:cs="Times New Roman"/>
        </w:rPr>
        <w:fldChar w:fldCharType="end"/>
      </w:r>
      <w:r w:rsidRPr="001944B3">
        <w:rPr>
          <w:rFonts w:ascii="Times New Roman" w:hAnsi="Times New Roman" w:cs="Times New Roman"/>
        </w:rPr>
        <w:t>.</w:t>
      </w:r>
    </w:p>
    <w:p w14:paraId="38ADBAF2"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 xml:space="preserve">A limited set of toxicants accounts for a substantial proportion of observed ecological harm. Heavy metals such as lead, mercury, and cadmium are prevalent in circuit boards, cathode ray tubes, </w:t>
      </w:r>
      <w:r w:rsidRPr="001944B3">
        <w:rPr>
          <w:rFonts w:ascii="Times New Roman" w:hAnsi="Times New Roman" w:cs="Times New Roman"/>
        </w:rPr>
        <w:lastRenderedPageBreak/>
        <w:t>batteries, and solder, and are readily mobilized during dismantling, burning, and acid leaching. Organic compounds, including brominated flame retardants and related additives, are released when plastic casings and wiring are combusted or mechanically fragmented</w:t>
      </w:r>
      <w:r w:rsidR="008E301B">
        <w:rPr>
          <w:rFonts w:ascii="Times New Roman" w:hAnsi="Times New Roman" w:cs="Times New Roman"/>
        </w:rPr>
        <w:fldChar w:fldCharType="begin"/>
      </w:r>
      <w:r w:rsidR="008E301B">
        <w:rPr>
          <w:rFonts w:ascii="Times New Roman" w:hAnsi="Times New Roman" w:cs="Times New Roman"/>
        </w:rPr>
        <w:instrText xml:space="preserve"> ADDIN ZOTERO_ITEM CSL_CITATION {"citationID":"C5rio2K9","properties":{"formattedCitation":"(18)","plainCitation":"(18)","noteIndex":0},"citationItems":[{"id":14821,"uris":["http://zotero.org/users/16652950/items/4VECF6SE"],"itemData":{"id":14821,"type":"article-journal","abstract":"Introduction\nElectronic waste (e-waste) is an emerging human and environmental problem. Lead (Pb) is one of the most dangerous chemicals for human health, and it is the most prevalent heavy metal pollutant in e-waste. Despite the rapid growth of e-waste globally and the health effects of Pb, there is little information regarding the effects of Pb exposure from e-waste on children. Therefore, the aim of this review was to provide concise information on the health effects of Pb exposure from e-waste on children.\n\nMethods\nA comprehensive search of databases was undertaken using PubMed/MEDLINE, Cochrane Library, Science Direct, HINARI, African Journal Online (AJOL), and additional sources were searched up to November 25, 2022. Eligibility criteria were determined using Population, Exposure, Comparator, and Outcome (PECO). The guidelines for Preferred Reporting Items for Systematic Reviews and Meta-Analysis (PRISMA) were used during the article selection process. The protocol of this systematic review was registered in the International Prospective Register of Systematic Reviews (Registration ID: CRD42022377028). The Joanna Briggs Institute (JBI) quality appraisal checklist was used to assess the quality of the included studies.\n\nResults\nFrom a total of 1,150 identified studies, 20 full-text studies were included in the systematic review. All most included studies were conducted in China recycling area for e-waste. The included studies were conducted with an exposed group versus a reference group. The majority of the included studies found that blood Pb levels were ≥5 μg/dl and that Pb exposures from e-waste were affecting children’s health, such as a decrease in serum cortisol levels, inhibition of hemoglobin synthesis, impact on neurobehavioral development, affect physical development, etc.\n\nConclusion\nLead exposure had a significant impact on children’s health as a result of informal e-waste recycling. Therefore, formalizing the informal sector and raising public health awareness are important steps toward reducing Pb exposure from e-waste. Moreover, the concerned stakeholders, like national and international organizations, should work together to effectively manage e-waste.","container-title":"Frontiers in Public Health","DOI":"10.3389/fpubh.2023.1113561","ISSN":"2296-2565","journalAbbreviation":"Front Public Health","note":"PMID: 37124790\nPMCID: PMC10130399","page":"1113561","source":"PubMed Central","title":"A systematic review of the health effects of lead exposure from electronic waste in children","volume":"11","author":[{"family":"Desye","given":"Belay"},{"family":"Tesfaye","given":"Amensisa Hailu"},{"family":"Berihun","given":"Gete"},{"family":"Ademas","given":"Ayechew"},{"family":"Sewunet","given":"Birhanu"}],"issued":{"date-parts":[["2023",4,12]]}}}],"schema":"https://github.com/citation-style-language/schema/raw/master/csl-citation.json"} </w:instrText>
      </w:r>
      <w:r w:rsidR="008E301B">
        <w:rPr>
          <w:rFonts w:ascii="Times New Roman" w:hAnsi="Times New Roman" w:cs="Times New Roman"/>
        </w:rPr>
        <w:fldChar w:fldCharType="separate"/>
      </w:r>
      <w:r w:rsidR="008E301B" w:rsidRPr="008E301B">
        <w:rPr>
          <w:rFonts w:ascii="Times New Roman" w:hAnsi="Times New Roman" w:cs="Times New Roman"/>
        </w:rPr>
        <w:t>(18)</w:t>
      </w:r>
      <w:r w:rsidR="008E301B">
        <w:rPr>
          <w:rFonts w:ascii="Times New Roman" w:hAnsi="Times New Roman" w:cs="Times New Roman"/>
        </w:rPr>
        <w:fldChar w:fldCharType="end"/>
      </w:r>
      <w:r w:rsidRPr="001944B3">
        <w:rPr>
          <w:rFonts w:ascii="Times New Roman" w:hAnsi="Times New Roman" w:cs="Times New Roman"/>
        </w:rPr>
        <w:t>. These substances are environmentally persistent, capable of long-range transport, and prone to bioaccumulation, making them particularly consequential even when released in small quantities. While e-waste contains a broader array of chemical constituents, these compounds serve as sentinel toxicants that illustrate the dominant contamination mechanisms observed across LMIC settings</w:t>
      </w:r>
      <w:r w:rsidR="008E301B">
        <w:rPr>
          <w:rFonts w:ascii="Times New Roman" w:hAnsi="Times New Roman" w:cs="Times New Roman"/>
        </w:rPr>
        <w:fldChar w:fldCharType="begin"/>
      </w:r>
      <w:r w:rsidR="008E301B">
        <w:rPr>
          <w:rFonts w:ascii="Times New Roman" w:hAnsi="Times New Roman" w:cs="Times New Roman"/>
        </w:rPr>
        <w:instrText xml:space="preserve"> ADDIN ZOTERO_ITEM CSL_CITATION {"citationID":"kHeZHeEj","properties":{"formattedCitation":"(6)","plainCitation":"(6)","noteIndex":0},"citationItems":[{"id":14800,"uris":["http://zotero.org/users/16652950/items/ERQ7DF3M"],"itemData":{"id":14800,"type":"article-journal","abstract":"Electronic waste (e-waste) contains numerous chemicals harmful to human and ecological health. To update a 2013 review assessing adverse human health consequences of exposure to e-waste, we systematically reviewed studies reporting effects on humans related to e-waste exposure. We searched EMBASE, PsycNET, Web of Science, CINAHL, and PubMed for articles published between Dec 18, 2012, and Jan 28, 2020, restricting our search to publications in English. Of the 5645 records identified, we included 70 studies that met the preset criteria. People living in e-waste exposed regions had significantly elevated levels of heavy metals and persistent organic pollutants. Children and pregnant women were especially susceptible during the critical periods of exposure that detrimentally affect diverse biological systems and organs. Elevated toxic chemicals negatively impact on neonatal growth indices and hormone level alterations in e-waste exposed populations. We recorded possible connections between chronic exposure to e-waste and DNA lesions, telomere attrition, inhibited vaccine responsiveness, elevated oxidative stress, and altered immune function. The existence of various toxic chemicals in e-waste recycling areas impose plausible adverse health outcomes. Novel cost-effective methods for safe recycling operations need to be employed in e-waste sites to ensure the health and safety of vulnerable populations.","container-title":"The Lancet. Planetary Health","DOI":"10.1016/S2542-5196(21)00263-1","ISSN":"2542-5196","issue":"12","journalAbbreviation":"Lancet Planet Health","note":"PMID: 34895498\nPMCID: PMC8674120","page":"e905-e920","source":"PubMed Central","title":"Health consequences of exposure to e-waste: an updated systematic review","title-short":"Health consequences of exposure to e-waste","volume":"5","author":[{"family":"Parvez","given":"Sarker M"},{"family":"Jahan","given":"Farjana"},{"family":"Brune","given":"Marie-Noel"},{"family":"Gorman","given":"Julia F"},{"family":"Rahman","given":"Musarrat J"},{"family":"Carpenter","given":"David"},{"family":"Islam","given":"Zahir"},{"family":"Rahman","given":"Mahbubur"},{"family":"Aich","given":"Nirupam"},{"family":"Knibbs","given":"Luke D"},{"family":"Sly","given":"Peter D"}],"issued":{"date-parts":[["2021",12,8]]}}}],"schema":"https://github.com/citation-style-language/schema/raw/master/csl-citation.json"} </w:instrText>
      </w:r>
      <w:r w:rsidR="008E301B">
        <w:rPr>
          <w:rFonts w:ascii="Times New Roman" w:hAnsi="Times New Roman" w:cs="Times New Roman"/>
        </w:rPr>
        <w:fldChar w:fldCharType="separate"/>
      </w:r>
      <w:r w:rsidR="008E301B" w:rsidRPr="008E301B">
        <w:rPr>
          <w:rFonts w:ascii="Times New Roman" w:hAnsi="Times New Roman" w:cs="Times New Roman"/>
        </w:rPr>
        <w:t>(6)</w:t>
      </w:r>
      <w:r w:rsidR="008E301B">
        <w:rPr>
          <w:rFonts w:ascii="Times New Roman" w:hAnsi="Times New Roman" w:cs="Times New Roman"/>
        </w:rPr>
        <w:fldChar w:fldCharType="end"/>
      </w:r>
      <w:r w:rsidRPr="001944B3">
        <w:rPr>
          <w:rFonts w:ascii="Times New Roman" w:hAnsi="Times New Roman" w:cs="Times New Roman"/>
        </w:rPr>
        <w:t>.</w:t>
      </w:r>
    </w:p>
    <w:p w14:paraId="7BE9BAEA"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Airborne pathways represent one of the most immediate routes of environmental dispersion. Open burning of cables and electronic components, commonly used to recover copper and other valuable metals, emits particulate matter and toxic fumes that contaminate ambient air and settle onto surrounding surfaces. Fine particles laden with metals and organic pollutants can travel beyond recycling sites, depositing in residential areas, agricultural fields, and surface waters. This atmospheric redistribution expands the spatial footprint of contamination well beyond the point of processing, complicating containment and remediation efforts</w:t>
      </w:r>
      <w:r w:rsidR="009264DE">
        <w:rPr>
          <w:rFonts w:ascii="Times New Roman" w:hAnsi="Times New Roman" w:cs="Times New Roman"/>
        </w:rPr>
        <w:fldChar w:fldCharType="begin"/>
      </w:r>
      <w:r w:rsidR="009264DE">
        <w:rPr>
          <w:rFonts w:ascii="Times New Roman" w:hAnsi="Times New Roman" w:cs="Times New Roman"/>
        </w:rPr>
        <w:instrText xml:space="preserve"> ADDIN ZOTERO_ITEM CSL_CITATION {"citationID":"rWjlU89q","properties":{"formattedCitation":"(4,19)","plainCitation":"(4,19)","noteIndex":0},"citationItems":[{"id":14795,"uris":["http://zotero.org/users/16652950/items/GFEC2QF7"],"itemData":{"id":14795,"type":"article-journal","abstract":"The volume of e-waste generated worldwide is surging, and it is set to escalate further due to continuing technological innovation and the early obsol...","container-title":"Sustainability","DOI":"10.3390/su151310405","ISSN":"2071-1050","issue":"13","language":"en","license":"http://creativecommons.org/licenses/by/3.0/","note":"Company: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Consequences of E-Waste Dumping and Recycling Carried out by Selected Countries in Asia and Latin America","URL":"https://www.mdpi.com/2071-1050/15/13/10405","volume":"15","author":[{"family":"Andeobu","given":"Lynda"},{"family":"Wibowo","given":"Santoso"},{"family":"Grandhi","given":"Srimannarayana"}],"accessed":{"date-parts":[["2026",2,16]]},"issued":{"date-parts":[["2023",6,30]]}}},{"id":14824,"uris":["http://zotero.org/users/16652950/items/ACUS4FFZ"],"itemData":{"id":14824,"type":"article-journal","abstract":"The rapid growth of the Electrical and Electronic Equipment (EEE) industry has led to an increase in Waste Electrical and Electronic Equipment (WEEE) generation in Nigeria. The informal sector plays a significant role in WEEE recycling, but unsustainable practices pose environmental and health risks. Unsustainable EEE recycling practices in Nigeria's informal sector result in environmental pollution, health hazards, and economic losses. The lack of regulation, inadequate infrastructure, and limited awareness exacerbate the problem, putting the health of recyclers, communities, and the environment at risk. This review synthesizes existing literature on the environmental and health impacts of unsustainable EEE recycling practices in Nigeria's informal sector. Informal WEEE recycling practices in Nigeria are characterized by primitive techniques, such as burning and dismantling, leading to air, water, and soil pollution. Cultural and socioeconomic factors influence WEEE generation as collection, and recycling practices require region-specific approaches. The availability of infrastructure, technical capacity, and resources differs across regions, affecting the feasibility of proposed solutions. By acknowledging these factors, the findings from the Nigerian context can be adapted and applied to other regions, contributing to a more comprehensive understanding of WEEE management challenges and solutions globally.","container-title":"Discover Chemistry","DOI":"10.1007/s44371-024-00075-x","ISSN":"3005-1193","issue":"1","journalAbbreviation":"Discov. Chem.","language":"en","page":"4","source":"Springer Link","title":"Environmental and health impacts of unsustainable waste electrical and electronic equipment recycling practices in Nigeria's informal sector","volume":"2","author":[{"family":"Abogunrin-Olafisoye","given":"Oladunni B."},{"family":"Adeyi","given":"Oladayo"}],"issued":{"date-parts":[["2025",1,15]]}}}],"schema":"https://github.com/citation-style-language/schema/raw/master/csl-citation.json"} </w:instrText>
      </w:r>
      <w:r w:rsidR="009264DE">
        <w:rPr>
          <w:rFonts w:ascii="Times New Roman" w:hAnsi="Times New Roman" w:cs="Times New Roman"/>
        </w:rPr>
        <w:fldChar w:fldCharType="separate"/>
      </w:r>
      <w:r w:rsidR="009264DE" w:rsidRPr="009264DE">
        <w:rPr>
          <w:rFonts w:ascii="Times New Roman" w:hAnsi="Times New Roman" w:cs="Times New Roman"/>
        </w:rPr>
        <w:t>(4,19)</w:t>
      </w:r>
      <w:r w:rsidR="009264DE">
        <w:rPr>
          <w:rFonts w:ascii="Times New Roman" w:hAnsi="Times New Roman" w:cs="Times New Roman"/>
        </w:rPr>
        <w:fldChar w:fldCharType="end"/>
      </w:r>
      <w:r w:rsidRPr="001944B3">
        <w:rPr>
          <w:rFonts w:ascii="Times New Roman" w:hAnsi="Times New Roman" w:cs="Times New Roman"/>
        </w:rPr>
        <w:t>.</w:t>
      </w:r>
    </w:p>
    <w:p w14:paraId="50B49D84"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Soil contamination arises from both direct deposition and secondary accumulation. Acid leaching residues, dismantling debris, and ash from burned electronics are frequently discarded onto open ground, where metals and organic compounds bind to soil matrices. Over time, these contaminants can alter soil chemistry, reduce microbial diversity, and impair nutrient cycling. In agricultural zones located near informal recycling sites, contaminated soils pose risks to crop productivity and safety, particularly for leafy vegetables and root crops that readily accumulate metals. The persistence of these contaminants means that soil pollution can endure long after recycling activities cease, creating long-term ecological legacies</w:t>
      </w:r>
      <w:r w:rsidR="009264DE">
        <w:rPr>
          <w:rFonts w:ascii="Times New Roman" w:hAnsi="Times New Roman" w:cs="Times New Roman"/>
        </w:rPr>
        <w:fldChar w:fldCharType="begin"/>
      </w:r>
      <w:r w:rsidR="009264DE">
        <w:rPr>
          <w:rFonts w:ascii="Times New Roman" w:hAnsi="Times New Roman" w:cs="Times New Roman"/>
        </w:rPr>
        <w:instrText xml:space="preserve"> ADDIN ZOTERO_ITEM CSL_CITATION {"citationID":"odi9Z7kD","properties":{"formattedCitation":"(20,21)","plainCitation":"(20,21)","noteIndex":0},"citationItems":[{"id":14826,"uris":["http://zotero.org/users/16652950/items/HXXSWFL7"],"itemData":{"id":14826,"type":"article-journal","abstract":"Cadmium and lead soil contamination is a widespread environmental problem that requires profound and sustainable solutions. These toxic elements can b...","container-title":"Water","DOI":"10.3390/w14213432","ISSN":"2073-4441","issue":"21","language":"en","license":"http://creativecommons.org/licenses/by/3.0/","note":"Company: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 Review on Cadmium and Lead Contamination: Sources, Fate, Mechanism, Health Effects and Remediation Methods","title-short":"A Review on Cadmium and Lead Contamination","URL":"https://www.mdpi.com/2073-4441/14/21/3432","volume":"14","author":[{"family":"Bouida","given":"Leila"},{"family":"Rafatullah","given":"Mohd"},{"family":"Kerrouche","given":"Abdelfateh"},{"family":"Qutob","given":"Mohammad"},{"family":"Alosaimi","given":"Abeer M."},{"family":"Alorfi","given":"Hajer S."},{"family":"Hussein","given":"Mahmoud A."}],"accessed":{"date-parts":[["2026",2,16]]},"issued":{"date-parts":[["2022",10,27]]}}},{"id":14828,"uris":["http://zotero.org/users/16652950/items/7IN6TLA3"],"itemData":{"id":14828,"type":"article-journal","abstract":"Contamination by heavy metals is a significant issue worldwide. In recent decades, soil heavy metals pollutants in China had adverse impacts on soil quality and threatened food security and human health. Anthropogenic inputs mainly generate heavy metal contamination in China. In this review, the approaches were used in these investigations, focusing on geochemical strategies and metal isotope methods, particularly useful for determining the pathway of mining and smelting derived pollution in the soil. Our findings indicate that heavy metal distribution substantially impacts topsoils around mining and smelting sites, which release massive amounts of heavy metals into the environment. Furthermore, heavy metal contamination and related hazards posed by Pb, Cd, As, and Hg are more severe to plants, soil organisms, and humans. It’s worth observing that kids are particularly vulnerable to Pb toxicity. And this review also provides novel approaches to control and reduce the impacts of heavy metal pollution. Hydrometallurgy offers a potential method for extracting metals and removing potentially harmful heavy metals from waste to reduce pollution. However, environmentally friendly remediation of contaminated sites is a significant challenge. This paper also evaluates current technological advancements in the remediation of polluted soil, such as stabilization/solidification, natural attenuation, electrokinetic remediation, soil washing, and phytoremediation. The ability of biological approaches, especially phytoremediation, is cost-effective and favorable to the environment.","container-title":"Toxics","DOI":"10.3390/toxics10050231","ISSN":"2305-6304","issue":"5","journalAbbreviation":"Toxics","note":"PMID: 35622644\nPMCID: PMC9147308","page":"231","source":"PubMed Central","title":"Research Progress on Heavy Metals Pollution in the Soil of Smelting Sites in China","volume":"10","author":[{"family":"Adnan","given":"Muhammad"},{"family":"Xiao","given":"Baohua"},{"family":"Xiao","given":"Peiwen"},{"family":"Zhao","given":"Peng"},{"family":"Li","given":"Ruolan"},{"family":"Bibi","given":"Shaheen"}],"issued":{"date-parts":[["2022",4,30]]}}}],"schema":"https://github.com/citation-style-language/schema/raw/master/csl-citation.json"} </w:instrText>
      </w:r>
      <w:r w:rsidR="009264DE">
        <w:rPr>
          <w:rFonts w:ascii="Times New Roman" w:hAnsi="Times New Roman" w:cs="Times New Roman"/>
        </w:rPr>
        <w:fldChar w:fldCharType="separate"/>
      </w:r>
      <w:r w:rsidR="009264DE" w:rsidRPr="009264DE">
        <w:rPr>
          <w:rFonts w:ascii="Times New Roman" w:hAnsi="Times New Roman" w:cs="Times New Roman"/>
        </w:rPr>
        <w:t>(20,21)</w:t>
      </w:r>
      <w:r w:rsidR="009264DE">
        <w:rPr>
          <w:rFonts w:ascii="Times New Roman" w:hAnsi="Times New Roman" w:cs="Times New Roman"/>
        </w:rPr>
        <w:fldChar w:fldCharType="end"/>
      </w:r>
      <w:r w:rsidRPr="001944B3">
        <w:rPr>
          <w:rFonts w:ascii="Times New Roman" w:hAnsi="Times New Roman" w:cs="Times New Roman"/>
        </w:rPr>
        <w:t>.</w:t>
      </w:r>
    </w:p>
    <w:p w14:paraId="3C0BAA31"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Aquatic systems serve as both sinks and vectors for e-waste-derived pollutants. Surface runoff during rainfall events transports contaminants from contaminated soils and dumping sites into rivers, streams, and wetlands. In some settings, wastewater from informal recycling operations is discharged directly into surface waters, introducing dissolved metals and organic pollutants into aquatic food webs. Sediments can act as reservoirs for these substances, facilitating chronic exposure of benthic organisms and enabling trophic transfer to fish and higher predators. In communities reliant on local water bodies for drinking, irrigation, or fishing, aquatic contamination directly links environmental degradation to human livelihoods and nutrition</w:t>
      </w:r>
      <w:r w:rsidR="008723C6">
        <w:rPr>
          <w:rFonts w:ascii="Times New Roman" w:hAnsi="Times New Roman" w:cs="Times New Roman"/>
        </w:rPr>
        <w:fldChar w:fldCharType="begin"/>
      </w:r>
      <w:r w:rsidR="008723C6">
        <w:rPr>
          <w:rFonts w:ascii="Times New Roman" w:hAnsi="Times New Roman" w:cs="Times New Roman"/>
        </w:rPr>
        <w:instrText xml:space="preserve"> ADDIN ZOTERO_ITEM CSL_CITATION {"citationID":"YobGckQJ","properties":{"formattedCitation":"(22)","plainCitation":"(22)","noteIndex":0},"citationItems":[{"id":14831,"uris":["http://zotero.org/users/16652950/items/54HTTS3F"],"itemData":{"id":14831,"type":"article-journal","abstract":"Aquatic ecosystems are the ultimate sinks for the contaminants. Water contamination is the outcome of human activities such as urbanization, industrialization, and agricultural activities. The overuse of pesticides and fertilizers and sewage from residential and industrial areas ultimately find its way to aquatic environment. Thus results in the degradation of the water quality and leads to the spread of infectious diseases such as dysentery, diarrhea, and jaundice. Contamination in aquatic environs is one of the leading types of pollution which has significant negative health issues and mortality. Water has a natural capacity to neutralize the contamination, but when contamination becomes uncontrolled, water will lose its self-generating capacity. Therefore, there is a need for regular monitoring and controlling of pollutant discharge into the nearby aquatic environs.","container-title":"Bioremediation and Biotechnology","DOI":"10.1007/978-3-030-35691-0_1","journalAbbreviation":"Bioremediation and Biotechnology","note":"PMID: null\nPMCID: PMC7121614","page":"1-26","source":"PubMed Central","title":"Concerns and Threats of Contamination on Aquatic Ecosystems","author":[{"family":"Bashir","given":"Ishrat"},{"family":"Lone","given":"F. A."},{"family":"Bhat","given":"Rouf Ahmad"},{"family":"Mir","given":"Shafat A."},{"family":"Dar","given":"Zubair A."},{"family":"Dar","given":"Shakeel Ahmad"}],"issued":{"date-parts":[["2020",1,27]]}}}],"schema":"https://github.com/citation-style-language/schema/raw/master/csl-citation.json"} </w:instrText>
      </w:r>
      <w:r w:rsidR="008723C6">
        <w:rPr>
          <w:rFonts w:ascii="Times New Roman" w:hAnsi="Times New Roman" w:cs="Times New Roman"/>
        </w:rPr>
        <w:fldChar w:fldCharType="separate"/>
      </w:r>
      <w:r w:rsidR="008723C6" w:rsidRPr="008723C6">
        <w:rPr>
          <w:rFonts w:ascii="Times New Roman" w:hAnsi="Times New Roman" w:cs="Times New Roman"/>
        </w:rPr>
        <w:t>(22)</w:t>
      </w:r>
      <w:r w:rsidR="008723C6">
        <w:rPr>
          <w:rFonts w:ascii="Times New Roman" w:hAnsi="Times New Roman" w:cs="Times New Roman"/>
        </w:rPr>
        <w:fldChar w:fldCharType="end"/>
      </w:r>
      <w:r w:rsidRPr="001944B3">
        <w:rPr>
          <w:rFonts w:ascii="Times New Roman" w:hAnsi="Times New Roman" w:cs="Times New Roman"/>
        </w:rPr>
        <w:t>.</w:t>
      </w:r>
    </w:p>
    <w:p w14:paraId="268D0074"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The ecological impacts of these contamination pathways extend beyond isolated toxic effects to broader ecosystem disruption. Metal accumulation can impair plant growth, reduce species diversity, and alter community composition in both terrestrial and aquatic environments. Persistent organic pollutants interfere with endocrine and reproductive functions in wildlife, with implications for population stability and biodiversity. Importantly, these ecological effects feed back into human systems through the food chain. Crops grown in contaminated soils, livestock grazing near recycling sites, and fish harvested from polluted waters all represent pathways through which environmental contamination is internalized by human populations</w:t>
      </w:r>
      <w:r w:rsidR="008723C6">
        <w:rPr>
          <w:rFonts w:ascii="Times New Roman" w:hAnsi="Times New Roman" w:cs="Times New Roman"/>
        </w:rPr>
        <w:fldChar w:fldCharType="begin"/>
      </w:r>
      <w:r w:rsidR="008723C6">
        <w:rPr>
          <w:rFonts w:ascii="Times New Roman" w:hAnsi="Times New Roman" w:cs="Times New Roman"/>
        </w:rPr>
        <w:instrText xml:space="preserve"> ADDIN ZOTERO_ITEM CSL_CITATION {"citationID":"JzHqzVcT","properties":{"formattedCitation":"(23)","plainCitation":"(23)","noteIndex":0},"citationItems":[{"id":14834,"uris":["http://zotero.org/users/16652950/items/P3EHKUBJ"],"itemData":{"id":14834,"type":"article-journal","abstract":"The increasing industrial use of toxic metals essential for modern electronics and renewable energy presents significant environmental and health chal…","container-title":"RSC Advances","DOI":"10.1039/d4ra06085g","ISSN":"2046-2069","issue":"50","language":"en-US","page":"37299-37310","source":"www.sciencedirect.com","title":"Environmental problems of emerging toxic metals and treatment technology and methods","volume":"14","issued":{"date-parts":[["2024",11,19]]}}}],"schema":"https://github.com/citation-style-language/schema/raw/master/csl-citation.json"} </w:instrText>
      </w:r>
      <w:r w:rsidR="008723C6">
        <w:rPr>
          <w:rFonts w:ascii="Times New Roman" w:hAnsi="Times New Roman" w:cs="Times New Roman"/>
        </w:rPr>
        <w:fldChar w:fldCharType="separate"/>
      </w:r>
      <w:r w:rsidR="008723C6" w:rsidRPr="008723C6">
        <w:rPr>
          <w:rFonts w:ascii="Times New Roman" w:hAnsi="Times New Roman" w:cs="Times New Roman"/>
        </w:rPr>
        <w:t>(23)</w:t>
      </w:r>
      <w:r w:rsidR="008723C6">
        <w:rPr>
          <w:rFonts w:ascii="Times New Roman" w:hAnsi="Times New Roman" w:cs="Times New Roman"/>
        </w:rPr>
        <w:fldChar w:fldCharType="end"/>
      </w:r>
      <w:r w:rsidRPr="001944B3">
        <w:rPr>
          <w:rFonts w:ascii="Times New Roman" w:hAnsi="Times New Roman" w:cs="Times New Roman"/>
        </w:rPr>
        <w:t>.</w:t>
      </w:r>
    </w:p>
    <w:p w14:paraId="0A573624"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lastRenderedPageBreak/>
        <w:t>Taken together, these environmental pathways underscore that e-waste pollution in LMICs is not confined to waste sites but embedded within surrounding ecological and food systems. The diffuse and persistent nature of contamination challenges conventional waste management approaches and reinforces the need for upstream interventions. By interrupting these pathways through health-centered circular economy strategies</w:t>
      </w:r>
      <w:r w:rsidR="008723C6">
        <w:rPr>
          <w:rFonts w:ascii="Times New Roman" w:hAnsi="Times New Roman" w:cs="Times New Roman"/>
        </w:rPr>
        <w:t xml:space="preserve"> </w:t>
      </w:r>
      <w:r w:rsidRPr="001944B3">
        <w:rPr>
          <w:rFonts w:ascii="Times New Roman" w:hAnsi="Times New Roman" w:cs="Times New Roman"/>
        </w:rPr>
        <w:t>such as safer design, controlled recycling processes, and containment of hazardous fractions</w:t>
      </w:r>
      <w:r w:rsidR="008723C6">
        <w:rPr>
          <w:rFonts w:ascii="Times New Roman" w:hAnsi="Times New Roman" w:cs="Times New Roman"/>
        </w:rPr>
        <w:t xml:space="preserve"> </w:t>
      </w:r>
      <w:r w:rsidRPr="001944B3">
        <w:rPr>
          <w:rFonts w:ascii="Times New Roman" w:hAnsi="Times New Roman" w:cs="Times New Roman"/>
        </w:rPr>
        <w:t>it becomes possible to reduce environmental loading at its source, rather than relying on costly and often infeasible downstream remediation. This ecological perspective provides a critical foundation for understanding subsequent human exposure and health impacts, addressed in the following section.</w:t>
      </w:r>
    </w:p>
    <w:p w14:paraId="4EC4A7F1" w14:textId="77777777" w:rsidR="001944B3" w:rsidRPr="001944B3" w:rsidRDefault="00475B61" w:rsidP="00F233BD">
      <w:pPr>
        <w:jc w:val="both"/>
        <w:rPr>
          <w:rFonts w:ascii="Times New Roman" w:hAnsi="Times New Roman" w:cs="Times New Roman"/>
          <w:b/>
          <w:bCs/>
        </w:rPr>
      </w:pPr>
      <w:r w:rsidRPr="00F233BD">
        <w:rPr>
          <w:rFonts w:ascii="Times New Roman" w:hAnsi="Times New Roman" w:cs="Times New Roman"/>
          <w:b/>
          <w:bCs/>
        </w:rPr>
        <w:t>4</w:t>
      </w:r>
      <w:r w:rsidR="001944B3" w:rsidRPr="001944B3">
        <w:rPr>
          <w:rFonts w:ascii="Times New Roman" w:hAnsi="Times New Roman" w:cs="Times New Roman"/>
          <w:b/>
          <w:bCs/>
        </w:rPr>
        <w:t>. Human Health Impacts</w:t>
      </w:r>
    </w:p>
    <w:p w14:paraId="696BB079"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Human health impacts of e-waste in low- and middle-income countries (LMICs) arise from sustained exposure to complex mixtures of toxic substances released during informal and poorly regulated recycling activities. Unlike acute industrial accidents, e-waste-related health risks are characterized by chronic, low-to-moderate exposures that accumulate over time and operate across occupational, residential, and dietary pathways. These exposures are embedded within everyday economic practices and living environments, making them difficult to avoid and challenging to detect through conventional public health surveillance systems</w:t>
      </w:r>
      <w:r w:rsidR="008723C6">
        <w:rPr>
          <w:rFonts w:ascii="Times New Roman" w:hAnsi="Times New Roman" w:cs="Times New Roman"/>
        </w:rPr>
        <w:fldChar w:fldCharType="begin"/>
      </w:r>
      <w:r w:rsidR="008723C6">
        <w:rPr>
          <w:rFonts w:ascii="Times New Roman" w:hAnsi="Times New Roman" w:cs="Times New Roman"/>
        </w:rPr>
        <w:instrText xml:space="preserve"> ADDIN ZOTERO_ITEM CSL_CITATION {"citationID":"opAJyFal","properties":{"formattedCitation":"(6)","plainCitation":"(6)","noteIndex":0},"citationItems":[{"id":14800,"uris":["http://zotero.org/users/16652950/items/ERQ7DF3M"],"itemData":{"id":14800,"type":"article-journal","abstract":"Electronic waste (e-waste) contains numerous chemicals harmful to human and ecological health. To update a 2013 review assessing adverse human health consequences of exposure to e-waste, we systematically reviewed studies reporting effects on humans related to e-waste exposure. We searched EMBASE, PsycNET, Web of Science, CINAHL, and PubMed for articles published between Dec 18, 2012, and Jan 28, 2020, restricting our search to publications in English. Of the 5645 records identified, we included 70 studies that met the preset criteria. People living in e-waste exposed regions had significantly elevated levels of heavy metals and persistent organic pollutants. Children and pregnant women were especially susceptible during the critical periods of exposure that detrimentally affect diverse biological systems and organs. Elevated toxic chemicals negatively impact on neonatal growth indices and hormone level alterations in e-waste exposed populations. We recorded possible connections between chronic exposure to e-waste and DNA lesions, telomere attrition, inhibited vaccine responsiveness, elevated oxidative stress, and altered immune function. The existence of various toxic chemicals in e-waste recycling areas impose plausible adverse health outcomes. Novel cost-effective methods for safe recycling operations need to be employed in e-waste sites to ensure the health and safety of vulnerable populations.","container-title":"The Lancet. Planetary Health","DOI":"10.1016/S2542-5196(21)00263-1","ISSN":"2542-5196","issue":"12","journalAbbreviation":"Lancet Planet Health","note":"PMID: 34895498\nPMCID: PMC8674120","page":"e905-e920","source":"PubMed Central","title":"Health consequences of exposure to e-waste: an updated systematic review","title-short":"Health consequences of exposure to e-waste","volume":"5","author":[{"family":"Parvez","given":"Sarker M"},{"family":"Jahan","given":"Farjana"},{"family":"Brune","given":"Marie-Noel"},{"family":"Gorman","given":"Julia F"},{"family":"Rahman","given":"Musarrat J"},{"family":"Carpenter","given":"David"},{"family":"Islam","given":"Zahir"},{"family":"Rahman","given":"Mahbubur"},{"family":"Aich","given":"Nirupam"},{"family":"Knibbs","given":"Luke D"},{"family":"Sly","given":"Peter D"}],"issued":{"date-parts":[["2021",12,8]]}}}],"schema":"https://github.com/citation-style-language/schema/raw/master/csl-citation.json"} </w:instrText>
      </w:r>
      <w:r w:rsidR="008723C6">
        <w:rPr>
          <w:rFonts w:ascii="Times New Roman" w:hAnsi="Times New Roman" w:cs="Times New Roman"/>
        </w:rPr>
        <w:fldChar w:fldCharType="separate"/>
      </w:r>
      <w:r w:rsidR="008723C6" w:rsidRPr="008723C6">
        <w:rPr>
          <w:rFonts w:ascii="Times New Roman" w:hAnsi="Times New Roman" w:cs="Times New Roman"/>
        </w:rPr>
        <w:t>(6)</w:t>
      </w:r>
      <w:r w:rsidR="008723C6">
        <w:rPr>
          <w:rFonts w:ascii="Times New Roman" w:hAnsi="Times New Roman" w:cs="Times New Roman"/>
        </w:rPr>
        <w:fldChar w:fldCharType="end"/>
      </w:r>
      <w:r w:rsidRPr="001944B3">
        <w:rPr>
          <w:rFonts w:ascii="Times New Roman" w:hAnsi="Times New Roman" w:cs="Times New Roman"/>
        </w:rPr>
        <w:t>.</w:t>
      </w:r>
    </w:p>
    <w:p w14:paraId="635E0FAF"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t>Occupational exposure in informal e-waste work</w:t>
      </w:r>
    </w:p>
    <w:p w14:paraId="2A8CA4D6"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Occupational exposure represents the most direct and intense interface between e-waste and human health. Informal recyclers routinely engage in manual dismantling, open burning, and chemical extraction without adequate protective equipment or engineering controls. These activities generate inhalable particulates, toxic fumes, and dermal contact with contaminated materials, resulting in multi-route exposure to metals and persistent organic compounds. Workers are often exposed for prolonged periods, beginning in adolescence or early adulthood, which increases cumulative body burdens over the life course</w:t>
      </w:r>
      <w:r w:rsidR="0001129E">
        <w:rPr>
          <w:rFonts w:ascii="Times New Roman" w:hAnsi="Times New Roman" w:cs="Times New Roman"/>
        </w:rPr>
        <w:fldChar w:fldCharType="begin"/>
      </w:r>
      <w:r w:rsidR="0001129E">
        <w:rPr>
          <w:rFonts w:ascii="Times New Roman" w:hAnsi="Times New Roman" w:cs="Times New Roman"/>
        </w:rPr>
        <w:instrText xml:space="preserve"> ADDIN ZOTERO_ITEM CSL_CITATION {"citationID":"OURS0ysK","properties":{"formattedCitation":"(24)","plainCitation":"(24)","noteIndex":0},"citationItems":[{"id":14837,"uris":["http://zotero.org/users/16652950/items/5CT7SH75"],"itemData":{"id":14837,"type":"article-journal","abstract":"Electronic waste (e-waste) disposal and recycling activities such as burning and smelting can emit particulate matter (PM), polycyclic aromatic hydrocarbons (PAHs), and other pollutants that expose workers and nearby communities. At informal e-waste recycling facilities, both emission controls and protective measures for workers are absent. This study characterizes personal exposures (breathing zone) of PM and PAHs of e-waste workers at the large Agbogbloshie e-waste site in Accra, Ghana. We collected gravimetric and optical measurements of PM2.5 and PM10 using shift samples for workers and for an age- and gender-matched reference population. PM2.5 filters were analyzed for 26 PAHs using gas chromatography/mass spectroscopy. Among e-waste workers, PM2.5 and PM10 concentrations were 99 ± 56 and 218 ± 158 µg/m3 (median ± interquartile range, optical measurements), respectively; these levels were 78 and 57% higher, respectively, than levels measured at a fixed site that was centrally located at the waste site. In the reference community, breathing zone PM2.5 and PM10 levels were lower, 49 ± 20 and 131 ± 108 µg/m3, respectively, and the fraction of coarse PM was larger. We detected all 26 target PAHs, of which naphthalene and phenanthrene were the most abundant. PAH concentrations were weakly correlated to PM levels, but PAH abundances, representing the fraction of PAH mass to the total PM2.5 mass collected, were strongly and inversely correlated to PM levels, suggesting multiple and different sources of PAHs and PM that affected exposures. Both PM and PAH levels were elevated for workers performing burning and dismantling, and both exceeded standards or risk-based guidelines, e.g., lifetime excess cancer risks for several PAHs were in the 10−4 to 10−6 range, indicating the need to reduce emissions as well as provide respiratory protection. The study emphasizes the importance of using personal and shift samples to accurately characterize worker exposure.","container-title":"Environment International","DOI":"10.1016/j.envint.2021.106971","ISSN":"0160-4120","journalAbbreviation":"Environment International","page":"106971","source":"ScienceDirect","title":"Occupational exposures to particulate matter and PM2.5-associated polycyclic aromatic hydrocarbons at the Agbogbloshie waste recycling site in Ghana","volume":"158","author":[{"family":"Kwarteng","given":"Lawrencia"},{"family":"Devasurendra","given":"Amila M."},{"family":"Laskaris","given":"Zoey"},{"family":"Arko-Mensah","given":"John"},{"family":"Amoabeng Nti","given":"Afua A."},{"family":"Takyi","given":"Sylvia"},{"family":"Acquah","given":"Augustine A."},{"family":"Dwomoh","given":"Duah"},{"family":"Basu","given":"Nil"},{"family":"Robins","given":"Thomas"},{"family":"Fobil","given":"Julius N."},{"family":"Batterman","given":"Stuart"}],"issued":{"date-parts":[["2022",1,1]]}}}],"schema":"https://github.com/citation-style-language/schema/raw/master/csl-citation.json"} </w:instrText>
      </w:r>
      <w:r w:rsidR="0001129E">
        <w:rPr>
          <w:rFonts w:ascii="Times New Roman" w:hAnsi="Times New Roman" w:cs="Times New Roman"/>
        </w:rPr>
        <w:fldChar w:fldCharType="separate"/>
      </w:r>
      <w:r w:rsidR="0001129E" w:rsidRPr="0001129E">
        <w:rPr>
          <w:rFonts w:ascii="Times New Roman" w:hAnsi="Times New Roman" w:cs="Times New Roman"/>
        </w:rPr>
        <w:t>(24)</w:t>
      </w:r>
      <w:r w:rsidR="0001129E">
        <w:rPr>
          <w:rFonts w:ascii="Times New Roman" w:hAnsi="Times New Roman" w:cs="Times New Roman"/>
        </w:rPr>
        <w:fldChar w:fldCharType="end"/>
      </w:r>
      <w:r w:rsidRPr="001944B3">
        <w:rPr>
          <w:rFonts w:ascii="Times New Roman" w:hAnsi="Times New Roman" w:cs="Times New Roman"/>
        </w:rPr>
        <w:t>.</w:t>
      </w:r>
    </w:p>
    <w:p w14:paraId="709C6DAC"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Health outcomes among e-waste workers consistently reflect the nature of these exposures. Neurological symptoms such as impaired cognition, reduced motor coordination, and sensory disturbances are commonly reported, reflecting the neurotoxic properties of metals such as lead and mercury. Respiratory conditions, including chronic cough, reduced lung function, and asthma-like symptoms, are linked to inhalation of fine particulate matter and combustion by-products. Reproductive and endocrine-related effects, including altered hormone levels and reduced fertility indicators, have also been observed, particularly among workers engaged in high-intensity recycling tasks. Importantly, these outcomes are shaped not only by toxic exposure but also by coexisting vulnerabilities such as poor nutrition, limited access to healthcare, and lack of occupational protections</w:t>
      </w:r>
      <w:r w:rsidR="0001129E">
        <w:rPr>
          <w:rFonts w:ascii="Times New Roman" w:hAnsi="Times New Roman" w:cs="Times New Roman"/>
        </w:rPr>
        <w:fldChar w:fldCharType="begin"/>
      </w:r>
      <w:r w:rsidR="0001129E">
        <w:rPr>
          <w:rFonts w:ascii="Times New Roman" w:hAnsi="Times New Roman" w:cs="Times New Roman"/>
        </w:rPr>
        <w:instrText xml:space="preserve"> ADDIN ZOTERO_ITEM CSL_CITATION {"citationID":"zCfOLxgT","properties":{"formattedCitation":"(25)","plainCitation":"(25)","noteIndex":0},"citationItems":[{"id":14839,"uris":["http://zotero.org/users/16652950/items/TPUTH9DD"],"itemData":{"id":14839,"type":"chapter","abstract":"Heavy metals are available abundantly in nature, especially in the soil, mines, drinking water, some in vapor form in the air, and also constitute the Earth’s crust. These are widely used in pesticides, herbicides, paints, gasoline, etc., and their main route of exposure encompasses anthropogenic sources. Among several heavy metals, lead, cadmium, mercury, and arsenic cover the most part. One of the most important contributing factors are industrial pollutants that have an important role in contaminating the plant and marine life, which indirectly affect the human health. The brain is the functional unit of body which is sensitive to such heavy metals, and suffers a lot through their contamination in comparison to the other parts of the body. If the exposure of heavy metals becomes prolonged, they will have deleterious effects on the nervous system. Heavy metals toxicity is responsible for many neurodegenerative diseases particularly Alzheimer’s disease, Parkinson’s disease, amyotrophic lateral sclerosis, multiple sclerosis, and attention-deficit hypertensive disorders. There are number of epidemiological, experimental, in vivo and in vitro data which represent the significant association or correlation between the exposure of heavy metals and neurotoxicity. The probable reason behind this correlation is mostly due to oxidative stress, the participation of certain proteins/enzymes as well as an interruption in the normal secretion of neurotransmitters on account of heavy metal exposure. The resultant effects and intensity of diseases can be prevented by taking the adequate preventive measures with possible therapeutic interventions.","container-title":"Environmental Contaminants and Neurological Disorders","event-place":"Cham","ISBN":"978-3-030-66376-6","language":"en","note":"DOI: 10.1007/978-3-030-66376-6_4","page":"69-87","publisher":"Springer International Publishing","publisher-place":"Cham","source":"Springer Link","title":"Heavy Metals and Neurological Disorders: From Exposure to Preventive Interventions","title-short":"Heavy Metals and Neurological Disorders","URL":"https://doi.org/10.1007/978-3-030-66376-6_4","author":[{"family":"Rehman","given":"Qudsia"},{"family":"Rehman","given":"Kanwal"},{"family":"Akash","given":"Muhammad Sajid Hamid"}],"editor":[{"family":"Akash","given":"Muhammad Sajid Hamid"},{"family":"Rehman","given":"Kanwal"}],"accessed":{"date-parts":[["2026",2,16]]},"issued":{"date-parts":[["2021"]]}}}],"schema":"https://github.com/citation-style-language/schema/raw/master/csl-citation.json"} </w:instrText>
      </w:r>
      <w:r w:rsidR="0001129E">
        <w:rPr>
          <w:rFonts w:ascii="Times New Roman" w:hAnsi="Times New Roman" w:cs="Times New Roman"/>
        </w:rPr>
        <w:fldChar w:fldCharType="separate"/>
      </w:r>
      <w:r w:rsidR="0001129E" w:rsidRPr="0001129E">
        <w:rPr>
          <w:rFonts w:ascii="Times New Roman" w:hAnsi="Times New Roman" w:cs="Times New Roman"/>
        </w:rPr>
        <w:t>(25)</w:t>
      </w:r>
      <w:r w:rsidR="0001129E">
        <w:rPr>
          <w:rFonts w:ascii="Times New Roman" w:hAnsi="Times New Roman" w:cs="Times New Roman"/>
        </w:rPr>
        <w:fldChar w:fldCharType="end"/>
      </w:r>
      <w:r w:rsidRPr="001944B3">
        <w:rPr>
          <w:rFonts w:ascii="Times New Roman" w:hAnsi="Times New Roman" w:cs="Times New Roman"/>
        </w:rPr>
        <w:t>.</w:t>
      </w:r>
    </w:p>
    <w:p w14:paraId="3C2847B6" w14:textId="77777777" w:rsidR="00ED424C" w:rsidRDefault="00ED424C" w:rsidP="00F233BD">
      <w:pPr>
        <w:jc w:val="both"/>
        <w:rPr>
          <w:rFonts w:ascii="Times New Roman" w:hAnsi="Times New Roman" w:cs="Times New Roman"/>
          <w:b/>
          <w:bCs/>
        </w:rPr>
      </w:pPr>
    </w:p>
    <w:p w14:paraId="7053DE11" w14:textId="77777777" w:rsidR="00ED424C" w:rsidRDefault="00ED424C" w:rsidP="00F233BD">
      <w:pPr>
        <w:jc w:val="both"/>
        <w:rPr>
          <w:rFonts w:ascii="Times New Roman" w:hAnsi="Times New Roman" w:cs="Times New Roman"/>
          <w:b/>
          <w:bCs/>
        </w:rPr>
      </w:pPr>
    </w:p>
    <w:p w14:paraId="5C7B20EB"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lastRenderedPageBreak/>
        <w:t>Community-level exposure and child health</w:t>
      </w:r>
    </w:p>
    <w:p w14:paraId="7AAAC331"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Beyond the occupational setting, e-waste-related health risks extend into surrounding communities through environmental contamination of air, soil, water, and food systems. Residents living near informal recycling sites experience continuous background exposure, often without direct involvement in recycling activities. This diffuse exposure blurs the boundary between occupational and environmental health, transforming e-waste from a workplace hazard into a community-wide risk</w:t>
      </w:r>
      <w:r w:rsidR="00ED424C">
        <w:rPr>
          <w:rFonts w:ascii="Times New Roman" w:hAnsi="Times New Roman" w:cs="Times New Roman"/>
        </w:rPr>
        <w:fldChar w:fldCharType="begin"/>
      </w:r>
      <w:r w:rsidR="00ED424C">
        <w:rPr>
          <w:rFonts w:ascii="Times New Roman" w:hAnsi="Times New Roman" w:cs="Times New Roman"/>
        </w:rPr>
        <w:instrText xml:space="preserve"> ADDIN ZOTERO_ITEM CSL_CITATION {"citationID":"ALt4ZNFR","properties":{"formattedCitation":"(26)","plainCitation":"(26)","noteIndex":0},"citationItems":[{"id":14840,"uris":["http://zotero.org/users/16652950/items/4GJ57JAL"],"itemData":{"id":14840,"type":"article-journal","abstract":"Purpose\nIn recent years, electronic waste has become the fastest growing waste stream globally with potential deleterious environmental and public health effects from its hazardous constituents. This review aims at providing an up-to-date information on the environmental and public health effects of e- wastes, and also identify research gaps that could form basis of further innovative studies on this important subject.\n\nMethods\nWe carried out literature survey using several search engines. All available literature which reported directly on environmental contamination of air, soil, and water by e-wastes, and their effects on exposed plants, animals, and humans were used in other to generate an updated information.\n\nResults\nHigh production volume coupled with indiscriminate disposal and informal recycling has made electronic waste (e-waste) to become a global public and environmental health issue. E-waste is made up of different hazardous substances such as heavy metals and persistent organic pollutants with the capacity to contaminate the environment if processed or recycled inappropriately. Humans and animals become exposed to e-waste constituents via ingestion, inhalation, and dermal contact. Several health effects have been linked to e-wastes. The most susceptible were children, pregnant women, and workers in primitive recycling sites. Generation of e-waste is predicted to increase drastically in the next decade with the potential complex interactive effects of its constituents.\n\nConclusion\nThis review is an up-to-date assessment of studies and reports on e-waste environmental contamination and public health effects. The review has shown that e-waste contains constituents that caused adverse environmental effects and toxicity to the biota. However, there is an enormous data gap between exposure quantification and possible health effects. More studies are needed to elucidate and provide holistic information on environmental and public health dangers posed by e-waste constituents.","container-title":"Journal of Environmental Health Science and Engineering","DOI":"10.1007/s40201-021-00654-5","ISSN":"2052-336X","issue":"1","journalAbbreviation":"J Environ Health Sci Eng","note":"PMID: 34150306\nPMCID: PMC8172693","page":"1209-1227","source":"PubMed Central","title":"Environmental contamination and public health effects of electronic waste: an overview","title-short":"Environmental contamination and public health effects of electronic waste","volume":"19","author":[{"family":"Alabi","given":"Okunola A."},{"family":"Adeoluwa","given":"Yetunde M."},{"family":"Huo","given":"Xia"},{"family":"Xu","given":"Xijin"},{"family":"Bakare","given":"Adekunle A."}],"issued":{"date-parts":[["2021",4,21]]}}}],"schema":"https://github.com/citation-style-language/schema/raw/master/csl-citation.json"} </w:instrText>
      </w:r>
      <w:r w:rsidR="00ED424C">
        <w:rPr>
          <w:rFonts w:ascii="Times New Roman" w:hAnsi="Times New Roman" w:cs="Times New Roman"/>
        </w:rPr>
        <w:fldChar w:fldCharType="separate"/>
      </w:r>
      <w:r w:rsidR="00ED424C" w:rsidRPr="00ED424C">
        <w:rPr>
          <w:rFonts w:ascii="Times New Roman" w:hAnsi="Times New Roman" w:cs="Times New Roman"/>
        </w:rPr>
        <w:t>(26)</w:t>
      </w:r>
      <w:r w:rsidR="00ED424C">
        <w:rPr>
          <w:rFonts w:ascii="Times New Roman" w:hAnsi="Times New Roman" w:cs="Times New Roman"/>
        </w:rPr>
        <w:fldChar w:fldCharType="end"/>
      </w:r>
      <w:r w:rsidRPr="001944B3">
        <w:rPr>
          <w:rFonts w:ascii="Times New Roman" w:hAnsi="Times New Roman" w:cs="Times New Roman"/>
        </w:rPr>
        <w:t>.</w:t>
      </w:r>
    </w:p>
    <w:p w14:paraId="040F1741"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Children are particularly vulnerable to these exposures due to physiological, behavioral, and developmental factors. Higher rates of hand-to-mouth activity, greater absorption of certain metals, and ongoing neurodevelopment increase susceptibility to toxic effects. Evidence across LMIC contexts indicates that children residing near e-waste sites exhibit elevated body burdens of metals and organic pollutants compared to those in non-exposed areas. These exposures have been associated with deficits in cognitive performance, attention, and psychomotor development, as well as increased respiratory symptoms. Prenatal exposure further compounds these risks, as toxicants can cross the placental barrier and interfere with fetal development during critical windows of vulnerability</w:t>
      </w:r>
      <w:r w:rsidR="00ED424C">
        <w:rPr>
          <w:rFonts w:ascii="Times New Roman" w:hAnsi="Times New Roman" w:cs="Times New Roman"/>
        </w:rPr>
        <w:fldChar w:fldCharType="begin"/>
      </w:r>
      <w:r w:rsidR="00ED424C">
        <w:rPr>
          <w:rFonts w:ascii="Times New Roman" w:hAnsi="Times New Roman" w:cs="Times New Roman"/>
        </w:rPr>
        <w:instrText xml:space="preserve"> ADDIN ZOTERO_ITEM CSL_CITATION {"citationID":"bFWQkPOT","properties":{"formattedCitation":"(4,26)","plainCitation":"(4,26)","noteIndex":0},"citationItems":[{"id":14795,"uris":["http://zotero.org/users/16652950/items/GFEC2QF7"],"itemData":{"id":14795,"type":"article-journal","abstract":"The volume of e-waste generated worldwide is surging, and it is set to escalate further due to continuing technological innovation and the early obsol...","container-title":"Sustainability","DOI":"10.3390/su151310405","ISSN":"2071-1050","issue":"13","language":"en","license":"http://creativecommons.org/licenses/by/3.0/","note":"Company: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publisher","source":"www.mdpi.com","title":"Environmental and Health Consequences of E-Waste Dumping and Recycling Carried out by Selected Countries in Asia and Latin America","URL":"https://www.mdpi.com/2071-1050/15/13/10405","volume":"15","author":[{"family":"Andeobu","given":"Lynda"},{"family":"Wibowo","given":"Santoso"},{"family":"Grandhi","given":"Srimannarayana"}],"accessed":{"date-parts":[["2026",2,16]]},"issued":{"date-parts":[["2023",6,30]]}}},{"id":14840,"uris":["http://zotero.org/users/16652950/items/4GJ57JAL"],"itemData":{"id":14840,"type":"article-journal","abstract":"Purpose\nIn recent years, electronic waste has become the fastest growing waste stream globally with potential deleterious environmental and public health effects from its hazardous constituents. This review aims at providing an up-to-date information on the environmental and public health effects of e- wastes, and also identify research gaps that could form basis of further innovative studies on this important subject.\n\nMethods\nWe carried out literature survey using several search engines. All available literature which reported directly on environmental contamination of air, soil, and water by e-wastes, and their effects on exposed plants, animals, and humans were used in other to generate an updated information.\n\nResults\nHigh production volume coupled with indiscriminate disposal and informal recycling has made electronic waste (e-waste) to become a global public and environmental health issue. E-waste is made up of different hazardous substances such as heavy metals and persistent organic pollutants with the capacity to contaminate the environment if processed or recycled inappropriately. Humans and animals become exposed to e-waste constituents via ingestion, inhalation, and dermal contact. Several health effects have been linked to e-wastes. The most susceptible were children, pregnant women, and workers in primitive recycling sites. Generation of e-waste is predicted to increase drastically in the next decade with the potential complex interactive effects of its constituents.\n\nConclusion\nThis review is an up-to-date assessment of studies and reports on e-waste environmental contamination and public health effects. The review has shown that e-waste contains constituents that caused adverse environmental effects and toxicity to the biota. However, there is an enormous data gap between exposure quantification and possible health effects. More studies are needed to elucidate and provide holistic information on environmental and public health dangers posed by e-waste constituents.","container-title":"Journal of Environmental Health Science and Engineering","DOI":"10.1007/s40201-021-00654-5","ISSN":"2052-336X","issue":"1","journalAbbreviation":"J Environ Health Sci Eng","note":"PMID: 34150306\nPMCID: PMC8172693","page":"1209-1227","source":"PubMed Central","title":"Environmental contamination and public health effects of electronic waste: an overview","title-short":"Environmental contamination and public health effects of electronic waste","volume":"19","author":[{"family":"Alabi","given":"Okunola A."},{"family":"Adeoluwa","given":"Yetunde M."},{"family":"Huo","given":"Xia"},{"family":"Xu","given":"Xijin"},{"family":"Bakare","given":"Adekunle A."}],"issued":{"date-parts":[["2021",4,21]]}}}],"schema":"https://github.com/citation-style-language/schema/raw/master/csl-citation.json"} </w:instrText>
      </w:r>
      <w:r w:rsidR="00ED424C">
        <w:rPr>
          <w:rFonts w:ascii="Times New Roman" w:hAnsi="Times New Roman" w:cs="Times New Roman"/>
        </w:rPr>
        <w:fldChar w:fldCharType="separate"/>
      </w:r>
      <w:r w:rsidR="00ED424C" w:rsidRPr="00ED424C">
        <w:rPr>
          <w:rFonts w:ascii="Times New Roman" w:hAnsi="Times New Roman" w:cs="Times New Roman"/>
        </w:rPr>
        <w:t>(4,26)</w:t>
      </w:r>
      <w:r w:rsidR="00ED424C">
        <w:rPr>
          <w:rFonts w:ascii="Times New Roman" w:hAnsi="Times New Roman" w:cs="Times New Roman"/>
        </w:rPr>
        <w:fldChar w:fldCharType="end"/>
      </w:r>
      <w:r w:rsidRPr="001944B3">
        <w:rPr>
          <w:rFonts w:ascii="Times New Roman" w:hAnsi="Times New Roman" w:cs="Times New Roman"/>
        </w:rPr>
        <w:t>.</w:t>
      </w:r>
    </w:p>
    <w:p w14:paraId="51FBD42E"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Women of reproductive age represent another population facing compounded risks. In many LMIC settings, women participate in sorting and ancillary recycling activities or live in close proximity to e-waste sites while managing household responsibilities. Exposure during pregnancy has been linked to adverse birth outcomes, including low birth weight and preterm delivery, highlighting the intergenerational nature of e-waste-related health impacts. These patterns underscore that e-waste exposure is not confined to individual workers but is distributed across households and life stages</w:t>
      </w:r>
      <w:r w:rsidR="00ED424C">
        <w:rPr>
          <w:rFonts w:ascii="Times New Roman" w:hAnsi="Times New Roman" w:cs="Times New Roman"/>
        </w:rPr>
        <w:fldChar w:fldCharType="begin"/>
      </w:r>
      <w:r w:rsidR="00ED424C">
        <w:rPr>
          <w:rFonts w:ascii="Times New Roman" w:hAnsi="Times New Roman" w:cs="Times New Roman"/>
        </w:rPr>
        <w:instrText xml:space="preserve"> ADDIN ZOTERO_ITEM CSL_CITATION {"citationID":"Bhvtox5D","properties":{"formattedCitation":"(27)","plainCitation":"(27)","noteIndex":0},"citationItems":[{"id":14843,"uris":["http://zotero.org/users/16652950/items/UYYP9FYF"],"itemData":{"id":14843,"type":"webpage","abstract":"Effective and binding action is urgently required to protect the millions of children, adolescents and expectant mothers worldwide whose health is jeopardized by the informal processing of discarded electrical or electronic devices according to a new ground-breaking report from WHO: Children and Digital Dumpsites.","language":"en","title":"Soaring e-waste affects the health of millions of children, WHO warns","URL":"https://www.who.int/news/item/15-06-2021-soaring-e-waste-affects-the-health-of-millions-of-children-who-warns","accessed":{"date-parts":[["2026",2,16]]}}}],"schema":"https://github.com/citation-style-language/schema/raw/master/csl-citation.json"} </w:instrText>
      </w:r>
      <w:r w:rsidR="00ED424C">
        <w:rPr>
          <w:rFonts w:ascii="Times New Roman" w:hAnsi="Times New Roman" w:cs="Times New Roman"/>
        </w:rPr>
        <w:fldChar w:fldCharType="separate"/>
      </w:r>
      <w:r w:rsidR="00ED424C" w:rsidRPr="00ED424C">
        <w:rPr>
          <w:rFonts w:ascii="Times New Roman" w:hAnsi="Times New Roman" w:cs="Times New Roman"/>
        </w:rPr>
        <w:t>(27)</w:t>
      </w:r>
      <w:r w:rsidR="00ED424C">
        <w:rPr>
          <w:rFonts w:ascii="Times New Roman" w:hAnsi="Times New Roman" w:cs="Times New Roman"/>
        </w:rPr>
        <w:fldChar w:fldCharType="end"/>
      </w:r>
      <w:r w:rsidRPr="001944B3">
        <w:rPr>
          <w:rFonts w:ascii="Times New Roman" w:hAnsi="Times New Roman" w:cs="Times New Roman"/>
        </w:rPr>
        <w:t>.</w:t>
      </w:r>
    </w:p>
    <w:p w14:paraId="4507D20F"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t>Structural determinants and health inequities</w:t>
      </w:r>
    </w:p>
    <w:p w14:paraId="5812721F"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The health impacts of e-waste in LMICs cannot be understood solely through toxicological mechanisms; they are deeply shaped by structural determinants. Informal e-waste workers often lack access to healthcare, social protection, and legal recognition, limiting opportunities for early diagnosis and treatment. Economic dependence on hazardous recycling activities constrains individual agency, forcing trade-offs between income generation and health protection. These dynamics reinforce cycles of exposure and illness that disproportionately affect marginalized populations, reflecting broader patterns of environmental injustice</w:t>
      </w:r>
      <w:r w:rsidR="00E33993">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{"citationID":"0NUuwIvg","properties":{"formattedCitation":"(28)","plainCitation":"(28)","noteIndex":0},"citationItems":[{"id":14893,"uris":["http://zotero.org/users/16652950/items/HDXWW9UU"],"itemData":{"id":14893,"type":"article-journal","abstract":"Background\nNigeria's aging population is expanding rapidly. Older adults face intersecting challenges of poverty, chronic disease burden, and inadequate access to healthcare. With limited formal income support and minimal health insurance coverage, most elderly Nigerians rely on family or continue informal labor to survive. This compounds their vulnerability in later life.\n\nObjectives\nThis article examines the economic and health‐related barriers to healthcare utilization among older Nigerians. It incorporates recent demographic and epidemiological trends, wealth‐based inequalities, rural–urban disparities, and evolving policy responses. The analysis integrates insights from the Nigeria Demographic and Health Survey (NDHS) 2018 and applies Andersen's healthcare access model.\n\nMethods\nA perspective approach was adopted to synthesize empirical literature, national data (including NDHS), and recent policy developments such as the National Health Insurance Authority Act and the National Senior Citizens Centre (NSCC) Act. Comparisons are drawn with other lower‐middle‐income countries, notably India, to highlight global relevance.\n\nFindings\nOlder Nigerians, particularly women and rural dwellers, experience high poverty rates, with up to 85% of women aged 70 and above living in poverty. They face chronic multimorbidity and have some of the lowest health service utilization rates due to cost, distance, and systemic neglect. Although policy frameworks, such as the NSCC and Basic Health Care Provision Fund (BHCPF), exist, implementation remains weak.\n\nConclusions\nComprehensive reforms are essential to improve elderly health outcomes in Nigeria. Priorities include expanding subsidized health insurance, implementing universal social pensions, strengthening rural health services, and combating ageism. A coordinated and inclusive policy strategy can transform aging from a crisis into an opportunity for national development.","container-title":"Public Health Challenges","DOI":"10.1002/puh2.70125","ISSN":"2769-2450","issue":"3","journalAbbreviation":"Public Health Chall","note":"PMID: 40959515\nPMCID: PMC12434480","page":"e70125","source":"PubMed Central","title":"Aging, Poverty, and Healthcare Access and Affordability in Nigeria: Implications for Policy","title-short":"Aging, Poverty, and Healthcare Access and Affordability in Nigeria","volume":"4","author":[{"family":"Folorunsho","given":"Sunkanmi"}],"issued":{"date-parts":[["2025",9,15]]}}}],"schema":"https://github.com/citation-style-language/schema/raw/master/csl-citation.json"} </w:instrText>
      </w:r>
      <w:r w:rsidR="00E33993">
        <w:rPr>
          <w:rFonts w:ascii="Times New Roman" w:hAnsi="Times New Roman" w:cs="Times New Roman"/>
        </w:rPr>
        <w:fldChar w:fldCharType="separate"/>
      </w:r>
      <w:r w:rsidR="00E33993" w:rsidRPr="00E33993">
        <w:rPr>
          <w:rFonts w:ascii="Times New Roman" w:hAnsi="Times New Roman" w:cs="Times New Roman"/>
        </w:rPr>
        <w:t>(28)</w:t>
      </w:r>
      <w:r w:rsidR="00E33993">
        <w:rPr>
          <w:rFonts w:ascii="Times New Roman" w:hAnsi="Times New Roman" w:cs="Times New Roman"/>
        </w:rPr>
        <w:fldChar w:fldCharType="end"/>
      </w:r>
      <w:r w:rsidRPr="001944B3">
        <w:rPr>
          <w:rFonts w:ascii="Times New Roman" w:hAnsi="Times New Roman" w:cs="Times New Roman"/>
        </w:rPr>
        <w:t>.</w:t>
      </w:r>
    </w:p>
    <w:p w14:paraId="56B105F2"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Moreover, global production and consumption systems externalize health risks to LMICs while concentrating economic benefits elsewhere. This asymmetry complicates accountability and underscores the need to frame e-waste-related health impacts as a shared global responsibility rather than a localized failure of waste management.</w:t>
      </w:r>
    </w:p>
    <w:p w14:paraId="603E0A53" w14:textId="77777777" w:rsidR="001944B3" w:rsidRPr="001944B3" w:rsidRDefault="001944B3" w:rsidP="00F233BD">
      <w:pPr>
        <w:jc w:val="both"/>
        <w:rPr>
          <w:rFonts w:ascii="Times New Roman" w:hAnsi="Times New Roman" w:cs="Times New Roman"/>
          <w:b/>
          <w:bCs/>
        </w:rPr>
      </w:pPr>
      <w:r w:rsidRPr="001944B3">
        <w:rPr>
          <w:rFonts w:ascii="Times New Roman" w:hAnsi="Times New Roman" w:cs="Times New Roman"/>
          <w:b/>
          <w:bCs/>
        </w:rPr>
        <w:t>Surveillance gaps and limitations of existing evidence</w:t>
      </w:r>
    </w:p>
    <w:p w14:paraId="471F0431"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lastRenderedPageBreak/>
        <w:t>Despite growing recognition of e-waste-related health risks, substantial gaps remain in surveillance and evidence generation. Most existing studies rely on cross-sectional designs, small sample sizes, and proxy exposure measures, limiting causal inference and the ability to assess long-term health outcomes. Biomonitoring is sporadic and geographically concentrated, leaving large regions and populations underrepresented. Health information systems in many LMICs are not configured to capture environmentally mediated diseases, leading to underdiagnosis and misattribution of symptoms</w:t>
      </w:r>
      <w:r w:rsidR="00ED424C">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{"citationID":"zxuRcSe0","properties":{"formattedCitation":"(29)","plainCitation":"(29)","noteIndex":0},"citationItems":[{"id":14845,"uris":["http://zotero.org/users/16652950/items/FRBZZE4W"],"itemData":{"id":14845,"type":"article-journal","abstract":"The goal of this study is to look into household exposure, knowledge, and perceptions of the risks connected with solid waste management in Jigjiga, Ethiopia. Jigjiga is currently grappling with overflowing landfills and limited waste collection, resulting in open dumping and serious health concerns such as disease transmission. The goal of this research is to better understand how Jigjiga residents interact with the waste management system, as well as their perceptions of the health and environmental issues that arise. The study employed a cross-sectional design using a multistage sampling technique. Two kebeles were used to select 200 families living near and far from the dumpsite. Questionnaires were utilized to collect data on demographics, exposure, knowledge, and risk perception. The analysis was carried out utilizing descriptive statistics and binary logistic regression. A survey of 357 households in Jigjiga, Ethiopia, found concerning trends in solid waste management. 78 % of the population visits the dumpsite on a weekly basis, with the majority residing within a 3-km radius. Almost half (44.5 %) reported monthly visits. Despite this, more than 90 % of locals are aware of the health dangers connected with poor waste management. 72 % of individuals believe that inadequate waste disposal causes to illness, with diarrhea being the most prevalent health concern. This study sheds light on the exposure, understanding, and perceptions of risks associated with solid waste management at the household level in Jigjiga, Ethiopia. The findings highlight the significance of improving solid waste management processes to mitigate the negative consequences on human health, the environment, and the economy.","container-title":"Heliyon","DOI":"10.1016/j.heliyon.2024.e29745","ISSN":"2405-8440","issue":"9","journalAbbreviation":"Heliyon","page":"e29745","source":"ScienceDirect","title":"Exposure, knowledge, and perceptions of hazards associated with solid waste management at the household level in jigjiga town, northeast Ethiopia","volume":"10","author":[{"family":"Haile Shoddo","given":"Getaneh"}],"issued":{"date-parts":[["2024",5,15]]}}}],"schema":"https://github.com/citation-style-language/schema/raw/master/csl-citation.json"} </w:instrText>
      </w:r>
      <w:r w:rsidR="00ED424C">
        <w:rPr>
          <w:rFonts w:ascii="Times New Roman" w:hAnsi="Times New Roman" w:cs="Times New Roman"/>
        </w:rPr>
        <w:fldChar w:fldCharType="separate"/>
      </w:r>
      <w:r w:rsidR="00E33993" w:rsidRPr="00E33993">
        <w:rPr>
          <w:rFonts w:ascii="Times New Roman" w:hAnsi="Times New Roman" w:cs="Times New Roman"/>
        </w:rPr>
        <w:t>(29)</w:t>
      </w:r>
      <w:r w:rsidR="00ED424C">
        <w:rPr>
          <w:rFonts w:ascii="Times New Roman" w:hAnsi="Times New Roman" w:cs="Times New Roman"/>
        </w:rPr>
        <w:fldChar w:fldCharType="end"/>
      </w:r>
      <w:r w:rsidRPr="001944B3">
        <w:rPr>
          <w:rFonts w:ascii="Times New Roman" w:hAnsi="Times New Roman" w:cs="Times New Roman"/>
        </w:rPr>
        <w:t>.</w:t>
      </w:r>
    </w:p>
    <w:p w14:paraId="0BF0B72D" w14:textId="77777777" w:rsidR="001944B3" w:rsidRPr="001944B3" w:rsidRDefault="001944B3" w:rsidP="00F233BD">
      <w:pPr>
        <w:jc w:val="both"/>
        <w:rPr>
          <w:rFonts w:ascii="Times New Roman" w:hAnsi="Times New Roman" w:cs="Times New Roman"/>
        </w:rPr>
      </w:pPr>
      <w:r w:rsidRPr="001944B3">
        <w:rPr>
          <w:rFonts w:ascii="Times New Roman" w:hAnsi="Times New Roman" w:cs="Times New Roman"/>
        </w:rPr>
        <w:t>Children and informal workers are particularly underrepresented in routine surveillance, despite bearing the highest risks. Longitudinal cohort studies, exposure registries, and integrated environmental–health monitoring systems are rare, constraining the ability to evaluate the effectiveness of interventions or track progress over time. These limitations highlight the need for health-centered metrics within circular economy initiatives, ensuring that reductions in material throughput are accompanied by measurable improvements in population health</w:t>
      </w:r>
      <w:r w:rsidR="00750B0F">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{"citationID":"E0g7yk7u","properties":{"formattedCitation":"(30)","plainCitation":"(30)","noteIndex":0},"citationItems":[{"id":14847,"uris":["http://zotero.org/users/16652950/items/TWW8SMIK"],"itemData":{"id":14847,"type":"article-journal","abstract":"Background: Street food vending provides vital employment and nutrition in low- and middle-income countries (LMICs), but poor health and safety compli...","container-title":"International Journal of Environmental Research and Public Health","DOI":"10.3390/ijerph22081239","ISSN":"1660-4601","issue":"8","language":"en","license":"http://creativecommons.org/licenses/by/3.0/","note":"Company: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publisher","source":"www.mdpi.com","title":"Health and Safety Practices as Drivers of Business Performance in Informal Street Food Economies: An Integrative Review of Global and South African Evidence","title-short":"Health and Safety Practices as Drivers of Business Performance in Informal Street Food Economies","URL":"https://www.mdpi.com/1660-4601/22/8/1239","volume":"22","author":[{"family":"Sepadi","given":"Maasago Mercy"},{"family":"Hutton","given":"Tim"}],"accessed":{"date-parts":[["2026",2,16]]},"issued":{"date-parts":[["2025",8,7]]}}}],"schema":"https://github.com/citation-style-language/schema/raw/master/csl-citation.json"} </w:instrText>
      </w:r>
      <w:r w:rsidR="00750B0F">
        <w:rPr>
          <w:rFonts w:ascii="Times New Roman" w:hAnsi="Times New Roman" w:cs="Times New Roman"/>
        </w:rPr>
        <w:fldChar w:fldCharType="separate"/>
      </w:r>
      <w:r w:rsidR="00E33993" w:rsidRPr="00E33993">
        <w:rPr>
          <w:rFonts w:ascii="Times New Roman" w:hAnsi="Times New Roman" w:cs="Times New Roman"/>
        </w:rPr>
        <w:t>(30)</w:t>
      </w:r>
      <w:r w:rsidR="00750B0F">
        <w:rPr>
          <w:rFonts w:ascii="Times New Roman" w:hAnsi="Times New Roman" w:cs="Times New Roman"/>
        </w:rPr>
        <w:fldChar w:fldCharType="end"/>
      </w:r>
      <w:r w:rsidRPr="001944B3">
        <w:rPr>
          <w:rFonts w:ascii="Times New Roman" w:hAnsi="Times New Roman" w:cs="Times New Roman"/>
        </w:rPr>
        <w:t>.</w:t>
      </w:r>
    </w:p>
    <w:p w14:paraId="2CAFF7FD" w14:textId="77777777" w:rsidR="00953ED5" w:rsidRPr="00953ED5" w:rsidRDefault="001944B3" w:rsidP="00F233BD">
      <w:pPr>
        <w:jc w:val="both"/>
        <w:rPr>
          <w:rFonts w:ascii="Times New Roman" w:hAnsi="Times New Roman" w:cs="Times New Roman"/>
        </w:rPr>
      </w:pPr>
      <w:r w:rsidRPr="001944B3">
        <w:rPr>
          <w:rFonts w:ascii="Times New Roman" w:hAnsi="Times New Roman" w:cs="Times New Roman"/>
        </w:rPr>
        <w:t>Taken together, the evidence indicates that e-waste constitutes a significant but under-recognized determinant of health in LMICs. The diffuse, chronic, and inequitable nature of exposure underscores the importance of upstream interventions that reduce environmental contamination and occupational hazards at their source. Addressing these health impacts therefore requires not only improved surveillance and healthcare access, but also systemic changes in how e-waste is designed, traded, and processed—an issue explored further in the following sections.</w:t>
      </w:r>
      <w:r w:rsidR="00953ED5" w:rsidRPr="00F233BD">
        <w:rPr>
          <w:rFonts w:ascii="Times New Roman" w:hAnsi="Times New Roman" w:cs="Times New Roman"/>
        </w:rPr>
        <w:t xml:space="preserve"> </w:t>
      </w:r>
      <w:r w:rsidR="00953ED5" w:rsidRPr="00953ED5">
        <w:rPr>
          <w:rFonts w:ascii="Times New Roman" w:hAnsi="Times New Roman" w:cs="Times New Roman"/>
          <w:i/>
          <w:iCs/>
        </w:rPr>
        <w:t>Table 1 reframes e-waste–related health impacts by mapping key exposure stages to underlying risk mechanisms and identifying health-protective leverage points relevant to LMIC contexts.</w:t>
      </w:r>
    </w:p>
    <w:p w14:paraId="75C9790D" w14:textId="77777777" w:rsidR="00953ED5" w:rsidRPr="00953ED5" w:rsidRDefault="00953ED5" w:rsidP="00F233BD">
      <w:pPr>
        <w:jc w:val="both"/>
        <w:rPr>
          <w:rFonts w:ascii="Times New Roman" w:hAnsi="Times New Roman" w:cs="Times New Roman"/>
          <w:b/>
          <w:bCs/>
        </w:rPr>
      </w:pPr>
      <w:r w:rsidRPr="00953ED5">
        <w:rPr>
          <w:rFonts w:ascii="Times New Roman" w:hAnsi="Times New Roman" w:cs="Times New Roman"/>
          <w:b/>
          <w:bCs/>
        </w:rPr>
        <w:t>Table 1. Health-relevant leverage points across the e-waste exposure continuum in LMICs</w:t>
      </w:r>
    </w:p>
    <w:p w14:paraId="4D35E740" w14:textId="77777777" w:rsidR="00953ED5" w:rsidRPr="00953ED5" w:rsidRDefault="00953ED5" w:rsidP="00F233BD">
      <w:pPr>
        <w:jc w:val="both"/>
        <w:rPr>
          <w:rFonts w:ascii="Times New Roman" w:hAnsi="Times New Roman" w:cs="Times New Roman"/>
        </w:rPr>
      </w:pPr>
    </w:p>
    <w:tbl>
      <w:tblPr>
        <w:tblW w:w="0" w:type="auto"/>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65"/>
        <w:gridCol w:w="2119"/>
        <w:gridCol w:w="2116"/>
        <w:gridCol w:w="1531"/>
        <w:gridCol w:w="1929"/>
      </w:tblGrid>
      <w:tr w:rsidR="00953ED5" w:rsidRPr="00953ED5" w14:paraId="19BA02D1" w14:textId="77777777" w:rsidTr="00F233BD">
        <w:trPr>
          <w:tblHeader/>
          <w:tblCellSpacing w:w="15" w:type="dxa"/>
        </w:trPr>
        <w:tc>
          <w:tcPr>
            <w:tcW w:w="0" w:type="auto"/>
            <w:vAlign w:val="center"/>
            <w:hideMark/>
          </w:tcPr>
          <w:p w14:paraId="27F56216" w14:textId="77777777" w:rsidR="00953ED5" w:rsidRPr="00953ED5" w:rsidRDefault="00953ED5" w:rsidP="00F233BD">
            <w:pPr>
              <w:jc w:val="both"/>
              <w:rPr>
                <w:rFonts w:ascii="Times New Roman" w:hAnsi="Times New Roman" w:cs="Times New Roman"/>
                <w:b/>
                <w:bCs/>
              </w:rPr>
            </w:pPr>
            <w:r w:rsidRPr="00953ED5">
              <w:rPr>
                <w:rFonts w:ascii="Times New Roman" w:hAnsi="Times New Roman" w:cs="Times New Roman"/>
                <w:b/>
                <w:bCs/>
              </w:rPr>
              <w:t>Stage of exposure continuum</w:t>
            </w:r>
          </w:p>
        </w:tc>
        <w:tc>
          <w:tcPr>
            <w:tcW w:w="0" w:type="auto"/>
            <w:vAlign w:val="center"/>
            <w:hideMark/>
          </w:tcPr>
          <w:p w14:paraId="0BC0A5AF" w14:textId="77777777" w:rsidR="00953ED5" w:rsidRPr="00953ED5" w:rsidRDefault="00953ED5" w:rsidP="00F233BD">
            <w:pPr>
              <w:jc w:val="both"/>
              <w:rPr>
                <w:rFonts w:ascii="Times New Roman" w:hAnsi="Times New Roman" w:cs="Times New Roman"/>
                <w:b/>
                <w:bCs/>
              </w:rPr>
            </w:pPr>
            <w:r w:rsidRPr="00953ED5">
              <w:rPr>
                <w:rFonts w:ascii="Times New Roman" w:hAnsi="Times New Roman" w:cs="Times New Roman"/>
                <w:b/>
                <w:bCs/>
              </w:rPr>
              <w:t>Primary health risk mechanism</w:t>
            </w:r>
          </w:p>
        </w:tc>
        <w:tc>
          <w:tcPr>
            <w:tcW w:w="0" w:type="auto"/>
            <w:vAlign w:val="center"/>
            <w:hideMark/>
          </w:tcPr>
          <w:p w14:paraId="78A0ED2F" w14:textId="77777777" w:rsidR="00953ED5" w:rsidRPr="00953ED5" w:rsidRDefault="00953ED5" w:rsidP="00F233BD">
            <w:pPr>
              <w:jc w:val="both"/>
              <w:rPr>
                <w:rFonts w:ascii="Times New Roman" w:hAnsi="Times New Roman" w:cs="Times New Roman"/>
                <w:b/>
                <w:bCs/>
              </w:rPr>
            </w:pPr>
            <w:r w:rsidRPr="00953ED5">
              <w:rPr>
                <w:rFonts w:ascii="Times New Roman" w:hAnsi="Times New Roman" w:cs="Times New Roman"/>
                <w:b/>
                <w:bCs/>
              </w:rPr>
              <w:t>Population disproportionately affected</w:t>
            </w:r>
          </w:p>
        </w:tc>
        <w:tc>
          <w:tcPr>
            <w:tcW w:w="0" w:type="auto"/>
            <w:vAlign w:val="center"/>
            <w:hideMark/>
          </w:tcPr>
          <w:p w14:paraId="50B81045" w14:textId="77777777" w:rsidR="00953ED5" w:rsidRPr="00953ED5" w:rsidRDefault="00953ED5" w:rsidP="00F233BD">
            <w:pPr>
              <w:jc w:val="both"/>
              <w:rPr>
                <w:rFonts w:ascii="Times New Roman" w:hAnsi="Times New Roman" w:cs="Times New Roman"/>
                <w:b/>
                <w:bCs/>
              </w:rPr>
            </w:pPr>
            <w:r w:rsidRPr="00953ED5">
              <w:rPr>
                <w:rFonts w:ascii="Times New Roman" w:hAnsi="Times New Roman" w:cs="Times New Roman"/>
                <w:b/>
                <w:bCs/>
              </w:rPr>
              <w:t>Why risk persists in LMICs</w:t>
            </w:r>
          </w:p>
        </w:tc>
        <w:tc>
          <w:tcPr>
            <w:tcW w:w="0" w:type="auto"/>
            <w:vAlign w:val="center"/>
            <w:hideMark/>
          </w:tcPr>
          <w:p w14:paraId="40550BFF" w14:textId="77777777" w:rsidR="00953ED5" w:rsidRPr="00953ED5" w:rsidRDefault="00953ED5" w:rsidP="00F233BD">
            <w:pPr>
              <w:jc w:val="both"/>
              <w:rPr>
                <w:rFonts w:ascii="Times New Roman" w:hAnsi="Times New Roman" w:cs="Times New Roman"/>
                <w:b/>
                <w:bCs/>
              </w:rPr>
            </w:pPr>
            <w:r w:rsidRPr="00953ED5">
              <w:rPr>
                <w:rFonts w:ascii="Times New Roman" w:hAnsi="Times New Roman" w:cs="Times New Roman"/>
                <w:b/>
                <w:bCs/>
              </w:rPr>
              <w:t>Health-protective leverage point</w:t>
            </w:r>
          </w:p>
        </w:tc>
      </w:tr>
      <w:tr w:rsidR="00953ED5" w:rsidRPr="00953ED5" w14:paraId="5D4690CC" w14:textId="77777777" w:rsidTr="00F233BD">
        <w:trPr>
          <w:tblCellSpacing w:w="15" w:type="dxa"/>
        </w:trPr>
        <w:tc>
          <w:tcPr>
            <w:tcW w:w="0" w:type="auto"/>
            <w:vAlign w:val="center"/>
            <w:hideMark/>
          </w:tcPr>
          <w:p w14:paraId="100AC2DA"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Manual dismantling and sorting</w:t>
            </w:r>
          </w:p>
        </w:tc>
        <w:tc>
          <w:tcPr>
            <w:tcW w:w="0" w:type="auto"/>
            <w:vAlign w:val="center"/>
            <w:hideMark/>
          </w:tcPr>
          <w:p w14:paraId="07E1DE25"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Chronic dermal and inhalation exposure to mixed toxicants</w:t>
            </w:r>
          </w:p>
        </w:tc>
        <w:tc>
          <w:tcPr>
            <w:tcW w:w="0" w:type="auto"/>
            <w:vAlign w:val="center"/>
            <w:hideMark/>
          </w:tcPr>
          <w:p w14:paraId="7F13E6B6"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Informal workers</w:t>
            </w:r>
          </w:p>
        </w:tc>
        <w:tc>
          <w:tcPr>
            <w:tcW w:w="0" w:type="auto"/>
            <w:vAlign w:val="center"/>
            <w:hideMark/>
          </w:tcPr>
          <w:p w14:paraId="3986D9F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Lack of protective equipment; economic dependence</w:t>
            </w:r>
          </w:p>
        </w:tc>
        <w:tc>
          <w:tcPr>
            <w:tcW w:w="0" w:type="auto"/>
            <w:vAlign w:val="center"/>
            <w:hideMark/>
          </w:tcPr>
          <w:p w14:paraId="0563B5EA"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Formalized workspaces; PPE access; training</w:t>
            </w:r>
            <w:r w:rsidR="00750B0F">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{"citationID":"xK681aMb","properties":{"formattedCitation":"(31)","plainCitation":"(31)","noteIndex":0},"citationItems":[{"id":14849,"uris":["http://zotero.org/users/16652950/items/SMQ9G9VQ"],"itemData":{"id":14849,"type":"article-journal","abstract":"Objective\nOccupational exposure to antineoplastic drugs presents significant health risks to workers, necessitating a comprehensive understanding of both dermal and inhalation exposures. This systematic review examines the relative significance of cutaneous versus inhalation exposure among professionals handling these potent medications.\n\nStudy design\nSystematic review.\n\nMethods\nA systematic search using the PECO framework was conducted in PubMed, Scopus, and Web of Science, adhering to PRISMA guidelines. Data from surface and air sampling studies were collected and analyzed.\n\nResults\nTen studies met the inclusion criteria, assessing various antineoplastic drugs across different occupational settings. Surface contamination levels varied widely, with concentrations ranging from very low to high, whereas airborne monitoring consistently reported \"Not Detectable\" levels. Exposure levels were influenced by workplace practices, handling procedures, and the sensitivity of detection methods.\n\nConclusions\nThis systematic review of ten studies on dermal and inhalation exposure to antineoplastic drugs in various occupational settings reveals significant variability in contamination levels. Tailored safety measures, including stringent protocols, decontamination procedures, and respiratory protection, are essential for workplace safety. The review highlights the importance of standardized safety protocols, considering the impact of workplace practices and detection method sensitivity. Additionally, it underscores the health risks associated with even low-level exposure, emphasizing the need for biological monitoring. Despite some limitations, this study offers valuable insights for enhancing the safety of staffs handling these potent drugs, guiding future research and policy development.","container-title":"BMC Public Health","DOI":"10.1186/s12889-024-21191-4","ISSN":"1471-2458","journalAbbreviation":"BMC Public Health","note":"PMID: 40375191\nPMCID: PMC12080148","page":"1800","source":"PubMed Central","title":"Comparative analysis of dermal and inhalation exposures to antineoplastic drugs among workers in the workplaces: a systematic review","title-short":"Comparative analysis of dermal and inhalation exposures to antineoplastic drugs among workers in the workplaces","volume":"25","author":[{"family":"Beigzadeh","given":"Zahra"},{"family":"Golbabaei","given":"Farideh"},{"family":"Omidi","given":"Fariborz"},{"family":"Shahtaheri","given":"Seyed Jamaleddin"}],"issued":{"date-parts":[["2025",5,15]]}}}],"schema":"https://github.com/citation-style-language/schema/raw/master/csl-citation.json"} </w:instrText>
            </w:r>
            <w:r w:rsidR="00750B0F">
              <w:rPr>
                <w:rFonts w:ascii="Times New Roman" w:hAnsi="Times New Roman" w:cs="Times New Roman"/>
              </w:rPr>
              <w:fldChar w:fldCharType="separate"/>
            </w:r>
            <w:r w:rsidR="00E33993" w:rsidRPr="00E33993">
              <w:rPr>
                <w:rFonts w:ascii="Times New Roman" w:hAnsi="Times New Roman" w:cs="Times New Roman"/>
              </w:rPr>
              <w:t>(31)</w:t>
            </w:r>
            <w:r w:rsidR="00750B0F">
              <w:rPr>
                <w:rFonts w:ascii="Times New Roman" w:hAnsi="Times New Roman" w:cs="Times New Roman"/>
              </w:rPr>
              <w:fldChar w:fldCharType="end"/>
            </w:r>
          </w:p>
        </w:tc>
      </w:tr>
      <w:tr w:rsidR="00953ED5" w:rsidRPr="00953ED5" w14:paraId="56D428AD" w14:textId="77777777" w:rsidTr="00F233BD">
        <w:trPr>
          <w:tblCellSpacing w:w="15" w:type="dxa"/>
        </w:trPr>
        <w:tc>
          <w:tcPr>
            <w:tcW w:w="0" w:type="auto"/>
            <w:vAlign w:val="center"/>
            <w:hideMark/>
          </w:tcPr>
          <w:p w14:paraId="772DC430"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Open burning and crude metal recovery</w:t>
            </w:r>
          </w:p>
        </w:tc>
        <w:tc>
          <w:tcPr>
            <w:tcW w:w="0" w:type="auto"/>
            <w:vAlign w:val="center"/>
            <w:hideMark/>
          </w:tcPr>
          <w:p w14:paraId="31CC5CB9"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High-intensity inhalation of particulates and fumes</w:t>
            </w:r>
          </w:p>
        </w:tc>
        <w:tc>
          <w:tcPr>
            <w:tcW w:w="0" w:type="auto"/>
            <w:vAlign w:val="center"/>
            <w:hideMark/>
          </w:tcPr>
          <w:p w14:paraId="080E05A5"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Workers and nearby residents</w:t>
            </w:r>
          </w:p>
        </w:tc>
        <w:tc>
          <w:tcPr>
            <w:tcW w:w="0" w:type="auto"/>
            <w:vAlign w:val="center"/>
            <w:hideMark/>
          </w:tcPr>
          <w:p w14:paraId="1CFB35A7"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Low-cost recovery methods; weak enforcement</w:t>
            </w:r>
          </w:p>
        </w:tc>
        <w:tc>
          <w:tcPr>
            <w:tcW w:w="0" w:type="auto"/>
            <w:vAlign w:val="center"/>
            <w:hideMark/>
          </w:tcPr>
          <w:p w14:paraId="6C460FAC"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Ban on open burning; safer recovery technologies</w:t>
            </w:r>
            <w:r w:rsidR="00750B0F">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{"citationID":"BXKSZqUS","properties":{"formattedCitation":"(32)","plainCitation":"(32)","noteIndex":0},"citationItems":[{"id":14852,"uris":["http://zotero.org/users/16652950/items/ULDQ2FLQ"],"itemData":{"id":14852,"type":"article-journal","abstract":"Electronic waste is an important part of solid waste management around the world. Being a large part of the solid waste, e-waste contains numerous hazardous components in the form of halogenated compounds like polychlorinated biphenyls (PCBs), tetrabromobisphenol A (TBBPA), polybrominated biphenyl (PBB), etc. along with other toxic materials which cause an adverse impact on the plants, microbes and human beings. One of the major toxic components of e-waste are heavy metals (HMs) like As, Cr, Cd, Cu, and Hg, which needs to be handled carefully at the time of dismantling the e-wastes, being managed by informal sector in developing countries compounds the problem, also, the available disposal/treatment technologies of e-waste are inadequate, and they have a direct as well as indirect impact on human health and the environment. This review deals with the quantity of e-waste generated globally and how its different components affect important factors of the ecosystem like soil, plants, microbes, and animals, including humans. This review also deals the recovery of valuable metals using various methods. This review concludes that, there is a quintessential need to replace conventional traditional procedures with futuristic state of the art eco-friendly approaches to manage e-waste.","container-title":"Environmental Technology &amp; Innovation","DOI":"10.1016/j.eti.2021.102049","ISSN":"2352-1864","journalAbbreviation":"Environmental Technology &amp; Innovation","page":"102049","source":"ScienceDirect","title":"Electronic waste and their leachates impact on human health and environment: Global ecological threat and management","title-short":"Electronic waste and their leachates impact on human health and environment","volume":"24","author":[{"literal":"Ankit"},{"family":"Saha","given":"Lala"},{"family":"Kumar","given":"Virendra"},{"family":"Tiwari","given":"Jaya"},{"literal":"Sweta"},{"family":"Rawat","given":"Shalu"},{"family":"Singh","given":"Jiwan"},{"family":"Bauddh","given":"Kuldeep"}],"issued":{"date-parts":[["2021",11,1]]}}}],"schema":"https://github.com/citation-style-language/schema/raw/master/csl-citation.json"} </w:instrText>
            </w:r>
            <w:r w:rsidR="00750B0F">
              <w:rPr>
                <w:rFonts w:ascii="Times New Roman" w:hAnsi="Times New Roman" w:cs="Times New Roman"/>
              </w:rPr>
              <w:fldChar w:fldCharType="separate"/>
            </w:r>
            <w:r w:rsidR="00E33993" w:rsidRPr="00E33993">
              <w:rPr>
                <w:rFonts w:ascii="Times New Roman" w:hAnsi="Times New Roman" w:cs="Times New Roman"/>
              </w:rPr>
              <w:t>(32)</w:t>
            </w:r>
            <w:r w:rsidR="00750B0F">
              <w:rPr>
                <w:rFonts w:ascii="Times New Roman" w:hAnsi="Times New Roman" w:cs="Times New Roman"/>
              </w:rPr>
              <w:fldChar w:fldCharType="end"/>
            </w:r>
          </w:p>
        </w:tc>
      </w:tr>
      <w:tr w:rsidR="00953ED5" w:rsidRPr="00953ED5" w14:paraId="2A75475F" w14:textId="77777777" w:rsidTr="00F233BD">
        <w:trPr>
          <w:tblCellSpacing w:w="15" w:type="dxa"/>
        </w:trPr>
        <w:tc>
          <w:tcPr>
            <w:tcW w:w="0" w:type="auto"/>
            <w:vAlign w:val="center"/>
            <w:hideMark/>
          </w:tcPr>
          <w:p w14:paraId="242963F8"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lastRenderedPageBreak/>
              <w:t>Environmental dispersion</w:t>
            </w:r>
          </w:p>
        </w:tc>
        <w:tc>
          <w:tcPr>
            <w:tcW w:w="0" w:type="auto"/>
            <w:vAlign w:val="center"/>
            <w:hideMark/>
          </w:tcPr>
          <w:p w14:paraId="62ECE2E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Accumulation of pollutants in soil and air</w:t>
            </w:r>
          </w:p>
        </w:tc>
        <w:tc>
          <w:tcPr>
            <w:tcW w:w="0" w:type="auto"/>
            <w:vAlign w:val="center"/>
            <w:hideMark/>
          </w:tcPr>
          <w:p w14:paraId="34C8BE03"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Communities near recycling sites</w:t>
            </w:r>
          </w:p>
        </w:tc>
        <w:tc>
          <w:tcPr>
            <w:tcW w:w="0" w:type="auto"/>
            <w:vAlign w:val="center"/>
            <w:hideMark/>
          </w:tcPr>
          <w:p w14:paraId="142E3EA0"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 xml:space="preserve">Residential proximity; </w:t>
            </w:r>
            <w:proofErr w:type="spellStart"/>
            <w:r w:rsidRPr="00953ED5">
              <w:rPr>
                <w:rFonts w:ascii="Times New Roman" w:hAnsi="Times New Roman" w:cs="Times New Roman"/>
              </w:rPr>
              <w:t>unzoned</w:t>
            </w:r>
            <w:proofErr w:type="spellEnd"/>
            <w:r w:rsidRPr="00953ED5">
              <w:rPr>
                <w:rFonts w:ascii="Times New Roman" w:hAnsi="Times New Roman" w:cs="Times New Roman"/>
              </w:rPr>
              <w:t xml:space="preserve"> land use</w:t>
            </w:r>
          </w:p>
        </w:tc>
        <w:tc>
          <w:tcPr>
            <w:tcW w:w="0" w:type="auto"/>
            <w:vAlign w:val="center"/>
            <w:hideMark/>
          </w:tcPr>
          <w:p w14:paraId="4D25492E"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Spatial zoning; site containment</w:t>
            </w:r>
            <w:r w:rsidR="00147B0C">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{"citationID":"1uLF7ICP","properties":{"formattedCitation":"(33)","plainCitation":"(33)","noteIndex":0},"citationItems":[{"id":14853,"uris":["http://zotero.org/users/16652950/items/ELSFTCVY"],"itemData":{"id":14853,"type":"article-journal","abstract":"The levels, contamination degrees, and spatial distributions of 13 metals—aluminum (Al), arsenic (As), barium (Ba), cadmium (Cd), cobalt (Co), chromium (Cr), copper (Cu), iron (Fe), manganese (Mn), nickel (Ni), lead (Pb), vanadium (V), and zinc (Zn)—were investigated in soils from suburban, urban, and industrial sites in Ulsan, the largest multi-industrial city in South Korea. At the industrial sites, the mean concentrations of As (13.4 mg/kg), Cd (1.49 mg/kg), Cu (129 mg/kg), Ni (12.8 mg/kg), Pb (122 mg/kg), and Zn (376 mg/kg) were higher than those at the urban and suburban sites. In particular, soils from the non-ferrous metal and petrochemical industrial complexes were highly contaminated with As, Cd, Cu, Pb, and Zn, as supported by spatial distributions and multiple pollution indices. Ecological risks, assessed using the potential ecological risk index (RI), were very high at six industrial sites (913–1748), while those at the suburban (214–476) and urban sites (187–518) were at moderate to considerable levels. On average, Cd and As contributed 70% and 17% of the total ecological risks, respectively. According to the principal component analysis, As, Cd, Cu, Pb, and Zn were significantly associated with industrial soils, suggesting that industrial emissions are the primary source, whereas Al, Co, Cr, Fe, Mn, Ni, and V were not significantly affected by industrial activities or vehicular emissions. The results highlight the need for remediation strategies in the industrial complexes to mitigate severe ecological risks in soils and prevent further contamination of other environmental media and ecosystems.","container-title":"Environmental Geochemistry and Health","DOI":"10.1007/s10653-026-03035-9","ISSN":"0269-4042","issue":"3","journalAbbreviation":"Environ Geochem Health","note":"PMID: 41649636\nPMCID: PMC12880996","page":"144","source":"PubMed Central","title":"Spatial distributions, sources, and ecological risks of metals in soils from the largest industrial city of Ulsan, South Korea","volume":"48","author":[{"family":"Cho","given":"In-Gyu"},{"family":"Choi","given":"Sung-Deuk"},{"family":"Kim","given":"Leesun"},{"family":"Park","given":"Min-Kyu"},{"family":"Lee","given":"Sung-Eun"}],"issued":{"date-parts":[["2026"]]}}}],"schema":"https://github.com/citation-style-language/schema/raw/master/csl-citation.json"} </w:instrText>
            </w:r>
            <w:r w:rsidR="00147B0C">
              <w:rPr>
                <w:rFonts w:ascii="Times New Roman" w:hAnsi="Times New Roman" w:cs="Times New Roman"/>
              </w:rPr>
              <w:fldChar w:fldCharType="separate"/>
            </w:r>
            <w:r w:rsidR="00E33993" w:rsidRPr="00E33993">
              <w:rPr>
                <w:rFonts w:ascii="Times New Roman" w:hAnsi="Times New Roman" w:cs="Times New Roman"/>
              </w:rPr>
              <w:t>(33)</w:t>
            </w:r>
            <w:r w:rsidR="00147B0C">
              <w:rPr>
                <w:rFonts w:ascii="Times New Roman" w:hAnsi="Times New Roman" w:cs="Times New Roman"/>
              </w:rPr>
              <w:fldChar w:fldCharType="end"/>
            </w:r>
          </w:p>
        </w:tc>
      </w:tr>
      <w:tr w:rsidR="00953ED5" w:rsidRPr="00953ED5" w14:paraId="118C78E5" w14:textId="77777777" w:rsidTr="00F233BD">
        <w:trPr>
          <w:tblCellSpacing w:w="15" w:type="dxa"/>
        </w:trPr>
        <w:tc>
          <w:tcPr>
            <w:tcW w:w="0" w:type="auto"/>
            <w:vAlign w:val="center"/>
            <w:hideMark/>
          </w:tcPr>
          <w:p w14:paraId="703FE34C"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Food-chain transfer</w:t>
            </w:r>
          </w:p>
        </w:tc>
        <w:tc>
          <w:tcPr>
            <w:tcW w:w="0" w:type="auto"/>
            <w:vAlign w:val="center"/>
            <w:hideMark/>
          </w:tcPr>
          <w:p w14:paraId="5DFFC80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Dietary ingestion of bioaccumulated toxicants</w:t>
            </w:r>
          </w:p>
        </w:tc>
        <w:tc>
          <w:tcPr>
            <w:tcW w:w="0" w:type="auto"/>
            <w:vAlign w:val="center"/>
            <w:hideMark/>
          </w:tcPr>
          <w:p w14:paraId="38A8AFB2"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General population</w:t>
            </w:r>
          </w:p>
        </w:tc>
        <w:tc>
          <w:tcPr>
            <w:tcW w:w="0" w:type="auto"/>
            <w:vAlign w:val="center"/>
            <w:hideMark/>
          </w:tcPr>
          <w:p w14:paraId="3A6917A1"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Subsistence agriculture and fishing</w:t>
            </w:r>
          </w:p>
        </w:tc>
        <w:tc>
          <w:tcPr>
            <w:tcW w:w="0" w:type="auto"/>
            <w:vAlign w:val="center"/>
            <w:hideMark/>
          </w:tcPr>
          <w:p w14:paraId="6CBC5EC4"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Food safety monitoring; site relocation</w:t>
            </w:r>
            <w:r w:rsidR="00147B0C">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{"citationID":"KoDfUcHt","properties":{"formattedCitation":"(34)","plainCitation":"(34)","noteIndex":0},"citationItems":[{"id":14856,"uris":["http://zotero.org/users/16652950/items/FKD67IHD"],"itemData":{"id":14856,"type":"article-journal","abstract":"The contamination of food by toxic chemical compounds is a significant global concern that threatens food safety and public health. These compounds originate from diverse sources, including naturall","container-title":"Exploration of Foods and Foodomics","DOI":"10.37349/eff.2025.101097","ISSN":"2837-9020","journalAbbreviation":"Explor Foods Foodomics.","language":"en","license":"2019 Open Exploration Publishing Inc","note":"publisher: Open Exploration","page":"101097","source":"www.explorationpub.com","title":"Persistence, toxicity, and risk assessment of toxic compounds in food: implications for food safety and public health","title-short":"Persistence, toxicity, and risk assessment of toxic compounds in food","volume":"3","author":[{"family":"Khatri","given":"Annu"},{"family":"Kumar","given":"Krishan"},{"family":"Meena","given":"Ramovatar"},{"family":"Thakur","given":"Indu Shekhar"}],"issued":{"date-parts":[["2025",8,22]]}}}],"schema":"https://github.com/citation-style-language/schema/raw/master/csl-citation.json"} </w:instrText>
            </w:r>
            <w:r w:rsidR="00147B0C">
              <w:rPr>
                <w:rFonts w:ascii="Times New Roman" w:hAnsi="Times New Roman" w:cs="Times New Roman"/>
              </w:rPr>
              <w:fldChar w:fldCharType="separate"/>
            </w:r>
            <w:r w:rsidR="00E33993" w:rsidRPr="00E33993">
              <w:rPr>
                <w:rFonts w:ascii="Times New Roman" w:hAnsi="Times New Roman" w:cs="Times New Roman"/>
              </w:rPr>
              <w:t>(34)</w:t>
            </w:r>
            <w:r w:rsidR="00147B0C">
              <w:rPr>
                <w:rFonts w:ascii="Times New Roman" w:hAnsi="Times New Roman" w:cs="Times New Roman"/>
              </w:rPr>
              <w:fldChar w:fldCharType="end"/>
            </w:r>
          </w:p>
        </w:tc>
      </w:tr>
      <w:tr w:rsidR="00953ED5" w:rsidRPr="00953ED5" w14:paraId="61B59F7F" w14:textId="77777777" w:rsidTr="00F233BD">
        <w:trPr>
          <w:tblCellSpacing w:w="15" w:type="dxa"/>
        </w:trPr>
        <w:tc>
          <w:tcPr>
            <w:tcW w:w="0" w:type="auto"/>
            <w:vAlign w:val="center"/>
            <w:hideMark/>
          </w:tcPr>
          <w:p w14:paraId="5506AE0D"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Prenatal and early-life exposure</w:t>
            </w:r>
          </w:p>
        </w:tc>
        <w:tc>
          <w:tcPr>
            <w:tcW w:w="0" w:type="auto"/>
            <w:vAlign w:val="center"/>
            <w:hideMark/>
          </w:tcPr>
          <w:p w14:paraId="7C4FFFC9"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Disruption of neurodevelopment and growth</w:t>
            </w:r>
          </w:p>
        </w:tc>
        <w:tc>
          <w:tcPr>
            <w:tcW w:w="0" w:type="auto"/>
            <w:vAlign w:val="center"/>
            <w:hideMark/>
          </w:tcPr>
          <w:p w14:paraId="2414C4C5"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Fetuses and children</w:t>
            </w:r>
          </w:p>
        </w:tc>
        <w:tc>
          <w:tcPr>
            <w:tcW w:w="0" w:type="auto"/>
            <w:vAlign w:val="center"/>
            <w:hideMark/>
          </w:tcPr>
          <w:p w14:paraId="4BCD920E"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Maternal exposure; lack of screening</w:t>
            </w:r>
          </w:p>
        </w:tc>
        <w:tc>
          <w:tcPr>
            <w:tcW w:w="0" w:type="auto"/>
            <w:vAlign w:val="center"/>
            <w:hideMark/>
          </w:tcPr>
          <w:p w14:paraId="286910C8"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Maternal health surveillance; relocation support</w:t>
            </w:r>
            <w:r w:rsidR="001264F6">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ku3Vk1Hq","properties":{"formattedCitation":"(35)","plainCitation":"(35)","noteIndex":0},"citationItems":[{"id":14858,"uris":["http://zotero.org/users/16652950/items/URESK3KQ"],"itemData":{"id":14858,"type":"article-journal","abstract":"undefined","container-title":"Toxics","DOI":"10.3390/toxics13100849","ISSN":"2305-6304","issue":"10","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publisher","source":"www.mdpi.com","title":"Unraveling the Early-Life Impacts of Environmental Exposures: From Fetal Growth to Child Development","title-short":"Unraveling the Early-Life Impacts of Environmental Exposures","URL":"https://www.mdpi.com/2305-6304/13/10/849","volume":"13","author":[{"family":"Xia","given":"Wei"}],"accessed":{"date-parts":[["2026",2,16]]},"issued":{"date-parts":[["2025",10,7]]}}}],"schema":"https://github.com/citation-style-language/schema/raw/master/csl-citation.json"} </w:instrText>
            </w:r>
            <w:r w:rsidR="001264F6">
              <w:rPr>
                <w:rFonts w:ascii="Times New Roman" w:hAnsi="Times New Roman" w:cs="Times New Roman"/>
              </w:rPr>
              <w:fldChar w:fldCharType="separate"/>
            </w:r>
            <w:r w:rsidR="00E33993" w:rsidRPr="00E33993">
              <w:rPr>
                <w:rFonts w:ascii="Times New Roman" w:hAnsi="Times New Roman" w:cs="Times New Roman"/>
              </w:rPr>
              <w:t>(35)</w:t>
            </w:r>
            <w:r w:rsidR="001264F6">
              <w:rPr>
                <w:rFonts w:ascii="Times New Roman" w:hAnsi="Times New Roman" w:cs="Times New Roman"/>
              </w:rPr>
              <w:fldChar w:fldCharType="end"/>
            </w:r>
          </w:p>
        </w:tc>
      </w:tr>
      <w:tr w:rsidR="00953ED5" w:rsidRPr="00953ED5" w14:paraId="2F541079" w14:textId="77777777" w:rsidTr="00F233BD">
        <w:trPr>
          <w:tblCellSpacing w:w="15" w:type="dxa"/>
        </w:trPr>
        <w:tc>
          <w:tcPr>
            <w:tcW w:w="0" w:type="auto"/>
            <w:vAlign w:val="center"/>
            <w:hideMark/>
          </w:tcPr>
          <w:p w14:paraId="0FB4B8FC"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Long-term cumulative exposure</w:t>
            </w:r>
          </w:p>
        </w:tc>
        <w:tc>
          <w:tcPr>
            <w:tcW w:w="0" w:type="auto"/>
            <w:vAlign w:val="center"/>
            <w:hideMark/>
          </w:tcPr>
          <w:p w14:paraId="232959F7"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Chronic disease risk over the life course</w:t>
            </w:r>
          </w:p>
        </w:tc>
        <w:tc>
          <w:tcPr>
            <w:tcW w:w="0" w:type="auto"/>
            <w:vAlign w:val="center"/>
            <w:hideMark/>
          </w:tcPr>
          <w:p w14:paraId="046D17F9"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Entire exposed population</w:t>
            </w:r>
          </w:p>
        </w:tc>
        <w:tc>
          <w:tcPr>
            <w:tcW w:w="0" w:type="auto"/>
            <w:vAlign w:val="center"/>
            <w:hideMark/>
          </w:tcPr>
          <w:p w14:paraId="683D6A9F"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Absence of exposure registries</w:t>
            </w:r>
          </w:p>
        </w:tc>
        <w:tc>
          <w:tcPr>
            <w:tcW w:w="0" w:type="auto"/>
            <w:vAlign w:val="center"/>
            <w:hideMark/>
          </w:tcPr>
          <w:p w14:paraId="17303453" w14:textId="77777777" w:rsidR="00953ED5" w:rsidRPr="00953ED5" w:rsidRDefault="00953ED5" w:rsidP="00F233BD">
            <w:pPr>
              <w:jc w:val="both"/>
              <w:rPr>
                <w:rFonts w:ascii="Times New Roman" w:hAnsi="Times New Roman" w:cs="Times New Roman"/>
              </w:rPr>
            </w:pPr>
            <w:r w:rsidRPr="00953ED5">
              <w:rPr>
                <w:rFonts w:ascii="Times New Roman" w:hAnsi="Times New Roman" w:cs="Times New Roman"/>
              </w:rPr>
              <w:t>Environmental–health monitoring systems</w:t>
            </w:r>
            <w:r w:rsidR="001264F6">
              <w:rPr>
                <w:rFonts w:ascii="Times New Roman" w:hAnsi="Times New Roman" w:cs="Times New Roman"/>
              </w:rPr>
              <w:fldChar w:fldCharType="begin"/>
            </w:r>
            <w:r w:rsidR="00E33993">
              <w:rPr>
                <w:rFonts w:ascii="Times New Roman" w:hAnsi="Times New Roman" w:cs="Times New Roman"/>
              </w:rPr>
              <w:instrText xml:space="preserve"> ADDIN ZOTERO_ITEM CSL_CITATION {"citationID":"FJElGzI6","properties":{"formattedCitation":"(36)","plainCitation":"(36)","noteIndex":0},"citationItems":[{"id":12784,"uris":["http://zotero.org/users/16652950/items/NGDBZY37"],"itemData":{"id":12784,"type":"article-journal","abstract":"Several literatures have examined the risk of chronic respiratory diseases in association with short-term ambient PM2.5 exposure in China. However, little evidence has examined the chronic impacts of PM2.5 exposure on morbidity of chronic respiratory diseases in cohorts from high pollution countries. Our study aims to investigate the associations. Based on a retrospective cohort among adults in northern China, a Cox regression model with time-varying PM2.5 exposure and a concentration-response (C-R) curve model were performed to access the relationships between incidence of chronic respiratory diseases and long-term PM2.5 exposure during a mean follow-up time of 9.8 years. Individual annual average PM2.5 estimates were obtained from a satellite-based model with high resolution. The incident date of a chronic respiratory disease was identified according to self-reported physician diagnosis time and/or intake of medication for treatment. Among 38,047 urban subjects analyzed in all-cause chronic respiratory disease cohort, 482 developed new cases. In CB (38,369), asthma (38,783), and COPD (38,921) cohorts, the onsets were 276, 89, and 14, respectively. After multivariable adjustment, hazard ratio and 95% confidence interval for morbidity of all-cause chronic respiratory disease, CB, asthma, and COPD were 1.15 (1.01, 1.31), 1.20 (1.00, 1.42), 0.76 (0.55, 1.04), and 0.66 (0.29, 1.47) with each 10 μg/m3 increment in PM2.5, respectively. Stronger effect estimates were suggested in alcohol drinkers across stratified analyses. Additionally, the shape of C-R curve showed an increasing linear relationship before 75.00 μg/m3 concentrations of PM2.5 for new-onset all-cause chronic respiratory disease, and leveled off at higher levels. These findings indicated that long-term exposure to high-level PM2.5 increased the risks of incident chronic respiratory diseases in China. Further evidence of C-R curves is warranted to clarify the associations of adverse chronic respiratory outcomes involving air pollution.","container-title":"Ecotoxicology and Environmental Safety","DOI":"10.1016/j.ecoenv.2022.114025","ISSN":"0147-6513","journalAbbreviation":"Ecotoxicology and Environmental Safety","page":"114025","source":"ScienceDirect","title":"Long-term PM2.5 exposure in association with chronic respiratory diseases morbidity: A cohort study in Northern China","title-short":"Long-term PM2.5 exposure in association with chronic respiratory diseases morbidity","volume":"244","author":[{"family":"Yan","given":"Mengfan"},{"family":"Ge","given":"Han"},{"family":"Zhang","given":"Liwen"},{"family":"Chen","given":"Xi"},{"family":"Yang","given":"Xueli"},{"family":"Liu","given":"Fangchao"},{"family":"Shan","given":"Anqi"},{"family":"Liang","given":"Fengchao"},{"family":"Li","given":"Xuejun"},{"family":"Ma","given":"Zhao"},{"family":"Dong","given":"Guanghui"},{"family":"Liu","given":"Yamin"},{"family":"Chen","given":"Jie"},{"family":"Wang","given":"Tong"},{"family":"Zhao","given":"Baoxin"},{"family":"Zeng","given":"Qiang"},{"family":"Lu","given":"Xiangfeng"},{"family":"Liu","given":"Yang"},{"family":"Tang","given":"Nai-jun"}],"issued":{"date-parts":[["2022",10,1]]}}}],"schema":"https://github.com/citation-style-language/schema/raw/master/csl-citation.json"} </w:instrText>
            </w:r>
            <w:r w:rsidR="001264F6">
              <w:rPr>
                <w:rFonts w:ascii="Times New Roman" w:hAnsi="Times New Roman" w:cs="Times New Roman"/>
              </w:rPr>
              <w:fldChar w:fldCharType="separate"/>
            </w:r>
            <w:r w:rsidR="00E33993" w:rsidRPr="00E33993">
              <w:rPr>
                <w:rFonts w:ascii="Times New Roman" w:hAnsi="Times New Roman" w:cs="Times New Roman"/>
              </w:rPr>
              <w:t>(36)</w:t>
            </w:r>
            <w:r w:rsidR="001264F6">
              <w:rPr>
                <w:rFonts w:ascii="Times New Roman" w:hAnsi="Times New Roman" w:cs="Times New Roman"/>
              </w:rPr>
              <w:fldChar w:fldCharType="end"/>
            </w:r>
          </w:p>
        </w:tc>
      </w:tr>
    </w:tbl>
    <w:p w14:paraId="4708ADE6" w14:textId="77777777" w:rsidR="001944B3" w:rsidRPr="00F233BD" w:rsidRDefault="001944B3" w:rsidP="00F233BD">
      <w:pPr>
        <w:jc w:val="both"/>
        <w:rPr>
          <w:rFonts w:ascii="Times New Roman" w:hAnsi="Times New Roman" w:cs="Times New Roman"/>
        </w:rPr>
      </w:pPr>
    </w:p>
    <w:p w14:paraId="33043662" w14:textId="77777777" w:rsidR="00045B89" w:rsidRPr="00045B89" w:rsidRDefault="00045B89" w:rsidP="00F233BD">
      <w:pPr>
        <w:jc w:val="both"/>
        <w:rPr>
          <w:rFonts w:ascii="Times New Roman" w:hAnsi="Times New Roman" w:cs="Times New Roman"/>
          <w:b/>
          <w:bCs/>
        </w:rPr>
      </w:pPr>
      <w:r w:rsidRPr="00F233BD">
        <w:rPr>
          <w:rFonts w:ascii="Times New Roman" w:hAnsi="Times New Roman" w:cs="Times New Roman"/>
          <w:b/>
          <w:bCs/>
        </w:rPr>
        <w:t>5</w:t>
      </w:r>
      <w:r w:rsidRPr="00045B89">
        <w:rPr>
          <w:rFonts w:ascii="Times New Roman" w:hAnsi="Times New Roman" w:cs="Times New Roman"/>
          <w:b/>
          <w:bCs/>
        </w:rPr>
        <w:t>. The Informal E-Waste Sector: Challenge or Opportunity?</w:t>
      </w:r>
    </w:p>
    <w:p w14:paraId="43A721AC" w14:textId="77777777" w:rsidR="00045B89" w:rsidRPr="00045B89" w:rsidRDefault="00045B89" w:rsidP="00F233BD">
      <w:pPr>
        <w:jc w:val="both"/>
        <w:rPr>
          <w:rFonts w:ascii="Times New Roman" w:hAnsi="Times New Roman" w:cs="Times New Roman"/>
        </w:rPr>
      </w:pPr>
      <w:r w:rsidRPr="00045B89">
        <w:rPr>
          <w:rFonts w:ascii="Times New Roman" w:hAnsi="Times New Roman" w:cs="Times New Roman"/>
        </w:rPr>
        <w:t>The informal e-waste sector occupies a central yet contested position within e-waste management systems in low- and middle-income countries (LMICs). Informal actors dominate collection, sorting, dismantling, and primary material recovery, forming the backbone of e-waste value chains in settings where formal infrastructure is limited or absent. This sector persists not because of regulatory failure alone, but because it fulfills critical economic functions, providing income opportunities for marginalized populations and enabling high rates of material recovery through labor-intensive processes. Any attempt to address e-waste-related environmental and health risks in LMICs must therefore grapple with informality as a structural feature rather than a temporary anomaly</w:t>
      </w:r>
      <w:r w:rsidR="00937407">
        <w:rPr>
          <w:rFonts w:ascii="Times New Roman" w:hAnsi="Times New Roman" w:cs="Times New Roman"/>
        </w:rPr>
        <w:fldChar w:fldCharType="begin"/>
      </w:r>
      <w:r w:rsidR="00937407">
        <w:rPr>
          <w:rFonts w:ascii="Times New Roman" w:hAnsi="Times New Roman" w:cs="Times New Roman"/>
        </w:rPr>
        <w:instrText xml:space="preserve"> ADDIN ZOTERO_ITEM CSL_CITATION {"citationID":"jP2swqrZ","properties":{"formattedCitation":"(8)","plainCitation":"(8)","noteIndex":0},"citationItems":[{"id":14804,"uris":["http://zotero.org/users/16652950/items/3CEYH82E"],"itemData":{"id":14804,"type":"article-journal","abstract":"E-Waste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A."}],"accessed":{"date-parts":[["2026",2,16]]},"issued":{"date-parts":[["2025",6,11]]}}}],"schema":"https://github.com/citation-style-language/schema/raw/master/csl-citation.json"} </w:instrText>
      </w:r>
      <w:r w:rsidR="00937407">
        <w:rPr>
          <w:rFonts w:ascii="Times New Roman" w:hAnsi="Times New Roman" w:cs="Times New Roman"/>
        </w:rPr>
        <w:fldChar w:fldCharType="separate"/>
      </w:r>
      <w:r w:rsidR="00937407" w:rsidRPr="00937407">
        <w:rPr>
          <w:rFonts w:ascii="Times New Roman" w:hAnsi="Times New Roman" w:cs="Times New Roman"/>
        </w:rPr>
        <w:t>(8)</w:t>
      </w:r>
      <w:r w:rsidR="00937407">
        <w:rPr>
          <w:rFonts w:ascii="Times New Roman" w:hAnsi="Times New Roman" w:cs="Times New Roman"/>
        </w:rPr>
        <w:fldChar w:fldCharType="end"/>
      </w:r>
      <w:r w:rsidRPr="00045B89">
        <w:rPr>
          <w:rFonts w:ascii="Times New Roman" w:hAnsi="Times New Roman" w:cs="Times New Roman"/>
        </w:rPr>
        <w:t>.</w:t>
      </w:r>
    </w:p>
    <w:p w14:paraId="7DC395AD" w14:textId="77777777" w:rsidR="00045B89" w:rsidRPr="00045B89" w:rsidRDefault="00045B89" w:rsidP="00F233BD">
      <w:pPr>
        <w:jc w:val="both"/>
        <w:rPr>
          <w:rFonts w:ascii="Times New Roman" w:hAnsi="Times New Roman" w:cs="Times New Roman"/>
        </w:rPr>
      </w:pPr>
      <w:r w:rsidRPr="00045B89">
        <w:rPr>
          <w:rFonts w:ascii="Times New Roman" w:hAnsi="Times New Roman" w:cs="Times New Roman"/>
        </w:rPr>
        <w:t>Economically, informal e-waste activities support livelihoods for large numbers of workers who face limited alternatives in formal labor markets. Low barriers to entry, flexible work arrangements, and immediate cash returns make informal recycling particularly attractive in urban and peri-urban settings characterized by unemployment and underemployment. Informal collectors also perform essential upstream services, including aggregation and sorting of discarded electronics, that are often underprovided by formal systems</w:t>
      </w:r>
      <w:r w:rsidR="00A02AF8">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{"citationID":"vYvoMPcN","properties":{"formattedCitation":"(37)","plainCitation":"(37)","noteIndex":0},"citationItems":[{"id":14895,"uris":["http://zotero.org/users/16652950/items/WDDK8XAM"],"itemData":{"id":14895,"type":"article-journal","abstract":"The objective of this research is to explore the production of biodiesel using Waste Vegetable Oil (WVO) as the primary feedstock and calcined eggshell ash as an environmentally sustainable catalyst. The WVO, characterized by a Free Fatty Acid (FFA) content of 2.86%, serves as the primary feedstock for biodiesel production through transesterification. The eggshell ash undergoes a rigorous process, including washing with distilled water to remove impurities, drying at 100ºC for 24 hours, crushing into fine particles, and final calcination in a muffle furnace at 900ºC. Process optimization is achieved by varying key reaction parameters, including temperature, catalyst loading, and the methanol-oil molar ratio. The optimal conditions are identified at 65°C, utilizing a methanol-oil molar ratio of 6:1 and a 5wt% catalyst loading. Under these optimized reaction conditions, a substantial biodiesel yield of 91.3% is obtained. The produced biodiesel meets the stringent quality requirements specified by the American Standard (ASTM D 6751) and European Standard (EN 14214) for biodiesel fuel, ensuring its suitability for various applications. This study demonstrates the potential of utilizing calcined eggshell ash as an eco-friendly catalyst for sustainable biodiesel production from WVO.\n \nReceived: 20 September 2023 | Revised: 1 November 2023 | Accepted: 13 November 2023\n \nConflicts of Interest \nThe authors declare that they have no conflicts of interest to this work.\n \nData Availability Statement\nData sharing is not applicable to this article as no new data were created or analyzed in this study.\n \nAuthor Contribution Statement\nFavour Okechi Ifeanyi-Nze: Conceptualization, Methodology, Validation, Formal analysis, Investigation, Resources, Data curation, Writing - original draft, Writing - review &amp;amp; editing, Visualization, Supervision, Project administration; Charles Olumakinde Omiyale: Conceptualization, Validation, Writing - review &amp;amp; editing; Innocent Ugochukwu Okonkwo: Formal analysis, Investigation; Chinemerem Jerry Chukwu: Methodology, Visualization; Chidimma Maryjane Nwankwor: Writing - original draft; Adebola Olatunde Onabanjo: Data curation; Sarah Onyabakpa Adoga: Project administration; Johnson Obasi Chukwu: Supervision; Kenechukwu Fortunate Chukwurah: Writing - review &amp;amp; editing, Project administration; Marcus Ebikemiyen: Investigation; Godstime Uduak Okon: Resources; Olaoluwa John Adeleke: Data curation; Kazeem Arowosaye Tajudeen: Validation.","container-title":"Archives of Advanced Engineering Science","DOI":"10.47852/bonviewAAES32021761","ISSN":"2972-4325","language":"en","license":"Copyright (c) 2023 Authors","page":"1-18","source":"ojs.bonviewpress.com","title":"Biodiesel Synthesis from Waste Vegetable Oil Utilizing Eggshell Ash as an Innovative Heterogenous Catalyst","author":[{"family":"Ifeanyi-Nze","given":"Favour Okechi"},{"family":"Omiyale","given":"Charles Olumakinde"},{"family":"Okonkwo","given":"Innocent Ugochukwu"},{"family":"Chukwu","given":"Chinemerem Jerry"},{"family":"Nwankwor","given":"Chidimma Maryjane"},{"family":"Onabanjo","given":"Adebola Olatunde"},{"family":"Adoga","given":"Sarah Onyabakpa"},{"family":"Chukwu","given":"Johnson Obasi"},{"family":"Chukwurah","given":"Kenechukwu Fortunate"},{"family":"Ebikemiyen","given":"Marcus"},{"family":"Okon","given":"Godstime Uduak"},{"family":"Adeleke","given":"Olaoluwa John"},{"family":"Tajudeen","given":"Kazeem Arowosaye"}],"issued":{"date-parts":[["2023",11,20]]}}}],"schema":"https://github.com/citation-style-language/schema/raw/master/csl-citation.json"} </w:instrText>
      </w:r>
      <w:r w:rsidR="00A02AF8">
        <w:rPr>
          <w:rFonts w:ascii="Times New Roman" w:hAnsi="Times New Roman" w:cs="Times New Roman"/>
        </w:rPr>
        <w:fldChar w:fldCharType="separate"/>
      </w:r>
      <w:r w:rsidR="00A02AF8" w:rsidRPr="00A02AF8">
        <w:rPr>
          <w:rFonts w:ascii="Times New Roman" w:hAnsi="Times New Roman" w:cs="Times New Roman"/>
        </w:rPr>
        <w:t>(37)</w:t>
      </w:r>
      <w:r w:rsidR="00A02AF8">
        <w:rPr>
          <w:rFonts w:ascii="Times New Roman" w:hAnsi="Times New Roman" w:cs="Times New Roman"/>
        </w:rPr>
        <w:fldChar w:fldCharType="end"/>
      </w:r>
      <w:r w:rsidRPr="00045B89">
        <w:rPr>
          <w:rFonts w:ascii="Times New Roman" w:hAnsi="Times New Roman" w:cs="Times New Roman"/>
        </w:rPr>
        <w:t xml:space="preserve">. From a circular economy perspective, this labor-intensive efficiency contributes to high rates of reuse and component </w:t>
      </w:r>
      <w:r w:rsidRPr="00045B89">
        <w:rPr>
          <w:rFonts w:ascii="Times New Roman" w:hAnsi="Times New Roman" w:cs="Times New Roman"/>
        </w:rPr>
        <w:lastRenderedPageBreak/>
        <w:t>recovery, underscoring the paradox that some of the most resource-efficient e-waste practices coexist with the most hazardous working conditions</w:t>
      </w:r>
      <w:r w:rsidR="00937407">
        <w:rPr>
          <w:rFonts w:ascii="Times New Roman" w:hAnsi="Times New Roman" w:cs="Times New Roman"/>
        </w:rPr>
        <w:fldChar w:fldCharType="begin"/>
      </w:r>
      <w:r w:rsidR="00937407">
        <w:rPr>
          <w:rFonts w:ascii="Times New Roman" w:hAnsi="Times New Roman" w:cs="Times New Roman"/>
        </w:rPr>
        <w:instrText xml:space="preserve"> ADDIN ZOTERO_ITEM CSL_CITATION {"citationID":"Q7lCBqsw","properties":{"formattedCitation":"(8)","plainCitation":"(8)","noteIndex":0},"citationItems":[{"id":14804,"uris":["http://zotero.org/users/16652950/items/3CEYH82E"],"itemData":{"id":14804,"type":"article-journal","abstract":"E-Waste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A."}],"accessed":{"date-parts":[["2026",2,16]]},"issued":{"date-parts":[["2025",6,11]]}}}],"schema":"https://github.com/citation-style-language/schema/raw/master/csl-citation.json"} </w:instrText>
      </w:r>
      <w:r w:rsidR="00937407">
        <w:rPr>
          <w:rFonts w:ascii="Times New Roman" w:hAnsi="Times New Roman" w:cs="Times New Roman"/>
        </w:rPr>
        <w:fldChar w:fldCharType="separate"/>
      </w:r>
      <w:r w:rsidR="00937407" w:rsidRPr="00937407">
        <w:rPr>
          <w:rFonts w:ascii="Times New Roman" w:hAnsi="Times New Roman" w:cs="Times New Roman"/>
        </w:rPr>
        <w:t>(8)</w:t>
      </w:r>
      <w:r w:rsidR="00937407">
        <w:rPr>
          <w:rFonts w:ascii="Times New Roman" w:hAnsi="Times New Roman" w:cs="Times New Roman"/>
        </w:rPr>
        <w:fldChar w:fldCharType="end"/>
      </w:r>
      <w:r w:rsidRPr="00045B89">
        <w:rPr>
          <w:rFonts w:ascii="Times New Roman" w:hAnsi="Times New Roman" w:cs="Times New Roman"/>
        </w:rPr>
        <w:t>.</w:t>
      </w:r>
    </w:p>
    <w:p w14:paraId="53521804" w14:textId="77777777" w:rsidR="00045B89" w:rsidRPr="00045B89" w:rsidRDefault="00045B89" w:rsidP="00F233BD">
      <w:pPr>
        <w:jc w:val="both"/>
        <w:rPr>
          <w:rFonts w:ascii="Times New Roman" w:hAnsi="Times New Roman" w:cs="Times New Roman"/>
        </w:rPr>
      </w:pPr>
      <w:r w:rsidRPr="00045B89">
        <w:rPr>
          <w:rFonts w:ascii="Times New Roman" w:hAnsi="Times New Roman" w:cs="Times New Roman"/>
        </w:rPr>
        <w:t>The health trade-offs embedded in informal e-waste work are substantial and persistent. Informal workers routinely operate in environments with elevated exposure to toxic substances, limited access to protective equipment, and no occupational health surveillance. The absence of regulatory oversight transfers the costs of material recovery from producers and consumers to workers and nearby communities, manifesting as chronic disease, reduced productivity, and intergenerational health impacts. These trade-offs are not the result of individual risk-taking but reflect constrained choices shaped by poverty, informality, and weak social protection systems. Framing informal e-waste work solely as a health problem risks obscuring its economic necessity and reinforcing stigmatizing narratives</w:t>
      </w:r>
      <w:r w:rsidR="00937407">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{"citationID":"j9WK8D2r","properties":{"formattedCitation":"(38)","plainCitation":"(38)","noteIndex":0},"citationItems":[{"id":14860,"uris":["http://zotero.org/users/16652950/items/E7RUCMPZ"],"itemData":{"id":14860,"type":"article-journal","abstract":"Recent technological advancements coupled with lax policy regulations have caused increased electronic waste (e-waste) burden in the Sub-Saharan Africa (SSA), thereby exacerbating the environmental signatures of hazardous substances including contaminants of emerging concern (CECs), endocrine-disrupting chemicals (EDCs), persistent organic pollutants (POPs), and toxic metals such as lead (Pb), mercury (Hg), and cadmium (Cd), among others. This review synthesized 62 studies published between 2008 and 2025 to assess the environmental and health risks associated with e-waste disposal in SSA. Pb, Hg, Cd, and brominated flame retardants were the most detected hazardous substances. Near e-waste sites, Pb levels in soil ranged from 120 to 14,000 mg/kg, while Cd reached 6.8 mg/kg in topsoil. Water contamination by Hg near informal processing sites ranged from 0.3 to 2.8 µg/L, exceeding the U.S Centers for Disease Control and Prevention (CDC) safety thresholds. Air pollution from open burning releases polycyclic aromatic hydrocarbons (400–1800 ng/m3), dioxins (3.5–19.2 ng/m3), and volatile metals, worsening the environmental health crisis. Informal recycling practices were the primary source of these pollutants, exposing workers and nearby communities to these toxic substances. This review highlighted significantly elevated health risks, with widespread exceedance of safety thresholds (e.g., blood Pb levels up to 309 µg/dL, compared to CDC reference: 5 µg/dL; Cd up to 8.5 µg/L), leading to cognitive deficits, neurological damage, cancer, and respiratory and reproductive disorders, particularly for the vulnerable populations. Observed trends, gaps in recycling infrastructure and policy underscore the urgent need for improved legislation, formal recycling systems, and public awareness to mitigate health risks in the SSA.","container-title":"Journal of Hazardous Materials Advances","DOI":"10.1016/j.hazadv.2025.100873","ISSN":"2772-4166","journalAbbreviation":"Journal of Hazardous Materials Advances","page":"100873","source":"ScienceDirect","title":"Electronic wastes in sub-Saharan Africa: A critical review of environmental and health impacts, regulatory responses, and future perspectives","title-short":"Electronic wastes in sub-Saharan Africa","volume":"20","author":[{"family":"Ssebugere","given":"Patrick"},{"family":"Miiro","given":"Ashirafu"},{"family":"Matovu","given":"Henry"},{"family":"Odongo","given":"Silver"},{"family":"Kato","given":"Charles Drago"},{"family":"Babirye","given":"Prudence Mary"},{"family":"Nabuuma","given":"Josephine"},{"family":"Sillanpaä","given":"Mika"},{"family":"Sifuna","given":"Douglas"},{"family":"Nyakairu","given":"George William"}],"issued":{"date-parts":[["2025",11,1]]}}}],"schema":"https://github.com/citation-style-language/schema/raw/master/csl-citation.json"} </w:instrText>
      </w:r>
      <w:r w:rsidR="00937407">
        <w:rPr>
          <w:rFonts w:ascii="Times New Roman" w:hAnsi="Times New Roman" w:cs="Times New Roman"/>
        </w:rPr>
        <w:fldChar w:fldCharType="separate"/>
      </w:r>
      <w:r w:rsidR="00A02AF8" w:rsidRPr="00A02AF8">
        <w:rPr>
          <w:rFonts w:ascii="Times New Roman" w:hAnsi="Times New Roman" w:cs="Times New Roman"/>
        </w:rPr>
        <w:t>(38)</w:t>
      </w:r>
      <w:r w:rsidR="00937407">
        <w:rPr>
          <w:rFonts w:ascii="Times New Roman" w:hAnsi="Times New Roman" w:cs="Times New Roman"/>
        </w:rPr>
        <w:fldChar w:fldCharType="end"/>
      </w:r>
      <w:r w:rsidRPr="00045B89">
        <w:rPr>
          <w:rFonts w:ascii="Times New Roman" w:hAnsi="Times New Roman" w:cs="Times New Roman"/>
        </w:rPr>
        <w:t>.</w:t>
      </w:r>
    </w:p>
    <w:p w14:paraId="0F702933" w14:textId="77777777" w:rsidR="00045B89" w:rsidRPr="00045B89" w:rsidRDefault="00045B89" w:rsidP="00F233BD">
      <w:pPr>
        <w:jc w:val="both"/>
        <w:rPr>
          <w:rFonts w:ascii="Times New Roman" w:hAnsi="Times New Roman" w:cs="Times New Roman"/>
        </w:rPr>
      </w:pPr>
      <w:r w:rsidRPr="00045B89">
        <w:rPr>
          <w:rFonts w:ascii="Times New Roman" w:hAnsi="Times New Roman" w:cs="Times New Roman"/>
        </w:rPr>
        <w:t>Formalization is often proposed as a solution to these challenges, yet conventional formalization approaches have frequently produced exclusionary outcomes. Efforts that prioritize licensing requirements, capital-intensive technologies, or strict compliance standards can displace informal workers without providing viable alternatives, inadvertently pushing hazardous practices into less visible and less regulated spaces. Such outcomes undermine both health protection and circular economy goals by fragmenting value chains and eroding trust between workers and authorities</w:t>
      </w:r>
      <w:r w:rsidR="00D529AF">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{"citationID":"CP272Gp7","properties":{"formattedCitation":"(39)","plainCitation":"(39)","noteIndex":0},"citationItems":[{"id":14862,"uris":["http://zotero.org/users/16652950/items/4I83GHJZ"],"itemData":{"id":14862,"type":"article-journal","abstract":"Social protection is a central component of achieving ‘SDG 8: decent work and economic growth’, yet at a global level a large social protection deficit remains. The majority of those uncovered are found in or dependent on income or profit from the informal economy, which remains the dominant source of employment in many low- and middle-income countries. The relationship between a lack of social protection and high informality in low- and middle-income countries is generally confirmed across the literature, yet the perceived direction of the relation and the mechanisms behind it vary depending on the country-specific context, including dominant form(s) of informality and types of social protection schemes and benefits provided. Much of the existing literature on social protection and (in)formalization examines the relation between non-contributory social protection (social assistance) and the broader concept of the informal economy. Taking a different focus, this article reviews the evidence on the relationship between contributory social protection and formalization of enterprises and workers among micro- and small enterprises in low- and middle-income countries. We adopt a scoping review methodology and follow a thorough literature search and screening process in which 30 primarily quantitative studies are carefully synthesized. In analysing the main findings and mechanisms underlying the observed linkages between contributory social protection and formalization, our study finds substantial variation across as well as within countries. In general, the evidence paints a favourable picture in terms of contributory social protection leading to increased formalization of enterprises and workers, yet it is not a given that enterprise formalization (the extensive margin) automatically leads to worker formalization (the intensive margin). The results point to the importance of appropriate incentive structures in social protection policies as well as ensuring stronger coherence and coordination between different types of social protection schemes and other labour market policies.","container-title":"World Development","DOI":"10.1016/j.worlddev.2024.106662","ISSN":"0305-750X","journalAbbreviation":"World Development","page":"106662","source":"ScienceDirect","title":"Social protection and formalization in low- and middle-income countries: A scoping review of the literature","title-short":"Social protection and formalization in low- and middle-income countries","volume":"181","author":[{"family":"Torm","given":"Nina"},{"family":"Oehme","given":"Marty"}],"issued":{"date-parts":[["2024",9,1]]}}}],"schema":"https://github.com/citation-style-language/schema/raw/master/csl-citation.json"} </w:instrText>
      </w:r>
      <w:r w:rsidR="00D529AF">
        <w:rPr>
          <w:rFonts w:ascii="Times New Roman" w:hAnsi="Times New Roman" w:cs="Times New Roman"/>
        </w:rPr>
        <w:fldChar w:fldCharType="separate"/>
      </w:r>
      <w:r w:rsidR="00A02AF8" w:rsidRPr="00A02AF8">
        <w:rPr>
          <w:rFonts w:ascii="Times New Roman" w:hAnsi="Times New Roman" w:cs="Times New Roman"/>
        </w:rPr>
        <w:t>(39)</w:t>
      </w:r>
      <w:r w:rsidR="00D529AF">
        <w:rPr>
          <w:rFonts w:ascii="Times New Roman" w:hAnsi="Times New Roman" w:cs="Times New Roman"/>
        </w:rPr>
        <w:fldChar w:fldCharType="end"/>
      </w:r>
      <w:r w:rsidRPr="00045B89">
        <w:rPr>
          <w:rFonts w:ascii="Times New Roman" w:hAnsi="Times New Roman" w:cs="Times New Roman"/>
        </w:rPr>
        <w:t>.</w:t>
      </w:r>
    </w:p>
    <w:p w14:paraId="5CE9318A" w14:textId="77777777" w:rsidR="00045B89" w:rsidRPr="00045B89" w:rsidRDefault="00045B89" w:rsidP="00F233BD">
      <w:pPr>
        <w:jc w:val="both"/>
        <w:rPr>
          <w:rFonts w:ascii="Times New Roman" w:hAnsi="Times New Roman" w:cs="Times New Roman"/>
        </w:rPr>
      </w:pPr>
      <w:r w:rsidRPr="00045B89">
        <w:rPr>
          <w:rFonts w:ascii="Times New Roman" w:hAnsi="Times New Roman" w:cs="Times New Roman"/>
        </w:rPr>
        <w:t>A more effective approach emphasizes inclusive formalization that integrates informal actors into safer, regulated systems while preserving livelihoods. This includes recognizing informal workers as legitimate stakeholders, providing access to training and protective equipment, and creating hybrid models that combine informal collection networks with formal processing facilities. Financial incentives, such as buy-back schemes and guaranteed pricing for safely processed materials, can align economic motivations with health and environmental objectives. Crucially, inclusive formalization shifts the focus from eliminating informality to transforming its risk profile</w:t>
      </w:r>
      <w:r w:rsidR="00D529AF">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{"citationID":"oUgvXkw8","properties":{"formattedCitation":"(40)","plainCitation":"(40)","noteIndex":0},"citationItems":[{"id":14864,"uris":["http://zotero.org/users/16652950/items/R49MAJX2"],"itemData":{"id":14864,"type":"article-journal","abstract":"Background and goal\nThe Municipal Solid Waste Management (MSWM) sector represents a major challenge for low-and middle-income countries due to significant environmental and socioeconomic issues involving rapid urbanization, their MSWM systems, and the existence of the informal waste sector. Recognizing its role, several countries have implemented various formalization measures, aiming to address the social problems linked to this sector. However, regardless of these initiatives, not all attempts at formalization have proved successful due to the existence of barriers preventing their implementation in the long term. Along with this, there is a frequent lack of knowledge or understanding regarding these barriers and the kind of measures that may enable formalization, thereby attaining a win-win situation for all the stakeholders involved. In this context, policy- and decision-makers in the public and private sectors are frequently confronted with the dilemma of finding workable approaches to formalization, adjusted to their particular MSWM contexts. Building on the review of frequently implemented approaches to formalization, including an analysis of the barriers to and enabling measures for formalization, this paper aims to address this gap by explaining to policy- and decision-makers, and to waste managers in the private sector, certain dynamics that can be observed and that should be taken into account when designing formalization strategies that are adapted to their particular socioeconomic and political-institutional context. This includes possible links between formalization approaches and barriers, the kinds of barriers that need to be removed, and enabling measures leading to successful formalization in the long term.\nMethod\nThis paper involved a literature review of common approaches to formalization, which were classified into three categories: (1) informal waste workers organized in associations or cooperatives; (2) organized in CBOs or MSEs; and (3) contracted as individual workers by the formal waste sector. This was followed by the identification and subsequent classification of measures for removing common barriers to formalization into five categories: policy/legal, institutional/organizational, technical, social, and economic/financial. The approaches to formalization, as well as the barrier categories, were validated through the assessment of twenty case studies of formalization. Building on the assessment, the paper discussed possible links between formalization approaches and barriers, the ‘persistent’ challenges that represent barriers to formalization, as well as key enabling factors improving the likelihood of successful formalization.\nResults\nRegardless of the type of approach adopted to formalization, the review identifies measures to remove barriers in all five categories, with a stronger link between the approaches 1 and 2 and the existence of measures in the policy, institutional, and financial categories. Regarding persistent barriers, the review identified ones arising from the absence of measures to address a particular issue before formalization or due to specific country- or sector-related conditions, and their interaction with the MSWM context. 75% of the case studies had persistent barriers in respect of policy/legal issues, 50% of institutional/organizational, 45% of financial/economic, and 40%, and 35% of social and technical issues respectively.\nConclusions\nThis paper concludes that independently of the formalization approach, the lack of interventions or measures in any of the five categories of barriers may lead formalization initiatives to fail, as unaddressed barriers become ‘persistent’ after formalization is implemented. Furthermore, ‘persistent barriers’ may also appear due to unfavorable country-specific conditions. The success of a formalization initiative does not depend on a specific approach, but most likely on the inclusion of country-appropriate measures at the policy, economic and institutional levels. The empowerment of informal waste-workers is again confirmed as a further key success factor for their formalization.","container-title":"Waste Management","DOI":"10.1016/j.wasman.2016.12.028","ISSN":"0956-053X","journalAbbreviation":"Waste Management","page":"593-607","source":"ScienceDirect","title":"Approaches to formalization of the informal waste sector into municipal solid waste management systems in low- and middle-income countries: Review of barriers and success factors","title-short":"Approaches to formalization of the informal waste sector into municipal solid waste management systems in low- and middle-income countries","volume":"61","author":[{"family":"Aparcana","given":"Sandra"}],"issued":{"date-parts":[["2017",3,1]]}}}],"schema":"https://github.com/citation-style-language/schema/raw/master/csl-citation.json"} </w:instrText>
      </w:r>
      <w:r w:rsidR="00D529AF">
        <w:rPr>
          <w:rFonts w:ascii="Times New Roman" w:hAnsi="Times New Roman" w:cs="Times New Roman"/>
        </w:rPr>
        <w:fldChar w:fldCharType="separate"/>
      </w:r>
      <w:r w:rsidR="00A02AF8" w:rsidRPr="00A02AF8">
        <w:rPr>
          <w:rFonts w:ascii="Times New Roman" w:hAnsi="Times New Roman" w:cs="Times New Roman"/>
        </w:rPr>
        <w:t>(40)</w:t>
      </w:r>
      <w:r w:rsidR="00D529AF">
        <w:rPr>
          <w:rFonts w:ascii="Times New Roman" w:hAnsi="Times New Roman" w:cs="Times New Roman"/>
        </w:rPr>
        <w:fldChar w:fldCharType="end"/>
      </w:r>
      <w:r w:rsidRPr="00045B89">
        <w:rPr>
          <w:rFonts w:ascii="Times New Roman" w:hAnsi="Times New Roman" w:cs="Times New Roman"/>
        </w:rPr>
        <w:t>.</w:t>
      </w:r>
    </w:p>
    <w:p w14:paraId="791E54D2" w14:textId="77777777" w:rsidR="00045B89" w:rsidRPr="00F233BD" w:rsidRDefault="00045B89" w:rsidP="00F233BD">
      <w:pPr>
        <w:jc w:val="both"/>
        <w:rPr>
          <w:rFonts w:ascii="Times New Roman" w:hAnsi="Times New Roman" w:cs="Times New Roman"/>
        </w:rPr>
      </w:pPr>
      <w:r w:rsidRPr="00045B89">
        <w:rPr>
          <w:rFonts w:ascii="Times New Roman" w:hAnsi="Times New Roman" w:cs="Times New Roman"/>
        </w:rPr>
        <w:t>Reconceptualizing the informal e-waste sector as a potential asset rather than an obstacle aligns with a health-embedded circular economy framework. When supported by appropriate policy, technology, and governance arrangements, informal workers can become key agents in exposure reduction and material recovery. Achieving this transformation requires moving beyond binary distinctions between formal and informal systems and toward adaptive governance models that balance economic inclusion with health protection. In this sense, the informal e-waste sector represents not only a challenge to be managed but also an opportunity to advance equitable and health-protective circular transitions in LMICs</w:t>
      </w:r>
      <w:r w:rsidR="00A9033E">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{"citationID":"Lu9DtLLd","properties":{"formattedCitation":"(8,41)","plainCitation":"(8,41)","noteIndex":0},"citationItems":[{"id":14804,"uris":["http://zotero.org/users/16652950/items/3CEYH82E"],"itemData":{"id":14804,"type":"article-journal","abstract":"E-Waste management in Nigeria remains predominantly informal, with unlicensed collectors focusing on extracting valuable materials, primarily for expo...","container-title":"Recycling","DOI":"10.3390/recycling10030117","ISSN":"2313-4321","issue":"3","language":"en","license":"http://creativecommons.org/licenses/by/3.0/","note":"Company: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publisher","source":"www.mdpi.com","title":"Assessment of the Impact of the Revised National E-Waste Framework on the Informal E-Waste Sector of Nigeria","URL":"https://www.mdpi.com/2313-4321/10/3/117","volume":"10","author":[{"family":"Odeyingbo","given":"Olusegun A."},{"family":"Deubzer","given":"Otmar K."},{"family":"Ogunmokun","given":"Oluwatobi A."}],"accessed":{"date-parts":[["2026",2,16]]},"issued":{"date-parts":[["2025",6,11]]}}},{"id":14867,"uris":["http://zotero.org/users/16652950/items/ZZDG3KZL"],"itemData":{"id":14867,"type":"article-journal","abstract":"This article offers a reflective retrospective of the literature and practice on the informal waste and recycling sector. The authors have joined to share our experience and knowledge on the interface between the formal solid waste sector and informal recyclers and operators. Together, we discuss where this discourse has come from, where it is now, and where we, as practitioners, think it is going. We share our understanding of the waste and recycling sectors and how informality within them functions. The retrospective covers nearly 40 years of research, practice, advocacy, action, writing and intervention. The main storyline is how the public and private solid waste authorities and service providers relate to informal operators in both recycling (‘the (private) value chains’) and waste management (‘the (public) service chain’). The recurring theme is how engaged scholarship and practice have interacted with, modified and improved the position of informal operators and workers and contributed to positive outcomes in both service and value chains. Throughout the period covered by this retrospective, opinions and framing on all sides have shifted substantially through the years, whereas the economic activities of informal recyclers and informal waste collection service providers have remained largely unchanged. Although we refer to both scientific and operational documents, we do not have the ambition to produce a scientific paper. Rather, we follow other authors of the special issue in referring to ourselves as involved witnesses who share a commitment to improving waste and recycling practices at the boundary of formal and informal systems.","container-title":"Waste Management &amp; Research","DOI":"10.1177/0734242X241280076","ISSN":"0734-242X","issue":"6","journalAbbreviation":"Waste Manag Res","note":"PMID: 39560130\nPMCID: PMC12106937","page":"850-896","source":"PubMed Central","title":"Shifting perceptions of informal operators in the service and value chains: A retrospective of 40 years of observation and advocacy for informal recyclers and waste service providers, through the eyes of five global participant-researchers","title-short":"Shifting perceptions of informal operators in the service and value chains","volume":"43","author":[{"family":"Simpson","given":"Michael"},{"family":"Oduro-Appiah","given":"Kwaku"},{"family":"Gunsilius","given":"Ellen"},{"family":"Dias","given":"Sonia Maria"},{"family":"Scheinberg","given":"Anne"}],"issued":{"date-parts":[["2025",6]]}}}],"schema":"https://github.com/citation-style-language/schema/raw/master/csl-citation.json"} </w:instrText>
      </w:r>
      <w:r w:rsidR="00A9033E">
        <w:rPr>
          <w:rFonts w:ascii="Times New Roman" w:hAnsi="Times New Roman" w:cs="Times New Roman"/>
        </w:rPr>
        <w:fldChar w:fldCharType="separate"/>
      </w:r>
      <w:r w:rsidR="00A02AF8" w:rsidRPr="00A02AF8">
        <w:rPr>
          <w:rFonts w:ascii="Times New Roman" w:hAnsi="Times New Roman" w:cs="Times New Roman"/>
        </w:rPr>
        <w:t>(8,41)</w:t>
      </w:r>
      <w:r w:rsidR="00A9033E">
        <w:rPr>
          <w:rFonts w:ascii="Times New Roman" w:hAnsi="Times New Roman" w:cs="Times New Roman"/>
        </w:rPr>
        <w:fldChar w:fldCharType="end"/>
      </w:r>
      <w:r w:rsidRPr="00045B89">
        <w:rPr>
          <w:rFonts w:ascii="Times New Roman" w:hAnsi="Times New Roman" w:cs="Times New Roman"/>
        </w:rPr>
        <w:t>.</w:t>
      </w:r>
    </w:p>
    <w:p w14:paraId="1BA8E664" w14:textId="77777777" w:rsidR="006353EA" w:rsidRPr="00F233BD" w:rsidRDefault="006353EA" w:rsidP="00F233BD">
      <w:pPr>
        <w:jc w:val="both"/>
        <w:rPr>
          <w:rFonts w:ascii="Times New Roman" w:hAnsi="Times New Roman" w:cs="Times New Roman"/>
        </w:rPr>
      </w:pPr>
    </w:p>
    <w:p w14:paraId="399B4599" w14:textId="77777777" w:rsidR="006353EA" w:rsidRPr="006353EA" w:rsidRDefault="00D11871" w:rsidP="00F233BD">
      <w:pPr>
        <w:jc w:val="both"/>
        <w:rPr>
          <w:rFonts w:ascii="Times New Roman" w:hAnsi="Times New Roman" w:cs="Times New Roman"/>
          <w:b/>
          <w:bCs/>
        </w:rPr>
      </w:pPr>
      <w:r w:rsidRPr="00F233BD">
        <w:rPr>
          <w:rFonts w:ascii="Times New Roman" w:hAnsi="Times New Roman" w:cs="Times New Roman"/>
          <w:b/>
          <w:bCs/>
        </w:rPr>
        <w:t>6</w:t>
      </w:r>
      <w:r w:rsidR="006353EA" w:rsidRPr="006353EA">
        <w:rPr>
          <w:rFonts w:ascii="Times New Roman" w:hAnsi="Times New Roman" w:cs="Times New Roman"/>
          <w:b/>
          <w:bCs/>
        </w:rPr>
        <w:t>. Circular Economy Interventions in LMICs: From Principle to Practice</w:t>
      </w:r>
    </w:p>
    <w:p w14:paraId="14C9CC10"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lastRenderedPageBreak/>
        <w:t>Circular economy interventions are increasingly promoted as solutions to the environmental and resource inefficiencies of e-waste, yet their effectiveness in low- and middle-income countries (LMICs) depends on how well they are adapted to local economic realities, governance capacities, and health risks. In LMIC contexts, circularity cannot be reduced to recycling targets or material recovery rates alone. Instead, interventions must be evaluated by their ability to reduce toxic exposures, protect livelihoods, and operate within hybrid formal–informal systems. This section examines key policy, technological, and community-based pathways, alongside the structural barriers that shape their scalability</w:t>
      </w:r>
      <w:r w:rsidR="00A9033E">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{"citationID":"HEql5ARt","properties":{"formattedCitation":"(42)","plainCitation":"(42)","noteIndex":0},"citationItems":[{"id":12870,"uris":["http://zotero.org/users/16652950/items/QC69WN34"],"itemData":{"id":12870,"type":"article-journal","abstract":"Global waste management faces increasingly complex socio-technical challenges that cannot be solved by technology alone. This PRISMA-guided review synthesizes 80 peer-reviewed studies published 2020–2025 via structured searches of Scopus and Web of Science, concentrating on three integration pathways: (i) AI/IoT-enabled collection and sorting; (ii) scalable biological/enzymatic treatments (anaerobic digestion/composting; PET enzymatic depolymerization); and (iii) human-capital and policy enablers in LMIC and post-conflict contexts. Across the literature, smart and biological systems improve material recovery and environmental performance in well-resourced settings, yet scalability in LMICs is constrained by weak institutions, skills gaps, and fragmented infrastructure. Iraq is used as an illustrative post-conflict case, confirming a broader pattern in which technological potential outpaces institutional readiness. The review advances an integrative socio-technical lens and offers a feasibility-oriented appraisal of performance and deployment trade-offs, emphasizing that technology and human capital must advance in tandem. It also acknowledges global structural factors—unequal access to finance, distortions in material markets, and cross-border e-waste flows—that condition adoption. We conclude with near-term priorities: appropriate-technology pilots, measurable reskilling programs, and financing models that de-risk municipal adoption and support context-sensitive circular transitions.","container-title":"Discover Applied Sciences","DOI":"10.1007/s42452-025-07904-3","ISSN":"3004-9261","issue":"11","journalAbbreviation":"Discov Appl Sci","language":"en","page":"1289","source":"Springer Link","title":"Integrated digital, biological, and human capital innovations for circular and sustainable waste management: a critical review","title-short":"Integrated digital, biological, and human capital innovations for circular and sustainable waste management","volume":"7","author":[{"family":"Hassan","given":"Omar Mohammed"}],"issued":{"date-parts":[["2025",10,28]]}}}],"schema":"https://github.com/citation-style-language/schema/raw/master/csl-citation.json"} </w:instrText>
      </w:r>
      <w:r w:rsidR="00A9033E">
        <w:rPr>
          <w:rFonts w:ascii="Times New Roman" w:hAnsi="Times New Roman" w:cs="Times New Roman"/>
        </w:rPr>
        <w:fldChar w:fldCharType="separate"/>
      </w:r>
      <w:r w:rsidR="00A02AF8" w:rsidRPr="00A02AF8">
        <w:rPr>
          <w:rFonts w:ascii="Times New Roman" w:hAnsi="Times New Roman" w:cs="Times New Roman"/>
        </w:rPr>
        <w:t>(42)</w:t>
      </w:r>
      <w:r w:rsidR="00A9033E">
        <w:rPr>
          <w:rFonts w:ascii="Times New Roman" w:hAnsi="Times New Roman" w:cs="Times New Roman"/>
        </w:rPr>
        <w:fldChar w:fldCharType="end"/>
      </w:r>
      <w:r w:rsidRPr="006353EA">
        <w:rPr>
          <w:rFonts w:ascii="Times New Roman" w:hAnsi="Times New Roman" w:cs="Times New Roman"/>
        </w:rPr>
        <w:t>.</w:t>
      </w:r>
    </w:p>
    <w:p w14:paraId="1CA62E3F"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Policy instruments: enabling circularity with accountability</w:t>
      </w:r>
    </w:p>
    <w:p w14:paraId="2E48F5B6"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Policy frameworks play a foundational role in shaping e-waste circularity, particularly through instruments that assign responsibility across the product lifecycle. Extended Producer Responsibility (EPR) schemes are among the most widely endorsed tools, shifting financial and operational responsibility for end-of-life management from municipalities and workers to producers. In LMICs, EPR has the potential to mobilize resources for safer recycling infrastructure, incentivize design changes, and internalize health and environmental externalities. However, its effectiveness is highly contingent on enforcement capacity and institutional design. EPR schemes that operate parallel to, rather than in coordination with, informal collection networks risk marginalizing the very actors who dominate e-waste flows</w:t>
      </w:r>
      <w:r w:rsidR="00443A20">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{"citationID":"6Mb1G1np","properties":{"formattedCitation":"(43)","plainCitation":"(43)","noteIndex":0},"citationItems":[{"id":14870,"uris":["http://zotero.org/users/16652950/items/6DPL8NEJ"],"itemData":{"id":14870,"type":"article-journal","abstract":"Used European electric and electronic equipment (UEEE) has multiple use cycles in various countries, including Nigeria. Although the EU-Nigeria e-waste trade is illegal under EU and Nigerian law, pre...","DOI":"10.1002/bsd2.222","language":"en","source":"onlinelibrary.wiley.com","title":"Ultimate producer responsibility for e‐waste management–A proposal for just transition in the circular economy based on the case of used European electronic equipment exported to Nigeria","URL":"https://onlinelibrary.wiley.com/doi/10.1002/bsd2.222","author":[{"family":"Thapa","given":"Kaustubh"},{"family":"Vermeulen","given":"Walter J. V."},{"family":"Deutz","given":"Pauline"},{"family":"Olayide","given":"Olawale"}],"accessed":{"date-parts":[["2026",2,16]]}}}],"schema":"https://github.com/citation-style-language/schema/raw/master/csl-citation.json"} </w:instrText>
      </w:r>
      <w:r w:rsidR="00443A20">
        <w:rPr>
          <w:rFonts w:ascii="Times New Roman" w:hAnsi="Times New Roman" w:cs="Times New Roman"/>
        </w:rPr>
        <w:fldChar w:fldCharType="separate"/>
      </w:r>
      <w:r w:rsidR="00A02AF8" w:rsidRPr="00A02AF8">
        <w:rPr>
          <w:rFonts w:ascii="Times New Roman" w:hAnsi="Times New Roman" w:cs="Times New Roman"/>
        </w:rPr>
        <w:t>(43)</w:t>
      </w:r>
      <w:r w:rsidR="00443A20">
        <w:rPr>
          <w:rFonts w:ascii="Times New Roman" w:hAnsi="Times New Roman" w:cs="Times New Roman"/>
        </w:rPr>
        <w:fldChar w:fldCharType="end"/>
      </w:r>
      <w:r w:rsidRPr="006353EA">
        <w:rPr>
          <w:rFonts w:ascii="Times New Roman" w:hAnsi="Times New Roman" w:cs="Times New Roman"/>
        </w:rPr>
        <w:t>.</w:t>
      </w:r>
    </w:p>
    <w:p w14:paraId="40072441"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International agreements, notably the Basel Convention and its amendments, provide an additional governance layer by regulating transboundary movements of hazardous waste. While these frameworks establish important legal norms, implementation gaps remain substantial in LMICs due to limited customs capacity, ambiguous classifications of second-hand electronics, and uneven political commitment. As a result, policy instruments alone are insufficient unless paired with domestic mechanisms that translate global obligations into locally enforceable standards. Health-centered circularity requires that such policies explicitly incorporate exposure reduction and worker protection as performance criteria, rather than focusing narrowly on waste diversion</w:t>
      </w:r>
      <w:r w:rsidR="00FF30E4">
        <w:rPr>
          <w:rFonts w:ascii="Times New Roman" w:hAnsi="Times New Roman" w:cs="Times New Roman"/>
        </w:rPr>
        <w:fldChar w:fldCharType="begin"/>
      </w:r>
      <w:r w:rsidR="00A02AF8">
        <w:rPr>
          <w:rFonts w:ascii="Times New Roman" w:hAnsi="Times New Roman" w:cs="Times New Roman"/>
        </w:rPr>
        <w:instrText xml:space="preserve"> ADDIN ZOTERO_ITEM CSL_CITATION {"citationID":"3CSNrf3a","properties":{"formattedCitation":"(44)","plainCitation":"(44)","noteIndex":0},"citationItems":[{"id":14873,"uris":["http://zotero.org/users/16652950/items/MEKFPMVB"],"itemData":{"id":14873,"type":"article-journal","language":"en-US","source":"journalajgr.com","title":"Investigation of Efforts and Problems in Implementing the Basel Convention on the Control of Transboundary Movements of Wastes and Their Disposal in Nigeria | Asian Journal of Geographical Research","URL":"https://journalajgr.com/index.php/AJGR/article/view/216","accessed":{"date-parts":[["2026",2,16]]}}}],"schema":"https://github.com/citation-style-language/schema/raw/master/csl-citation.json"} </w:instrText>
      </w:r>
      <w:r w:rsidR="00FF30E4">
        <w:rPr>
          <w:rFonts w:ascii="Times New Roman" w:hAnsi="Times New Roman" w:cs="Times New Roman"/>
        </w:rPr>
        <w:fldChar w:fldCharType="separate"/>
      </w:r>
      <w:r w:rsidR="00A02AF8" w:rsidRPr="00A02AF8">
        <w:rPr>
          <w:rFonts w:ascii="Times New Roman" w:hAnsi="Times New Roman" w:cs="Times New Roman"/>
        </w:rPr>
        <w:t>(44)</w:t>
      </w:r>
      <w:r w:rsidR="00FF30E4">
        <w:rPr>
          <w:rFonts w:ascii="Times New Roman" w:hAnsi="Times New Roman" w:cs="Times New Roman"/>
        </w:rPr>
        <w:fldChar w:fldCharType="end"/>
      </w:r>
      <w:r w:rsidRPr="006353EA">
        <w:rPr>
          <w:rFonts w:ascii="Times New Roman" w:hAnsi="Times New Roman" w:cs="Times New Roman"/>
        </w:rPr>
        <w:t>.</w:t>
      </w:r>
    </w:p>
    <w:p w14:paraId="6D06A2FC"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Technological pathways: aligning safety with feasibility</w:t>
      </w:r>
    </w:p>
    <w:p w14:paraId="32A7816D"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Technological interventions are central to operationalizing circular economy principles, yet many high-income country solutions are poorly suited to LMIC conditions. Capital-intensive recycling facilities, advanced automation, and centralized processing systems often face barriers related to cost, energy requirements, and supply chain fragmentation</w:t>
      </w:r>
      <w:r w:rsidR="00B722F4">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{"citationID":"v9hUuywI","properties":{"formattedCitation":"(45)","plainCitation":"(45)","noteIndex":0},"citationItems":[{"id":14897,"uris":["http://zotero.org/users/16652950/items/D4ZPMGVF"],"itemData":{"id":14897,"type":"article-journal","abstract":"Wastewater discharged from the textile industry poses significant environmental and societal challenges due to the presence of hazardous dye pollutants. This study explores a novel approach for the removal of methylene blue, a common textile dye, from water using adsorbents derived from orange peels. The goal is to mitigate water pollution, thereby reducing harm to ecosystems and living organisms, while simultaneously addressing the issue of environmental litter generated by discarded orange peels. In this study, the removal of methylene blue dye from textile wastewater using adsorbents made from orange peels was examined. Orange peels were collected, washed, dried, charred at 500 °C, ground into powder, and activated with phosphoric acid to create an activated carbon with a bulk density of 0.987 g/mL, 15% moisture, 3% ash content, and a surface area of 52.5 m²/g. It was found that adsorption rates increased over time, reaching equilibrium after 120 minutes, with a maximum removal efficiency of 90% achieved using 0.6 g of adsorbent. The study concluded that orange peel-derived adsorbents could be an effective and eco-friendly method for reducing water pollution and repurposing agricultural waste, presenting a viable solution to the environmental challenges posed by the textile industry.\n \nReceived: 27 November 2023 | Revised: 5 February 2024 | Accepted: 21 March 2024\n \nConflicts of Interest\nThe authors declare that they have no conflicts of interest to this work.\n \nData Availability Statement\nData are available from the corresponding author upon reasonable request.\n \nAuthor Contribution Statement\nKazeem Arowosaye Tajudeen: Conceptualization, Methodology, Validation, Formal analysis, Investigation, Supervision, Project administration. Favour Okechi Ifeanyi-Nze: Conceptualization, Methodology, Validation, Formal analysis, Investigation, Resources, Data curation, Writing — original draft, Writing — review &amp;amp; editing, Visualization, Supervision, Project administration. Johnson Obasi Chukwu: Conceptualization, Validation, Investigation, Writing — review &amp;amp; editing. Olaoluwa John Adeleke: Formal analysis, Visualization. Nathaniel Nwoke Chimezie: Formal analysis, Data curation. Chukwudi Moses Ihezie: Resources. Muhideen Oyetunji Oyewole: Writing — review &amp;amp; editing. Chinecherem Favour Edeh: Supervision. Bethel Chijioke Iheanacho: Resources. Oluwakemi Oluwatobi Onabanjo: Methodology. Oluwafemi F. Olaiyapo: Validation. Chinemerem Jerry Chukwu: Validation. Adebola Barakat Quadri: Project administration. Rasheed Nurudeen Mobolaji: Writing — original draft. Rebecca Temitope Okunola: Data curation. Fon Alain Zoum: Formal analysis. Moses Godwin Udoisoh: Investigation. Dolapo Abidemi Kolapo: Visualization. Kasim Ismail Abdullahi: Formal analysis, Investigation.","container-title":"Archives of Advanced Engineering Science","DOI":"10.47852/bonviewAAES42022140","ISSN":"2972-4325","language":"en","license":"Copyright (c) 2024 Authors","page":"1-9","source":"ojs.bonviewpress.com","title":"Valorization of Orange Peel-Derived Adsorbents for Sustainable Removal of Methylene Blue from Textile Industry Wastewater: A Promising Approach to Mitigate Water Pollution and Environmental Litter","title-short":"Valorization of Orange Peel-Derived Adsorbents for Sustainable Removal of Methylene Blue from Textile Industry Wastewater","author":[{"family":"Tajudeen","given":"Kazeem Arowosaye"},{"family":"Ifeanyi-Nze","given":"Favour Okechi"},{"family":"Chukwu","given":"Johnson Obasi"},{"family":"Adeleke","given":"Olaoluwa John"},{"family":"Chimezie","given":"Nathaniel Nwoke"},{"family":"Ihezie","given":"Chukwudi Moses"},{"family":"Oyewole","given":"Muhideen Oyetunji"},{"family":"Edeh","given":"Chinecherem Favour"},{"family":"Iheanacho","given":"Bethel Chijioke"},{"family":"Onabanjo","given":"Oluwakemi Oluwatobi"},{"family":"Olaiyapo","given":"Oluwafemi F."},{"family":"Chukwu","given":"Chinemerem Jerry"},{"family":"Quadri","given":"Adebola Barakat"},{"family":"Mobolaji","given":"Rasheed Nurudeen"},{"family":"Okunola","given":"Rebecca Temitope"},{"family":"Zoum","given":"Fon Alain"},{"family":"Udoisoh","given":"Moses Godwin"},{"family":"Kolapo","given":"Dolapo Abidemi"},{"family":"Abdullahi","given":"Kasim Ismail"}],"issued":{"date-parts":[["2024",3,22]]}}}],"schema":"https://github.com/citation-style-language/schema/raw/master/csl-citation.json"} </w:instrText>
      </w:r>
      <w:r w:rsidR="00B722F4">
        <w:rPr>
          <w:rFonts w:ascii="Times New Roman" w:hAnsi="Times New Roman" w:cs="Times New Roman"/>
        </w:rPr>
        <w:fldChar w:fldCharType="separate"/>
      </w:r>
      <w:r w:rsidR="00B722F4" w:rsidRPr="00B722F4">
        <w:rPr>
          <w:rFonts w:ascii="Times New Roman" w:hAnsi="Times New Roman" w:cs="Times New Roman"/>
        </w:rPr>
        <w:t>(45)</w:t>
      </w:r>
      <w:r w:rsidR="00B722F4">
        <w:rPr>
          <w:rFonts w:ascii="Times New Roman" w:hAnsi="Times New Roman" w:cs="Times New Roman"/>
        </w:rPr>
        <w:fldChar w:fldCharType="end"/>
      </w:r>
      <w:r w:rsidRPr="006353EA">
        <w:rPr>
          <w:rFonts w:ascii="Times New Roman" w:hAnsi="Times New Roman" w:cs="Times New Roman"/>
        </w:rPr>
        <w:t>. More promising are modular, intermediate technologies that improve safety and efficiency without displacing labor. Examples include low-emission cable stripping devices, enclosed dismantling units, and non-acid-based metal recovery processes that reduce airborne and dermal exposures</w:t>
      </w:r>
      <w:r w:rsidR="00D92675">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{"citationID":"UXpYukyw","properties":{"formattedCitation":"(46)","plainCitation":"(46)","noteIndex":0},"citationItems":[{"id":14874,"uris":["http://zotero.org/users/16652950/items/L6U4LBNJ"],"itemData":{"id":14874,"type":"article-journal","abstract":"The Construction Industry is responsible for over 30% of the extraction of natural resources, as well as 25% of solid waste generated in the world. This happens because the construction sector mostly adopts a linear economic model of “take, make, dispose”, using materials to the construction of buildings and disposing them at the end of life, since they are assembled for one time use and don’t retain potential for reuse. Over the last decades, a paradigm shift has been occurring in the industry at large, with the adoption of a Circular Economy model, that aims at keeping the materials in a closed loop to retain their maximum value, therefore with a greater potential of reducing the waste generation and resources extraction for the Construction Industry. This article aims at finding the recent developments of how Circular Economy can be used inside the construction industry. To achieve this goal, a systematic literature review was conducted, including 45 articles that were divided into six areas of research: development of Circular Economy, reuse of materials, material stocks, Circular Economy in the built environment, LCA analysis and material passport. An analysis of the content of these articles was made and the knowledge gaps in this area were identified, as well as table with known Circular Economy practices for the Construction Industry was created divided by life cycle stages. Finally, a discussion of each area of research and their findings is made.","container-title":"Journal of Cleaner Production","DOI":"10.1016/j.jclepro.2020.121046","ISSN":"0959-6526","journalAbbreviation":"Journal of Cleaner Production","page":"121046","source":"ScienceDirect","title":"Circular economy in the construction industry: A systematic literature review","title-short":"Circular economy in the construction industry","volume":"260","author":[{"family":"Benachio","given":"Gabriel Luiz Fritz"},{"family":"Freitas","given":"Maria do Carmo Duarte"},{"family":"Tavares","given":"Sergio Fernando"}],"issued":{"date-parts":[["2020",7,1]]}}}],"schema":"https://github.com/citation-style-language/schema/raw/master/csl-citation.json"} </w:instrText>
      </w:r>
      <w:r w:rsidR="00D92675">
        <w:rPr>
          <w:rFonts w:ascii="Times New Roman" w:hAnsi="Times New Roman" w:cs="Times New Roman"/>
        </w:rPr>
        <w:fldChar w:fldCharType="separate"/>
      </w:r>
      <w:r w:rsidR="00B722F4" w:rsidRPr="00B722F4">
        <w:rPr>
          <w:rFonts w:ascii="Times New Roman" w:hAnsi="Times New Roman" w:cs="Times New Roman"/>
        </w:rPr>
        <w:t>(46)</w:t>
      </w:r>
      <w:r w:rsidR="00D92675">
        <w:rPr>
          <w:rFonts w:ascii="Times New Roman" w:hAnsi="Times New Roman" w:cs="Times New Roman"/>
        </w:rPr>
        <w:fldChar w:fldCharType="end"/>
      </w:r>
      <w:r w:rsidRPr="006353EA">
        <w:rPr>
          <w:rFonts w:ascii="Times New Roman" w:hAnsi="Times New Roman" w:cs="Times New Roman"/>
        </w:rPr>
        <w:t>.</w:t>
      </w:r>
    </w:p>
    <w:p w14:paraId="5F1D1161"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 xml:space="preserve">Upstream technological interventions also play a critical role. Design for durability, repairability, and disassembly can significantly reduce downstream hazards by minimizing the need for destructive processing. Eliminating or substituting hazardous substances at the design stage further </w:t>
      </w:r>
      <w:r w:rsidRPr="006353EA">
        <w:rPr>
          <w:rFonts w:ascii="Times New Roman" w:hAnsi="Times New Roman" w:cs="Times New Roman"/>
        </w:rPr>
        <w:lastRenderedPageBreak/>
        <w:t>lowers health risks throughout the lifecycle. While such design decisions are largely determined by global manufacturers, their health benefits accrue disproportionately in LMICs, reinforcing the importance of aligning circular design standards with global responsibility frameworks</w:t>
      </w:r>
      <w:r w:rsidR="00D92675">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{"citationID":"baXTJEnv","properties":{"formattedCitation":"(42,46)","plainCitation":"(42,46)","noteIndex":0},"citationItems":[{"id":12870,"uris":["http://zotero.org/users/16652950/items/QC69WN34"],"itemData":{"id":12870,"type":"article-journal","abstract":"Global waste management faces increasingly complex socio-technical challenges that cannot be solved by technology alone. This PRISMA-guided review synthesizes 80 peer-reviewed studies published 2020–2025 via structured searches of Scopus and Web of Science, concentrating on three integration pathways: (i) AI/IoT-enabled collection and sorting; (ii) scalable biological/enzymatic treatments (anaerobic digestion/composting; PET enzymatic depolymerization); and (iii) human-capital and policy enablers in LMIC and post-conflict contexts. Across the literature, smart and biological systems improve material recovery and environmental performance in well-resourced settings, yet scalability in LMICs is constrained by weak institutions, skills gaps, and fragmented infrastructure. Iraq is used as an illustrative post-conflict case, confirming a broader pattern in which technological potential outpaces institutional readiness. The review advances an integrative socio-technical lens and offers a feasibility-oriented appraisal of performance and deployment trade-offs, emphasizing that technology and human capital must advance in tandem. It also acknowledges global structural factors—unequal access to finance, distortions in material markets, and cross-border e-waste flows—that condition adoption. We conclude with near-term priorities: appropriate-technology pilots, measurable reskilling programs, and financing models that de-risk municipal adoption and support context-sensitive circular transitions.","container-title":"Discover Applied Sciences","DOI":"10.1007/s42452-025-07904-3","ISSN":"3004-9261","issue":"11","journalAbbreviation":"Discov Appl Sci","language":"en","page":"1289","source":"Springer Link","title":"Integrated digital, biological, and human capital innovations for circular and sustainable waste management: a critical review","title-short":"Integrated digital, biological, and human capital innovations for circular and sustainable waste management","volume":"7","author":[{"family":"Hassan","given":"Omar Mohammed"}],"issued":{"date-parts":[["2025",10,28]]}}},{"id":14874,"uris":["http://zotero.org/users/16652950/items/L6U4LBNJ"],"itemData":{"id":14874,"type":"article-journal","abstract":"The Construction Industry is responsible for over 30% of the extraction of natural resources, as well as 25% of solid waste generated in the world. This happens because the construction sector mostly adopts a linear economic model of “take, make, dispose”, using materials to the construction of buildings and disposing them at the end of life, since they are assembled for one time use and don’t retain potential for reuse. Over the last decades, a paradigm shift has been occurring in the industry at large, with the adoption of a Circular Economy model, that aims at keeping the materials in a closed loop to retain their maximum value, therefore with a greater potential of reducing the waste generation and resources extraction for the Construction Industry. This article aims at finding the recent developments of how Circular Economy can be used inside the construction industry. To achieve this goal, a systematic literature review was conducted, including 45 articles that were divided into six areas of research: development of Circular Economy, reuse of materials, material stocks, Circular Economy in the built environment, LCA analysis and material passport. An analysis of the content of these articles was made and the knowledge gaps in this area were identified, as well as table with known Circular Economy practices for the Construction Industry was created divided by life cycle stages. Finally, a discussion of each area of research and their findings is made.","container-title":"Journal of Cleaner Production","DOI":"10.1016/j.jclepro.2020.121046","ISSN":"0959-6526","journalAbbreviation":"Journal of Cleaner Production","page":"121046","source":"ScienceDirect","title":"Circular economy in the construction industry: A systematic literature review","title-short":"Circular economy in the construction industry","volume":"260","author":[{"family":"Benachio","given":"Gabriel Luiz Fritz"},{"family":"Freitas","given":"Maria do Carmo Duarte"},{"family":"Tavares","given":"Sergio Fernando"}],"issued":{"date-parts":[["2020",7,1]]}}}],"schema":"https://github.com/citation-style-language/schema/raw/master/csl-citation.json"} </w:instrText>
      </w:r>
      <w:r w:rsidR="00D92675">
        <w:rPr>
          <w:rFonts w:ascii="Times New Roman" w:hAnsi="Times New Roman" w:cs="Times New Roman"/>
        </w:rPr>
        <w:fldChar w:fldCharType="separate"/>
      </w:r>
      <w:r w:rsidR="00B722F4" w:rsidRPr="00B722F4">
        <w:rPr>
          <w:rFonts w:ascii="Times New Roman" w:hAnsi="Times New Roman" w:cs="Times New Roman"/>
        </w:rPr>
        <w:t>(42,46)</w:t>
      </w:r>
      <w:r w:rsidR="00D92675">
        <w:rPr>
          <w:rFonts w:ascii="Times New Roman" w:hAnsi="Times New Roman" w:cs="Times New Roman"/>
        </w:rPr>
        <w:fldChar w:fldCharType="end"/>
      </w:r>
      <w:r w:rsidRPr="006353EA">
        <w:rPr>
          <w:rFonts w:ascii="Times New Roman" w:hAnsi="Times New Roman" w:cs="Times New Roman"/>
        </w:rPr>
        <w:t>.</w:t>
      </w:r>
    </w:p>
    <w:p w14:paraId="7930ADD2"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Digital technologies can further support circular transitions by improving traceability, facilitating collection logistics, and enhancing regulatory oversight. However, digital solutions must be carefully implemented to avoid excluding informal actors who may lack access to digital infrastructure. Technology, in this sense, should be understood as an enabler of safer systems rather than a substitute for inclusive governance</w:t>
      </w:r>
      <w:r w:rsidR="00D92675">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{"citationID":"wvtYdQJ0","properties":{"formattedCitation":"(47)","plainCitation":"(47)","noteIndex":0},"citationItems":[{"id":14876,"uris":["http://zotero.org/users/16652950/items/LPMNN4XE"],"itemData":{"id":14876,"type":"article-journal","abstract":"Background: Digital technologies are increasingly integrated into circular supply chains (CSCs) to enhance resource efficiency and extend product life...","container-title":"Logistics","DOI":"10.3390/logistics10010018","ISSN":"2305-6290","issue":"1","language":"en","license":"http://creativecommons.org/licenses/by/3.0/","note":"Company: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publisher","source":"www.mdpi.com","title":"The Adoption of Digital Technologies in Circular Supply Chains: From Theoretical Developments to Practical Applications","title-short":"The Adoption of Digital Technologies in Circular Supply Chains","URL":"https://www.mdpi.com/2305-6290/10/1/18","volume":"10","author":[{"family":"Morshedi","given":"Mojdeh"},{"family":"Hargaden","given":"Vincent"},{"family":"Papakostas","given":"Nikolaos"},{"family":"Ghadimi","given":"Pezhman"}],"accessed":{"date-parts":[["2026",2,16]]},"issued":{"date-parts":[["2026",1,11]]}}}],"schema":"https://github.com/citation-style-language/schema/raw/master/csl-citation.json"} </w:instrText>
      </w:r>
      <w:r w:rsidR="00D92675">
        <w:rPr>
          <w:rFonts w:ascii="Times New Roman" w:hAnsi="Times New Roman" w:cs="Times New Roman"/>
        </w:rPr>
        <w:fldChar w:fldCharType="separate"/>
      </w:r>
      <w:r w:rsidR="00B722F4" w:rsidRPr="00B722F4">
        <w:rPr>
          <w:rFonts w:ascii="Times New Roman" w:hAnsi="Times New Roman" w:cs="Times New Roman"/>
        </w:rPr>
        <w:t>(47)</w:t>
      </w:r>
      <w:r w:rsidR="00D92675">
        <w:rPr>
          <w:rFonts w:ascii="Times New Roman" w:hAnsi="Times New Roman" w:cs="Times New Roman"/>
        </w:rPr>
        <w:fldChar w:fldCharType="end"/>
      </w:r>
      <w:r w:rsidRPr="006353EA">
        <w:rPr>
          <w:rFonts w:ascii="Times New Roman" w:hAnsi="Times New Roman" w:cs="Times New Roman"/>
        </w:rPr>
        <w:t>.</w:t>
      </w:r>
    </w:p>
    <w:p w14:paraId="5B894D98"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Community-based and hybrid models: bridging formality and informality</w:t>
      </w:r>
    </w:p>
    <w:p w14:paraId="3D72A73F"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Community-centered and hybrid models represent some of the most context-appropriate circular economy pathways in LMICs. These approaches recognize informal collectors and recyclers as essential system actors and seek to integrate them into safer value chains through cooperation rather than displacement. Cooperative recycling models, aggregation hubs linked to formal processing facilities, and public–private partnerships that leverage informal collection networks have demonstrated potential to improve material recovery while reducing health risks</w:t>
      </w:r>
      <w:r w:rsidR="00D92675">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{"citationID":"sSmWkj2x","properties":{"formattedCitation":"(41,48)","plainCitation":"(41,48)","noteIndex":0},"citationItems":[{"id":14867,"uris":["http://zotero.org/users/16652950/items/ZZDG3KZL"],"itemData":{"id":14867,"type":"article-journal","abstract":"This article offers a reflective retrospective of the literature and practice on the informal waste and recycling sector. The authors have joined to share our experience and knowledge on the interface between the formal solid waste sector and informal recyclers and operators. Together, we discuss where this discourse has come from, where it is now, and where we, as practitioners, think it is going. We share our understanding of the waste and recycling sectors and how informality within them functions. The retrospective covers nearly 40 years of research, practice, advocacy, action, writing and intervention. The main storyline is how the public and private solid waste authorities and service providers relate to informal operators in both recycling (‘the (private) value chains’) and waste management (‘the (public) service chain’). The recurring theme is how engaged scholarship and practice have interacted with, modified and improved the position of informal operators and workers and contributed to positive outcomes in both service and value chains. Throughout the period covered by this retrospective, opinions and framing on all sides have shifted substantially through the years, whereas the economic activities of informal recyclers and informal waste collection service providers have remained largely unchanged. Although we refer to both scientific and operational documents, we do not have the ambition to produce a scientific paper. Rather, we follow other authors of the special issue in referring to ourselves as involved witnesses who share a commitment to improving waste and recycling practices at the boundary of formal and informal systems.","container-title":"Waste Management &amp; Research","DOI":"10.1177/0734242X241280076","ISSN":"0734-242X","issue":"6","journalAbbreviation":"Waste Manag Res","note":"PMID: 39560130\nPMCID: PMC12106937","page":"850-896","source":"PubMed Central","title":"Shifting perceptions of informal operators in the service and value chains: A retrospective of 40 years of observation and advocacy for informal recyclers and waste service providers, through the eyes of five global participant-researchers","title-short":"Shifting perceptions of informal operators in the service and value chains","volume":"43","author":[{"family":"Simpson","given":"Michael"},{"family":"Oduro-Appiah","given":"Kwaku"},{"family":"Gunsilius","given":"Ellen"},{"family":"Dias","given":"Sonia Maria"},{"family":"Scheinberg","given":"Anne"}],"issued":{"date-parts":[["2025",6]]}}},{"id":14878,"uris":["http://zotero.org/users/16652950/items/524NBEGT"],"itemData":{"id":14878,"type":"article-journal","abstract":"The inclusion of the informal recycling sector (IRS) in a circular economy (CE) is challenging and it is gaining increasing attention by the academic community in an exponential yet fragmented way. In this narrative review, we demarcate the direct and indirect contributions of the IRS to various domains of the CE by drawing knowledge from relevant literature. First, we capture the modi operandi of different forms of recycling value chains into a typology. We do so based on distinct foci and policy approaches towards the IRS which have been adopted across different countries. Second, we synthesize various threads of information on reported forms of collaboration, tensions, and challenges in the context of urban waste management, into a conceptual framework to facilitate transitions towards circular and inclusive wise-waste systems. Finally, we discuss important aspects related to circular business models and integration approaches towards the IRS, and we propose avenues for further research.","container-title":"Journal of Cleaner Production","DOI":"10.1016/j.jclepro.2023.137894","ISSN":"0959-6526","journalAbbreviation":"Journal of Cleaner Production","page":"137894","source":"ScienceDirect","title":"Informal recyclers as stakeholders in a circular economy","volume":"415","author":[{"family":"Zisopoulos","given":"Filippos K."},{"family":"Steuer","given":"Benjamin"},{"family":"Abussafy","given":"Ricardo"},{"family":"Toboso-Chavero","given":"Susana"},{"family":"Liu","given":"Zhaowen"},{"family":"Tong","given":"Xin"},{"family":"Schraven","given":"Daan"}],"issued":{"date-parts":[["2023",8,20]]}}}],"schema":"https://github.com/citation-style-language/schema/raw/master/csl-citation.json"} </w:instrText>
      </w:r>
      <w:r w:rsidR="00D92675">
        <w:rPr>
          <w:rFonts w:ascii="Times New Roman" w:hAnsi="Times New Roman" w:cs="Times New Roman"/>
        </w:rPr>
        <w:fldChar w:fldCharType="separate"/>
      </w:r>
      <w:r w:rsidR="00B722F4" w:rsidRPr="00B722F4">
        <w:rPr>
          <w:rFonts w:ascii="Times New Roman" w:hAnsi="Times New Roman" w:cs="Times New Roman"/>
        </w:rPr>
        <w:t>(41,48)</w:t>
      </w:r>
      <w:r w:rsidR="00D92675">
        <w:rPr>
          <w:rFonts w:ascii="Times New Roman" w:hAnsi="Times New Roman" w:cs="Times New Roman"/>
        </w:rPr>
        <w:fldChar w:fldCharType="end"/>
      </w:r>
      <w:r w:rsidRPr="006353EA">
        <w:rPr>
          <w:rFonts w:ascii="Times New Roman" w:hAnsi="Times New Roman" w:cs="Times New Roman"/>
        </w:rPr>
        <w:t>.</w:t>
      </w:r>
    </w:p>
    <w:p w14:paraId="7286EC5B"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Hybrid models are particularly effective when they combine economic incentives with health protections</w:t>
      </w:r>
      <w:r w:rsidR="00D92675">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{"citationID":"XUhMgt59","properties":{"formattedCitation":"(49)","plainCitation":"(49)","noteIndex":0},"citationItems":[{"id":9007,"uris":["http://zotero.org/users/16652950/items/LJFDFURG"],"itemData":{"id":9007,"type":"article-journal","abstract":"This article investigates the constraints of conventional agile practices in hybrid environments, where teams are dispersed across multiple locations. Traditional agile methodologies, which depend on co-located teams and face-to-face interactions, frequently fail in hybrid settings, resulting in communication gaps, reduced team cohesion, and inconsistent performance. The paper suggests solutions to these challenges, with a particular emphasis on the transition from command-and-control leadership to servant leadership. It underscores the necessity for agile project managers to cultivate essential skills, including the ability to foster collaboration, ensure clear communication, and strike the appropriate balance between flexibility and control. Furthermore, it emphasises the role of technology in bridging the gap between remote and on-site team members, ensuring alignment and smooth project execution. The paper ultimately outlines how hybrid agile leadership can address these challenges, resulting in improved outcomes in distributed teams.","container-title":"Journal of Global Economics, Management and Business Research","DOI":"10.56557/jgembr/2025/v17i39756","ISSN":"2454-2504","issue":"3","language":"en","page":"211-225","source":"ikprress.org","title":"Agile Leadership in Hybrid Workplaces: Evolving Roles and Competencies of Project Managers","title-short":"Agile Leadership in Hybrid Workplaces","volume":"17","author":[{"family":"Enabulele","given":"Amienye Babatunde Omo"},{"family":"Omo-Enabulele","given":"Agbonayinma Peter"},{"family":"Borokinni","given":"Moshood"},{"family":"Iwerumoh","given":"Ambrose Nwawuweneonye"},{"family":"Olatunbosun","given":"Adeyemi"},{"family":"Enobakha","given":"Benjamin Osaze"},{"family":"Ifionu","given":"Ebuka Stephen"}],"issued":{"date-parts":[["2025",9,24]]}}}],"schema":"https://github.com/citation-style-language/schema/raw/master/csl-citation.json"} </w:instrText>
      </w:r>
      <w:r w:rsidR="00D92675">
        <w:rPr>
          <w:rFonts w:ascii="Times New Roman" w:hAnsi="Times New Roman" w:cs="Times New Roman"/>
        </w:rPr>
        <w:fldChar w:fldCharType="separate"/>
      </w:r>
      <w:r w:rsidR="00B722F4" w:rsidRPr="00B722F4">
        <w:rPr>
          <w:rFonts w:ascii="Times New Roman" w:hAnsi="Times New Roman" w:cs="Times New Roman"/>
        </w:rPr>
        <w:t>(49)</w:t>
      </w:r>
      <w:r w:rsidR="00D92675">
        <w:rPr>
          <w:rFonts w:ascii="Times New Roman" w:hAnsi="Times New Roman" w:cs="Times New Roman"/>
        </w:rPr>
        <w:fldChar w:fldCharType="end"/>
      </w:r>
      <w:r w:rsidRPr="006353EA">
        <w:rPr>
          <w:rFonts w:ascii="Times New Roman" w:hAnsi="Times New Roman" w:cs="Times New Roman"/>
        </w:rPr>
        <w:t>. Guaranteed pricing for safely processed materials, access to protective equipment, and training programs can shift practices away from hazardous methods without undermining livelihoods. Importantly, these models redistribute value along the e-waste chain, ensuring that health gains are not achieved through economic exclusion. From a circular economy perspective, such arrangements enhance system resilience by maintaining high collection rates while improving environmental and health outcomes</w:t>
      </w:r>
      <w:r w:rsidR="00EA6A63">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{"citationID":"XRSh3Ucq","properties":{"formattedCitation":"(50)","plainCitation":"(50)","noteIndex":0},"citationItems":[{"id":14881,"uris":["http://zotero.org/users/16652950/items/L5J9AXA7"],"itemData":{"id":14881,"type":"article-journal","abstract":"Awareness of electronic waste (e-waste) improves safety practices among workers, thereby reducing health risks associated with pollutants. Investigating the awareness and safe practices among these workers could help identify areas for improvement, a task not yet undertaken in Bangladesh. Consequently, this study aimed to examine the awareness, safety measures, and associated factors among e-waste workers in the country. In this cross-sectional study, 236 workers from an e-waste recycling facility located near Dhaka were interviewed using a semi-structured questionnaire from August to September 2022. Eight questions captured information on socio-demographics and work factors, 24 questions on e-waste awareness, and 11 questions on safety practices. Total awareness and safety scores were calculated and categorized as “good” and “poor” based on a cut-off point of 80% of the total score. Bivariate and regression analyses were done to determine associated factors. Only 25% of workers had good e-waste awareness; major knowledge gaps were regarding minimization, health hazards, and environmental impact. Good awareness was significantly associated with female gender, higher education, income, smoking, experience </w:instrText>
      </w:r>
      <w:r w:rsidR="00B722F4">
        <w:rPr>
          <w:rFonts w:ascii="Cambria Math" w:hAnsi="Cambria Math" w:cs="Cambria Math"/>
        </w:rPr>
        <w:instrText>⩾</w:instrText>
      </w:r>
      <w:r w:rsidR="00B722F4">
        <w:rPr>
          <w:rFonts w:ascii="Times New Roman" w:hAnsi="Times New Roman" w:cs="Times New Roman"/>
        </w:rPr>
        <w:instrText xml:space="preserve">5 years, and training. About 58% followed good safety practices, but the use of boots and helmets was inadequate. Good safety practices were significantly associated with higher education, income, smoking, experience, training, and overtime work. On multivariable analysis, those with higher education had 12 times (95% CI 4.83-32.81) and 6 times (95% CI 2.94-12.81) higher odds of good awareness and practices, respectively. Trained workers had 3.6 times (95% CI 1.67-7.52) higher odds of good practices. There was a significant correlation between awareness and practices (r = .70, P &lt; .001). The study found poor awareness and inadequate safety practices related to e-waste among the workers. Urgent interventions like training, the use of protective gear, and stringent policies are warranted to increase awareness and safety behaviors., This study looked at how aware e-waste recycling workers in Bangladesh are about the hazards of e-waste and whether they take proper safety measures during their work. E-waste, which refers to discarded electronic devices and components, contains hazardous materials like heavy metals and toxic chemicals. If not handled properly, these can cause health problems for the workers as well as environmental pollution. The researchers interviewed 236 e-waste workers in Dhaka in 2022. They asked questions to assess the workers’ knowledge about e-waste and its risks, as well as what safety gear and practices they used at work. The study found that only 25% of the workers had good awareness about e-waste hazards. Major gaps were around minimizing e-waste, the health risks, and environmental impact. Around 58% reported following good safety practices like using masks and gloves. However, many did not use critical protective gear like safety boots and helmets consistently. Higher education levels and professional training were linked to better awareness and safer practices. Trained workers were more likely to follow good safety practices. The study findings suggest that urgent interventions like health education and training programs are needed. This can help increase awareness and ensure workers take adequate precautions to reduce health risks from mishandling e-waste in Bangladesh.","container-title":"Environmental Health Insights","DOI":"10.1177/11786302241271555","ISSN":"1178-6302","journalAbbreviation":"Environ Health Insights","note":"PMID: 39148587\nPMCID: PMC11325305","page":"11786302241271555","source":"PubMed Central","title":"Awareness, Safety Practices and Associated Factors Among E-Waste Recycling Workers in Bangladesh","volume":"18","author":[{"family":"Munni","given":"Meherun Nahar"},{"family":"Karim","given":"Mohammad Rezaul"},{"family":"Haque","given":"Mohibbul"},{"family":"Khan","given":"Sumaiya"},{"family":"Khan","given":"Md Abdullah Saeed"},{"family":"Hossain","given":"Irin"}],"issued":{"date-parts":[["2024",8,13]]}}}],"schema":"https://github.com/citation-style-language/schema/raw/master/csl-citation.json"} </w:instrText>
      </w:r>
      <w:r w:rsidR="00EA6A63">
        <w:rPr>
          <w:rFonts w:ascii="Times New Roman" w:hAnsi="Times New Roman" w:cs="Times New Roman"/>
        </w:rPr>
        <w:fldChar w:fldCharType="separate"/>
      </w:r>
      <w:r w:rsidR="00B722F4" w:rsidRPr="00B722F4">
        <w:rPr>
          <w:rFonts w:ascii="Times New Roman" w:hAnsi="Times New Roman" w:cs="Times New Roman"/>
        </w:rPr>
        <w:t>(50)</w:t>
      </w:r>
      <w:r w:rsidR="00EA6A63">
        <w:rPr>
          <w:rFonts w:ascii="Times New Roman" w:hAnsi="Times New Roman" w:cs="Times New Roman"/>
        </w:rPr>
        <w:fldChar w:fldCharType="end"/>
      </w:r>
      <w:r w:rsidRPr="006353EA">
        <w:rPr>
          <w:rFonts w:ascii="Times New Roman" w:hAnsi="Times New Roman" w:cs="Times New Roman"/>
        </w:rPr>
        <w:t>.</w:t>
      </w:r>
    </w:p>
    <w:p w14:paraId="3D266269" w14:textId="77777777" w:rsidR="006353EA" w:rsidRPr="006353EA" w:rsidRDefault="006353EA" w:rsidP="00F233BD">
      <w:pPr>
        <w:jc w:val="both"/>
        <w:rPr>
          <w:rFonts w:ascii="Times New Roman" w:hAnsi="Times New Roman" w:cs="Times New Roman"/>
          <w:b/>
          <w:bCs/>
        </w:rPr>
      </w:pPr>
      <w:r w:rsidRPr="006353EA">
        <w:rPr>
          <w:rFonts w:ascii="Times New Roman" w:hAnsi="Times New Roman" w:cs="Times New Roman"/>
          <w:b/>
          <w:bCs/>
        </w:rPr>
        <w:t>Barriers to scale: structural constraints and misaligned incentives</w:t>
      </w:r>
    </w:p>
    <w:p w14:paraId="049A19A9"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Despite the promise of circular interventions, scaling remains a persistent challenge. Financial constraints limit investment in safer technologies and infrastructure, while fragmented governance structures hinder coordination across agencies responsible for environment, health, labor, and trade. Informality itself complicates enforcement, as many regulatory tools are designed for formal enterprises and fail to engage decentralized actors effectively</w:t>
      </w:r>
      <w:r w:rsidR="00132509">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{"citationID":"Sj8ujUFT","properties":{"formattedCitation":"(51)","plainCitation":"(51)","noteIndex":0},"citationItems":[{"id":14884,"uris":["http://zotero.org/users/16652950/items/L683KSA9"],"itemData":{"id":14884,"type":"article-journal","abstract":"Sustainability and circular economy are key frameworks for tackling global environmental, economic, and social concerns. Sustainability emphasizes addressing existing needs while guaranteeing that future generations can integrate ecological protection, social justice, and economic development by addressing major problems such as climate change, biodiversity loss, resource depletion, and inequality. The circular economy presents a transformational framework that reinterprets growth and focuses on establishing regenerative systems that reduce waste, guarantee resources remain in continuous circulation, and rehabilitate natural ecosystems. This paper investigates the confluence of these two paradigms, illustrating how their combination might provide a viable framework for sustainable development. Implementing circular economy principles, such as resource efficiency, waste reduction, and closed-loop systems, allows the successful realization of sustainability goals. It stresses practical applications and defines future directions, underlining the necessity for joint efforts to generate synergistic benefits for a more sustainable and equitable world.","container-title":"Sustainable Futures","DOI":"10.1016/j.sftr.2025.101208","ISSN":"2666-1888","journalAbbreviation":"Sustainable Futures","page":"101208","source":"ScienceDirect","title":"Pathways to a sustainable future: Exploring the synergy between sustainability and circular economy","title-short":"Pathways to a sustainable future","volume":"10","author":[{"family":"Eelager","given":"Manjunath P."},{"family":"Dalbanjan","given":"Nagarjuna Prakash"},{"family":"Madihalli","given":"Suhasini"},{"family":"Madar","given":"Mahesh"},{"family":"Agadi","given":"Naveenkumar P."},{"family":"Korganokar","given":"Karuna"},{"family":"Kiran","given":"B. K."}],"issued":{"date-parts":[["2025",12,1]]}}}],"schema":"https://github.com/citation-style-language/schema/raw/master/csl-citation.json"} </w:instrText>
      </w:r>
      <w:r w:rsidR="00132509">
        <w:rPr>
          <w:rFonts w:ascii="Times New Roman" w:hAnsi="Times New Roman" w:cs="Times New Roman"/>
        </w:rPr>
        <w:fldChar w:fldCharType="separate"/>
      </w:r>
      <w:r w:rsidR="00B722F4" w:rsidRPr="00B722F4">
        <w:rPr>
          <w:rFonts w:ascii="Times New Roman" w:hAnsi="Times New Roman" w:cs="Times New Roman"/>
        </w:rPr>
        <w:t>(51)</w:t>
      </w:r>
      <w:r w:rsidR="00132509">
        <w:rPr>
          <w:rFonts w:ascii="Times New Roman" w:hAnsi="Times New Roman" w:cs="Times New Roman"/>
        </w:rPr>
        <w:fldChar w:fldCharType="end"/>
      </w:r>
      <w:r w:rsidRPr="006353EA">
        <w:rPr>
          <w:rFonts w:ascii="Times New Roman" w:hAnsi="Times New Roman" w:cs="Times New Roman"/>
        </w:rPr>
        <w:t>.</w:t>
      </w:r>
    </w:p>
    <w:p w14:paraId="26D70EC2" w14:textId="77777777" w:rsidR="006353EA" w:rsidRPr="006353EA" w:rsidRDefault="006353EA" w:rsidP="00F233BD">
      <w:pPr>
        <w:jc w:val="both"/>
        <w:rPr>
          <w:rFonts w:ascii="Times New Roman" w:hAnsi="Times New Roman" w:cs="Times New Roman"/>
        </w:rPr>
      </w:pPr>
      <w:r w:rsidRPr="006353EA">
        <w:rPr>
          <w:rFonts w:ascii="Times New Roman" w:hAnsi="Times New Roman" w:cs="Times New Roman"/>
        </w:rPr>
        <w:t>Global value chain asymmetries further constrain local action. LMICs often lack leverage over product design, material composition, and export practices determined upstream. Without stronger international alignment, local circular initiatives risk addressing symptoms rather than root causes. Additionally, metrics used to assess circular economy performance frequently emphasize recycling volumes or economic returns, obscuring health outcomes and equity impacts. This misalignment weakens accountability and limits learning across interventions</w:t>
      </w:r>
      <w:r w:rsidR="00132509">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{"citationID":"Ook5RQXP","properties":{"formattedCitation":"(52)","plainCitation":"(52)","noteIndex":0},"citationItems":[{"id":9011,"uris":["http://zotero.org/users/16652950/items/CN5RKRM2"],"itemData":{"id":9011,"type":"article-journal","container-title":"Journal of Engineering Research and Reports","DOI":"10.9734/jerr/2025/v27i91623","ISSN":"2582-2926","issue":"9","language":"en","page":"25-40","source":"journaljerr.com","title":"Conceptual Framework for Smart Sensor–driven Predictive Maintenance in Infrastructure Management","volume":"27","author":[{"family":"Shehu","given":"Habib"},{"family":"Sunday","given":"Omolayo"},{"family":"Ojo","given":"Damilola Ayodele"},{"family":"Afolayan","given":"Oladele Nicholas"},{"family":"Adebanjo","given":"Temitope Anthony"},{"family":"Eromosele","given":"Eric Iyere"},{"family":"Enabulele","given":"Amienye Babatunde Omo"},{"family":"Okpoko","given":"Oghenetega A."},{"family":"Okeke","given":"Francis Chukwudalu"},{"family":"Enobakhare","given":"Benjamin Osaze"}],"issued":{"date-parts":[["2025",8,25]]}}}],"schema":"https://github.com/citation-style-language/schema/raw/master/csl-citation.json"} </w:instrText>
      </w:r>
      <w:r w:rsidR="00132509">
        <w:rPr>
          <w:rFonts w:ascii="Times New Roman" w:hAnsi="Times New Roman" w:cs="Times New Roman"/>
        </w:rPr>
        <w:fldChar w:fldCharType="separate"/>
      </w:r>
      <w:r w:rsidR="00B722F4" w:rsidRPr="00B722F4">
        <w:rPr>
          <w:rFonts w:ascii="Times New Roman" w:hAnsi="Times New Roman" w:cs="Times New Roman"/>
        </w:rPr>
        <w:t>(52)</w:t>
      </w:r>
      <w:r w:rsidR="00132509">
        <w:rPr>
          <w:rFonts w:ascii="Times New Roman" w:hAnsi="Times New Roman" w:cs="Times New Roman"/>
        </w:rPr>
        <w:fldChar w:fldCharType="end"/>
      </w:r>
      <w:r w:rsidRPr="006353EA">
        <w:rPr>
          <w:rFonts w:ascii="Times New Roman" w:hAnsi="Times New Roman" w:cs="Times New Roman"/>
        </w:rPr>
        <w:t>.</w:t>
      </w:r>
    </w:p>
    <w:p w14:paraId="235E0251" w14:textId="77777777" w:rsidR="00C357BB" w:rsidRPr="00C357BB" w:rsidRDefault="006353EA" w:rsidP="00C357BB">
      <w:pPr>
        <w:jc w:val="both"/>
        <w:rPr>
          <w:rFonts w:ascii="Times New Roman" w:hAnsi="Times New Roman" w:cs="Times New Roman"/>
        </w:rPr>
      </w:pPr>
      <w:r w:rsidRPr="006353EA">
        <w:rPr>
          <w:rFonts w:ascii="Times New Roman" w:hAnsi="Times New Roman" w:cs="Times New Roman"/>
        </w:rPr>
        <w:t xml:space="preserve">Overcoming these barriers requires reframing circular economy implementation as a socio-technical transition rather than a purely technical fix. Health-protective circularity depends on </w:t>
      </w:r>
      <w:r w:rsidRPr="006353EA">
        <w:rPr>
          <w:rFonts w:ascii="Times New Roman" w:hAnsi="Times New Roman" w:cs="Times New Roman"/>
        </w:rPr>
        <w:lastRenderedPageBreak/>
        <w:t>coordinated policy design, appropriate technology selection, inclusive governance, and metrics that capture exposure reduction and well-being alongside material efficiency. When these elements align, circular economy interventions can move beyond incremental improvements and contribute meaningfully to environmental protection, public health, and sustainable development in LMICs.</w:t>
      </w:r>
      <w:r w:rsidR="00C357BB">
        <w:rPr>
          <w:rFonts w:ascii="Times New Roman" w:hAnsi="Times New Roman" w:cs="Times New Roman"/>
        </w:rPr>
        <w:t xml:space="preserve"> </w:t>
      </w:r>
      <w:r w:rsidR="00C357BB" w:rsidRPr="00C357BB">
        <w:rPr>
          <w:rFonts w:ascii="Times New Roman" w:hAnsi="Times New Roman" w:cs="Times New Roman"/>
        </w:rPr>
        <w:t xml:space="preserve">As illustrated in </w:t>
      </w:r>
      <w:r w:rsidR="00C357BB" w:rsidRPr="00C357BB">
        <w:rPr>
          <w:rFonts w:ascii="Times New Roman" w:hAnsi="Times New Roman" w:cs="Times New Roman"/>
          <w:b/>
          <w:bCs/>
        </w:rPr>
        <w:t>Figure 2</w:t>
      </w:r>
      <w:r w:rsidR="00C357BB" w:rsidRPr="00C357BB">
        <w:rPr>
          <w:rFonts w:ascii="Times New Roman" w:hAnsi="Times New Roman" w:cs="Times New Roman"/>
        </w:rPr>
        <w:t>, health risks emerge across multiple stages of the e-waste lifecycle but can be mitigated through upstream circular interventions.”</w:t>
      </w:r>
    </w:p>
    <w:p w14:paraId="688BAF18" w14:textId="77777777" w:rsidR="00C357BB" w:rsidRDefault="00C357BB" w:rsidP="00F233BD">
      <w:pPr>
        <w:jc w:val="both"/>
        <w:rPr>
          <w:rFonts w:ascii="Times New Roman" w:hAnsi="Times New Roman" w:cs="Times New Roman"/>
        </w:rPr>
      </w:pPr>
      <w:r>
        <w:rPr>
          <w:rFonts w:ascii="Times New Roman" w:hAnsi="Times New Roman" w:cs="Times New Roman"/>
          <w:noProof/>
        </w:rPr>
        <w:drawing>
          <wp:inline distT="0" distB="0" distL="0" distR="0" wp14:anchorId="50DFB22B" wp14:editId="30C2EAD2">
            <wp:extent cx="5943600" cy="3962400"/>
            <wp:effectExtent l="0" t="0" r="0" b="0"/>
            <wp:docPr id="20873986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398673" name="Picture 2087398673"/>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3962400"/>
                    </a:xfrm>
                    <a:prstGeom prst="rect">
                      <a:avLst/>
                    </a:prstGeom>
                  </pic:spPr>
                </pic:pic>
              </a:graphicData>
            </a:graphic>
          </wp:inline>
        </w:drawing>
      </w:r>
    </w:p>
    <w:p w14:paraId="51C92B79" w14:textId="77777777" w:rsidR="00C357BB" w:rsidRPr="00C357BB" w:rsidRDefault="00C357BB" w:rsidP="00C357BB">
      <w:pPr>
        <w:jc w:val="both"/>
        <w:rPr>
          <w:rFonts w:ascii="Times New Roman" w:hAnsi="Times New Roman" w:cs="Times New Roman"/>
        </w:rPr>
      </w:pPr>
      <w:r w:rsidRPr="00C357BB">
        <w:rPr>
          <w:rFonts w:ascii="Times New Roman" w:hAnsi="Times New Roman" w:cs="Times New Roman"/>
          <w:b/>
          <w:bCs/>
        </w:rPr>
        <w:t>Figure 2. Health Impacts and Circular Economy Intervention Points Across the E-Waste Lifecycle</w:t>
      </w:r>
      <w:r>
        <w:rPr>
          <w:rFonts w:ascii="Times New Roman" w:hAnsi="Times New Roman" w:cs="Times New Roman"/>
        </w:rPr>
        <w:t xml:space="preserve">. </w:t>
      </w:r>
      <w:r w:rsidRPr="00C357BB">
        <w:rPr>
          <w:rFonts w:ascii="Times New Roman" w:hAnsi="Times New Roman" w:cs="Times New Roman"/>
        </w:rPr>
        <w:t xml:space="preserve"> This figure maps the e-waste lifecycle—from product design and manufacturing to environmental dispersion and exposure—onto dominant health risk manifestations and affected populations. It highlights where health-centered circular economy interventions (e.g., design for disassembly, extended producer responsibility, safe recycling technologies, inclusive formalization, and environmental–health surveillance) can interrupt exposure pathways. Upstream interventions are positioned as preventive mechanisms that reduce downstream environmental contamination and health burdens in low- and middle-income countries.</w:t>
      </w:r>
    </w:p>
    <w:p w14:paraId="2D958F2F" w14:textId="77777777" w:rsidR="00C357BB" w:rsidRDefault="00C357BB" w:rsidP="00F233BD">
      <w:pPr>
        <w:jc w:val="both"/>
        <w:rPr>
          <w:rFonts w:ascii="Times New Roman" w:hAnsi="Times New Roman" w:cs="Times New Roman"/>
        </w:rPr>
      </w:pPr>
    </w:p>
    <w:p w14:paraId="5DA2C9D3" w14:textId="77777777" w:rsidR="00FA0C67" w:rsidRPr="00FA0C67" w:rsidRDefault="00FA0C67" w:rsidP="00F233BD">
      <w:pPr>
        <w:jc w:val="both"/>
        <w:rPr>
          <w:rFonts w:ascii="Times New Roman" w:hAnsi="Times New Roman" w:cs="Times New Roman"/>
          <w:b/>
          <w:bCs/>
        </w:rPr>
      </w:pPr>
      <w:r w:rsidRPr="00F233BD">
        <w:rPr>
          <w:rFonts w:ascii="Times New Roman" w:hAnsi="Times New Roman" w:cs="Times New Roman"/>
          <w:b/>
          <w:bCs/>
        </w:rPr>
        <w:t>7</w:t>
      </w:r>
      <w:r w:rsidRPr="00FA0C67">
        <w:rPr>
          <w:rFonts w:ascii="Times New Roman" w:hAnsi="Times New Roman" w:cs="Times New Roman"/>
          <w:b/>
          <w:bCs/>
        </w:rPr>
        <w:t>. Policy, Governance, and Global Responsibility</w:t>
      </w:r>
    </w:p>
    <w:p w14:paraId="492595FE"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 xml:space="preserve">Effective e-waste governance in low- and middle-income countries (LMICs) is constrained less by the absence of policy frameworks than by persistent gaps in implementation, coordination, and </w:t>
      </w:r>
      <w:r w:rsidRPr="00FA0C67">
        <w:rPr>
          <w:rFonts w:ascii="Times New Roman" w:hAnsi="Times New Roman" w:cs="Times New Roman"/>
        </w:rPr>
        <w:lastRenderedPageBreak/>
        <w:t>accountability. In many settings, regulatory authority over e-waste is fragmented across environmental, trade, labor, and health agencies, resulting in overlapping mandates and weak enforcement. This institutional fragmentation limits the capacity to manage e-waste as a cross-cutting issue that simultaneously implicates environmental protection, occupational safety, and public health. As a result, policies often address isolated components of the e-waste system while failing to engage its full lifecycle or its health implications</w:t>
      </w:r>
      <w:r w:rsidR="003C1051">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{"citationID":"y86KZZBY","properties":{"formattedCitation":"(53,54)","plainCitation":"(53,54)","noteIndex":0},"citationItems":[{"id":14885,"uris":["http://zotero.org/users/16652950/items/KFWEQDAJ"],"itemData":{"id":14885,"type":"article-journal","abstract":"E-waste is one of the fastest growing waste streams in the world, paradoxically containing both hazardous components and substances which can adversel...","container-title":"Sustainability","DOI":"10.3390/su15097263","ISSN":"2071-1050","issue":"9","language":"en","license":"http://creativecommons.org/licenses/by/3.0/","note":"Company: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publisher","source":"www.mdpi.com","title":"Assessing Strategic Management of E-Waste in Developing Countries","URL":"https://www.mdpi.com/2071-1050/15/9/7263","volume":"15","author":[{"family":"Awasthi","given":"Abhishek Kumar"},{"family":"Iacovidou","given":"Eleni"},{"family":"Awasthi","given":"Mrigendra Kumar"},{"family":"Johnson","given":"Michael"},{"family":"Parajuly","given":"Keshav"},{"family":"Zhao","given":"Min"},{"family":"Mishra","given":"Saket"},{"family":"Pandey","given":"Akhilesh Kumar"}],"accessed":{"date-parts":[["2026",2,16]]},"issued":{"date-parts":[["2023",4,26]]}}},{"id":10204,"uris":["http://zotero.org/users/16652950/items/ML6SMDBL"],"itemData":{"id":10204,"type":"article-journal","abstract":"Chronic diseases remain among the most critical national health challenges in the United States, contributing substantially to morbidity, mortality, and healthcare costs. Digital health record systems including electronic health records, patient portals, and integrated care platforms are central to improving care coordination, patient engagement, and long-term disease management. However, many implementation efforts fail due to inadequate project management, limited stakeholder participation, and insufficient patient-centered design. This paper synthesizes existing research on project management and patient-centered digital health implementation to propose a Strategic Project-Management Framework for enhancing chronic disease outcomes. Drawing from peer-reviewed literature, policy documents, and healthcare IT reports across major databases (PubMed, Scopus, Web of Science, and Google Scholar), the review identifies critical success factors, barriers, and emerging trends shaping digital health system adoption. The analysis demonstrates that integrating structured project management methodologies with patient-centered principles is essential for creating usable, sustainable, and clinically effective digital health systems. We present a Strategic Project-Management Framework that integrates the core phases of initiation, planning, execution, monitoring, and closure with co-design, feedback, and participatory engagement mechanisms. This integration promotes stronger system adoption, improved care coordination, and better chronic disease outcomes. The framework establishes a replicable, adaptable model for healthcare organizations and provides a foundation for future empirical validation and policy development.","container-title":"Journal of Sustainable Research and Development","DOI":"10.69739/jsrd.v1i2.1217","ISSN":"3105-5443","issue":"2","language":"en","license":"Copyright (c) 2025 Amienye Babatunde Omo Enabulele, Chinomso C. Eleweke, Oluchi Okechukwu, Olukunle O. Akanbi, Confidence Majesty (Author)","page":"55-67","source":"journals.stecab.com","title":"A Strategic Project Management Framework for Implementing Patient-Centered Digital Health Record Systems to Improve Chronic Disease Outcomes in the United States","volume":"1","author":[{"family":"Enabulele","given":"Amienye Babatunde Omo"},{"family":"Eleweke","given":"Chinomso C."},{"family":"Okechukwu","given":"Oluchi"},{"family":"Akanbi","given":"Olukunle O."},{"family":"Majesty","given":"Confidence"}],"issued":{"date-parts":[["2025",11,13]]}}}],"schema":"https://github.com/citation-style-language/schema/raw/master/csl-citation.json"} </w:instrText>
      </w:r>
      <w:r w:rsidR="003C1051">
        <w:rPr>
          <w:rFonts w:ascii="Times New Roman" w:hAnsi="Times New Roman" w:cs="Times New Roman"/>
        </w:rPr>
        <w:fldChar w:fldCharType="separate"/>
      </w:r>
      <w:r w:rsidR="00B722F4" w:rsidRPr="00B722F4">
        <w:rPr>
          <w:rFonts w:ascii="Times New Roman" w:hAnsi="Times New Roman" w:cs="Times New Roman"/>
        </w:rPr>
        <w:t>(53,54)</w:t>
      </w:r>
      <w:r w:rsidR="003C1051">
        <w:rPr>
          <w:rFonts w:ascii="Times New Roman" w:hAnsi="Times New Roman" w:cs="Times New Roman"/>
        </w:rPr>
        <w:fldChar w:fldCharType="end"/>
      </w:r>
      <w:r w:rsidRPr="00FA0C67">
        <w:rPr>
          <w:rFonts w:ascii="Times New Roman" w:hAnsi="Times New Roman" w:cs="Times New Roman"/>
        </w:rPr>
        <w:t>.</w:t>
      </w:r>
    </w:p>
    <w:p w14:paraId="41F81228"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A central governance challenge lies in regulating informality within systems designed for formal enterprises. Licensing requirements, compliance standards, and reporting mechanisms frequently exclude informal actors who dominate collection and processing in LMICs. When governance frameworks fail to engage these actors, they inadvertently perpetuate unsafe practices while undermining policy effectiveness. Health-protective governance therefore requires adaptive regulatory approaches that combine enforcement with inclusion, enabling informal workers to transition into safer arrangements without loss of livelihood. This necessitates coordination between environmental regulators and labor and health authorities, an alignment that remains underdeveloped in many LMIC contexts</w:t>
      </w:r>
      <w:r w:rsidR="003C1051">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{"citationID":"QuUC4sJL","properties":{"formattedCitation":"(55)","plainCitation":"(55)","noteIndex":0},"citationItems":[{"id":11680,"uris":["http://zotero.org/users/16652950/items/S6FDEAQK"],"itemData":{"id":11680,"type":"article-journal","container-title":"The Lancet. Global Health","DOI":"10.1016/S2214-109X(22)00005-5","ISSN":"2214-109X","issue":"5","journalAbbreviation":"Lancet Glob Health","note":"PMID: 35390342\nPMCID: PMC9005653","page":"e715-e772","source":"PubMed Central","title":"The Lancet Global Health Commission on financing primary health care: putting people at the centre","title-short":"The Lancet Global Health Commission on financing primary health care","volume":"10","author":[{"family":"Hanson","given":"Kara"},{"family":"Brikci","given":"Nouria"},{"family":"Erlangga","given":"Darius"},{"family":"Alebachew","given":"Abebe"},{"family":"De Allegri","given":"Manuela"},{"family":"Balabanova","given":"Dina"},{"family":"Blecher","given":"Mark"},{"family":"Cashin","given":"Cheryl"},{"family":"Esperato","given":"Alexo"},{"family":"Hipgrave","given":"David"},{"family":"Kalisa","given":"Ina"},{"family":"Kurowski","given":"Christoph"},{"family":"Meng","given":"Qingyue"},{"family":"Morgan","given":"David"},{"family":"Mtei","given":"Gemini"},{"family":"Nolte","given":"Ellen"},{"family":"Onoka","given":"Chima"},{"family":"Powell-Jackson","given":"Timothy"},{"family":"Roland","given":"Martin"},{"family":"Sadanandan","given":"Rajeev"},{"family":"Stenberg","given":"Karin"},{"family":"Vega Morales","given":"Jeanette"},{"family":"Wang","given":"Hong"},{"family":"Wurie","given":"Haja"}],"issued":{"date-parts":[["2022",5]]}}}],"schema":"https://github.com/citation-style-language/schema/raw/master/csl-citation.json"} </w:instrText>
      </w:r>
      <w:r w:rsidR="003C1051">
        <w:rPr>
          <w:rFonts w:ascii="Times New Roman" w:hAnsi="Times New Roman" w:cs="Times New Roman"/>
        </w:rPr>
        <w:fldChar w:fldCharType="separate"/>
      </w:r>
      <w:r w:rsidR="00B722F4" w:rsidRPr="00B722F4">
        <w:rPr>
          <w:rFonts w:ascii="Times New Roman" w:hAnsi="Times New Roman" w:cs="Times New Roman"/>
        </w:rPr>
        <w:t>(55)</w:t>
      </w:r>
      <w:r w:rsidR="003C1051">
        <w:rPr>
          <w:rFonts w:ascii="Times New Roman" w:hAnsi="Times New Roman" w:cs="Times New Roman"/>
        </w:rPr>
        <w:fldChar w:fldCharType="end"/>
      </w:r>
      <w:r w:rsidRPr="00FA0C67">
        <w:rPr>
          <w:rFonts w:ascii="Times New Roman" w:hAnsi="Times New Roman" w:cs="Times New Roman"/>
        </w:rPr>
        <w:t>.</w:t>
      </w:r>
    </w:p>
    <w:p w14:paraId="64DD5D0C"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Global responsibility is a defining yet often underacknowledged dimension of e-waste governance. High-income countries (HICs) drive global electronics production, consumption, and design decisions that shape downstream waste characteristics and hazards. Despite international agreements governing hazardous waste trade, transboundary flows of e-waste—often under the guise of second-hand goods</w:t>
      </w:r>
      <w:r w:rsidR="0021591B">
        <w:rPr>
          <w:rFonts w:ascii="Times New Roman" w:hAnsi="Times New Roman" w:cs="Times New Roman"/>
        </w:rPr>
        <w:t xml:space="preserve"> </w:t>
      </w:r>
      <w:r w:rsidRPr="00FA0C67">
        <w:rPr>
          <w:rFonts w:ascii="Times New Roman" w:hAnsi="Times New Roman" w:cs="Times New Roman"/>
        </w:rPr>
        <w:t>continue to shift environmental and health risks toward LMICs. Addressing these asymmetries requires moving beyond compliance-oriented interpretations of international conventions toward shared responsibility frameworks that recognize upstream obligations for downstream impacts</w:t>
      </w:r>
      <w:r w:rsidR="0021591B">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{"citationID":"4TUx4bUg","properties":{"formattedCitation":"(56)","plainCitation":"(56)","noteIndex":0},"citationItems":[{"id":14889,"uris":["http://zotero.org/users/16652950/items/GDP6IF3B"],"itemData":{"id":14889,"type":"article-journal","abstract":"Electronic waste (E-waste) is a critical challenge of today's period, with around 57 million tons generated in 2021, of which only about 9 million tons were properly recycled, E-waste tends to affect the globe with issue like, illegal recycling, improper landfill disposal, illicit exports and others. Addressing this issue requires sustained, well-structured efforts, with effective policy interventions which are key towards reducing E-waste, by providing a framework for minimizing its generation and safeguarding the environment. These policies can ensure proper disposal methods, public awareness, device repair and refurbishment, and recycling rates with E-waste management monetizing the efforts of E-waste management startups. The study examines innovative E-waste policies across various countries which includes Extended Producer Responsibility (EPR), WEEE directives, regional laws, and State level laws, highlighting successful strategies such as incentivized recycling programs and stricter regulations on hazardous materials. The aim of the paper is to update information with an emphasis on global trends of E-waste, emphasizing the importance of robust policies in reducing environmental harm and lowering the cost of new electronics through efficient recycling.","container-title":"Journal of Hazardous Materials Advances","DOI":"10.1016/j.hazadv.2024.100473","ISSN":"2772-4166","journalAbbreviation":"Journal of Hazardous Materials Advances","page":"100473","source":"ScienceDirect","title":"Policy pathways to sustainable E-waste management: A global review","title-short":"Policy pathways to sustainable E-waste management","volume":"16","author":[{"family":"Grandhi","given":"Sai Preetham"},{"family":"Dagwar","given":"Pranav Prashant"},{"family":"Dutta","given":"Deblina"}],"issued":{"date-parts":[["2024",11,1]]}}}],"schema":"https://github.com/citation-style-language/schema/raw/master/csl-citation.json"} </w:instrText>
      </w:r>
      <w:r w:rsidR="0021591B">
        <w:rPr>
          <w:rFonts w:ascii="Times New Roman" w:hAnsi="Times New Roman" w:cs="Times New Roman"/>
        </w:rPr>
        <w:fldChar w:fldCharType="separate"/>
      </w:r>
      <w:r w:rsidR="00B722F4" w:rsidRPr="00B722F4">
        <w:rPr>
          <w:rFonts w:ascii="Times New Roman" w:hAnsi="Times New Roman" w:cs="Times New Roman"/>
        </w:rPr>
        <w:t>(56)</w:t>
      </w:r>
      <w:r w:rsidR="0021591B">
        <w:rPr>
          <w:rFonts w:ascii="Times New Roman" w:hAnsi="Times New Roman" w:cs="Times New Roman"/>
        </w:rPr>
        <w:fldChar w:fldCharType="end"/>
      </w:r>
      <w:r w:rsidRPr="00FA0C67">
        <w:rPr>
          <w:rFonts w:ascii="Times New Roman" w:hAnsi="Times New Roman" w:cs="Times New Roman"/>
        </w:rPr>
        <w:t>.</w:t>
      </w:r>
    </w:p>
    <w:p w14:paraId="1B47915E"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High-income countries and multinational manufacturers play a critical role in enabling health-centered circular transitions. Design choices that prioritize durability, modularity, and the elimination of hazardous substances can substantially reduce exposure risks across the e-waste lifecycle. Financing mechanisms that support safer recycling infrastructure and inclusive formalization in LMICs further redistribute responsibility along global value chains. Without such upstream engagement, LMIC-led interventions risk remaining reactive, addressing symptoms rather than structural drivers of harm.</w:t>
      </w:r>
    </w:p>
    <w:p w14:paraId="23A08E3B"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Framing e-waste governance within the Sustainable Development Goals (SDGs) and planetary health discourse provides a unifying policy narrative. E-waste intersects directly with SDG 3 (Good Health and Well-being), SDG 8 (Decent Work and Economic Growth), SDG 12 (Responsible Consumption and Production), and SDG 13 (Climate Action). A planetary health perspective emphasizes that e-waste-related health risks are not localized externalities but manifestations of unsustainable global production systems that erode both environmental integrity and human well-being. This framing strengthens the case for integrated governance approaches that transcend sectoral silos and national boundaries</w:t>
      </w:r>
      <w:r w:rsidR="0021591B">
        <w:rPr>
          <w:rFonts w:ascii="Times New Roman" w:hAnsi="Times New Roman" w:cs="Times New Roman"/>
        </w:rPr>
        <w:fldChar w:fldCharType="begin"/>
      </w:r>
      <w:r w:rsidR="00B722F4">
        <w:rPr>
          <w:rFonts w:ascii="Times New Roman" w:hAnsi="Times New Roman" w:cs="Times New Roman"/>
        </w:rPr>
        <w:instrText xml:space="preserve"> ADDIN ZOTERO_ITEM CSL_CITATION {"citationID":"caQyJQrd","properties":{"formattedCitation":"(57,58)","plainCitation":"(57,58)","noteIndex":0},"citationItems":[{"id":14891,"uris":["http://zotero.org/users/16652950/items/Q94JBBNT"],"itemData":{"id":14891,"type":"article-journal","abstract":"The digital revolution, characterized by rapid technological advancements, presents a unique opportunity to accelerate progress towards the United Nat...","container-title":"Applied Sciences","DOI":"10.3390/app15020816","ISSN":"2076-3417","issue":"2","language":"en","license":"http://creativecommons.org/licenses/by/3.0/","note":"Company: Multidisciplinary Digital Publishing Institute\nDistributor: Multidisciplinary Digital Publishing Institute\nInstitution: Multidisciplinary Digital Publishing Institute\nLabel: Multidisciplinary Digital Publishing Institute\npublisher: publisher","source":"www.mdpi.com","title":"Sustainable Development in the Digital Age: Harnessing Emerging Digital Technologies to Catalyze Global SDG Achievement","title-short":"Sustainable Development in the Digital Age","URL":"https://www.mdpi.com/2076-3417/15/2/816","volume":"15","author":[{"family":"Bocean","given":"Claudiu George"}],"accessed":{"date-parts":[["2026",2,16]]},"issued":{"date-parts":[["2025",1,14]]}}},{"id":11035,"uris":["http://zotero.org/users/16652950/items/N7MLCCZ5"],"itemData":{"id":11035,"type":"article-journal","abstract":"Antimicrobial resistance genes (ARGs) are found in microplastics, which are becoming more widely acknowledged as environmental substrates that may link ecological reservoirs to human illness. These particles create selective microenvironments by adsorbing antibiotics, metals, and biocides, promoting the creation of biofilms, and facilitating horizontal gene transfer. Human exposure through ingestion, inhalation, and skin contact is a problem due to the prevalence of microplastics in aquatic, terrestrial, airborne, and food-chain systems. This review highlights methodological limitations, synthesizes current understanding of the environmental mechanisms and clinical significance of ARGs linked to microplastics, and underscores the need for interdisciplinary surveillance and action. It identifies policy gaps and proposes integrated approaches to mitigate risks at the intersection of plastic pollution and antibiotic resistance within a one health paradigm.","container-title":"Journal of Clinical and Experimental Investigations","DOI":"10.29333/jcei/17401","ISSN":"1309-6621","issue":"4","journalAbbreviation":"J CLIN EXP INVEST","language":"english","note":"publisher: Modestum","page":"em00852","source":"www.jceionline.org","title":"Microplastics as emerging reservoirs of antimicrobial resistance: Clinical relevance and environmental mechanisms","title-short":"Microplastics as emerging reservoirs of antimicrobial resistance","volume":"16","author":[{"family":"Lawal","given":"Olabisi Promise"},{"family":"Njoba","given":"Chinasa Francis"},{"family":"Olorunkosebi","given":"Mary Tomi"},{"family":"Jacob","given":"Hycent"},{"family":"Igweonu","given":"Chiamaka"},{"family":"Dilioha","given":"Jude O."},{"family":"Fagbemi","given":"Bukola Titilayo"},{"family":"Amesimenu","given":"Richard"},{"family":"Jimoh","given":"Taofeek Saka"},{"family":"Obiechi","given":"Munachiso Nelson"}],"issued":{"date-parts":[["2025",11,9]]}}}],"schema":"https://github.com/citation-style-language/schema/raw/master/csl-citation.json"} </w:instrText>
      </w:r>
      <w:r w:rsidR="0021591B">
        <w:rPr>
          <w:rFonts w:ascii="Times New Roman" w:hAnsi="Times New Roman" w:cs="Times New Roman"/>
        </w:rPr>
        <w:fldChar w:fldCharType="separate"/>
      </w:r>
      <w:r w:rsidR="00B722F4" w:rsidRPr="00B722F4">
        <w:rPr>
          <w:rFonts w:ascii="Times New Roman" w:hAnsi="Times New Roman" w:cs="Times New Roman"/>
        </w:rPr>
        <w:t>(57,58)</w:t>
      </w:r>
      <w:r w:rsidR="0021591B">
        <w:rPr>
          <w:rFonts w:ascii="Times New Roman" w:hAnsi="Times New Roman" w:cs="Times New Roman"/>
        </w:rPr>
        <w:fldChar w:fldCharType="end"/>
      </w:r>
      <w:r w:rsidRPr="00FA0C67">
        <w:rPr>
          <w:rFonts w:ascii="Times New Roman" w:hAnsi="Times New Roman" w:cs="Times New Roman"/>
        </w:rPr>
        <w:t>.</w:t>
      </w:r>
    </w:p>
    <w:p w14:paraId="617D210F"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lastRenderedPageBreak/>
        <w:t>Ultimately, effective policy and governance must reposition health as a central objective of e-waste management rather than a secondary concern. Aligning regulatory frameworks, global responsibility mechanisms, and sustainability agendas around health protection offers a pathway to more coherent and equitable circular economy transitions in LMICs.</w:t>
      </w:r>
    </w:p>
    <w:p w14:paraId="186A1C0F" w14:textId="77777777" w:rsidR="00FA0C67" w:rsidRPr="00FA0C67" w:rsidRDefault="00FA0C67" w:rsidP="00F233BD">
      <w:pPr>
        <w:jc w:val="both"/>
        <w:rPr>
          <w:rFonts w:ascii="Times New Roman" w:hAnsi="Times New Roman" w:cs="Times New Roman"/>
          <w:b/>
          <w:bCs/>
        </w:rPr>
      </w:pPr>
      <w:r w:rsidRPr="00F233BD">
        <w:rPr>
          <w:rFonts w:ascii="Times New Roman" w:hAnsi="Times New Roman" w:cs="Times New Roman"/>
          <w:b/>
          <w:bCs/>
        </w:rPr>
        <w:t>8</w:t>
      </w:r>
      <w:r w:rsidRPr="00FA0C67">
        <w:rPr>
          <w:rFonts w:ascii="Times New Roman" w:hAnsi="Times New Roman" w:cs="Times New Roman"/>
          <w:b/>
          <w:bCs/>
        </w:rPr>
        <w:t>. Future Directions: Toward Health-Centered Circular E-Waste Systems</w:t>
      </w:r>
    </w:p>
    <w:p w14:paraId="39C33C99"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Advancing health-protective circular economy approaches for e-waste in LMICs requires a forward-looking agenda that integrates research, measurement, and innovation. Existing evidence has established the presence of environmental contamination and associated health risks, but significant gaps remain in understanding long-term impacts, intervention effectiveness, and system-level trade-offs. Addressing these gaps is essential for translating circular economy principles into measurable health gains.</w:t>
      </w:r>
    </w:p>
    <w:p w14:paraId="11F8888F"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From a research perspective, there is a pressing need for longitudinal and systems-oriented studies that move beyond cross-sectional assessments of exposure. Life-course approaches can illuminate how cumulative e-waste exposures interact with social and biological vulnerabilities to shape chronic disease risk. Integrated environmental–health surveillance systems, combining biomonitoring with environmental sampling and health outcomes data, would enable more robust causal inference and support evaluation of policy and technological interventions. Importantly, research agendas should prioritize populations most affected by e-waste, including informal workers, women, and children, who remain underrepresented in current datasets.</w:t>
      </w:r>
    </w:p>
    <w:p w14:paraId="069B9AAA"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Measurement frameworks also require reorientation. Circular economy performance is typically assessed using material-centric indicators such as recycling rates, recovery efficiency, or economic value retention. While important, these metrics fail to capture health outcomes, exposure reduction, or equity impacts. Developing health-centered circularity indicators—such as reductions in ambient contamination, occupational exposure levels, or environmentally mediated disease burden</w:t>
      </w:r>
      <w:r w:rsidR="0021591B">
        <w:rPr>
          <w:rFonts w:ascii="Times New Roman" w:hAnsi="Times New Roman" w:cs="Times New Roman"/>
        </w:rPr>
        <w:t xml:space="preserve"> </w:t>
      </w:r>
      <w:r w:rsidRPr="00FA0C67">
        <w:rPr>
          <w:rFonts w:ascii="Times New Roman" w:hAnsi="Times New Roman" w:cs="Times New Roman"/>
        </w:rPr>
        <w:t>would align evaluation with public health objectives. Equity-sensitive metrics that account for the distribution of risks and benefits across populations are particularly critical in LMIC contexts, where circular transitions can either mitigate or exacerbate existing inequalities.</w:t>
      </w:r>
    </w:p>
    <w:p w14:paraId="1A890E87"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Innovation pathways must similarly reflect contextual realities. LMIC-led innovation, grounded in local knowledge and economic conditions, offers opportunities to develop low-cost, scalable solutions that improve safety without undermining livelihoods. Such innovation extends beyond technology to include institutional arrangements, financing models, and participatory governance mechanisms. Supporting South–South knowledge exchange and strengthening local research and manufacturing capacity can reduce dependence on externally imposed solutions that may be poorly adapted to local systems.</w:t>
      </w:r>
    </w:p>
    <w:p w14:paraId="16FF0F50"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 xml:space="preserve">Finally, future progress depends on reframing circular e-waste transitions as preventive public health strategies. This requires sustained collaboration between environmental scientists, public health researchers, policymakers, and affected communities. When health protection is embedded </w:t>
      </w:r>
      <w:r w:rsidRPr="00FA0C67">
        <w:rPr>
          <w:rFonts w:ascii="Times New Roman" w:hAnsi="Times New Roman" w:cs="Times New Roman"/>
        </w:rPr>
        <w:lastRenderedPageBreak/>
        <w:t>as a design criterion rather than an afterthought, circular economy initiatives can deliver co-benefits that extend beyond waste management to encompass social inclusion, resilience, and sustainable development.</w:t>
      </w:r>
    </w:p>
    <w:p w14:paraId="51FB215D" w14:textId="77777777" w:rsidR="00FA0C67" w:rsidRPr="00FA0C67" w:rsidRDefault="00FA0C67" w:rsidP="00F233BD">
      <w:pPr>
        <w:jc w:val="both"/>
        <w:rPr>
          <w:rFonts w:ascii="Times New Roman" w:hAnsi="Times New Roman" w:cs="Times New Roman"/>
        </w:rPr>
      </w:pPr>
      <w:r w:rsidRPr="00FA0C67">
        <w:rPr>
          <w:rFonts w:ascii="Times New Roman" w:hAnsi="Times New Roman" w:cs="Times New Roman"/>
        </w:rPr>
        <w:t>Together, these future directions underscore that closing the e-waste loop in LMICs is not a finite technical challenge but an ongoing socio-technical transition—one that demands integrated knowledge, adaptive governance, and a sustained commitment to health equity.</w:t>
      </w:r>
    </w:p>
    <w:p w14:paraId="2A3BDA8F" w14:textId="77777777" w:rsidR="00AF4307" w:rsidRPr="00AF4307" w:rsidRDefault="00AF4307" w:rsidP="00F233BD">
      <w:pPr>
        <w:jc w:val="both"/>
        <w:rPr>
          <w:rFonts w:ascii="Times New Roman" w:hAnsi="Times New Roman" w:cs="Times New Roman"/>
          <w:b/>
          <w:bCs/>
        </w:rPr>
      </w:pPr>
      <w:r w:rsidRPr="00F233BD">
        <w:rPr>
          <w:rFonts w:ascii="Times New Roman" w:hAnsi="Times New Roman" w:cs="Times New Roman"/>
          <w:b/>
          <w:bCs/>
        </w:rPr>
        <w:t xml:space="preserve">9. </w:t>
      </w:r>
      <w:r w:rsidRPr="00AF4307">
        <w:rPr>
          <w:rFonts w:ascii="Times New Roman" w:hAnsi="Times New Roman" w:cs="Times New Roman"/>
          <w:b/>
          <w:bCs/>
        </w:rPr>
        <w:t xml:space="preserve"> Conclusion</w:t>
      </w:r>
    </w:p>
    <w:p w14:paraId="553C5765" w14:textId="77777777" w:rsidR="00AF4307" w:rsidRPr="00AF4307" w:rsidRDefault="00AF4307" w:rsidP="00F233BD">
      <w:pPr>
        <w:jc w:val="both"/>
        <w:rPr>
          <w:rFonts w:ascii="Times New Roman" w:hAnsi="Times New Roman" w:cs="Times New Roman"/>
        </w:rPr>
      </w:pPr>
      <w:r w:rsidRPr="00AF4307">
        <w:rPr>
          <w:rFonts w:ascii="Times New Roman" w:hAnsi="Times New Roman" w:cs="Times New Roman"/>
        </w:rPr>
        <w:t>The global e-waste crisis represents a convergence of environmental degradation, public health risk, and structural inequity, with low- and middle-income countries (LMICs) bearing a disproportionate share of its burdens. This review has demonstrated that e-waste-related harms are not accidental by-products of technological progress, but predictable outcomes of linear production systems, asymmetrical global trade, and governance frameworks that externalize health and environmental costs. Informal processing practices, while economically indispensable, create persistent exposure pathways that contaminate ecosystems, disrupt food systems, and undermine population health across generations.</w:t>
      </w:r>
    </w:p>
    <w:p w14:paraId="06F1A76B" w14:textId="77777777" w:rsidR="00AF4307" w:rsidRPr="00AF4307" w:rsidRDefault="00AF4307" w:rsidP="00F233BD">
      <w:pPr>
        <w:jc w:val="both"/>
        <w:rPr>
          <w:rFonts w:ascii="Times New Roman" w:hAnsi="Times New Roman" w:cs="Times New Roman"/>
        </w:rPr>
      </w:pPr>
      <w:r w:rsidRPr="00AF4307">
        <w:rPr>
          <w:rFonts w:ascii="Times New Roman" w:hAnsi="Times New Roman" w:cs="Times New Roman"/>
        </w:rPr>
        <w:t>By advancing a health-embedded circular economy framework, this article reframes e-waste management as a preventive public health intervention rather than a narrow waste-handling challenge. Integrating circular design, inclusive formalization, and health-centered governance can interrupt exposure pathways at multiple points along the e-waste lifecycle, reducing toxic releases while sustaining livelihoods. Importantly, circular economy interventions that focus solely on material recovery risk reproducing existing inequities unless health protection and social inclusion are treated as core performance criteria.</w:t>
      </w:r>
    </w:p>
    <w:p w14:paraId="7FB072A8" w14:textId="77777777" w:rsidR="00AF4307" w:rsidRPr="00AF4307" w:rsidRDefault="00AF4307" w:rsidP="00F233BD">
      <w:pPr>
        <w:jc w:val="both"/>
        <w:rPr>
          <w:rFonts w:ascii="Times New Roman" w:hAnsi="Times New Roman" w:cs="Times New Roman"/>
        </w:rPr>
      </w:pPr>
      <w:r w:rsidRPr="00AF4307">
        <w:rPr>
          <w:rFonts w:ascii="Times New Roman" w:hAnsi="Times New Roman" w:cs="Times New Roman"/>
        </w:rPr>
        <w:t>The analysis further underscores that responsibility for e-waste harms extends beyond LMIC borders. High-income countries, manufacturers, and global supply chains shape the material composition, durability, and downstream hazards of electronic products. Aligning international trade rules, producer responsibility mechanisms, and sustainability agendas with public health objectives is therefore essential for achieving equitable and effective circular transitions. Framing e-waste within planetary health and the Sustainable Development Goals highlights its relevance to global commitments on health, decent work, and responsible consumption.</w:t>
      </w:r>
    </w:p>
    <w:p w14:paraId="2F2B9F7A" w14:textId="77777777" w:rsidR="00AF4307" w:rsidRDefault="00AF4307" w:rsidP="00F233BD">
      <w:pPr>
        <w:jc w:val="both"/>
        <w:rPr>
          <w:rFonts w:ascii="Times New Roman" w:hAnsi="Times New Roman" w:cs="Times New Roman"/>
        </w:rPr>
      </w:pPr>
      <w:r w:rsidRPr="00AF4307">
        <w:rPr>
          <w:rFonts w:ascii="Times New Roman" w:hAnsi="Times New Roman" w:cs="Times New Roman"/>
        </w:rPr>
        <w:t>Ultimately, closing the e-waste loop in LMICs demands more than technical solutions or regulatory compliance. It requires a systemic reorientation that places human health and equity at the center of circular economy practice. When designed and governed with these priorities in mind, circular e-waste systems can transform a growing environmental liability into an opportunity for inclusive development, healthier communities, and more just global production systems.</w:t>
      </w:r>
    </w:p>
    <w:p w14:paraId="3791DC52" w14:textId="77777777" w:rsidR="00F06A29" w:rsidRDefault="00F06A29" w:rsidP="00F233BD">
      <w:pPr>
        <w:jc w:val="both"/>
        <w:rPr>
          <w:rFonts w:ascii="Times New Roman" w:hAnsi="Times New Roman" w:cs="Times New Roman"/>
        </w:rPr>
      </w:pPr>
    </w:p>
    <w:p w14:paraId="71BDF6D3" w14:textId="77777777" w:rsidR="00F06A29" w:rsidRDefault="00F06A29" w:rsidP="00F233BD">
      <w:pPr>
        <w:jc w:val="both"/>
        <w:rPr>
          <w:rFonts w:ascii="Times New Roman" w:hAnsi="Times New Roman" w:cs="Times New Roman"/>
        </w:rPr>
      </w:pPr>
    </w:p>
    <w:p w14:paraId="1FB2EFF8" w14:textId="77777777" w:rsidR="00F06A29" w:rsidRPr="00F06A29" w:rsidRDefault="00F06A29" w:rsidP="00F233BD">
      <w:pPr>
        <w:jc w:val="both"/>
        <w:rPr>
          <w:rFonts w:ascii="Times New Roman" w:hAnsi="Times New Roman" w:cs="Times New Roman"/>
          <w:b/>
          <w:bCs/>
        </w:rPr>
      </w:pPr>
      <w:r w:rsidRPr="00F06A29">
        <w:rPr>
          <w:rFonts w:ascii="Times New Roman" w:hAnsi="Times New Roman" w:cs="Times New Roman"/>
          <w:b/>
          <w:bCs/>
        </w:rPr>
        <w:lastRenderedPageBreak/>
        <w:t>REFRENCES</w:t>
      </w:r>
    </w:p>
    <w:p w14:paraId="2EACC58D" w14:textId="77777777" w:rsidR="00B722F4" w:rsidRDefault="00F06A29" w:rsidP="00B722F4">
      <w:pPr>
        <w:pStyle w:val="Bibliography"/>
      </w:pPr>
      <w:r>
        <w:fldChar w:fldCharType="begin"/>
      </w:r>
      <w:r>
        <w:instrText xml:space="preserve"> ADDIN ZOTERO_BIBL {"uncited":[],"omitted":[],"custom":[]} CSL_BIBLIOGRAPHY </w:instrText>
      </w:r>
      <w:r>
        <w:fldChar w:fldCharType="separate"/>
      </w:r>
      <w:r w:rsidR="00B722F4">
        <w:t>1.</w:t>
      </w:r>
      <w:r w:rsidR="00B722F4">
        <w:tab/>
        <w:t>Quinto S, Law N, Fletcher C, Le J, Jose SA, Menezes PL. Exploring the E-Waste Crisis: Strategies for Sustainable Recycling and Circular Economy Integration. Recycling [Internet]. 2025 Apr 13 [cited 2026 Feb 16];10(2). Available from: https://www.mdpi.com/2313-4321/10/2/72</w:t>
      </w:r>
    </w:p>
    <w:p w14:paraId="35237E80" w14:textId="77777777" w:rsidR="00B722F4" w:rsidRDefault="00B722F4" w:rsidP="00B722F4">
      <w:pPr>
        <w:pStyle w:val="Bibliography"/>
      </w:pPr>
      <w:r>
        <w:t>2.</w:t>
      </w:r>
      <w:r>
        <w:tab/>
        <w:t>Electronic waste (e-waste) [Internet]. [cited 2026 Feb 16]. Available from: https://www.who.int/news-room/fact-sheets/detail/electronic-waste-(e-waste)</w:t>
      </w:r>
    </w:p>
    <w:p w14:paraId="2DB8CAE5" w14:textId="77777777" w:rsidR="00B722F4" w:rsidRDefault="00B722F4" w:rsidP="00B722F4">
      <w:pPr>
        <w:pStyle w:val="Bibliography"/>
      </w:pPr>
      <w:r>
        <w:t>3.</w:t>
      </w:r>
      <w:r>
        <w:tab/>
        <w:t xml:space="preserve">Seif R, Salem FZ, Allam NK. E-waste recycled materials as efficient catalysts for renewable energy technologies and better environmental sustainability. Environ Dev Sustain. 2023 Jan 18;1–36. </w:t>
      </w:r>
    </w:p>
    <w:p w14:paraId="254C773A" w14:textId="77777777" w:rsidR="00B722F4" w:rsidRDefault="00B722F4" w:rsidP="00B722F4">
      <w:pPr>
        <w:pStyle w:val="Bibliography"/>
      </w:pPr>
      <w:r>
        <w:t>4.</w:t>
      </w:r>
      <w:r>
        <w:tab/>
        <w:t>Andeobu L, Wibowo S, Grandhi S. Environmental and Health Consequences of E-Waste Dumping and Recycling Carried out by Selected Countries in Asia and Latin America. Sustainability [Internet]. 2023 Jun 30 [cited 2026 Feb 16];15(13). Available from: https://www.mdpi.com/2071-1050/15/13/10405</w:t>
      </w:r>
    </w:p>
    <w:p w14:paraId="0186C337" w14:textId="77777777" w:rsidR="00B722F4" w:rsidRDefault="00B722F4" w:rsidP="00B722F4">
      <w:pPr>
        <w:pStyle w:val="Bibliography"/>
      </w:pPr>
      <w:r>
        <w:t>5.</w:t>
      </w:r>
      <w:r>
        <w:tab/>
        <w:t xml:space="preserve">Quintero Santofimio V, Amaral AFS, Feary J. Occupational exposures in low- and middle-income countries: A scoping review. PLOS Glob Public Health. 2024 Nov 15;4(11):e0003888. </w:t>
      </w:r>
    </w:p>
    <w:p w14:paraId="29FBD1F9" w14:textId="77777777" w:rsidR="00B722F4" w:rsidRDefault="00B722F4" w:rsidP="00B722F4">
      <w:pPr>
        <w:pStyle w:val="Bibliography"/>
      </w:pPr>
      <w:r>
        <w:t>6.</w:t>
      </w:r>
      <w:r>
        <w:tab/>
        <w:t xml:space="preserve">Parvez SM, Jahan F, Brune MN, Gorman JF, Rahman MJ, Carpenter D, et al. Health consequences of exposure to e-waste: an updated systematic review. Lancet Planet Health. 2021 Dec 8;5(12):e905–20. </w:t>
      </w:r>
    </w:p>
    <w:p w14:paraId="3CB311C1" w14:textId="77777777" w:rsidR="00B722F4" w:rsidRDefault="00B722F4" w:rsidP="00B722F4">
      <w:pPr>
        <w:pStyle w:val="Bibliography"/>
      </w:pPr>
      <w:r>
        <w:t>7.</w:t>
      </w:r>
      <w:r>
        <w:tab/>
        <w:t>E-waste and Child Health [Internet]. [cited 2026 Feb 16]. Available from: https://www.who.int/news-room/facts-in-pictures/detail/e-waste-and-child-health</w:t>
      </w:r>
    </w:p>
    <w:p w14:paraId="3CBCE55A" w14:textId="77777777" w:rsidR="00B722F4" w:rsidRDefault="00B722F4" w:rsidP="00B722F4">
      <w:pPr>
        <w:pStyle w:val="Bibliography"/>
      </w:pPr>
      <w:r>
        <w:t>8.</w:t>
      </w:r>
      <w:r>
        <w:tab/>
        <w:t>Odeyingbo OA, Deubzer OK, Ogunmokun OA. Assessment of the Impact of the Revised National E-Waste Framework on the Informal E-Waste Sector of Nigeria. Recycling [Internet]. 2025 Jun 11 [cited 2026 Feb 16];10(3). Available from: https://www.mdpi.com/2313-4321/10/3/117</w:t>
      </w:r>
    </w:p>
    <w:p w14:paraId="35B793C0" w14:textId="77777777" w:rsidR="00B722F4" w:rsidRDefault="00B722F4" w:rsidP="00B722F4">
      <w:pPr>
        <w:pStyle w:val="Bibliography"/>
      </w:pPr>
      <w:r>
        <w:t>9.</w:t>
      </w:r>
      <w:r>
        <w:tab/>
        <w:t xml:space="preserve">Bezawada V, Yedelli A. Integrating Circular Economy Principles In Waste-To- Energy Systems: Challenges And Opportunities For Sustainable Development. Energy Systems. </w:t>
      </w:r>
    </w:p>
    <w:p w14:paraId="5EABEF5C" w14:textId="77777777" w:rsidR="00B722F4" w:rsidRDefault="00B722F4" w:rsidP="00B722F4">
      <w:pPr>
        <w:pStyle w:val="Bibliography"/>
      </w:pPr>
      <w:r>
        <w:t>10.</w:t>
      </w:r>
      <w:r>
        <w:tab/>
        <w:t xml:space="preserve">Adom RK, Simatele MD. Electronic waste and environmental sustainability in Ghana: Aligning national policies with the sustainable development goals. Geo: Geography and Environment. 2025 Jul 1;12(2):e70032. </w:t>
      </w:r>
    </w:p>
    <w:p w14:paraId="050A889F" w14:textId="77777777" w:rsidR="00B722F4" w:rsidRDefault="00B722F4" w:rsidP="00B722F4">
      <w:pPr>
        <w:pStyle w:val="Bibliography"/>
      </w:pPr>
      <w:r>
        <w:t>11.</w:t>
      </w:r>
      <w:r>
        <w:tab/>
        <w:t xml:space="preserve">Ouro-Salim O. Urban mining of e-waste management globally: Literature review. Cleaner Waste Systems. 2024 Dec 1;9:100162. </w:t>
      </w:r>
    </w:p>
    <w:p w14:paraId="0027FA55" w14:textId="77777777" w:rsidR="00B722F4" w:rsidRDefault="00B722F4" w:rsidP="00B722F4">
      <w:pPr>
        <w:pStyle w:val="Bibliography"/>
      </w:pPr>
      <w:r>
        <w:lastRenderedPageBreak/>
        <w:t>12.</w:t>
      </w:r>
      <w:r>
        <w:tab/>
        <w:t>Ali S, Shirazi F. The Paradigm of Circular Economy and an Effective Electronic Waste Management. Sustainability [Internet]. 2023 Jan 19 [cited 2026 Feb 16];15(3). Available from: https://www.mdpi.com/2071-1050/15/3/1998</w:t>
      </w:r>
    </w:p>
    <w:p w14:paraId="18BB35B2" w14:textId="77777777" w:rsidR="00B722F4" w:rsidRDefault="00B722F4" w:rsidP="00B722F4">
      <w:pPr>
        <w:pStyle w:val="Bibliography"/>
      </w:pPr>
      <w:r>
        <w:t>13.</w:t>
      </w:r>
      <w:r>
        <w:tab/>
        <w:t>Abalansa S, Mahrad BE, Icely J, Newton A. Electronic Waste, an Environmental Problem Exported to Developing Countries: The GOOD, the BAD and the UGLY. Sustainability [Internet]. 2021 May 9 [cited 2026 Feb 16];13(9). Available from: https://www.mdpi.com/2071-1050/13/9/5302</w:t>
      </w:r>
    </w:p>
    <w:p w14:paraId="6107A496" w14:textId="77777777" w:rsidR="00B722F4" w:rsidRDefault="00B722F4" w:rsidP="00B722F4">
      <w:pPr>
        <w:pStyle w:val="Bibliography"/>
      </w:pPr>
      <w:r>
        <w:t>14.</w:t>
      </w:r>
      <w:r>
        <w:tab/>
        <w:t>Zoka M, Vide RK. Circular Economy Implementation in the Electric and Electronic Equipment Industry: Challenges and Opportunities. Sustainability [Internet]. 2025 Aug 25 [cited 2026 Feb 16];17(17). Available from: https://www.mdpi.com/2071-1050/17/17/7700</w:t>
      </w:r>
    </w:p>
    <w:p w14:paraId="7D41FC2A" w14:textId="77777777" w:rsidR="00B722F4" w:rsidRDefault="00B722F4" w:rsidP="00B722F4">
      <w:pPr>
        <w:pStyle w:val="Bibliography"/>
      </w:pPr>
      <w:r>
        <w:t>15.</w:t>
      </w:r>
      <w:r>
        <w:tab/>
        <w:t xml:space="preserve">Atofarati EO, Adogbeji VO, Enweremadu CC. Sustainable smart waste management solutions for rapidly urbanizing African Cities. Utilities Policy. 2025 Aug 1;95:101961. </w:t>
      </w:r>
    </w:p>
    <w:p w14:paraId="6773DC54" w14:textId="77777777" w:rsidR="00B722F4" w:rsidRDefault="00B722F4" w:rsidP="00B722F4">
      <w:pPr>
        <w:pStyle w:val="Bibliography"/>
      </w:pPr>
      <w:r>
        <w:t>16.</w:t>
      </w:r>
      <w:r>
        <w:tab/>
        <w:t>Kudhal K, Barrinuevo KP, Saflor CS, Bernardo EL. A Circular Economy Approach to Developing an Efficient E-Waste Recycling Framework for Informal Recyclers in Urban Philippines. Sustainability [Internet]. 2026 Feb 13 [cited 2026 Feb 16];18(4). Available from: https://www.mdpi.com/2071-1050/18/4/1968</w:t>
      </w:r>
    </w:p>
    <w:p w14:paraId="62D87322" w14:textId="77777777" w:rsidR="00B722F4" w:rsidRDefault="00B722F4" w:rsidP="00B722F4">
      <w:pPr>
        <w:pStyle w:val="Bibliography"/>
      </w:pPr>
      <w:r>
        <w:t>17.</w:t>
      </w:r>
      <w:r>
        <w:tab/>
        <w:t xml:space="preserve">Mwalugeni BR. Assessment of e-waste composition and the threats it poses to human health and the environment: Empirical literature review. 2026; </w:t>
      </w:r>
    </w:p>
    <w:p w14:paraId="24C5B96B" w14:textId="77777777" w:rsidR="00B722F4" w:rsidRDefault="00B722F4" w:rsidP="00B722F4">
      <w:pPr>
        <w:pStyle w:val="Bibliography"/>
      </w:pPr>
      <w:r>
        <w:t>18.</w:t>
      </w:r>
      <w:r>
        <w:tab/>
        <w:t xml:space="preserve">Desye B, Tesfaye AH, Berihun G, Ademas A, Sewunet B. A systematic review of the health effects of lead exposure from electronic waste in children. Front Public Health. 2023 Apr 12;11:1113561. </w:t>
      </w:r>
    </w:p>
    <w:p w14:paraId="5066FE15" w14:textId="77777777" w:rsidR="00B722F4" w:rsidRDefault="00B722F4" w:rsidP="00B722F4">
      <w:pPr>
        <w:pStyle w:val="Bibliography"/>
      </w:pPr>
      <w:r>
        <w:t>19.</w:t>
      </w:r>
      <w:r>
        <w:tab/>
        <w:t xml:space="preserve">Abogunrin-Olafisoye OB, Adeyi O. Environmental and health impacts of unsustainable waste electrical and electronic equipment recycling practices in Nigeria’s informal sector. Discov Chem. 2025 Jan 15;2(1):4. </w:t>
      </w:r>
    </w:p>
    <w:p w14:paraId="1A2E5F05" w14:textId="77777777" w:rsidR="00B722F4" w:rsidRDefault="00B722F4" w:rsidP="00B722F4">
      <w:pPr>
        <w:pStyle w:val="Bibliography"/>
      </w:pPr>
      <w:r>
        <w:t>20.</w:t>
      </w:r>
      <w:r>
        <w:tab/>
        <w:t>Bouida L, Rafatullah M, Kerrouche A, Qutob M, Alosaimi AM, Alorfi HS, et al. A Review on Cadmium and Lead Contamination: Sources, Fate, Mechanism, Health Effects and Remediation Methods. Water [Internet]. 2022 Oct 27 [cited 2026 Feb 16];14(21). Available from: https://www.mdpi.com/2073-4441/14/21/3432</w:t>
      </w:r>
    </w:p>
    <w:p w14:paraId="0000122B" w14:textId="77777777" w:rsidR="00B722F4" w:rsidRDefault="00B722F4" w:rsidP="00B722F4">
      <w:pPr>
        <w:pStyle w:val="Bibliography"/>
      </w:pPr>
      <w:r>
        <w:t>21.</w:t>
      </w:r>
      <w:r>
        <w:tab/>
        <w:t xml:space="preserve">Adnan M, Xiao B, Xiao P, Zhao P, Li R, Bibi S. Research Progress on Heavy Metals Pollution in the Soil of Smelting Sites in China. Toxics. 2022 Apr 30;10(5):231. </w:t>
      </w:r>
    </w:p>
    <w:p w14:paraId="1DC5BCD0" w14:textId="77777777" w:rsidR="00B722F4" w:rsidRDefault="00B722F4" w:rsidP="00B722F4">
      <w:pPr>
        <w:pStyle w:val="Bibliography"/>
      </w:pPr>
      <w:r>
        <w:t>22.</w:t>
      </w:r>
      <w:r>
        <w:tab/>
        <w:t xml:space="preserve">Bashir I, Lone FA, Bhat RA, Mir SA, Dar ZA, Dar SA. Concerns and Threats of Contamination on Aquatic Ecosystems. Bioremediation and Biotechnology. 2020 Jan 27;1–26. </w:t>
      </w:r>
    </w:p>
    <w:p w14:paraId="45E92C17" w14:textId="77777777" w:rsidR="00B722F4" w:rsidRDefault="00B722F4" w:rsidP="00B722F4">
      <w:pPr>
        <w:pStyle w:val="Bibliography"/>
      </w:pPr>
      <w:r>
        <w:t>23.</w:t>
      </w:r>
      <w:r>
        <w:tab/>
        <w:t xml:space="preserve">Environmental problems of emerging toxic metals and treatment technology and methods. RSC Advances. 2024 Nov 19;14(50):37299–310. </w:t>
      </w:r>
    </w:p>
    <w:p w14:paraId="1D4D3C49" w14:textId="77777777" w:rsidR="00B722F4" w:rsidRDefault="00B722F4" w:rsidP="00B722F4">
      <w:pPr>
        <w:pStyle w:val="Bibliography"/>
      </w:pPr>
      <w:r>
        <w:lastRenderedPageBreak/>
        <w:t>24.</w:t>
      </w:r>
      <w:r>
        <w:tab/>
        <w:t xml:space="preserve">Kwarteng L, Devasurendra AM, Laskaris Z, Arko-Mensah J, Amoabeng Nti AA, Takyi S, et al. Occupational exposures to particulate matter and PM2.5-associated polycyclic aromatic hydrocarbons at the Agbogbloshie waste recycling site in Ghana. Environment International. 2022 Jan 1;158:106971. </w:t>
      </w:r>
    </w:p>
    <w:p w14:paraId="370E6C66" w14:textId="77777777" w:rsidR="00B722F4" w:rsidRDefault="00B722F4" w:rsidP="00B722F4">
      <w:pPr>
        <w:pStyle w:val="Bibliography"/>
      </w:pPr>
      <w:r>
        <w:t>25.</w:t>
      </w:r>
      <w:r>
        <w:tab/>
        <w:t>Rehman Q, Rehman K, Akash MSH. Heavy Metals and Neurological Disorders: From Exposure to Preventive Interventions. In: Akash MSH, Rehman K, editors. Environmental Contaminants and Neurological Disorders [Internet]. Cham: Springer International Publishing; 2021 [cited 2026 Feb 16]. p. 69–87. Available from: https://doi.org/10.1007/978-3-030-66376-6_4</w:t>
      </w:r>
    </w:p>
    <w:p w14:paraId="3F616184" w14:textId="77777777" w:rsidR="00B722F4" w:rsidRDefault="00B722F4" w:rsidP="00B722F4">
      <w:pPr>
        <w:pStyle w:val="Bibliography"/>
      </w:pPr>
      <w:r>
        <w:t>26.</w:t>
      </w:r>
      <w:r>
        <w:tab/>
        <w:t xml:space="preserve">Alabi OA, Adeoluwa YM, Huo X, Xu X, Bakare AA. Environmental contamination and public health effects of electronic waste: an overview. J Environ Health Sci Eng. 2021 Apr 21;19(1):1209–27. </w:t>
      </w:r>
    </w:p>
    <w:p w14:paraId="15E6E457" w14:textId="77777777" w:rsidR="00B722F4" w:rsidRDefault="00B722F4" w:rsidP="00B722F4">
      <w:pPr>
        <w:pStyle w:val="Bibliography"/>
      </w:pPr>
      <w:r>
        <w:t>27.</w:t>
      </w:r>
      <w:r>
        <w:tab/>
        <w:t>Soaring e-waste affects the health of millions of children, WHO warns [Internet]. [cited 2026 Feb 16]. Available from: https://www.who.int/news/item/15-06-2021-soaring-e-waste-affects-the-health-of-millions-of-children-who-warns</w:t>
      </w:r>
    </w:p>
    <w:p w14:paraId="55D299D9" w14:textId="77777777" w:rsidR="00B722F4" w:rsidRDefault="00B722F4" w:rsidP="00B722F4">
      <w:pPr>
        <w:pStyle w:val="Bibliography"/>
      </w:pPr>
      <w:r>
        <w:t>28.</w:t>
      </w:r>
      <w:r>
        <w:tab/>
        <w:t xml:space="preserve">Folorunsho S. Aging, Poverty, and Healthcare Access and Affordability in Nigeria: Implications for Policy. Public Health Chall. 2025 Sep 15;4(3):e70125. </w:t>
      </w:r>
    </w:p>
    <w:p w14:paraId="0B64F52C" w14:textId="77777777" w:rsidR="00B722F4" w:rsidRDefault="00B722F4" w:rsidP="00B722F4">
      <w:pPr>
        <w:pStyle w:val="Bibliography"/>
      </w:pPr>
      <w:r>
        <w:t>29.</w:t>
      </w:r>
      <w:r>
        <w:tab/>
        <w:t xml:space="preserve">Haile Shoddo G. Exposure, knowledge, and perceptions of hazards associated with solid waste management at the household level in jigjiga town, northeast Ethiopia. Heliyon. 2024 May 15;10(9):e29745. </w:t>
      </w:r>
    </w:p>
    <w:p w14:paraId="3B1E5C92" w14:textId="77777777" w:rsidR="00B722F4" w:rsidRDefault="00B722F4" w:rsidP="00B722F4">
      <w:pPr>
        <w:pStyle w:val="Bibliography"/>
      </w:pPr>
      <w:r>
        <w:t>30.</w:t>
      </w:r>
      <w:r>
        <w:tab/>
        <w:t>Sepadi MM, Hutton T. Health and Safety Practices as Drivers of Business Performance in Informal Street Food Economies: An Integrative Review of Global and South African Evidence. International Journal of Environmental Research and Public Health [Internet]. 2025 Aug 7 [cited 2026 Feb 16];22(8). Available from: https://www.mdpi.com/1660-4601/22/8/1239</w:t>
      </w:r>
    </w:p>
    <w:p w14:paraId="16D220BD" w14:textId="77777777" w:rsidR="00B722F4" w:rsidRDefault="00B722F4" w:rsidP="00B722F4">
      <w:pPr>
        <w:pStyle w:val="Bibliography"/>
      </w:pPr>
      <w:r>
        <w:t>31.</w:t>
      </w:r>
      <w:r>
        <w:tab/>
        <w:t xml:space="preserve">Beigzadeh Z, Golbabaei F, Omidi F, Shahtaheri SJ. Comparative analysis of dermal and inhalation exposures to antineoplastic drugs among workers in the workplaces: a systematic review. BMC Public Health. 2025 May 15;25:1800. </w:t>
      </w:r>
    </w:p>
    <w:p w14:paraId="163EA205" w14:textId="77777777" w:rsidR="00B722F4" w:rsidRDefault="00B722F4" w:rsidP="00B722F4">
      <w:pPr>
        <w:pStyle w:val="Bibliography"/>
      </w:pPr>
      <w:r>
        <w:t>32.</w:t>
      </w:r>
      <w:r>
        <w:tab/>
        <w:t xml:space="preserve">Ankit, Saha L, Kumar V, Tiwari J, Sweta, Rawat S, et al. Electronic waste and their leachates impact on human health and environment: Global ecological threat and management. Environmental Technology &amp; Innovation. 2021 Nov 1;24:102049. </w:t>
      </w:r>
    </w:p>
    <w:p w14:paraId="7BDA457F" w14:textId="77777777" w:rsidR="00B722F4" w:rsidRDefault="00B722F4" w:rsidP="00B722F4">
      <w:pPr>
        <w:pStyle w:val="Bibliography"/>
      </w:pPr>
      <w:r>
        <w:t>33.</w:t>
      </w:r>
      <w:r>
        <w:tab/>
        <w:t xml:space="preserve">Cho IG, Choi SD, Kim L, Park MK, Lee SE. Spatial distributions, sources, and ecological risks of metals in soils from the largest industrial city of Ulsan, South Korea. Environ Geochem Health. 2026;48(3):144. </w:t>
      </w:r>
    </w:p>
    <w:p w14:paraId="7FA9155D" w14:textId="77777777" w:rsidR="00B722F4" w:rsidRDefault="00B722F4" w:rsidP="00B722F4">
      <w:pPr>
        <w:pStyle w:val="Bibliography"/>
      </w:pPr>
      <w:r>
        <w:lastRenderedPageBreak/>
        <w:t>34.</w:t>
      </w:r>
      <w:r>
        <w:tab/>
        <w:t xml:space="preserve">Khatri A, Kumar K, Meena R, Thakur IS. Persistence, toxicity, and risk assessment of toxic compounds in food: implications for food safety and public health. Explor Foods Foodomics. 2025 Aug 22;3:101097. </w:t>
      </w:r>
    </w:p>
    <w:p w14:paraId="14A59749" w14:textId="77777777" w:rsidR="00B722F4" w:rsidRDefault="00B722F4" w:rsidP="00B722F4">
      <w:pPr>
        <w:pStyle w:val="Bibliography"/>
      </w:pPr>
      <w:r>
        <w:t>35.</w:t>
      </w:r>
      <w:r>
        <w:tab/>
        <w:t>Xia W. Unraveling the Early-Life Impacts of Environmental Exposures: From Fetal Growth to Child Development. Toxics [Internet]. 2025 Oct 7 [cited 2026 Feb 16];13(10). Available from: https://www.mdpi.com/2305-6304/13/10/849</w:t>
      </w:r>
    </w:p>
    <w:p w14:paraId="2FA980CB" w14:textId="77777777" w:rsidR="00B722F4" w:rsidRDefault="00B722F4" w:rsidP="00B722F4">
      <w:pPr>
        <w:pStyle w:val="Bibliography"/>
      </w:pPr>
      <w:r>
        <w:t>36.</w:t>
      </w:r>
      <w:r>
        <w:tab/>
        <w:t xml:space="preserve">Yan M, Ge H, Zhang L, Chen X, Yang X, Liu F, et al. Long-term PM2.5 exposure in association with chronic respiratory diseases morbidity: A cohort study in Northern China. Ecotoxicology and Environmental Safety. 2022 Oct 1;244:114025. </w:t>
      </w:r>
    </w:p>
    <w:p w14:paraId="14BECB35" w14:textId="77777777" w:rsidR="00B722F4" w:rsidRDefault="00B722F4" w:rsidP="00B722F4">
      <w:pPr>
        <w:pStyle w:val="Bibliography"/>
      </w:pPr>
      <w:r>
        <w:t>37.</w:t>
      </w:r>
      <w:r>
        <w:tab/>
        <w:t xml:space="preserve">Ifeanyi-Nze FO, Omiyale CO, Okonkwo IU, Chukwu CJ, Nwankwor CM, Onabanjo AO, et al. Biodiesel Synthesis from Waste Vegetable Oil Utilizing Eggshell Ash as an Innovative Heterogenous Catalyst. Archives of Advanced Engineering Science. 2023 Nov 20;1–18. </w:t>
      </w:r>
    </w:p>
    <w:p w14:paraId="76867376" w14:textId="77777777" w:rsidR="00B722F4" w:rsidRDefault="00B722F4" w:rsidP="00B722F4">
      <w:pPr>
        <w:pStyle w:val="Bibliography"/>
      </w:pPr>
      <w:r>
        <w:t>38.</w:t>
      </w:r>
      <w:r>
        <w:tab/>
        <w:t xml:space="preserve">Ssebugere P, Miiro A, Matovu H, Odongo S, Kato CD, Babirye PM, et al. Electronic wastes in sub-Saharan Africa: A critical review of environmental and health impacts, regulatory responses, and future perspectives. Journal of Hazardous Materials Advances. 2025 Nov 1;20:100873. </w:t>
      </w:r>
    </w:p>
    <w:p w14:paraId="1F087373" w14:textId="77777777" w:rsidR="00B722F4" w:rsidRDefault="00B722F4" w:rsidP="00B722F4">
      <w:pPr>
        <w:pStyle w:val="Bibliography"/>
      </w:pPr>
      <w:r>
        <w:t>39.</w:t>
      </w:r>
      <w:r>
        <w:tab/>
        <w:t xml:space="preserve">Torm N, Oehme M. Social protection and formalization in low- and middle-income countries: A scoping review of the literature. World Development. 2024 Sep 1;181:106662. </w:t>
      </w:r>
    </w:p>
    <w:p w14:paraId="2241C6BD" w14:textId="77777777" w:rsidR="00B722F4" w:rsidRDefault="00B722F4" w:rsidP="00B722F4">
      <w:pPr>
        <w:pStyle w:val="Bibliography"/>
      </w:pPr>
      <w:r>
        <w:t>40.</w:t>
      </w:r>
      <w:r>
        <w:tab/>
        <w:t xml:space="preserve">Aparcana S. Approaches to formalization of the informal waste sector into municipal solid waste management systems in low- and middle-income countries: Review of barriers and success factors. Waste Management. 2017 Mar 1;61:593–607. </w:t>
      </w:r>
    </w:p>
    <w:p w14:paraId="507210D5" w14:textId="77777777" w:rsidR="00B722F4" w:rsidRDefault="00B722F4" w:rsidP="00B722F4">
      <w:pPr>
        <w:pStyle w:val="Bibliography"/>
      </w:pPr>
      <w:r>
        <w:t>41.</w:t>
      </w:r>
      <w:r>
        <w:tab/>
        <w:t xml:space="preserve">Simpson M, Oduro-Appiah K, Gunsilius E, Dias SM, Scheinberg A. Shifting perceptions of informal operators in the service and value chains: A retrospective of 40 years of observation and advocacy for informal recyclers and waste service providers, through the eyes of five global participant-researchers. Waste Manag Res. 2025 Jun;43(6):850–96. </w:t>
      </w:r>
    </w:p>
    <w:p w14:paraId="42FCA2DB" w14:textId="77777777" w:rsidR="00B722F4" w:rsidRDefault="00B722F4" w:rsidP="00B722F4">
      <w:pPr>
        <w:pStyle w:val="Bibliography"/>
      </w:pPr>
      <w:r>
        <w:t>42.</w:t>
      </w:r>
      <w:r>
        <w:tab/>
        <w:t xml:space="preserve">Hassan OM. Integrated digital, biological, and human capital innovations for circular and sustainable waste management: a critical review. Discov Appl Sci. 2025 Oct 28;7(11):1289. </w:t>
      </w:r>
    </w:p>
    <w:p w14:paraId="71007F7A" w14:textId="77777777" w:rsidR="00B722F4" w:rsidRDefault="00B722F4" w:rsidP="00B722F4">
      <w:pPr>
        <w:pStyle w:val="Bibliography"/>
      </w:pPr>
      <w:r>
        <w:t>43.</w:t>
      </w:r>
      <w:r>
        <w:tab/>
        <w:t>Thapa K, Vermeulen WJV, Deutz P, Olayide O. Ultimate producer responsibility for e‐waste management–A proposal for just transition in the circular economy based on the case of used European electronic equipment exported to Nigeria. [cited 2026 Feb 16]; Available from: https://onlinelibrary.wiley.com/doi/10.1002/bsd2.222</w:t>
      </w:r>
    </w:p>
    <w:p w14:paraId="3B2755F2" w14:textId="77777777" w:rsidR="00B722F4" w:rsidRDefault="00B722F4" w:rsidP="00B722F4">
      <w:pPr>
        <w:pStyle w:val="Bibliography"/>
      </w:pPr>
      <w:r>
        <w:t>44.</w:t>
      </w:r>
      <w:r>
        <w:tab/>
        <w:t>Investigation of Efforts and Problems in Implementing the Basel Convention on the Control of Transboundary Movements of Wastes and Their Disposal in Nigeria | Asian Journal of Geographical Research. [cited 2026 Feb 16]; Available from: https://journalajgr.com/index.php/AJGR/article/view/216</w:t>
      </w:r>
    </w:p>
    <w:p w14:paraId="6F18EAAB" w14:textId="77777777" w:rsidR="00B722F4" w:rsidRDefault="00B722F4" w:rsidP="00B722F4">
      <w:pPr>
        <w:pStyle w:val="Bibliography"/>
      </w:pPr>
      <w:r>
        <w:lastRenderedPageBreak/>
        <w:t>45.</w:t>
      </w:r>
      <w:r>
        <w:tab/>
        <w:t xml:space="preserve">Tajudeen KA, Ifeanyi-Nze FO, Chukwu JO, Adeleke OJ, Chimezie NN, Ihezie CM, et al. Valorization of Orange Peel-Derived Adsorbents for Sustainable Removal of Methylene Blue from Textile Industry Wastewater: A Promising Approach to Mitigate Water Pollution and Environmental Litter. Archives of Advanced Engineering Science. 2024 Mar 22;1–9. </w:t>
      </w:r>
    </w:p>
    <w:p w14:paraId="29EFA672" w14:textId="77777777" w:rsidR="00B722F4" w:rsidRDefault="00B722F4" w:rsidP="00B722F4">
      <w:pPr>
        <w:pStyle w:val="Bibliography"/>
      </w:pPr>
      <w:r>
        <w:t>46.</w:t>
      </w:r>
      <w:r>
        <w:tab/>
        <w:t xml:space="preserve">Benachio GLF, Freitas M do CD, Tavares SF. Circular economy in the construction industry: A systematic literature review. Journal of Cleaner Production. 2020 Jul 1;260:121046. </w:t>
      </w:r>
    </w:p>
    <w:p w14:paraId="69D134DC" w14:textId="77777777" w:rsidR="00B722F4" w:rsidRDefault="00B722F4" w:rsidP="00B722F4">
      <w:pPr>
        <w:pStyle w:val="Bibliography"/>
      </w:pPr>
      <w:r>
        <w:t>47.</w:t>
      </w:r>
      <w:r>
        <w:tab/>
        <w:t>Morshedi M, Hargaden V, Papakostas N, Ghadimi P. The Adoption of Digital Technologies in Circular Supply Chains: From Theoretical Developments to Practical Applications. Logistics [Internet]. 2026 Jan 11 [cited 2026 Feb 16];10(1). Available from: https://www.mdpi.com/2305-6290/10/1/18</w:t>
      </w:r>
    </w:p>
    <w:p w14:paraId="19E5C6C6" w14:textId="77777777" w:rsidR="00B722F4" w:rsidRDefault="00B722F4" w:rsidP="00B722F4">
      <w:pPr>
        <w:pStyle w:val="Bibliography"/>
      </w:pPr>
      <w:r>
        <w:t>48.</w:t>
      </w:r>
      <w:r>
        <w:tab/>
        <w:t xml:space="preserve">Zisopoulos FK, Steuer B, Abussafy R, Toboso-Chavero S, Liu Z, Tong X, et al. Informal recyclers as stakeholders in a circular economy. Journal of Cleaner Production. 2023 Aug 20;415:137894. </w:t>
      </w:r>
    </w:p>
    <w:p w14:paraId="1F074E28" w14:textId="77777777" w:rsidR="00B722F4" w:rsidRDefault="00B722F4" w:rsidP="00B722F4">
      <w:pPr>
        <w:pStyle w:val="Bibliography"/>
      </w:pPr>
      <w:r>
        <w:t>49.</w:t>
      </w:r>
      <w:r>
        <w:tab/>
        <w:t xml:space="preserve">Enabulele ABO, Omo-Enabulele AP, Borokinni M, Iwerumoh AN, Olatunbosun A, Enobakha BO, et al. Agile Leadership in Hybrid Workplaces: Evolving Roles and Competencies of Project Managers. Journal of Global Economics, Management and Business Research. 2025 Sep 24;17(3):211–25. </w:t>
      </w:r>
    </w:p>
    <w:p w14:paraId="764E1F28" w14:textId="77777777" w:rsidR="00B722F4" w:rsidRDefault="00B722F4" w:rsidP="00B722F4">
      <w:pPr>
        <w:pStyle w:val="Bibliography"/>
      </w:pPr>
      <w:r>
        <w:t>50.</w:t>
      </w:r>
      <w:r>
        <w:tab/>
        <w:t xml:space="preserve">Munni MN, Karim MR, Haque M, Khan S, Khan MAS, Hossain I. Awareness, Safety Practices and Associated Factors Among E-Waste Recycling Workers in Bangladesh. Environ Health Insights. 2024 Aug 13;18:11786302241271555. </w:t>
      </w:r>
    </w:p>
    <w:p w14:paraId="2E0E3E70" w14:textId="77777777" w:rsidR="00B722F4" w:rsidRDefault="00B722F4" w:rsidP="00B722F4">
      <w:pPr>
        <w:pStyle w:val="Bibliography"/>
      </w:pPr>
      <w:r>
        <w:t>51.</w:t>
      </w:r>
      <w:r>
        <w:tab/>
        <w:t xml:space="preserve">Eelager MP, Dalbanjan NP, Madihalli S, Madar M, Agadi NP, Korganokar K, et al. Pathways to a sustainable future: Exploring the synergy between sustainability and circular economy. Sustainable Futures. 2025 Dec 1;10:101208. </w:t>
      </w:r>
    </w:p>
    <w:p w14:paraId="737E20BB" w14:textId="77777777" w:rsidR="00B722F4" w:rsidRDefault="00B722F4" w:rsidP="00B722F4">
      <w:pPr>
        <w:pStyle w:val="Bibliography"/>
      </w:pPr>
      <w:r>
        <w:t>52.</w:t>
      </w:r>
      <w:r>
        <w:tab/>
        <w:t xml:space="preserve">Shehu H, Sunday O, Ojo DA, Afolayan ON, Adebanjo TA, Eromosele EI, et al. Conceptual Framework for Smart Sensor–driven Predictive Maintenance in Infrastructure Management. Journal of Engineering Research and Reports. 2025 Aug 25;27(9):25–40. </w:t>
      </w:r>
    </w:p>
    <w:p w14:paraId="48BAA22A" w14:textId="77777777" w:rsidR="00B722F4" w:rsidRDefault="00B722F4" w:rsidP="00B722F4">
      <w:pPr>
        <w:pStyle w:val="Bibliography"/>
      </w:pPr>
      <w:r>
        <w:t>53.</w:t>
      </w:r>
      <w:r>
        <w:tab/>
        <w:t>Awasthi AK, Iacovidou E, Awasthi MK, Johnson M, Parajuly K, Zhao M, et al. Assessing Strategic Management of E-Waste in Developing Countries. Sustainability [Internet]. 2023 Apr 26 [cited 2026 Feb 16];15(9). Available from: https://www.mdpi.com/2071-1050/15/9/7263</w:t>
      </w:r>
    </w:p>
    <w:p w14:paraId="3AEC0564" w14:textId="77777777" w:rsidR="00B722F4" w:rsidRDefault="00B722F4" w:rsidP="00B722F4">
      <w:pPr>
        <w:pStyle w:val="Bibliography"/>
      </w:pPr>
      <w:r>
        <w:t>54.</w:t>
      </w:r>
      <w:r>
        <w:tab/>
        <w:t xml:space="preserve">Enabulele ABO, Eleweke CC, Okechukwu O, Akanbi OO, Majesty C. A Strategic Project Management Framework for Implementing Patient-Centered Digital Health Record Systems to Improve Chronic Disease Outcomes in the United States. Journal of Sustainable Research and Development. 2025 Nov 13;1(2):55–67. </w:t>
      </w:r>
    </w:p>
    <w:p w14:paraId="0B97A8E5" w14:textId="77777777" w:rsidR="00B722F4" w:rsidRDefault="00B722F4" w:rsidP="00B722F4">
      <w:pPr>
        <w:pStyle w:val="Bibliography"/>
      </w:pPr>
      <w:r>
        <w:lastRenderedPageBreak/>
        <w:t>55.</w:t>
      </w:r>
      <w:r>
        <w:tab/>
        <w:t xml:space="preserve">Hanson K, Brikci N, Erlangga D, Alebachew A, De Allegri M, Balabanova D, et al. The Lancet Global Health Commission on financing primary health care: putting people at the centre. Lancet Glob Health. 2022 May;10(5):e715–72. </w:t>
      </w:r>
    </w:p>
    <w:p w14:paraId="54370B51" w14:textId="77777777" w:rsidR="00B722F4" w:rsidRDefault="00B722F4" w:rsidP="00B722F4">
      <w:pPr>
        <w:pStyle w:val="Bibliography"/>
      </w:pPr>
      <w:r>
        <w:t>56.</w:t>
      </w:r>
      <w:r>
        <w:tab/>
        <w:t xml:space="preserve">Grandhi SP, Dagwar PP, Dutta D. Policy pathways to sustainable E-waste management: A global review. Journal of Hazardous Materials Advances. 2024 Nov 1;16:100473. </w:t>
      </w:r>
    </w:p>
    <w:p w14:paraId="5EBA101F" w14:textId="77777777" w:rsidR="00B722F4" w:rsidRDefault="00B722F4" w:rsidP="00B722F4">
      <w:pPr>
        <w:pStyle w:val="Bibliography"/>
      </w:pPr>
      <w:r>
        <w:t>57.</w:t>
      </w:r>
      <w:r>
        <w:tab/>
        <w:t>Bocean CG. Sustainable Development in the Digital Age: Harnessing Emerging Digital Technologies to Catalyze Global SDG Achievement. Applied Sciences [Internet]. 2025 Jan 14 [cited 2026 Feb 16];15(2). Available from: https://www.mdpi.com/2076-3417/15/2/816</w:t>
      </w:r>
    </w:p>
    <w:p w14:paraId="23094C1B" w14:textId="77777777" w:rsidR="00B722F4" w:rsidRDefault="00B722F4" w:rsidP="00B722F4">
      <w:pPr>
        <w:pStyle w:val="Bibliography"/>
      </w:pPr>
      <w:r>
        <w:t>58.</w:t>
      </w:r>
      <w:r>
        <w:tab/>
        <w:t xml:space="preserve">Lawal OP, Njoba CF, Olorunkosebi MT, Jacob H, Igweonu C, Dilioha JO, et al. Microplastics as emerging reservoirs of antimicrobial resistance: Clinical relevance and environmental mechanisms. J CLIN EXP INVEST. 2025 Nov 9;16(4):em00852. </w:t>
      </w:r>
    </w:p>
    <w:p w14:paraId="36B96F4B" w14:textId="77777777" w:rsidR="00045B89" w:rsidRPr="00F233BD" w:rsidRDefault="00F06A29" w:rsidP="00F233BD">
      <w:pPr>
        <w:jc w:val="both"/>
        <w:rPr>
          <w:rFonts w:ascii="Times New Roman" w:hAnsi="Times New Roman" w:cs="Times New Roman"/>
        </w:rPr>
      </w:pPr>
      <w:r>
        <w:rPr>
          <w:rFonts w:ascii="Times New Roman" w:hAnsi="Times New Roman" w:cs="Times New Roman"/>
        </w:rPr>
        <w:fldChar w:fldCharType="end"/>
      </w:r>
    </w:p>
    <w:sectPr w:rsidR="00045B89" w:rsidRPr="00F233BD">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7C836B" w14:textId="77777777" w:rsidR="00022CBA" w:rsidRDefault="00022CBA" w:rsidP="001C05E2">
      <w:pPr>
        <w:spacing w:after="0" w:line="240" w:lineRule="auto"/>
      </w:pPr>
      <w:r>
        <w:separator/>
      </w:r>
    </w:p>
  </w:endnote>
  <w:endnote w:type="continuationSeparator" w:id="0">
    <w:p w14:paraId="640ECD73" w14:textId="77777777" w:rsidR="00022CBA" w:rsidRDefault="00022CBA" w:rsidP="001C05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B80F5A8" w14:textId="77777777" w:rsidR="001C05E2" w:rsidRDefault="001C05E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2108EC" w14:textId="77777777" w:rsidR="001C05E2" w:rsidRDefault="001C05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7927B4" w14:textId="77777777" w:rsidR="001C05E2" w:rsidRDefault="001C05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468C4C5" w14:textId="77777777" w:rsidR="00022CBA" w:rsidRDefault="00022CBA" w:rsidP="001C05E2">
      <w:pPr>
        <w:spacing w:after="0" w:line="240" w:lineRule="auto"/>
      </w:pPr>
      <w:r>
        <w:separator/>
      </w:r>
    </w:p>
  </w:footnote>
  <w:footnote w:type="continuationSeparator" w:id="0">
    <w:p w14:paraId="59A0075B" w14:textId="77777777" w:rsidR="00022CBA" w:rsidRDefault="00022CBA" w:rsidP="001C05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A027B" w14:textId="4084CC4A" w:rsidR="001C05E2" w:rsidRDefault="001C05E2">
    <w:pPr>
      <w:pStyle w:val="Header"/>
    </w:pPr>
    <w:r>
      <w:rPr>
        <w:noProof/>
      </w:rPr>
      <w:pict w14:anchorId="5B9A10D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0" type="#_x0000_t136" style="position:absolute;margin-left:0;margin-top:0;width:555.05pt;height:104.6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BB896C" w14:textId="7A83A20B" w:rsidR="001C05E2" w:rsidRDefault="001C05E2">
    <w:pPr>
      <w:pStyle w:val="Header"/>
    </w:pPr>
    <w:r>
      <w:rPr>
        <w:noProof/>
      </w:rPr>
      <w:pict w14:anchorId="24DE2D7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2051" type="#_x0000_t136" style="position:absolute;margin-left:0;margin-top:0;width:555.05pt;height:104.6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57F6B7" w14:textId="17C88717" w:rsidR="001C05E2" w:rsidRDefault="001C05E2">
    <w:pPr>
      <w:pStyle w:val="Header"/>
    </w:pPr>
    <w:r>
      <w:rPr>
        <w:noProof/>
      </w:rPr>
      <w:pict w14:anchorId="2928A82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 o:spid="_x0000_s2049" type="#_x0000_t136" style="position:absolute;margin-left:0;margin-top:0;width:555.05pt;height:104.6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D2FE3"/>
    <w:multiLevelType w:val="multilevel"/>
    <w:tmpl w:val="BD1EB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FE157C"/>
    <w:multiLevelType w:val="multilevel"/>
    <w:tmpl w:val="F648CE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5C0299"/>
    <w:multiLevelType w:val="multilevel"/>
    <w:tmpl w:val="8E4C5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D64384"/>
    <w:multiLevelType w:val="multilevel"/>
    <w:tmpl w:val="E006F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74D0D7A"/>
    <w:multiLevelType w:val="multilevel"/>
    <w:tmpl w:val="8C866B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B31553F"/>
    <w:multiLevelType w:val="multilevel"/>
    <w:tmpl w:val="50706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0D42312"/>
    <w:multiLevelType w:val="multilevel"/>
    <w:tmpl w:val="50122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011A93"/>
    <w:multiLevelType w:val="multilevel"/>
    <w:tmpl w:val="7C3C9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735787D"/>
    <w:multiLevelType w:val="multilevel"/>
    <w:tmpl w:val="5D063D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0283434"/>
    <w:multiLevelType w:val="multilevel"/>
    <w:tmpl w:val="B950D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D32A73"/>
    <w:multiLevelType w:val="multilevel"/>
    <w:tmpl w:val="4FD2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6C53180"/>
    <w:multiLevelType w:val="multilevel"/>
    <w:tmpl w:val="5AF2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C7B4283"/>
    <w:multiLevelType w:val="multilevel"/>
    <w:tmpl w:val="C9126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EAA24E7"/>
    <w:multiLevelType w:val="multilevel"/>
    <w:tmpl w:val="DF6A8E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4"/>
  </w:num>
  <w:num w:numId="2">
    <w:abstractNumId w:val="8"/>
  </w:num>
  <w:num w:numId="3">
    <w:abstractNumId w:val="11"/>
  </w:num>
  <w:num w:numId="4">
    <w:abstractNumId w:val="9"/>
  </w:num>
  <w:num w:numId="5">
    <w:abstractNumId w:val="10"/>
  </w:num>
  <w:num w:numId="6">
    <w:abstractNumId w:val="2"/>
  </w:num>
  <w:num w:numId="7">
    <w:abstractNumId w:val="12"/>
  </w:num>
  <w:num w:numId="8">
    <w:abstractNumId w:val="7"/>
  </w:num>
  <w:num w:numId="9">
    <w:abstractNumId w:val="13"/>
  </w:num>
  <w:num w:numId="10">
    <w:abstractNumId w:val="5"/>
  </w:num>
  <w:num w:numId="11">
    <w:abstractNumId w:val="0"/>
  </w:num>
  <w:num w:numId="12">
    <w:abstractNumId w:val="1"/>
  </w:num>
  <w:num w:numId="13">
    <w:abstractNumId w:val="3"/>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C56"/>
    <w:rsid w:val="0001129E"/>
    <w:rsid w:val="00022CBA"/>
    <w:rsid w:val="00041273"/>
    <w:rsid w:val="0004444D"/>
    <w:rsid w:val="00045B89"/>
    <w:rsid w:val="001264F6"/>
    <w:rsid w:val="00132509"/>
    <w:rsid w:val="00147B0C"/>
    <w:rsid w:val="001944B3"/>
    <w:rsid w:val="001C05E2"/>
    <w:rsid w:val="0021591B"/>
    <w:rsid w:val="00250369"/>
    <w:rsid w:val="002A5D1D"/>
    <w:rsid w:val="002A7AEB"/>
    <w:rsid w:val="002F6694"/>
    <w:rsid w:val="00301B4C"/>
    <w:rsid w:val="003269B2"/>
    <w:rsid w:val="003C1051"/>
    <w:rsid w:val="003E5976"/>
    <w:rsid w:val="00443A20"/>
    <w:rsid w:val="004468FB"/>
    <w:rsid w:val="00475B61"/>
    <w:rsid w:val="006353EA"/>
    <w:rsid w:val="00750B0F"/>
    <w:rsid w:val="007E7C56"/>
    <w:rsid w:val="00845704"/>
    <w:rsid w:val="008723C6"/>
    <w:rsid w:val="008A35FF"/>
    <w:rsid w:val="008B49B5"/>
    <w:rsid w:val="008E301B"/>
    <w:rsid w:val="009264DE"/>
    <w:rsid w:val="00937407"/>
    <w:rsid w:val="00953ED5"/>
    <w:rsid w:val="00A02AF8"/>
    <w:rsid w:val="00A9033E"/>
    <w:rsid w:val="00AD780F"/>
    <w:rsid w:val="00AE173A"/>
    <w:rsid w:val="00AF4307"/>
    <w:rsid w:val="00B722F4"/>
    <w:rsid w:val="00B73F41"/>
    <w:rsid w:val="00C357BB"/>
    <w:rsid w:val="00CB6606"/>
    <w:rsid w:val="00D11871"/>
    <w:rsid w:val="00D22C8F"/>
    <w:rsid w:val="00D529AF"/>
    <w:rsid w:val="00D92675"/>
    <w:rsid w:val="00DA538F"/>
    <w:rsid w:val="00E33993"/>
    <w:rsid w:val="00E43E06"/>
    <w:rsid w:val="00E855A9"/>
    <w:rsid w:val="00E92B6F"/>
    <w:rsid w:val="00EA6A63"/>
    <w:rsid w:val="00ED424C"/>
    <w:rsid w:val="00EE4476"/>
    <w:rsid w:val="00F06A29"/>
    <w:rsid w:val="00F233BD"/>
    <w:rsid w:val="00F711F4"/>
    <w:rsid w:val="00F87EEE"/>
    <w:rsid w:val="00FA0C67"/>
    <w:rsid w:val="00FF30E4"/>
    <w:rsid w:val="00FF50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2CC9B7A3"/>
  <w15:chartTrackingRefBased/>
  <w15:docId w15:val="{FECA7F95-5ED6-4C20-BEF9-19431736C1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E7C56"/>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E7C56"/>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E7C56"/>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E7C56"/>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E7C56"/>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E7C5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E7C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E7C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E7C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E7C56"/>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E7C56"/>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E7C56"/>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E7C56"/>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E7C56"/>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E7C5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E7C5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E7C5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E7C56"/>
    <w:rPr>
      <w:rFonts w:eastAsiaTheme="majorEastAsia" w:cstheme="majorBidi"/>
      <w:color w:val="272727" w:themeColor="text1" w:themeTint="D8"/>
    </w:rPr>
  </w:style>
  <w:style w:type="paragraph" w:styleId="Title">
    <w:name w:val="Title"/>
    <w:basedOn w:val="Normal"/>
    <w:next w:val="Normal"/>
    <w:link w:val="TitleChar"/>
    <w:uiPriority w:val="10"/>
    <w:qFormat/>
    <w:rsid w:val="007E7C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E7C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E7C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E7C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E7C56"/>
    <w:pPr>
      <w:spacing w:before="160"/>
      <w:jc w:val="center"/>
    </w:pPr>
    <w:rPr>
      <w:i/>
      <w:iCs/>
      <w:color w:val="404040" w:themeColor="text1" w:themeTint="BF"/>
    </w:rPr>
  </w:style>
  <w:style w:type="character" w:customStyle="1" w:styleId="QuoteChar">
    <w:name w:val="Quote Char"/>
    <w:basedOn w:val="DefaultParagraphFont"/>
    <w:link w:val="Quote"/>
    <w:uiPriority w:val="29"/>
    <w:rsid w:val="007E7C56"/>
    <w:rPr>
      <w:i/>
      <w:iCs/>
      <w:color w:val="404040" w:themeColor="text1" w:themeTint="BF"/>
    </w:rPr>
  </w:style>
  <w:style w:type="paragraph" w:styleId="ListParagraph">
    <w:name w:val="List Paragraph"/>
    <w:basedOn w:val="Normal"/>
    <w:uiPriority w:val="34"/>
    <w:qFormat/>
    <w:rsid w:val="007E7C56"/>
    <w:pPr>
      <w:ind w:left="720"/>
      <w:contextualSpacing/>
    </w:pPr>
  </w:style>
  <w:style w:type="character" w:styleId="IntenseEmphasis">
    <w:name w:val="Intense Emphasis"/>
    <w:basedOn w:val="DefaultParagraphFont"/>
    <w:uiPriority w:val="21"/>
    <w:qFormat/>
    <w:rsid w:val="007E7C56"/>
    <w:rPr>
      <w:i/>
      <w:iCs/>
      <w:color w:val="2F5496" w:themeColor="accent1" w:themeShade="BF"/>
    </w:rPr>
  </w:style>
  <w:style w:type="paragraph" w:styleId="IntenseQuote">
    <w:name w:val="Intense Quote"/>
    <w:basedOn w:val="Normal"/>
    <w:next w:val="Normal"/>
    <w:link w:val="IntenseQuoteChar"/>
    <w:uiPriority w:val="30"/>
    <w:qFormat/>
    <w:rsid w:val="007E7C56"/>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E7C56"/>
    <w:rPr>
      <w:i/>
      <w:iCs/>
      <w:color w:val="2F5496" w:themeColor="accent1" w:themeShade="BF"/>
    </w:rPr>
  </w:style>
  <w:style w:type="character" w:styleId="IntenseReference">
    <w:name w:val="Intense Reference"/>
    <w:basedOn w:val="DefaultParagraphFont"/>
    <w:uiPriority w:val="32"/>
    <w:qFormat/>
    <w:rsid w:val="007E7C56"/>
    <w:rPr>
      <w:b/>
      <w:bCs/>
      <w:smallCaps/>
      <w:color w:val="2F5496" w:themeColor="accent1" w:themeShade="BF"/>
      <w:spacing w:val="5"/>
    </w:rPr>
  </w:style>
  <w:style w:type="paragraph" w:styleId="NormalWeb">
    <w:name w:val="Normal (Web)"/>
    <w:basedOn w:val="Normal"/>
    <w:uiPriority w:val="99"/>
    <w:semiHidden/>
    <w:unhideWhenUsed/>
    <w:rsid w:val="001944B3"/>
    <w:rPr>
      <w:rFonts w:ascii="Times New Roman" w:hAnsi="Times New Roman" w:cs="Times New Roman"/>
    </w:rPr>
  </w:style>
  <w:style w:type="paragraph" w:styleId="Bibliography">
    <w:name w:val="Bibliography"/>
    <w:basedOn w:val="Normal"/>
    <w:next w:val="Normal"/>
    <w:uiPriority w:val="37"/>
    <w:unhideWhenUsed/>
    <w:rsid w:val="00F06A29"/>
    <w:pPr>
      <w:tabs>
        <w:tab w:val="left" w:pos="384"/>
      </w:tabs>
      <w:spacing w:after="240" w:line="240" w:lineRule="auto"/>
      <w:ind w:left="384" w:hanging="384"/>
    </w:pPr>
  </w:style>
  <w:style w:type="character" w:styleId="Hyperlink">
    <w:name w:val="Hyperlink"/>
    <w:basedOn w:val="DefaultParagraphFont"/>
    <w:uiPriority w:val="99"/>
    <w:unhideWhenUsed/>
    <w:rsid w:val="00DA538F"/>
    <w:rPr>
      <w:color w:val="0563C1" w:themeColor="hyperlink"/>
      <w:u w:val="single"/>
    </w:rPr>
  </w:style>
  <w:style w:type="character" w:styleId="UnresolvedMention">
    <w:name w:val="Unresolved Mention"/>
    <w:basedOn w:val="DefaultParagraphFont"/>
    <w:uiPriority w:val="99"/>
    <w:semiHidden/>
    <w:unhideWhenUsed/>
    <w:rsid w:val="00DA538F"/>
    <w:rPr>
      <w:color w:val="605E5C"/>
      <w:shd w:val="clear" w:color="auto" w:fill="E1DFDD"/>
    </w:rPr>
  </w:style>
  <w:style w:type="paragraph" w:styleId="Header">
    <w:name w:val="header"/>
    <w:basedOn w:val="Normal"/>
    <w:link w:val="HeaderChar"/>
    <w:uiPriority w:val="99"/>
    <w:unhideWhenUsed/>
    <w:rsid w:val="001C05E2"/>
    <w:pPr>
      <w:tabs>
        <w:tab w:val="center" w:pos="4680"/>
        <w:tab w:val="right" w:pos="9360"/>
      </w:tabs>
      <w:spacing w:after="0" w:line="240" w:lineRule="auto"/>
    </w:pPr>
  </w:style>
  <w:style w:type="character" w:customStyle="1" w:styleId="HeaderChar">
    <w:name w:val="Header Char"/>
    <w:basedOn w:val="DefaultParagraphFont"/>
    <w:link w:val="Header"/>
    <w:uiPriority w:val="99"/>
    <w:rsid w:val="001C05E2"/>
  </w:style>
  <w:style w:type="paragraph" w:styleId="Footer">
    <w:name w:val="footer"/>
    <w:basedOn w:val="Normal"/>
    <w:link w:val="FooterChar"/>
    <w:uiPriority w:val="99"/>
    <w:unhideWhenUsed/>
    <w:rsid w:val="001C05E2"/>
    <w:pPr>
      <w:tabs>
        <w:tab w:val="center" w:pos="4680"/>
        <w:tab w:val="right" w:pos="9360"/>
      </w:tabs>
      <w:spacing w:after="0" w:line="240" w:lineRule="auto"/>
    </w:pPr>
  </w:style>
  <w:style w:type="character" w:customStyle="1" w:styleId="FooterChar">
    <w:name w:val="Footer Char"/>
    <w:basedOn w:val="DefaultParagraphFont"/>
    <w:link w:val="Footer"/>
    <w:uiPriority w:val="99"/>
    <w:rsid w:val="001C05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110</TotalTime>
  <Pages>23</Pages>
  <Words>32059</Words>
  <Characters>182738</Characters>
  <Application>Microsoft Office Word</Application>
  <DocSecurity>0</DocSecurity>
  <Lines>1522</Lines>
  <Paragraphs>428</Paragraphs>
  <ScaleCrop>false</ScaleCrop>
  <Company/>
  <LinksUpToDate>false</LinksUpToDate>
  <CharactersWithSpaces>214369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Olabisi Lawal</dc:creator>
  <cp:keywords/>
  <dc:description/>
  <cp:lastModifiedBy>SDI 1084</cp:lastModifiedBy>
  <cp:revision>60</cp:revision>
  <dcterms:created xsi:type="dcterms:W3CDTF">2026-02-14T06:42:00Z</dcterms:created>
  <dcterms:modified xsi:type="dcterms:W3CDTF">2026-02-19T08:24:00Z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zotero-version="7.0.16"&gt;&lt;session id="gwXiJWuL"/&gt;&lt;style id="http://www.zotero.org/styles/vancouver" locale="en-US" hasBibliography="1" bibliographyStyleHasBeenSet="1"/&gt;&lt;prefs&gt;&lt;pref name="fieldType" value="Field"/&gt;&lt;/prefs&gt;&lt;/data&gt;</vt:lpwstr>
  </property>
</Properties>
</file>