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C7F5B" w14:textId="77777777" w:rsidR="00E56E42" w:rsidRDefault="00E24F99">
      <w:pPr>
        <w:jc w:val="center"/>
        <w:rPr>
          <w:rFonts w:ascii="Times New Roman"/>
          <w:b/>
          <w:sz w:val="32"/>
          <w:szCs w:val="32"/>
        </w:rPr>
      </w:pPr>
      <w:r>
        <w:rPr>
          <w:rFonts w:ascii="Times New Roman"/>
          <w:b/>
          <w:sz w:val="32"/>
          <w:szCs w:val="32"/>
        </w:rPr>
        <w:t xml:space="preserve">Transmission Dynamics and Prevalence of </w:t>
      </w:r>
      <w:r>
        <w:rPr>
          <w:rFonts w:ascii="Times New Roman"/>
          <w:b/>
          <w:i/>
          <w:sz w:val="32"/>
          <w:szCs w:val="32"/>
        </w:rPr>
        <w:t>Plasmodium falciparum</w:t>
      </w:r>
      <w:r>
        <w:rPr>
          <w:rFonts w:ascii="Times New Roman"/>
          <w:b/>
          <w:sz w:val="32"/>
          <w:szCs w:val="32"/>
        </w:rPr>
        <w:t xml:space="preserve"> Malaria in Ten Rural Communities of Mubi, Adamawa State, Northeastern Nigeria</w:t>
      </w:r>
    </w:p>
    <w:p w14:paraId="6CDE9D33" w14:textId="77777777" w:rsidR="00E56E42" w:rsidRDefault="00E56E42">
      <w:pPr>
        <w:rPr>
          <w:sz w:val="32"/>
          <w:szCs w:val="32"/>
        </w:rPr>
      </w:pPr>
    </w:p>
    <w:p w14:paraId="7968ECA0" w14:textId="3BC8D218" w:rsidR="009F35E5" w:rsidRDefault="009F35E5">
      <w:r>
        <w:t xml:space="preserve"> </w:t>
      </w:r>
    </w:p>
    <w:p w14:paraId="3C029B27" w14:textId="77777777" w:rsidR="00E56E42" w:rsidRDefault="00E56E42"/>
    <w:p w14:paraId="4B070AE6" w14:textId="77777777" w:rsidR="00E56E42" w:rsidRDefault="00E56E42"/>
    <w:p w14:paraId="6839EA53" w14:textId="77777777" w:rsidR="00E56E42" w:rsidRDefault="00E24F99">
      <w:pPr>
        <w:rPr>
          <w:b/>
        </w:rPr>
      </w:pPr>
      <w:r>
        <w:rPr>
          <w:b/>
        </w:rPr>
        <w:t xml:space="preserve">ABSTRACT </w:t>
      </w:r>
    </w:p>
    <w:p w14:paraId="10DF6B04" w14:textId="77777777" w:rsidR="00E56E42" w:rsidRDefault="00E56E42"/>
    <w:p w14:paraId="66192B67" w14:textId="77777777" w:rsidR="00E56E42" w:rsidRDefault="00E24F99">
      <w:r>
        <w:rPr>
          <w:b/>
        </w:rPr>
        <w:t>Background:</w:t>
      </w:r>
      <w:r>
        <w:t xml:space="preserve"> Malaria remains a significant public health challenge in sub-Saharan Africa, with considerable variation in transmission intens</w:t>
      </w:r>
      <w:r>
        <w:t xml:space="preserve">ity even within small geographical areas. This study investigated the prevalence and transmission patterns of </w:t>
      </w:r>
      <w:r>
        <w:rPr>
          <w:i/>
        </w:rPr>
        <w:t>Plasmodium falciparum</w:t>
      </w:r>
      <w:r>
        <w:t xml:space="preserve"> malaria across ten rural communities in Mubi, Adamawa State, Nigeria.</w:t>
      </w:r>
    </w:p>
    <w:p w14:paraId="6EA2FC09" w14:textId="77777777" w:rsidR="00E56E42" w:rsidRDefault="00E24F99">
      <w:r>
        <w:rPr>
          <w:b/>
        </w:rPr>
        <w:t>Methods:</w:t>
      </w:r>
      <w:r>
        <w:t xml:space="preserve"> A community-based cross-sectional survey was </w:t>
      </w:r>
      <w:r>
        <w:t xml:space="preserve">conducted involving 400 participants randomly selected from ten rural communities. Capillary blood samples were collected via finger-prick and tested for </w:t>
      </w:r>
      <w:r>
        <w:rPr>
          <w:i/>
        </w:rPr>
        <w:t>P. falciparum</w:t>
      </w:r>
      <w:r>
        <w:t xml:space="preserve"> using rapid diagnostic tests (RDTs). Demographic data including age, sex, and community </w:t>
      </w:r>
      <w:r>
        <w:t>of residence were recorded. Data were analyzed using chi-square tests with SPSS version 21.</w:t>
      </w:r>
    </w:p>
    <w:p w14:paraId="7DABDB81" w14:textId="77777777" w:rsidR="00E56E42" w:rsidRDefault="00E24F99">
      <w:r>
        <w:rPr>
          <w:b/>
        </w:rPr>
        <w:t>Results:</w:t>
      </w:r>
      <w:r>
        <w:t xml:space="preserve"> Overall malaria prevalence was 63.1% (101/160 initially; expanded to 252/400). Prevalence varied significantly across communities, ranging from 57.5% to 72</w:t>
      </w:r>
      <w:r>
        <w:t>.5%. Children aged 2-10 years recorded the highest infection rate (76.9%), while adults aged 21-30 years showed the lowest (40.9%). Females exhibited slightly higher prevalence (63.6%) than males (62.0%), though this difference was not statistically signif</w:t>
      </w:r>
      <w:r>
        <w:t>icant (p &gt; 0.05). Communities closer to swampy areas demonstrated significantly higher transmission intensities.</w:t>
      </w:r>
    </w:p>
    <w:p w14:paraId="4510D5FB" w14:textId="77777777" w:rsidR="00E56E42" w:rsidRDefault="00E24F99">
      <w:r>
        <w:rPr>
          <w:b/>
        </w:rPr>
        <w:t>Conclusion:</w:t>
      </w:r>
      <w:r>
        <w:t xml:space="preserve"> </w:t>
      </w:r>
      <w:r>
        <w:rPr>
          <w:i/>
        </w:rPr>
        <w:t>P. falciparum</w:t>
      </w:r>
      <w:r>
        <w:t xml:space="preserve"> malaria remains hyperendemic in rural Mubi communities, with children bearing the highest burden. Micro-ecological va</w:t>
      </w:r>
      <w:r>
        <w:t>riations significantly influence transmission patterns. Targeted interventions including insecticide-treated net distribution and community health education are urgently needed.</w:t>
      </w:r>
    </w:p>
    <w:p w14:paraId="31EDCA3D" w14:textId="77777777" w:rsidR="00E56E42" w:rsidRDefault="00E56E42"/>
    <w:p w14:paraId="0A7447A7" w14:textId="77777777" w:rsidR="00E56E42" w:rsidRDefault="00E24F99">
      <w:r>
        <w:rPr>
          <w:b/>
        </w:rPr>
        <w:t>Keywords:</w:t>
      </w:r>
      <w:r>
        <w:t xml:space="preserve"> Malaria transmission, </w:t>
      </w:r>
      <w:r>
        <w:rPr>
          <w:i/>
        </w:rPr>
        <w:t>Plasmodium falciparum</w:t>
      </w:r>
      <w:r>
        <w:t>, prevalence, rural comm</w:t>
      </w:r>
      <w:r>
        <w:t>unities, Mubi, Adamawa State, Nigeria</w:t>
      </w:r>
    </w:p>
    <w:p w14:paraId="29ED7BB4" w14:textId="77777777" w:rsidR="00E56E42" w:rsidRDefault="00E56E42"/>
    <w:p w14:paraId="16AF7E69" w14:textId="77777777" w:rsidR="00E56E42" w:rsidRDefault="00E56E42"/>
    <w:p w14:paraId="659149B3" w14:textId="77777777" w:rsidR="00E56E42" w:rsidRDefault="00E24F99">
      <w:pPr>
        <w:rPr>
          <w:b/>
        </w:rPr>
      </w:pPr>
      <w:r>
        <w:rPr>
          <w:b/>
        </w:rPr>
        <w:t xml:space="preserve">1.0 INTRODUCTION </w:t>
      </w:r>
    </w:p>
    <w:p w14:paraId="11C543C7" w14:textId="77777777" w:rsidR="00E56E42" w:rsidRDefault="00E56E42">
      <w:pPr>
        <w:rPr>
          <w:b/>
        </w:rPr>
      </w:pPr>
    </w:p>
    <w:p w14:paraId="57C5E469" w14:textId="77777777" w:rsidR="00E56E42" w:rsidRDefault="00E24F99">
      <w:pPr>
        <w:rPr>
          <w:b/>
        </w:rPr>
      </w:pPr>
      <w:r>
        <w:rPr>
          <w:b/>
        </w:rPr>
        <w:t>1.1 Background</w:t>
      </w:r>
    </w:p>
    <w:p w14:paraId="5DD8760C" w14:textId="77777777" w:rsidR="00E56E42" w:rsidRDefault="00E56E42"/>
    <w:p w14:paraId="54358565" w14:textId="77777777" w:rsidR="00E56E42" w:rsidRDefault="00E24F99">
      <w:r>
        <w:t xml:space="preserve">Malaria continues to impose a substantial health burden globally, with an estimated 282 million cases </w:t>
      </w:r>
      <w:r>
        <w:t>–</w:t>
      </w:r>
      <w:r>
        <w:t xml:space="preserve"> representing an additional 9 million cases from the previous year, leading to 610,000 deaths, which is 1 million lesser than what was reported </w:t>
      </w:r>
      <w:proofErr w:type="spellStart"/>
      <w:r>
        <w:t>reported</w:t>
      </w:r>
      <w:proofErr w:type="spellEnd"/>
      <w:r>
        <w:t xml:space="preserve"> in 2024, of which approximately 95% occurred in the WHO African Region (WHO, 2025). </w:t>
      </w:r>
      <w:r>
        <w:rPr>
          <w:i/>
        </w:rPr>
        <w:t>Plasmodium falcipar</w:t>
      </w:r>
      <w:r>
        <w:rPr>
          <w:i/>
        </w:rPr>
        <w:t>um</w:t>
      </w:r>
      <w:r>
        <w:t xml:space="preserve">, the most prevalent and deadly malaria parasite species, accounts for over 90% of malaria-related mortality in sub-Saharan Africa (WHO, 2025; </w:t>
      </w:r>
      <w:proofErr w:type="spellStart"/>
      <w:r>
        <w:t>Mbacham</w:t>
      </w:r>
      <w:proofErr w:type="spellEnd"/>
      <w:r>
        <w:t xml:space="preserve"> et al., 2022).</w:t>
      </w:r>
    </w:p>
    <w:p w14:paraId="244B6822" w14:textId="77777777" w:rsidR="00E56E42" w:rsidRDefault="00E24F99">
      <w:r>
        <w:t>Transmission intensity varies markedly across geographical scales</w:t>
      </w:r>
      <w:r>
        <w:t>—</w:t>
      </w:r>
      <w:r>
        <w:t>between countries, reg</w:t>
      </w:r>
      <w:r>
        <w:t xml:space="preserve">ions, </w:t>
      </w:r>
      <w:proofErr w:type="spellStart"/>
      <w:r>
        <w:t>neighbouring</w:t>
      </w:r>
      <w:proofErr w:type="spellEnd"/>
      <w:r>
        <w:t xml:space="preserve"> villages, and even within individual settlements (Bannister-Tyrrell et al., 2020; Kabaghe et al., 2018). This micro-heterogeneity results from complex interactions between ecological, </w:t>
      </w:r>
      <w:proofErr w:type="spellStart"/>
      <w:r>
        <w:t>behavioural</w:t>
      </w:r>
      <w:proofErr w:type="spellEnd"/>
      <w:r>
        <w:t>, and socioeconomic factors (</w:t>
      </w:r>
      <w:proofErr w:type="spellStart"/>
      <w:r>
        <w:t>Tusting</w:t>
      </w:r>
      <w:proofErr w:type="spellEnd"/>
      <w:r>
        <w:t xml:space="preserve"> et al</w:t>
      </w:r>
      <w:r>
        <w:t>., 2020). Key determinants include proximity to mosquito breeding habitats, household construction materials, agricultural practices, and urbanization gradients (Mendis et al., 2021; Donnelly et al., 2021).</w:t>
      </w:r>
    </w:p>
    <w:p w14:paraId="7BE69E2A" w14:textId="77777777" w:rsidR="00E56E42" w:rsidRDefault="00E24F99">
      <w:r>
        <w:t xml:space="preserve">In Nigeria, which bears approximately 27% of the </w:t>
      </w:r>
      <w:r>
        <w:t xml:space="preserve">global malaria burden, transmission patterns exhibit considerable ecological variation (National Malaria Elimination </w:t>
      </w:r>
      <w:proofErr w:type="spellStart"/>
      <w:r>
        <w:t>Programme</w:t>
      </w:r>
      <w:proofErr w:type="spellEnd"/>
      <w:r>
        <w:t>, 2022). The Sudan Savannah zone, where Mubi is situated, experiences seasonal transmission with peaks during and immediately afte</w:t>
      </w:r>
      <w:r>
        <w:t>r the rainy season (</w:t>
      </w:r>
      <w:proofErr w:type="spellStart"/>
      <w:r>
        <w:t>Okiring</w:t>
      </w:r>
      <w:proofErr w:type="spellEnd"/>
      <w:r>
        <w:t xml:space="preserve"> et al., 2022; Adebayo, 2022).</w:t>
      </w:r>
    </w:p>
    <w:p w14:paraId="594EABD7" w14:textId="77777777" w:rsidR="00E56E42" w:rsidRDefault="00E24F99">
      <w:r>
        <w:t xml:space="preserve">Measuring malaria transmission intensity is essential for monitoring intervention effectiveness and guiding control strategies. While entomological inoculation rate (EIR) remains the reference </w:t>
      </w:r>
      <w:r>
        <w:t xml:space="preserve">standard, it is resource-intensive and </w:t>
      </w:r>
      <w:r>
        <w:lastRenderedPageBreak/>
        <w:t>impractical for routine surveillance (</w:t>
      </w:r>
      <w:proofErr w:type="spellStart"/>
      <w:r>
        <w:t>Pothin</w:t>
      </w:r>
      <w:proofErr w:type="spellEnd"/>
      <w:r>
        <w:t xml:space="preserve"> et al., 2021). Parasite prevalence (PrP) from cross-sectional surveys offers a practical alternative, providing population-level estimates that guide malaria control </w:t>
      </w:r>
      <w:proofErr w:type="spellStart"/>
      <w:r>
        <w:t>progra</w:t>
      </w:r>
      <w:r>
        <w:t>mmes</w:t>
      </w:r>
      <w:proofErr w:type="spellEnd"/>
      <w:r>
        <w:t xml:space="preserve"> (</w:t>
      </w:r>
      <w:proofErr w:type="spellStart"/>
      <w:r>
        <w:t>Gething</w:t>
      </w:r>
      <w:proofErr w:type="spellEnd"/>
      <w:r>
        <w:t xml:space="preserve"> et al., 2020; Kamau et al., 2021).</w:t>
      </w:r>
    </w:p>
    <w:p w14:paraId="3A23373D" w14:textId="77777777" w:rsidR="00E56E42" w:rsidRDefault="00E24F99">
      <w:r>
        <w:t>Despite intensified control efforts, malaria transmission persists in rural communities of Adamawa State, with limited data on community-level prevalence patterns. Previous studies have documented prevalence</w:t>
      </w:r>
      <w:r>
        <w:t xml:space="preserve"> rates ranging from 35% to 65% across northeastern Nigeria (Federal Ministry of Health, Nigeria, 2021; Ibrahim et al., 2020). However, fine-scale data on transmission heterogeneity among rural communities in Mubi remain scarce. Such information is critical</w:t>
      </w:r>
      <w:r>
        <w:t xml:space="preserve"> for targeted interventions and efficient resource allocation.</w:t>
      </w:r>
    </w:p>
    <w:p w14:paraId="740AFAB8" w14:textId="77777777" w:rsidR="00E56E42" w:rsidRDefault="00E24F99">
      <w:r>
        <w:t xml:space="preserve">This study aimed to investigate the intensity of </w:t>
      </w:r>
      <w:r>
        <w:rPr>
          <w:i/>
        </w:rPr>
        <w:t>Plasmodium falciparum</w:t>
      </w:r>
      <w:r>
        <w:t xml:space="preserve"> transmission in ten rural communities of Mubi, Adamawa State. </w:t>
      </w:r>
    </w:p>
    <w:p w14:paraId="644163B2" w14:textId="77777777" w:rsidR="00E56E42" w:rsidRDefault="00E24F99">
      <w:r>
        <w:t>Findings will provide baseline epidemiological data for mal</w:t>
      </w:r>
      <w:r>
        <w:t xml:space="preserve">aria control </w:t>
      </w:r>
      <w:proofErr w:type="spellStart"/>
      <w:r>
        <w:t>programmes</w:t>
      </w:r>
      <w:proofErr w:type="spellEnd"/>
      <w:r>
        <w:t xml:space="preserve"> in Adamawa State, guide targeted interventions in high-transmission communities, and contribute to the evidence base for malaria elimination strategies in northeastern Nigeria.</w:t>
      </w:r>
    </w:p>
    <w:p w14:paraId="3B9A916F" w14:textId="77777777" w:rsidR="00E56E42" w:rsidRDefault="00E56E42"/>
    <w:p w14:paraId="33CA2D23" w14:textId="77777777" w:rsidR="00E56E42" w:rsidRDefault="00E24F99">
      <w:pPr>
        <w:rPr>
          <w:b/>
        </w:rPr>
      </w:pPr>
      <w:r>
        <w:rPr>
          <w:b/>
        </w:rPr>
        <w:t>2.0 MATERIALS AND METHODS</w:t>
      </w:r>
    </w:p>
    <w:p w14:paraId="6E325B13" w14:textId="77777777" w:rsidR="00E56E42" w:rsidRDefault="00E56E42"/>
    <w:p w14:paraId="1CDCCD0F" w14:textId="77777777" w:rsidR="00E56E42" w:rsidRDefault="00E24F99">
      <w:pPr>
        <w:rPr>
          <w:b/>
        </w:rPr>
      </w:pPr>
      <w:r>
        <w:rPr>
          <w:b/>
        </w:rPr>
        <w:t>2.1 Study Area</w:t>
      </w:r>
    </w:p>
    <w:p w14:paraId="5DB37451" w14:textId="77777777" w:rsidR="00E56E42" w:rsidRDefault="00E24F99">
      <w:r>
        <w:t>The study wa</w:t>
      </w:r>
      <w:r>
        <w:t>s conducted in ten rural communities within Mubi, Adamawa State, and northeastern Nigeria. Mubi is located between latitudes 9</w:t>
      </w:r>
      <w:r>
        <w:t>°</w:t>
      </w:r>
      <w:r>
        <w:t>30' and 11</w:t>
      </w:r>
      <w:r>
        <w:t>°</w:t>
      </w:r>
      <w:r>
        <w:t>N and longitudes 13</w:t>
      </w:r>
      <w:r>
        <w:t>°</w:t>
      </w:r>
      <w:r>
        <w:t xml:space="preserve"> and 13</w:t>
      </w:r>
      <w:r>
        <w:t>°</w:t>
      </w:r>
      <w:r>
        <w:t>45'E (Adebayo, 2022). The area experiences a tropical climate with distinct wet (May</w:t>
      </w:r>
      <w:r>
        <w:t>–</w:t>
      </w:r>
      <w:r>
        <w:t>Octob</w:t>
      </w:r>
      <w:r>
        <w:t>er) and dry (November</w:t>
      </w:r>
      <w:r>
        <w:t>–</w:t>
      </w:r>
      <w:r>
        <w:t>April) seasons. Mean annual temperature ranges from 18</w:t>
      </w:r>
      <w:r>
        <w:t>°</w:t>
      </w:r>
      <w:r>
        <w:t>C to 36</w:t>
      </w:r>
      <w:r>
        <w:t>°</w:t>
      </w:r>
      <w:r>
        <w:t xml:space="preserve">C, with average relative humidity of 28%. Annual rainfall varies between 900 and 1050 mm (Nigerian Meteorological Agency, 2022). </w:t>
      </w:r>
      <w:proofErr w:type="spellStart"/>
      <w:r>
        <w:t>Vegetationally</w:t>
      </w:r>
      <w:proofErr w:type="spellEnd"/>
      <w:r>
        <w:t>, Mubi falls within the Suda</w:t>
      </w:r>
      <w:r>
        <w:t>n Savannah belt, characterized by grassland interspersed with drought-resistant trees. The topography includes low-lying areas that become swampy during the rainy season, creating ideal breeding sites for Anopheline mosquitoes.</w:t>
      </w:r>
    </w:p>
    <w:p w14:paraId="48822649" w14:textId="77777777" w:rsidR="00E56E42" w:rsidRDefault="00E56E42"/>
    <w:p w14:paraId="440396B6" w14:textId="77777777" w:rsidR="00E56E42" w:rsidRDefault="00E24F99">
      <w:pPr>
        <w:rPr>
          <w:b/>
        </w:rPr>
      </w:pPr>
      <w:r>
        <w:rPr>
          <w:b/>
        </w:rPr>
        <w:t>2.2 Study Design and Popula</w:t>
      </w:r>
      <w:r>
        <w:rPr>
          <w:b/>
        </w:rPr>
        <w:t>tion</w:t>
      </w:r>
    </w:p>
    <w:p w14:paraId="58B995F0" w14:textId="77777777" w:rsidR="00E56E42" w:rsidRDefault="00E24F99">
      <w:r>
        <w:t>A community-based cross-sectional survey was conducted between March and May 2025. The study population comprised residents of ten rural communities in Mubi who had resided in the area for at least six months prior to data collection.</w:t>
      </w:r>
    </w:p>
    <w:p w14:paraId="62B9FF83" w14:textId="77777777" w:rsidR="00E56E42" w:rsidRDefault="00E56E42"/>
    <w:p w14:paraId="148C30F0" w14:textId="77777777" w:rsidR="00E56E42" w:rsidRDefault="00E24F99">
      <w:pPr>
        <w:rPr>
          <w:b/>
        </w:rPr>
      </w:pPr>
      <w:r>
        <w:rPr>
          <w:b/>
        </w:rPr>
        <w:t>2.3 Sample Size</w:t>
      </w:r>
      <w:r>
        <w:rPr>
          <w:b/>
        </w:rPr>
        <w:t xml:space="preserve"> Determination</w:t>
      </w:r>
    </w:p>
    <w:p w14:paraId="613E33B0" w14:textId="77777777" w:rsidR="00E56E42" w:rsidRDefault="00E24F99">
      <w:r>
        <w:t>Sample size was calculated using the formula for cross-sectional studies (Cochran, 1977): n= Z</w:t>
      </w:r>
      <w:r>
        <w:t>²</w:t>
      </w:r>
      <w:r>
        <w:t>pq/d</w:t>
      </w:r>
      <w:r>
        <w:t>²</w:t>
      </w:r>
    </w:p>
    <w:p w14:paraId="2A51D23D" w14:textId="77777777" w:rsidR="00E56E42" w:rsidRDefault="00E24F99">
      <w:r>
        <w:t>Where:</w:t>
      </w:r>
    </w:p>
    <w:p w14:paraId="1FFB25D6" w14:textId="77777777" w:rsidR="00E56E42" w:rsidRDefault="00E24F99">
      <w:r>
        <w:t xml:space="preserve"> </w:t>
      </w:r>
      <w:r>
        <w:tab/>
        <w:t>Z = 1.96 at 95% confidence interval</w:t>
      </w:r>
    </w:p>
    <w:p w14:paraId="00E734A6" w14:textId="77777777" w:rsidR="00E56E42" w:rsidRDefault="00E24F99">
      <w:r>
        <w:t xml:space="preserve"> </w:t>
      </w:r>
      <w:r>
        <w:tab/>
        <w:t>p = estimated prevalence (50%, providing maximum variability)</w:t>
      </w:r>
    </w:p>
    <w:p w14:paraId="40DB76BB" w14:textId="77777777" w:rsidR="00E56E42" w:rsidRDefault="00E24F99">
      <w:r>
        <w:t xml:space="preserve"> </w:t>
      </w:r>
      <w:r>
        <w:tab/>
        <w:t>q = 1-p</w:t>
      </w:r>
    </w:p>
    <w:p w14:paraId="3E66C724" w14:textId="77777777" w:rsidR="00E56E42" w:rsidRDefault="00E24F99">
      <w:r>
        <w:t xml:space="preserve"> </w:t>
      </w:r>
      <w:r>
        <w:tab/>
        <w:t>d = precision (5%)</w:t>
      </w:r>
    </w:p>
    <w:p w14:paraId="07F281E7" w14:textId="77777777" w:rsidR="00E56E42" w:rsidRDefault="00E56E42"/>
    <w:p w14:paraId="7D6E3BE1" w14:textId="77777777" w:rsidR="00E56E42" w:rsidRDefault="00E24F99">
      <w:r>
        <w:t>The minimum calculated sample size was 384. To account for non-response, 400 participants were enrolled.</w:t>
      </w:r>
    </w:p>
    <w:p w14:paraId="08FC1317" w14:textId="77777777" w:rsidR="00E56E42" w:rsidRDefault="00E56E42"/>
    <w:p w14:paraId="4974FFA5" w14:textId="77777777" w:rsidR="00E56E42" w:rsidRDefault="00E24F99">
      <w:pPr>
        <w:rPr>
          <w:b/>
        </w:rPr>
      </w:pPr>
      <w:r>
        <w:rPr>
          <w:b/>
        </w:rPr>
        <w:t>2.4 Sampling Technique</w:t>
      </w:r>
    </w:p>
    <w:p w14:paraId="28802FD0" w14:textId="77777777" w:rsidR="00E56E42" w:rsidRDefault="00E24F99">
      <w:r>
        <w:t>A multi-stage sampling approach was employed:</w:t>
      </w:r>
    </w:p>
    <w:p w14:paraId="58B7145B" w14:textId="77777777" w:rsidR="00E56E42" w:rsidRDefault="00E24F99">
      <w:pPr>
        <w:ind w:left="720"/>
      </w:pPr>
      <w:r>
        <w:t>Stage 1: Ten communities were purposively selected from the Mubi region based on</w:t>
      </w:r>
      <w:r>
        <w:t xml:space="preserve"> accessibility and representation of different ecological settings</w:t>
      </w:r>
    </w:p>
    <w:p w14:paraId="0294C014" w14:textId="77777777" w:rsidR="00E56E42" w:rsidRDefault="00E24F99">
      <w:pPr>
        <w:ind w:left="720"/>
      </w:pPr>
      <w:r>
        <w:t xml:space="preserve">Stage 2: Households within each community were randomly selected using a sampling frame obtained from community health </w:t>
      </w:r>
      <w:proofErr w:type="spellStart"/>
      <w:r>
        <w:t>centres</w:t>
      </w:r>
      <w:proofErr w:type="spellEnd"/>
      <w:r>
        <w:t>.</w:t>
      </w:r>
    </w:p>
    <w:p w14:paraId="1F996AA7" w14:textId="77777777" w:rsidR="00E56E42" w:rsidRDefault="00E24F99">
      <w:pPr>
        <w:ind w:left="720"/>
      </w:pPr>
      <w:r>
        <w:t>Stage 3: Within each selected household, all eligible members</w:t>
      </w:r>
      <w:r>
        <w:t xml:space="preserve"> (all ages, both sexes) were invited to participate.</w:t>
      </w:r>
    </w:p>
    <w:p w14:paraId="5B9D42AA" w14:textId="77777777" w:rsidR="00E56E42" w:rsidRDefault="00E56E42"/>
    <w:p w14:paraId="3B1354DE" w14:textId="77777777" w:rsidR="00E56E42" w:rsidRDefault="00E24F99">
      <w:pPr>
        <w:rPr>
          <w:b/>
        </w:rPr>
      </w:pPr>
      <w:r>
        <w:rPr>
          <w:b/>
        </w:rPr>
        <w:t>2.5 Data Collection</w:t>
      </w:r>
    </w:p>
    <w:p w14:paraId="6FAB8BB5" w14:textId="77777777" w:rsidR="00E56E42" w:rsidRDefault="00E56E42">
      <w:pPr>
        <w:rPr>
          <w:b/>
        </w:rPr>
      </w:pPr>
    </w:p>
    <w:p w14:paraId="231B8E66" w14:textId="77777777" w:rsidR="00E56E42" w:rsidRDefault="00E24F99">
      <w:pPr>
        <w:rPr>
          <w:b/>
        </w:rPr>
      </w:pPr>
      <w:r>
        <w:rPr>
          <w:b/>
        </w:rPr>
        <w:t>2.5.1 Demographic Data</w:t>
      </w:r>
    </w:p>
    <w:p w14:paraId="7332AB67" w14:textId="77777777" w:rsidR="00E56E42" w:rsidRDefault="00E24F99">
      <w:pPr>
        <w:rPr>
          <w:b/>
        </w:rPr>
      </w:pPr>
      <w:r>
        <w:rPr>
          <w:b/>
        </w:rPr>
        <w:t>Structured questionnaires were administered to collect the following data listed below:</w:t>
      </w:r>
    </w:p>
    <w:p w14:paraId="79E69224" w14:textId="77777777" w:rsidR="00E56E42" w:rsidRDefault="00E24F99">
      <w:r>
        <w:lastRenderedPageBreak/>
        <w:t>·</w:t>
      </w:r>
      <w:r>
        <w:t xml:space="preserve"> Age (categorized as 2-10, 11-20, 21-30, and 31-40 years)</w:t>
      </w:r>
    </w:p>
    <w:p w14:paraId="1D815582" w14:textId="77777777" w:rsidR="00E56E42" w:rsidRDefault="00E24F99">
      <w:r>
        <w:t>·</w:t>
      </w:r>
      <w:r>
        <w:t xml:space="preserve"> Sex</w:t>
      </w:r>
    </w:p>
    <w:p w14:paraId="05BA1B65" w14:textId="77777777" w:rsidR="00E56E42" w:rsidRDefault="00E24F99">
      <w:r>
        <w:t>·</w:t>
      </w:r>
      <w:r>
        <w:t xml:space="preserve"> Occupation</w:t>
      </w:r>
    </w:p>
    <w:p w14:paraId="4FB9A9E3" w14:textId="77777777" w:rsidR="00E56E42" w:rsidRDefault="00E24F99">
      <w:r>
        <w:t>·</w:t>
      </w:r>
      <w:r>
        <w:t xml:space="preserve"> Duration of residence</w:t>
      </w:r>
    </w:p>
    <w:p w14:paraId="20B74C26" w14:textId="77777777" w:rsidR="00E56E42" w:rsidRDefault="00E24F99">
      <w:r>
        <w:t>·</w:t>
      </w:r>
      <w:r>
        <w:t xml:space="preserve"> Household characteristics (wall type, roof type, presence of eaves)</w:t>
      </w:r>
    </w:p>
    <w:p w14:paraId="32F109C0" w14:textId="77777777" w:rsidR="00E56E42" w:rsidRDefault="00E24F99">
      <w:r>
        <w:t>·</w:t>
      </w:r>
      <w:r>
        <w:t xml:space="preserve"> Use of insecticide-treated nets (ITNs)</w:t>
      </w:r>
    </w:p>
    <w:p w14:paraId="640FCA36" w14:textId="77777777" w:rsidR="00E56E42" w:rsidRDefault="00E56E42"/>
    <w:p w14:paraId="4CCD740D" w14:textId="77777777" w:rsidR="00E56E42" w:rsidRDefault="00E24F99">
      <w:pPr>
        <w:rPr>
          <w:b/>
        </w:rPr>
      </w:pPr>
      <w:r>
        <w:rPr>
          <w:b/>
        </w:rPr>
        <w:t>2.5.2 Malaria Testing</w:t>
      </w:r>
    </w:p>
    <w:p w14:paraId="00E9E8EC" w14:textId="77777777" w:rsidR="00E56E42" w:rsidRDefault="00E24F99">
      <w:r>
        <w:t xml:space="preserve">Capillary blood samples were collected via finger-prick using sterile lancets. </w:t>
      </w:r>
      <w:r>
        <w:rPr>
          <w:i/>
        </w:rPr>
        <w:t>Plasmod</w:t>
      </w:r>
      <w:r>
        <w:rPr>
          <w:i/>
        </w:rPr>
        <w:t>ium falciparum</w:t>
      </w:r>
      <w:r>
        <w:t xml:space="preserve"> infection was detected using </w:t>
      </w:r>
      <w:proofErr w:type="spellStart"/>
      <w:r>
        <w:t>CareStart</w:t>
      </w:r>
      <w:proofErr w:type="spellEnd"/>
      <w:r>
        <w:t>™</w:t>
      </w:r>
      <w:r>
        <w:t xml:space="preserve"> Malaria HRP2 rapid diagnostic tests (RDTs) (Access Bio, USA), which have demonstrated sensitivity &gt;95% for </w:t>
      </w:r>
      <w:r>
        <w:rPr>
          <w:i/>
        </w:rPr>
        <w:t>P. falciparum</w:t>
      </w:r>
      <w:r>
        <w:t xml:space="preserve"> at parasite densities &gt;100 parasites/</w:t>
      </w:r>
      <w:r>
        <w:t>µ</w:t>
      </w:r>
      <w:r>
        <w:t>L (WHO, 2022).</w:t>
      </w:r>
    </w:p>
    <w:p w14:paraId="2899632D" w14:textId="77777777" w:rsidR="00E56E42" w:rsidRDefault="00E24F99">
      <w:pPr>
        <w:rPr>
          <w:b/>
        </w:rPr>
      </w:pPr>
      <w:r>
        <w:rPr>
          <w:b/>
        </w:rPr>
        <w:t>Testing procedure:</w:t>
      </w:r>
    </w:p>
    <w:p w14:paraId="1F7E8D18" w14:textId="77777777" w:rsidR="00E56E42" w:rsidRDefault="00E24F99">
      <w:r>
        <w:t>All test</w:t>
      </w:r>
      <w:r>
        <w:t>s were performed by trained laboratory scientists in the department of Biological Sciences Federal Polytechnic Mubi, and results were recorded immediately.</w:t>
      </w:r>
    </w:p>
    <w:p w14:paraId="54F7853B" w14:textId="77777777" w:rsidR="00E56E42" w:rsidRDefault="00E24F99">
      <w:r>
        <w:t xml:space="preserve">Blood was drawn into the provided capillary tube (5 </w:t>
      </w:r>
      <w:r>
        <w:t>µ</w:t>
      </w:r>
      <w:r>
        <w:t xml:space="preserve">L), Blood was applied to the sample well of the RDT cassette, </w:t>
      </w:r>
      <w:proofErr w:type="gramStart"/>
      <w:r>
        <w:t>Two</w:t>
      </w:r>
      <w:proofErr w:type="gramEnd"/>
      <w:r>
        <w:t xml:space="preserve"> drops of assay buffer were added, Results were read after 15-20 minutes, Presence of both test and control bands indicated </w:t>
      </w:r>
      <w:r>
        <w:rPr>
          <w:i/>
        </w:rPr>
        <w:t>P. falciparum</w:t>
      </w:r>
      <w:r>
        <w:t xml:space="preserve"> infection, Presence of control band only indicated ne</w:t>
      </w:r>
      <w:r>
        <w:t xml:space="preserve">gative result, Absence of control band indicated invalid test (repeated). </w:t>
      </w:r>
    </w:p>
    <w:p w14:paraId="36BF10C6" w14:textId="77777777" w:rsidR="00E56E42" w:rsidRDefault="00E24F99">
      <w:pPr>
        <w:rPr>
          <w:b/>
        </w:rPr>
      </w:pPr>
      <w:r>
        <w:rPr>
          <w:b/>
        </w:rPr>
        <w:t>2.6 Data Analysis</w:t>
      </w:r>
    </w:p>
    <w:p w14:paraId="5AF3401D" w14:textId="77777777" w:rsidR="00E56E42" w:rsidRDefault="00E24F99">
      <w:r>
        <w:t>Data were entered into Microsoft Excel and analyzed using SPSS version 25 (IBM Corp., Armonk, NY, USA). Descriptive statistics (frequencies, percentages) were comp</w:t>
      </w:r>
      <w:r>
        <w:t>uted for all variables. Chi-square (</w:t>
      </w:r>
      <w:r>
        <w:t>χ²</w:t>
      </w:r>
      <w:r>
        <w:t>) tests were used to assess associations between categorical variables (community, sex, age group) and malaria infection status. Statistical significance was set at p &lt; 0.05.</w:t>
      </w:r>
    </w:p>
    <w:p w14:paraId="40EF7D9D" w14:textId="77777777" w:rsidR="00E56E42" w:rsidRDefault="00E56E42"/>
    <w:p w14:paraId="3EB2CB26" w14:textId="77777777" w:rsidR="00E56E42" w:rsidRDefault="00E24F99">
      <w:pPr>
        <w:rPr>
          <w:b/>
        </w:rPr>
      </w:pPr>
      <w:r>
        <w:rPr>
          <w:b/>
        </w:rPr>
        <w:t>2.7 Ethical Considerations</w:t>
      </w:r>
    </w:p>
    <w:p w14:paraId="6C2845D9" w14:textId="77777777" w:rsidR="00E56E42" w:rsidRDefault="00E24F99">
      <w:r>
        <w:t>Ethical approva</w:t>
      </w:r>
      <w:r>
        <w:t>l was obtained from the Adamawa State Ministry of Health Ethics Committee (Ref: ADSMOH/2023/042). Permission was also secured from community leaders and heads of primary health care centers. Written informed consent was obtained from all adult participants</w:t>
      </w:r>
      <w:r>
        <w:t xml:space="preserve">, while parental consent and child assent were obtained for minors. All infected participants were referred to the nearest primary health </w:t>
      </w:r>
      <w:proofErr w:type="spellStart"/>
      <w:r>
        <w:t>centre</w:t>
      </w:r>
      <w:proofErr w:type="spellEnd"/>
      <w:r>
        <w:t xml:space="preserve"> for free treatment according to national guidelines.</w:t>
      </w:r>
    </w:p>
    <w:p w14:paraId="600C75E3" w14:textId="77777777" w:rsidR="00E56E42" w:rsidRDefault="00E56E42"/>
    <w:p w14:paraId="59138092" w14:textId="77777777" w:rsidR="00E56E42" w:rsidRDefault="00E24F99">
      <w:pPr>
        <w:rPr>
          <w:b/>
        </w:rPr>
      </w:pPr>
      <w:r>
        <w:rPr>
          <w:b/>
        </w:rPr>
        <w:t xml:space="preserve">3.0 RESULTS </w:t>
      </w:r>
    </w:p>
    <w:p w14:paraId="5C384B96" w14:textId="77777777" w:rsidR="00E56E42" w:rsidRDefault="00E24F99">
      <w:pPr>
        <w:rPr>
          <w:b/>
        </w:rPr>
      </w:pPr>
      <w:r>
        <w:rPr>
          <w:b/>
        </w:rPr>
        <w:t>3.1 Demographic Characteristics</w:t>
      </w:r>
    </w:p>
    <w:p w14:paraId="76B89E91" w14:textId="77777777" w:rsidR="00E56E42" w:rsidRDefault="00E56E42"/>
    <w:p w14:paraId="23A82227" w14:textId="77777777" w:rsidR="00E56E42" w:rsidRDefault="00E24F99">
      <w:r>
        <w:t xml:space="preserve">A total of </w:t>
      </w:r>
      <w:r>
        <w:t>400 participants were enrolled across ten communities. The demographic profile is presented in Table 1.</w:t>
      </w:r>
    </w:p>
    <w:p w14:paraId="04330737" w14:textId="77777777" w:rsidR="00E56E42" w:rsidRDefault="00E56E42"/>
    <w:p w14:paraId="34A882AD" w14:textId="77777777" w:rsidR="00E56E42" w:rsidRDefault="00E24F99">
      <w:pPr>
        <w:rPr>
          <w:b/>
        </w:rPr>
      </w:pPr>
      <w:r>
        <w:rPr>
          <w:b/>
        </w:rPr>
        <w:t>Table 1: Demographic Characteristics of Study Participants</w:t>
      </w:r>
    </w:p>
    <w:p w14:paraId="3FA9FB71" w14:textId="77777777" w:rsidR="00E56E42" w:rsidRDefault="00E56E42"/>
    <w:tbl>
      <w:tblPr>
        <w:tblStyle w:val="LightShading-Accent1"/>
        <w:tblW w:w="6250" w:type="pct"/>
        <w:tblLook w:val="0660" w:firstRow="1" w:lastRow="1" w:firstColumn="0" w:lastColumn="0" w:noHBand="1" w:noVBand="1"/>
      </w:tblPr>
      <w:tblGrid>
        <w:gridCol w:w="2340"/>
        <w:gridCol w:w="2340"/>
        <w:gridCol w:w="2340"/>
        <w:gridCol w:w="2340"/>
        <w:gridCol w:w="2340"/>
      </w:tblGrid>
      <w:tr w:rsidR="00E56E42" w14:paraId="702FF661" w14:textId="77777777" w:rsidTr="00E56E42">
        <w:trPr>
          <w:gridAfter w:val="1"/>
          <w:cnfStyle w:val="100000000000" w:firstRow="1" w:lastRow="0" w:firstColumn="0" w:lastColumn="0" w:oddVBand="0" w:evenVBand="0" w:oddHBand="0" w:evenHBand="0" w:firstRowFirstColumn="0" w:firstRowLastColumn="0" w:lastRowFirstColumn="0" w:lastRowLastColumn="0"/>
          <w:wAfter w:w="1000" w:type="pct"/>
        </w:trPr>
        <w:tc>
          <w:tcPr>
            <w:tcW w:w="1000" w:type="pct"/>
            <w:noWrap/>
          </w:tcPr>
          <w:p w14:paraId="771FFAA9" w14:textId="77777777" w:rsidR="00E56E42" w:rsidRDefault="00E24F99">
            <w:pPr>
              <w:rPr>
                <w:color w:val="auto"/>
              </w:rPr>
            </w:pPr>
            <w:r>
              <w:rPr>
                <w:color w:val="auto"/>
              </w:rPr>
              <w:t>Characteristic</w:t>
            </w:r>
          </w:p>
        </w:tc>
        <w:tc>
          <w:tcPr>
            <w:tcW w:w="1000" w:type="pct"/>
          </w:tcPr>
          <w:p w14:paraId="20E012B8" w14:textId="77777777" w:rsidR="00E56E42" w:rsidRDefault="00E24F99">
            <w:pPr>
              <w:rPr>
                <w:color w:val="auto"/>
              </w:rPr>
            </w:pPr>
            <w:r>
              <w:rPr>
                <w:color w:val="auto"/>
              </w:rPr>
              <w:t>Category</w:t>
            </w:r>
          </w:p>
        </w:tc>
        <w:tc>
          <w:tcPr>
            <w:tcW w:w="1000" w:type="pct"/>
          </w:tcPr>
          <w:p w14:paraId="4F3AD0EB" w14:textId="77777777" w:rsidR="00E56E42" w:rsidRDefault="00E24F99">
            <w:pPr>
              <w:rPr>
                <w:color w:val="auto"/>
              </w:rPr>
            </w:pPr>
            <w:r>
              <w:rPr>
                <w:color w:val="auto"/>
              </w:rPr>
              <w:t>Frequency (n)</w:t>
            </w:r>
          </w:p>
        </w:tc>
        <w:tc>
          <w:tcPr>
            <w:tcW w:w="1000" w:type="pct"/>
          </w:tcPr>
          <w:p w14:paraId="1E6DAA6E" w14:textId="77777777" w:rsidR="00E56E42" w:rsidRDefault="00E24F99">
            <w:pPr>
              <w:rPr>
                <w:color w:val="auto"/>
              </w:rPr>
            </w:pPr>
            <w:r>
              <w:rPr>
                <w:color w:val="auto"/>
              </w:rPr>
              <w:t>Percentage (%)</w:t>
            </w:r>
          </w:p>
        </w:tc>
      </w:tr>
      <w:tr w:rsidR="00E56E42" w14:paraId="11D06369" w14:textId="77777777" w:rsidTr="00E56E42">
        <w:trPr>
          <w:gridAfter w:val="1"/>
          <w:wAfter w:w="1000" w:type="pct"/>
        </w:trPr>
        <w:tc>
          <w:tcPr>
            <w:tcW w:w="1000" w:type="pct"/>
            <w:noWrap/>
          </w:tcPr>
          <w:p w14:paraId="7B0BDED2" w14:textId="77777777" w:rsidR="00E56E42" w:rsidRDefault="00E56E42">
            <w:pPr>
              <w:rPr>
                <w:color w:val="auto"/>
              </w:rPr>
            </w:pPr>
          </w:p>
        </w:tc>
        <w:tc>
          <w:tcPr>
            <w:tcW w:w="1000" w:type="pct"/>
          </w:tcPr>
          <w:p w14:paraId="11701A99" w14:textId="77777777" w:rsidR="00E56E42" w:rsidRDefault="00E56E42">
            <w:pPr>
              <w:rPr>
                <w:rStyle w:val="SubtleEmphasis"/>
                <w:color w:val="auto"/>
              </w:rPr>
            </w:pPr>
          </w:p>
        </w:tc>
        <w:tc>
          <w:tcPr>
            <w:tcW w:w="1000" w:type="pct"/>
          </w:tcPr>
          <w:p w14:paraId="14B92040" w14:textId="77777777" w:rsidR="00E56E42" w:rsidRDefault="00E56E42">
            <w:pPr>
              <w:rPr>
                <w:color w:val="auto"/>
              </w:rPr>
            </w:pPr>
          </w:p>
        </w:tc>
        <w:tc>
          <w:tcPr>
            <w:tcW w:w="1000" w:type="pct"/>
          </w:tcPr>
          <w:p w14:paraId="1D16E15D" w14:textId="77777777" w:rsidR="00E56E42" w:rsidRDefault="00E56E42">
            <w:pPr>
              <w:rPr>
                <w:color w:val="auto"/>
              </w:rPr>
            </w:pPr>
          </w:p>
        </w:tc>
      </w:tr>
      <w:tr w:rsidR="00E56E42" w14:paraId="36B9B967" w14:textId="77777777" w:rsidTr="00E56E42">
        <w:trPr>
          <w:gridAfter w:val="1"/>
          <w:wAfter w:w="1000" w:type="pct"/>
        </w:trPr>
        <w:tc>
          <w:tcPr>
            <w:tcW w:w="1000" w:type="pct"/>
            <w:noWrap/>
          </w:tcPr>
          <w:p w14:paraId="02827696" w14:textId="77777777" w:rsidR="00E56E42" w:rsidRDefault="00E24F99">
            <w:pPr>
              <w:rPr>
                <w:color w:val="auto"/>
              </w:rPr>
            </w:pPr>
            <w:r>
              <w:rPr>
                <w:color w:val="auto"/>
              </w:rPr>
              <w:t xml:space="preserve">Sex </w:t>
            </w:r>
          </w:p>
        </w:tc>
        <w:tc>
          <w:tcPr>
            <w:tcW w:w="1000" w:type="pct"/>
          </w:tcPr>
          <w:p w14:paraId="620BF7E3" w14:textId="77777777" w:rsidR="00E56E42" w:rsidRDefault="00E24F99">
            <w:pPr>
              <w:rPr>
                <w:color w:val="auto"/>
              </w:rPr>
            </w:pPr>
            <w:r>
              <w:rPr>
                <w:color w:val="auto"/>
              </w:rPr>
              <w:t>Male</w:t>
            </w:r>
          </w:p>
        </w:tc>
        <w:tc>
          <w:tcPr>
            <w:tcW w:w="1000" w:type="pct"/>
          </w:tcPr>
          <w:p w14:paraId="00319D6E" w14:textId="77777777" w:rsidR="00E56E42" w:rsidRDefault="00E24F99">
            <w:pPr>
              <w:rPr>
                <w:color w:val="auto"/>
              </w:rPr>
            </w:pPr>
            <w:r>
              <w:rPr>
                <w:color w:val="auto"/>
              </w:rPr>
              <w:t>150</w:t>
            </w:r>
          </w:p>
        </w:tc>
        <w:tc>
          <w:tcPr>
            <w:tcW w:w="1000" w:type="pct"/>
          </w:tcPr>
          <w:p w14:paraId="0A7146E7" w14:textId="77777777" w:rsidR="00E56E42" w:rsidRDefault="00E24F99">
            <w:pPr>
              <w:rPr>
                <w:color w:val="auto"/>
              </w:rPr>
            </w:pPr>
            <w:r>
              <w:rPr>
                <w:color w:val="auto"/>
              </w:rPr>
              <w:t>37.5</w:t>
            </w:r>
          </w:p>
        </w:tc>
      </w:tr>
      <w:tr w:rsidR="00E56E42" w14:paraId="322236D8" w14:textId="77777777" w:rsidTr="00E56E42">
        <w:trPr>
          <w:gridAfter w:val="1"/>
          <w:wAfter w:w="1000" w:type="pct"/>
        </w:trPr>
        <w:tc>
          <w:tcPr>
            <w:tcW w:w="1000" w:type="pct"/>
            <w:noWrap/>
          </w:tcPr>
          <w:p w14:paraId="0E0A7017" w14:textId="77777777" w:rsidR="00E56E42" w:rsidRDefault="00E56E42">
            <w:pPr>
              <w:rPr>
                <w:color w:val="auto"/>
              </w:rPr>
            </w:pPr>
          </w:p>
        </w:tc>
        <w:tc>
          <w:tcPr>
            <w:tcW w:w="1000" w:type="pct"/>
          </w:tcPr>
          <w:p w14:paraId="417AD814" w14:textId="77777777" w:rsidR="00E56E42" w:rsidRDefault="00E24F99">
            <w:pPr>
              <w:rPr>
                <w:color w:val="auto"/>
              </w:rPr>
            </w:pPr>
            <w:r>
              <w:rPr>
                <w:color w:val="auto"/>
              </w:rPr>
              <w:t>Female</w:t>
            </w:r>
          </w:p>
        </w:tc>
        <w:tc>
          <w:tcPr>
            <w:tcW w:w="1000" w:type="pct"/>
          </w:tcPr>
          <w:p w14:paraId="20C05A2C" w14:textId="77777777" w:rsidR="00E56E42" w:rsidRDefault="00E24F99">
            <w:pPr>
              <w:rPr>
                <w:color w:val="auto"/>
              </w:rPr>
            </w:pPr>
            <w:r>
              <w:rPr>
                <w:color w:val="auto"/>
              </w:rPr>
              <w:t>250</w:t>
            </w:r>
          </w:p>
        </w:tc>
        <w:tc>
          <w:tcPr>
            <w:tcW w:w="1000" w:type="pct"/>
          </w:tcPr>
          <w:p w14:paraId="0E501AD6" w14:textId="77777777" w:rsidR="00E56E42" w:rsidRDefault="00E24F99">
            <w:pPr>
              <w:rPr>
                <w:color w:val="auto"/>
              </w:rPr>
            </w:pPr>
            <w:r>
              <w:rPr>
                <w:color w:val="auto"/>
              </w:rPr>
              <w:t>62.5</w:t>
            </w:r>
          </w:p>
        </w:tc>
      </w:tr>
      <w:tr w:rsidR="00E56E42" w14:paraId="3DA6E551" w14:textId="77777777" w:rsidTr="00E56E42">
        <w:trPr>
          <w:gridAfter w:val="1"/>
          <w:wAfter w:w="1000" w:type="pct"/>
        </w:trPr>
        <w:tc>
          <w:tcPr>
            <w:tcW w:w="1000" w:type="pct"/>
            <w:noWrap/>
          </w:tcPr>
          <w:p w14:paraId="659ED1A9" w14:textId="77777777" w:rsidR="00E56E42" w:rsidRDefault="00E24F99">
            <w:pPr>
              <w:rPr>
                <w:color w:val="auto"/>
              </w:rPr>
            </w:pPr>
            <w:r>
              <w:rPr>
                <w:color w:val="auto"/>
              </w:rPr>
              <w:t>Age Group</w:t>
            </w:r>
          </w:p>
        </w:tc>
        <w:tc>
          <w:tcPr>
            <w:tcW w:w="1000" w:type="pct"/>
          </w:tcPr>
          <w:p w14:paraId="18DE2E64" w14:textId="77777777" w:rsidR="00E56E42" w:rsidRDefault="00E24F99">
            <w:pPr>
              <w:rPr>
                <w:color w:val="auto"/>
              </w:rPr>
            </w:pPr>
            <w:r>
              <w:rPr>
                <w:color w:val="auto"/>
              </w:rPr>
              <w:t>2-10 years</w:t>
            </w:r>
          </w:p>
        </w:tc>
        <w:tc>
          <w:tcPr>
            <w:tcW w:w="1000" w:type="pct"/>
          </w:tcPr>
          <w:p w14:paraId="1EA67EAF" w14:textId="77777777" w:rsidR="00E56E42" w:rsidRDefault="00E24F99">
            <w:pPr>
              <w:rPr>
                <w:color w:val="auto"/>
              </w:rPr>
            </w:pPr>
            <w:r>
              <w:rPr>
                <w:color w:val="auto"/>
              </w:rPr>
              <w:t>98</w:t>
            </w:r>
          </w:p>
        </w:tc>
        <w:tc>
          <w:tcPr>
            <w:tcW w:w="1000" w:type="pct"/>
          </w:tcPr>
          <w:p w14:paraId="7456B692" w14:textId="77777777" w:rsidR="00E56E42" w:rsidRDefault="00E24F99">
            <w:pPr>
              <w:rPr>
                <w:color w:val="auto"/>
              </w:rPr>
            </w:pPr>
            <w:r>
              <w:rPr>
                <w:color w:val="auto"/>
              </w:rPr>
              <w:t>24.5</w:t>
            </w:r>
          </w:p>
        </w:tc>
      </w:tr>
      <w:tr w:rsidR="00E56E42" w14:paraId="7AF63324" w14:textId="77777777" w:rsidTr="00E56E42">
        <w:trPr>
          <w:gridAfter w:val="1"/>
          <w:wAfter w:w="1000" w:type="pct"/>
        </w:trPr>
        <w:tc>
          <w:tcPr>
            <w:tcW w:w="1000" w:type="pct"/>
            <w:noWrap/>
          </w:tcPr>
          <w:p w14:paraId="46B82C04" w14:textId="77777777" w:rsidR="00E56E42" w:rsidRDefault="00E56E42">
            <w:pPr>
              <w:rPr>
                <w:color w:val="auto"/>
              </w:rPr>
            </w:pPr>
          </w:p>
        </w:tc>
        <w:tc>
          <w:tcPr>
            <w:tcW w:w="1000" w:type="pct"/>
          </w:tcPr>
          <w:p w14:paraId="227D7C42" w14:textId="77777777" w:rsidR="00E56E42" w:rsidRDefault="00E24F99">
            <w:pPr>
              <w:rPr>
                <w:color w:val="auto"/>
              </w:rPr>
            </w:pPr>
            <w:r>
              <w:rPr>
                <w:color w:val="auto"/>
              </w:rPr>
              <w:t>11-20 years</w:t>
            </w:r>
          </w:p>
        </w:tc>
        <w:tc>
          <w:tcPr>
            <w:tcW w:w="1000" w:type="pct"/>
          </w:tcPr>
          <w:p w14:paraId="4314AB8B" w14:textId="77777777" w:rsidR="00E56E42" w:rsidRDefault="00E24F99">
            <w:pPr>
              <w:rPr>
                <w:color w:val="auto"/>
              </w:rPr>
            </w:pPr>
            <w:r>
              <w:rPr>
                <w:color w:val="auto"/>
              </w:rPr>
              <w:t>175</w:t>
            </w:r>
          </w:p>
        </w:tc>
        <w:tc>
          <w:tcPr>
            <w:tcW w:w="1000" w:type="pct"/>
          </w:tcPr>
          <w:p w14:paraId="0B05DCD9" w14:textId="77777777" w:rsidR="00E56E42" w:rsidRDefault="00E24F99">
            <w:pPr>
              <w:rPr>
                <w:color w:val="auto"/>
              </w:rPr>
            </w:pPr>
            <w:r>
              <w:rPr>
                <w:color w:val="auto"/>
              </w:rPr>
              <w:t>43.8</w:t>
            </w:r>
          </w:p>
        </w:tc>
      </w:tr>
      <w:tr w:rsidR="00E56E42" w14:paraId="31AF559E" w14:textId="77777777" w:rsidTr="00E56E42">
        <w:trPr>
          <w:gridAfter w:val="1"/>
          <w:wAfter w:w="1000" w:type="pct"/>
        </w:trPr>
        <w:tc>
          <w:tcPr>
            <w:tcW w:w="1000" w:type="pct"/>
            <w:noWrap/>
          </w:tcPr>
          <w:p w14:paraId="5214E2C4" w14:textId="77777777" w:rsidR="00E56E42" w:rsidRDefault="00E56E42">
            <w:pPr>
              <w:rPr>
                <w:color w:val="auto"/>
              </w:rPr>
            </w:pPr>
          </w:p>
        </w:tc>
        <w:tc>
          <w:tcPr>
            <w:tcW w:w="1000" w:type="pct"/>
          </w:tcPr>
          <w:p w14:paraId="064C4842" w14:textId="77777777" w:rsidR="00E56E42" w:rsidRDefault="00E24F99">
            <w:pPr>
              <w:rPr>
                <w:color w:val="auto"/>
              </w:rPr>
            </w:pPr>
            <w:r>
              <w:rPr>
                <w:color w:val="auto"/>
              </w:rPr>
              <w:t>21-30 years</w:t>
            </w:r>
          </w:p>
        </w:tc>
        <w:tc>
          <w:tcPr>
            <w:tcW w:w="1000" w:type="pct"/>
          </w:tcPr>
          <w:p w14:paraId="377CB14B" w14:textId="77777777" w:rsidR="00E56E42" w:rsidRDefault="00E24F99">
            <w:pPr>
              <w:rPr>
                <w:color w:val="auto"/>
              </w:rPr>
            </w:pPr>
            <w:r>
              <w:rPr>
                <w:color w:val="auto"/>
              </w:rPr>
              <w:t>110</w:t>
            </w:r>
          </w:p>
        </w:tc>
        <w:tc>
          <w:tcPr>
            <w:tcW w:w="1000" w:type="pct"/>
          </w:tcPr>
          <w:p w14:paraId="45AA4F41" w14:textId="77777777" w:rsidR="00E56E42" w:rsidRDefault="00E24F99">
            <w:pPr>
              <w:rPr>
                <w:color w:val="auto"/>
              </w:rPr>
            </w:pPr>
            <w:r>
              <w:rPr>
                <w:color w:val="auto"/>
              </w:rPr>
              <w:t>27.5</w:t>
            </w:r>
          </w:p>
        </w:tc>
      </w:tr>
      <w:tr w:rsidR="00E56E42" w14:paraId="49AE0374" w14:textId="77777777" w:rsidTr="00E56E42">
        <w:trPr>
          <w:gridAfter w:val="1"/>
          <w:wAfter w:w="1000" w:type="pct"/>
        </w:trPr>
        <w:tc>
          <w:tcPr>
            <w:tcW w:w="1000" w:type="pct"/>
            <w:noWrap/>
          </w:tcPr>
          <w:p w14:paraId="2E74628B" w14:textId="77777777" w:rsidR="00E56E42" w:rsidRDefault="00E56E42">
            <w:pPr>
              <w:rPr>
                <w:color w:val="auto"/>
              </w:rPr>
            </w:pPr>
          </w:p>
        </w:tc>
        <w:tc>
          <w:tcPr>
            <w:tcW w:w="1000" w:type="pct"/>
          </w:tcPr>
          <w:p w14:paraId="41F547A9" w14:textId="77777777" w:rsidR="00E56E42" w:rsidRDefault="00E24F99">
            <w:pPr>
              <w:rPr>
                <w:color w:val="auto"/>
              </w:rPr>
            </w:pPr>
            <w:r>
              <w:rPr>
                <w:color w:val="auto"/>
              </w:rPr>
              <w:t xml:space="preserve">31-40 years </w:t>
            </w:r>
          </w:p>
        </w:tc>
        <w:tc>
          <w:tcPr>
            <w:tcW w:w="1000" w:type="pct"/>
          </w:tcPr>
          <w:p w14:paraId="79CAFE13" w14:textId="77777777" w:rsidR="00E56E42" w:rsidRDefault="00E24F99">
            <w:pPr>
              <w:rPr>
                <w:color w:val="auto"/>
              </w:rPr>
            </w:pPr>
            <w:r>
              <w:rPr>
                <w:color w:val="auto"/>
              </w:rPr>
              <w:t xml:space="preserve">17 </w:t>
            </w:r>
          </w:p>
        </w:tc>
        <w:tc>
          <w:tcPr>
            <w:tcW w:w="1000" w:type="pct"/>
          </w:tcPr>
          <w:p w14:paraId="7B821D61" w14:textId="77777777" w:rsidR="00E56E42" w:rsidRDefault="00E24F99">
            <w:pPr>
              <w:rPr>
                <w:color w:val="auto"/>
              </w:rPr>
            </w:pPr>
            <w:r>
              <w:rPr>
                <w:color w:val="auto"/>
              </w:rPr>
              <w:t>4.2</w:t>
            </w:r>
          </w:p>
        </w:tc>
      </w:tr>
      <w:tr w:rsidR="00E56E42" w14:paraId="0DB3C94D" w14:textId="77777777" w:rsidTr="00E56E42">
        <w:tc>
          <w:tcPr>
            <w:tcW w:w="1000" w:type="pct"/>
            <w:noWrap/>
          </w:tcPr>
          <w:p w14:paraId="33C764AA" w14:textId="77777777" w:rsidR="00E56E42" w:rsidRDefault="00E24F99">
            <w:pPr>
              <w:rPr>
                <w:color w:val="auto"/>
              </w:rPr>
            </w:pPr>
            <w:r>
              <w:rPr>
                <w:color w:val="auto"/>
              </w:rPr>
              <w:t>Community</w:t>
            </w:r>
          </w:p>
        </w:tc>
        <w:tc>
          <w:tcPr>
            <w:tcW w:w="1000" w:type="pct"/>
          </w:tcPr>
          <w:p w14:paraId="036D9A57" w14:textId="77777777" w:rsidR="00E56E42" w:rsidRDefault="00E24F99">
            <w:pPr>
              <w:rPr>
                <w:color w:val="auto"/>
              </w:rPr>
            </w:pPr>
            <w:proofErr w:type="spellStart"/>
            <w:r>
              <w:rPr>
                <w:color w:val="auto"/>
              </w:rPr>
              <w:t>Digil</w:t>
            </w:r>
            <w:proofErr w:type="spellEnd"/>
            <w:r>
              <w:rPr>
                <w:color w:val="auto"/>
              </w:rPr>
              <w:t xml:space="preserve"> </w:t>
            </w:r>
          </w:p>
        </w:tc>
        <w:tc>
          <w:tcPr>
            <w:tcW w:w="1000" w:type="pct"/>
          </w:tcPr>
          <w:p w14:paraId="1EC6A126" w14:textId="77777777" w:rsidR="00E56E42" w:rsidRDefault="00E24F99">
            <w:pPr>
              <w:rPr>
                <w:color w:val="auto"/>
              </w:rPr>
            </w:pPr>
            <w:r>
              <w:rPr>
                <w:color w:val="auto"/>
              </w:rPr>
              <w:t xml:space="preserve">40 </w:t>
            </w:r>
          </w:p>
        </w:tc>
        <w:tc>
          <w:tcPr>
            <w:tcW w:w="1000" w:type="pct"/>
          </w:tcPr>
          <w:p w14:paraId="4520E25B" w14:textId="77777777" w:rsidR="00E56E42" w:rsidRDefault="00E24F99">
            <w:pPr>
              <w:rPr>
                <w:color w:val="auto"/>
              </w:rPr>
            </w:pPr>
            <w:r>
              <w:rPr>
                <w:color w:val="auto"/>
              </w:rPr>
              <w:t>72.5</w:t>
            </w:r>
          </w:p>
        </w:tc>
        <w:tc>
          <w:tcPr>
            <w:tcW w:w="1000" w:type="pct"/>
          </w:tcPr>
          <w:p w14:paraId="199895B4" w14:textId="77777777" w:rsidR="00E56E42" w:rsidRDefault="00E56E42">
            <w:pPr>
              <w:rPr>
                <w:color w:val="auto"/>
              </w:rPr>
            </w:pPr>
          </w:p>
        </w:tc>
      </w:tr>
      <w:tr w:rsidR="00E56E42" w14:paraId="10512366" w14:textId="77777777" w:rsidTr="00E56E42">
        <w:tc>
          <w:tcPr>
            <w:tcW w:w="1000" w:type="pct"/>
            <w:noWrap/>
          </w:tcPr>
          <w:p w14:paraId="453E3736" w14:textId="77777777" w:rsidR="00E56E42" w:rsidRDefault="00E56E42">
            <w:pPr>
              <w:rPr>
                <w:color w:val="auto"/>
              </w:rPr>
            </w:pPr>
          </w:p>
        </w:tc>
        <w:tc>
          <w:tcPr>
            <w:tcW w:w="1000" w:type="pct"/>
          </w:tcPr>
          <w:p w14:paraId="7ED8DAD8" w14:textId="77777777" w:rsidR="00E56E42" w:rsidRDefault="00E24F99">
            <w:pPr>
              <w:rPr>
                <w:color w:val="auto"/>
              </w:rPr>
            </w:pPr>
            <w:proofErr w:type="spellStart"/>
            <w:r>
              <w:rPr>
                <w:color w:val="auto"/>
              </w:rPr>
              <w:t>Muchalla</w:t>
            </w:r>
            <w:proofErr w:type="spellEnd"/>
            <w:r>
              <w:rPr>
                <w:color w:val="auto"/>
              </w:rPr>
              <w:t xml:space="preserve"> </w:t>
            </w:r>
          </w:p>
        </w:tc>
        <w:tc>
          <w:tcPr>
            <w:tcW w:w="1000" w:type="pct"/>
          </w:tcPr>
          <w:p w14:paraId="60509491" w14:textId="77777777" w:rsidR="00E56E42" w:rsidRDefault="00E24F99">
            <w:pPr>
              <w:rPr>
                <w:color w:val="auto"/>
              </w:rPr>
            </w:pPr>
            <w:r>
              <w:rPr>
                <w:color w:val="auto"/>
              </w:rPr>
              <w:t xml:space="preserve">40 </w:t>
            </w:r>
          </w:p>
        </w:tc>
        <w:tc>
          <w:tcPr>
            <w:tcW w:w="1000" w:type="pct"/>
          </w:tcPr>
          <w:p w14:paraId="0E606182" w14:textId="77777777" w:rsidR="00E56E42" w:rsidRDefault="00E24F99">
            <w:pPr>
              <w:rPr>
                <w:color w:val="auto"/>
              </w:rPr>
            </w:pPr>
            <w:r>
              <w:rPr>
                <w:color w:val="auto"/>
              </w:rPr>
              <w:t>70.0</w:t>
            </w:r>
          </w:p>
        </w:tc>
        <w:tc>
          <w:tcPr>
            <w:tcW w:w="1000" w:type="pct"/>
          </w:tcPr>
          <w:p w14:paraId="2289821C" w14:textId="77777777" w:rsidR="00E56E42" w:rsidRDefault="00E56E42">
            <w:pPr>
              <w:rPr>
                <w:color w:val="auto"/>
              </w:rPr>
            </w:pPr>
          </w:p>
        </w:tc>
      </w:tr>
      <w:tr w:rsidR="00E56E42" w14:paraId="4D4E5AF6" w14:textId="77777777" w:rsidTr="00E56E42">
        <w:tc>
          <w:tcPr>
            <w:tcW w:w="1000" w:type="pct"/>
            <w:noWrap/>
          </w:tcPr>
          <w:p w14:paraId="13C7AE83" w14:textId="77777777" w:rsidR="00E56E42" w:rsidRDefault="00E56E42">
            <w:pPr>
              <w:rPr>
                <w:color w:val="auto"/>
              </w:rPr>
            </w:pPr>
          </w:p>
        </w:tc>
        <w:tc>
          <w:tcPr>
            <w:tcW w:w="1000" w:type="pct"/>
          </w:tcPr>
          <w:p w14:paraId="6E7EA2BE" w14:textId="77777777" w:rsidR="00E56E42" w:rsidRDefault="00E24F99">
            <w:pPr>
              <w:rPr>
                <w:color w:val="auto"/>
              </w:rPr>
            </w:pPr>
            <w:r>
              <w:rPr>
                <w:color w:val="auto"/>
              </w:rPr>
              <w:t xml:space="preserve">Sabon Layi </w:t>
            </w:r>
          </w:p>
        </w:tc>
        <w:tc>
          <w:tcPr>
            <w:tcW w:w="1000" w:type="pct"/>
          </w:tcPr>
          <w:p w14:paraId="0B3633FC" w14:textId="77777777" w:rsidR="00E56E42" w:rsidRDefault="00E24F99">
            <w:pPr>
              <w:rPr>
                <w:color w:val="auto"/>
              </w:rPr>
            </w:pPr>
            <w:r>
              <w:rPr>
                <w:color w:val="auto"/>
              </w:rPr>
              <w:t xml:space="preserve">40 </w:t>
            </w:r>
          </w:p>
        </w:tc>
        <w:tc>
          <w:tcPr>
            <w:tcW w:w="1000" w:type="pct"/>
          </w:tcPr>
          <w:p w14:paraId="3974FFD2" w14:textId="77777777" w:rsidR="00E56E42" w:rsidRDefault="00E24F99">
            <w:pPr>
              <w:rPr>
                <w:color w:val="auto"/>
              </w:rPr>
            </w:pPr>
            <w:r>
              <w:rPr>
                <w:color w:val="auto"/>
              </w:rPr>
              <w:t>67.5</w:t>
            </w:r>
          </w:p>
        </w:tc>
        <w:tc>
          <w:tcPr>
            <w:tcW w:w="1000" w:type="pct"/>
          </w:tcPr>
          <w:p w14:paraId="5886FABF" w14:textId="77777777" w:rsidR="00E56E42" w:rsidRDefault="00E56E42">
            <w:pPr>
              <w:rPr>
                <w:color w:val="auto"/>
              </w:rPr>
            </w:pPr>
          </w:p>
        </w:tc>
      </w:tr>
      <w:tr w:rsidR="00E56E42" w14:paraId="19C20138" w14:textId="77777777" w:rsidTr="00E56E42">
        <w:tc>
          <w:tcPr>
            <w:tcW w:w="1000" w:type="pct"/>
            <w:noWrap/>
          </w:tcPr>
          <w:p w14:paraId="52046695" w14:textId="77777777" w:rsidR="00E56E42" w:rsidRDefault="00E56E42">
            <w:pPr>
              <w:rPr>
                <w:color w:val="auto"/>
              </w:rPr>
            </w:pPr>
          </w:p>
        </w:tc>
        <w:tc>
          <w:tcPr>
            <w:tcW w:w="1000" w:type="pct"/>
          </w:tcPr>
          <w:p w14:paraId="0DE04C75" w14:textId="77777777" w:rsidR="00E56E42" w:rsidRDefault="00E24F99">
            <w:pPr>
              <w:rPr>
                <w:color w:val="auto"/>
              </w:rPr>
            </w:pPr>
            <w:proofErr w:type="spellStart"/>
            <w:r>
              <w:rPr>
                <w:color w:val="auto"/>
              </w:rPr>
              <w:t>Lamorde</w:t>
            </w:r>
            <w:proofErr w:type="spellEnd"/>
            <w:r>
              <w:rPr>
                <w:color w:val="auto"/>
              </w:rPr>
              <w:t xml:space="preserve"> </w:t>
            </w:r>
          </w:p>
        </w:tc>
        <w:tc>
          <w:tcPr>
            <w:tcW w:w="1000" w:type="pct"/>
          </w:tcPr>
          <w:p w14:paraId="70E1CE50" w14:textId="77777777" w:rsidR="00E56E42" w:rsidRDefault="00E24F99">
            <w:pPr>
              <w:rPr>
                <w:color w:val="auto"/>
              </w:rPr>
            </w:pPr>
            <w:r>
              <w:rPr>
                <w:color w:val="auto"/>
              </w:rPr>
              <w:t>40</w:t>
            </w:r>
          </w:p>
        </w:tc>
        <w:tc>
          <w:tcPr>
            <w:tcW w:w="1000" w:type="pct"/>
          </w:tcPr>
          <w:p w14:paraId="21B4BA8A" w14:textId="77777777" w:rsidR="00E56E42" w:rsidRDefault="00E24F99">
            <w:pPr>
              <w:rPr>
                <w:color w:val="auto"/>
              </w:rPr>
            </w:pPr>
            <w:r>
              <w:rPr>
                <w:color w:val="auto"/>
              </w:rPr>
              <w:t>62.5</w:t>
            </w:r>
          </w:p>
        </w:tc>
        <w:tc>
          <w:tcPr>
            <w:tcW w:w="1000" w:type="pct"/>
          </w:tcPr>
          <w:p w14:paraId="2D651421" w14:textId="77777777" w:rsidR="00E56E42" w:rsidRDefault="00E56E42">
            <w:pPr>
              <w:rPr>
                <w:color w:val="auto"/>
              </w:rPr>
            </w:pPr>
          </w:p>
        </w:tc>
      </w:tr>
      <w:tr w:rsidR="00E56E42" w14:paraId="44F875E8" w14:textId="77777777" w:rsidTr="00E56E42">
        <w:tc>
          <w:tcPr>
            <w:tcW w:w="1000" w:type="pct"/>
            <w:noWrap/>
          </w:tcPr>
          <w:p w14:paraId="42B582E8" w14:textId="77777777" w:rsidR="00E56E42" w:rsidRDefault="00E56E42">
            <w:pPr>
              <w:rPr>
                <w:color w:val="auto"/>
              </w:rPr>
            </w:pPr>
          </w:p>
        </w:tc>
        <w:tc>
          <w:tcPr>
            <w:tcW w:w="1000" w:type="pct"/>
          </w:tcPr>
          <w:p w14:paraId="486BD5A6" w14:textId="77777777" w:rsidR="00E56E42" w:rsidRDefault="00E24F99">
            <w:pPr>
              <w:rPr>
                <w:color w:val="auto"/>
              </w:rPr>
            </w:pPr>
            <w:proofErr w:type="spellStart"/>
            <w:r>
              <w:rPr>
                <w:color w:val="auto"/>
              </w:rPr>
              <w:t>Vintim</w:t>
            </w:r>
            <w:proofErr w:type="spellEnd"/>
          </w:p>
        </w:tc>
        <w:tc>
          <w:tcPr>
            <w:tcW w:w="1000" w:type="pct"/>
          </w:tcPr>
          <w:p w14:paraId="6BF01333" w14:textId="77777777" w:rsidR="00E56E42" w:rsidRDefault="00E24F99">
            <w:pPr>
              <w:rPr>
                <w:color w:val="auto"/>
              </w:rPr>
            </w:pPr>
            <w:r>
              <w:rPr>
                <w:color w:val="auto"/>
              </w:rPr>
              <w:t>40</w:t>
            </w:r>
          </w:p>
        </w:tc>
        <w:tc>
          <w:tcPr>
            <w:tcW w:w="1000" w:type="pct"/>
          </w:tcPr>
          <w:p w14:paraId="741D79D2" w14:textId="77777777" w:rsidR="00E56E42" w:rsidRDefault="00E24F99">
            <w:pPr>
              <w:rPr>
                <w:color w:val="auto"/>
              </w:rPr>
            </w:pPr>
            <w:r>
              <w:rPr>
                <w:color w:val="auto"/>
              </w:rPr>
              <w:t>62.5</w:t>
            </w:r>
          </w:p>
        </w:tc>
        <w:tc>
          <w:tcPr>
            <w:tcW w:w="1000" w:type="pct"/>
          </w:tcPr>
          <w:p w14:paraId="29D75584" w14:textId="77777777" w:rsidR="00E56E42" w:rsidRDefault="00E56E42">
            <w:pPr>
              <w:rPr>
                <w:color w:val="auto"/>
              </w:rPr>
            </w:pPr>
          </w:p>
        </w:tc>
      </w:tr>
      <w:tr w:rsidR="00E56E42" w14:paraId="57E5835F" w14:textId="77777777" w:rsidTr="00E56E42">
        <w:tc>
          <w:tcPr>
            <w:tcW w:w="1000" w:type="pct"/>
            <w:noWrap/>
          </w:tcPr>
          <w:p w14:paraId="0AD00DAA" w14:textId="77777777" w:rsidR="00E56E42" w:rsidRDefault="00E56E42">
            <w:pPr>
              <w:rPr>
                <w:color w:val="auto"/>
              </w:rPr>
            </w:pPr>
          </w:p>
        </w:tc>
        <w:tc>
          <w:tcPr>
            <w:tcW w:w="1000" w:type="pct"/>
          </w:tcPr>
          <w:p w14:paraId="6AA8F810" w14:textId="77777777" w:rsidR="00E56E42" w:rsidRDefault="00E24F99">
            <w:pPr>
              <w:rPr>
                <w:color w:val="auto"/>
              </w:rPr>
            </w:pPr>
            <w:proofErr w:type="spellStart"/>
            <w:r>
              <w:rPr>
                <w:color w:val="auto"/>
              </w:rPr>
              <w:t>Lokuwa</w:t>
            </w:r>
            <w:proofErr w:type="spellEnd"/>
          </w:p>
        </w:tc>
        <w:tc>
          <w:tcPr>
            <w:tcW w:w="1000" w:type="pct"/>
          </w:tcPr>
          <w:p w14:paraId="6F417EB0" w14:textId="77777777" w:rsidR="00E56E42" w:rsidRDefault="00E24F99">
            <w:pPr>
              <w:rPr>
                <w:color w:val="auto"/>
              </w:rPr>
            </w:pPr>
            <w:r>
              <w:rPr>
                <w:color w:val="auto"/>
              </w:rPr>
              <w:t>40</w:t>
            </w:r>
          </w:p>
        </w:tc>
        <w:tc>
          <w:tcPr>
            <w:tcW w:w="1000" w:type="pct"/>
          </w:tcPr>
          <w:p w14:paraId="3EA60FF6" w14:textId="77777777" w:rsidR="00E56E42" w:rsidRDefault="00E24F99">
            <w:pPr>
              <w:rPr>
                <w:color w:val="auto"/>
              </w:rPr>
            </w:pPr>
            <w:r>
              <w:rPr>
                <w:color w:val="auto"/>
              </w:rPr>
              <w:t>60.0</w:t>
            </w:r>
          </w:p>
        </w:tc>
        <w:tc>
          <w:tcPr>
            <w:tcW w:w="1000" w:type="pct"/>
          </w:tcPr>
          <w:p w14:paraId="03BF2B1C" w14:textId="77777777" w:rsidR="00E56E42" w:rsidRDefault="00E56E42">
            <w:pPr>
              <w:rPr>
                <w:color w:val="auto"/>
              </w:rPr>
            </w:pPr>
          </w:p>
        </w:tc>
      </w:tr>
      <w:tr w:rsidR="00E56E42" w14:paraId="42E119D5" w14:textId="77777777" w:rsidTr="00E56E42">
        <w:tc>
          <w:tcPr>
            <w:tcW w:w="1000" w:type="pct"/>
            <w:noWrap/>
          </w:tcPr>
          <w:p w14:paraId="1AEDC82D" w14:textId="77777777" w:rsidR="00E56E42" w:rsidRDefault="00E56E42">
            <w:pPr>
              <w:rPr>
                <w:color w:val="auto"/>
              </w:rPr>
            </w:pPr>
          </w:p>
        </w:tc>
        <w:tc>
          <w:tcPr>
            <w:tcW w:w="1000" w:type="pct"/>
          </w:tcPr>
          <w:p w14:paraId="2F253912" w14:textId="77777777" w:rsidR="00E56E42" w:rsidRDefault="00E24F99">
            <w:pPr>
              <w:rPr>
                <w:color w:val="auto"/>
              </w:rPr>
            </w:pPr>
            <w:r>
              <w:rPr>
                <w:color w:val="auto"/>
              </w:rPr>
              <w:t xml:space="preserve">Bahuli </w:t>
            </w:r>
          </w:p>
        </w:tc>
        <w:tc>
          <w:tcPr>
            <w:tcW w:w="1000" w:type="pct"/>
          </w:tcPr>
          <w:p w14:paraId="420B2F65" w14:textId="77777777" w:rsidR="00E56E42" w:rsidRDefault="00E24F99">
            <w:pPr>
              <w:rPr>
                <w:color w:val="auto"/>
              </w:rPr>
            </w:pPr>
            <w:r>
              <w:rPr>
                <w:color w:val="auto"/>
              </w:rPr>
              <w:t>40</w:t>
            </w:r>
          </w:p>
        </w:tc>
        <w:tc>
          <w:tcPr>
            <w:tcW w:w="1000" w:type="pct"/>
          </w:tcPr>
          <w:p w14:paraId="422616F3" w14:textId="77777777" w:rsidR="00E56E42" w:rsidRDefault="00E24F99">
            <w:pPr>
              <w:rPr>
                <w:color w:val="auto"/>
              </w:rPr>
            </w:pPr>
            <w:r>
              <w:rPr>
                <w:color w:val="auto"/>
              </w:rPr>
              <w:t>60.0</w:t>
            </w:r>
          </w:p>
        </w:tc>
        <w:tc>
          <w:tcPr>
            <w:tcW w:w="1000" w:type="pct"/>
          </w:tcPr>
          <w:p w14:paraId="4A4B3946" w14:textId="77777777" w:rsidR="00E56E42" w:rsidRDefault="00E56E42">
            <w:pPr>
              <w:rPr>
                <w:color w:val="auto"/>
              </w:rPr>
            </w:pPr>
          </w:p>
        </w:tc>
      </w:tr>
      <w:tr w:rsidR="00E56E42" w14:paraId="5D9090D4" w14:textId="77777777" w:rsidTr="00E56E42">
        <w:tc>
          <w:tcPr>
            <w:tcW w:w="1000" w:type="pct"/>
            <w:noWrap/>
          </w:tcPr>
          <w:p w14:paraId="50A8CD54" w14:textId="77777777" w:rsidR="00E56E42" w:rsidRDefault="00E56E42">
            <w:pPr>
              <w:rPr>
                <w:color w:val="auto"/>
              </w:rPr>
            </w:pPr>
          </w:p>
        </w:tc>
        <w:tc>
          <w:tcPr>
            <w:tcW w:w="1000" w:type="pct"/>
          </w:tcPr>
          <w:p w14:paraId="76D9FE42" w14:textId="77777777" w:rsidR="00E56E42" w:rsidRDefault="00E24F99">
            <w:pPr>
              <w:rPr>
                <w:color w:val="auto"/>
              </w:rPr>
            </w:pPr>
            <w:r>
              <w:rPr>
                <w:color w:val="auto"/>
              </w:rPr>
              <w:t>Gella</w:t>
            </w:r>
          </w:p>
        </w:tc>
        <w:tc>
          <w:tcPr>
            <w:tcW w:w="1000" w:type="pct"/>
          </w:tcPr>
          <w:p w14:paraId="23FC15A7" w14:textId="77777777" w:rsidR="00E56E42" w:rsidRDefault="00E24F99">
            <w:pPr>
              <w:rPr>
                <w:color w:val="auto"/>
              </w:rPr>
            </w:pPr>
            <w:r>
              <w:rPr>
                <w:color w:val="auto"/>
              </w:rPr>
              <w:t xml:space="preserve">40 </w:t>
            </w:r>
          </w:p>
        </w:tc>
        <w:tc>
          <w:tcPr>
            <w:tcW w:w="1000" w:type="pct"/>
          </w:tcPr>
          <w:p w14:paraId="18D75BE5" w14:textId="77777777" w:rsidR="00E56E42" w:rsidRDefault="00E24F99">
            <w:pPr>
              <w:rPr>
                <w:color w:val="auto"/>
              </w:rPr>
            </w:pPr>
            <w:r>
              <w:rPr>
                <w:color w:val="auto"/>
              </w:rPr>
              <w:t>60.0</w:t>
            </w:r>
          </w:p>
        </w:tc>
        <w:tc>
          <w:tcPr>
            <w:tcW w:w="1000" w:type="pct"/>
          </w:tcPr>
          <w:p w14:paraId="18ED2AD3" w14:textId="77777777" w:rsidR="00E56E42" w:rsidRDefault="00E56E42">
            <w:pPr>
              <w:rPr>
                <w:color w:val="auto"/>
              </w:rPr>
            </w:pPr>
          </w:p>
        </w:tc>
      </w:tr>
      <w:tr w:rsidR="00E56E42" w14:paraId="60E048AC" w14:textId="77777777" w:rsidTr="00E56E42">
        <w:tc>
          <w:tcPr>
            <w:tcW w:w="1000" w:type="pct"/>
            <w:noWrap/>
          </w:tcPr>
          <w:p w14:paraId="0E110D5B" w14:textId="77777777" w:rsidR="00E56E42" w:rsidRDefault="00E56E42">
            <w:pPr>
              <w:rPr>
                <w:color w:val="auto"/>
              </w:rPr>
            </w:pPr>
          </w:p>
        </w:tc>
        <w:tc>
          <w:tcPr>
            <w:tcW w:w="1000" w:type="pct"/>
          </w:tcPr>
          <w:p w14:paraId="3F3A0498" w14:textId="77777777" w:rsidR="00E56E42" w:rsidRDefault="00E24F99">
            <w:pPr>
              <w:rPr>
                <w:color w:val="auto"/>
              </w:rPr>
            </w:pPr>
            <w:proofErr w:type="spellStart"/>
            <w:r>
              <w:rPr>
                <w:color w:val="auto"/>
              </w:rPr>
              <w:t>Wuropatuji</w:t>
            </w:r>
            <w:proofErr w:type="spellEnd"/>
          </w:p>
        </w:tc>
        <w:tc>
          <w:tcPr>
            <w:tcW w:w="1000" w:type="pct"/>
          </w:tcPr>
          <w:p w14:paraId="2FCF1F53" w14:textId="77777777" w:rsidR="00E56E42" w:rsidRDefault="00E24F99">
            <w:pPr>
              <w:rPr>
                <w:color w:val="auto"/>
              </w:rPr>
            </w:pPr>
            <w:r>
              <w:rPr>
                <w:color w:val="auto"/>
              </w:rPr>
              <w:t>40</w:t>
            </w:r>
          </w:p>
        </w:tc>
        <w:tc>
          <w:tcPr>
            <w:tcW w:w="1000" w:type="pct"/>
          </w:tcPr>
          <w:p w14:paraId="37F18067" w14:textId="77777777" w:rsidR="00E56E42" w:rsidRDefault="00E24F99">
            <w:pPr>
              <w:rPr>
                <w:color w:val="auto"/>
              </w:rPr>
            </w:pPr>
            <w:r>
              <w:rPr>
                <w:color w:val="auto"/>
              </w:rPr>
              <w:t>57.5</w:t>
            </w:r>
          </w:p>
        </w:tc>
        <w:tc>
          <w:tcPr>
            <w:tcW w:w="1000" w:type="pct"/>
          </w:tcPr>
          <w:p w14:paraId="46D7D3AC" w14:textId="77777777" w:rsidR="00E56E42" w:rsidRDefault="00E56E42">
            <w:pPr>
              <w:rPr>
                <w:color w:val="auto"/>
              </w:rPr>
            </w:pPr>
          </w:p>
        </w:tc>
      </w:tr>
      <w:tr w:rsidR="00E56E42" w14:paraId="3541F222" w14:textId="77777777" w:rsidTr="00E56E42">
        <w:trPr>
          <w:trHeight w:val="405"/>
        </w:trPr>
        <w:tc>
          <w:tcPr>
            <w:tcW w:w="1000" w:type="pct"/>
            <w:noWrap/>
          </w:tcPr>
          <w:p w14:paraId="1750CA80" w14:textId="77777777" w:rsidR="00E56E42" w:rsidRDefault="00E56E42">
            <w:pPr>
              <w:rPr>
                <w:color w:val="auto"/>
              </w:rPr>
            </w:pPr>
          </w:p>
        </w:tc>
        <w:tc>
          <w:tcPr>
            <w:tcW w:w="1000" w:type="pct"/>
          </w:tcPr>
          <w:p w14:paraId="11754614" w14:textId="77777777" w:rsidR="00E56E42" w:rsidRDefault="00E24F99">
            <w:pPr>
              <w:rPr>
                <w:color w:val="auto"/>
              </w:rPr>
            </w:pPr>
            <w:proofErr w:type="spellStart"/>
            <w:r>
              <w:rPr>
                <w:color w:val="auto"/>
              </w:rPr>
              <w:t>Munduva</w:t>
            </w:r>
            <w:proofErr w:type="spellEnd"/>
            <w:r>
              <w:rPr>
                <w:color w:val="auto"/>
              </w:rPr>
              <w:t xml:space="preserve"> </w:t>
            </w:r>
          </w:p>
        </w:tc>
        <w:tc>
          <w:tcPr>
            <w:tcW w:w="1000" w:type="pct"/>
          </w:tcPr>
          <w:p w14:paraId="5B0E1BDF" w14:textId="77777777" w:rsidR="00E56E42" w:rsidRDefault="00E24F99">
            <w:pPr>
              <w:rPr>
                <w:color w:val="auto"/>
              </w:rPr>
            </w:pPr>
            <w:r>
              <w:rPr>
                <w:color w:val="auto"/>
              </w:rPr>
              <w:t xml:space="preserve">40 </w:t>
            </w:r>
          </w:p>
        </w:tc>
        <w:tc>
          <w:tcPr>
            <w:tcW w:w="1000" w:type="pct"/>
          </w:tcPr>
          <w:p w14:paraId="4750131A" w14:textId="77777777" w:rsidR="00E56E42" w:rsidRDefault="00E24F99">
            <w:pPr>
              <w:rPr>
                <w:color w:val="auto"/>
              </w:rPr>
            </w:pPr>
            <w:r>
              <w:rPr>
                <w:color w:val="auto"/>
              </w:rPr>
              <w:t>57.5</w:t>
            </w:r>
          </w:p>
        </w:tc>
        <w:tc>
          <w:tcPr>
            <w:tcW w:w="1000" w:type="pct"/>
          </w:tcPr>
          <w:p w14:paraId="65F9A529" w14:textId="77777777" w:rsidR="00E56E42" w:rsidRDefault="00E56E42">
            <w:pPr>
              <w:rPr>
                <w:color w:val="auto"/>
              </w:rPr>
            </w:pPr>
          </w:p>
        </w:tc>
      </w:tr>
      <w:tr w:rsidR="00E56E42" w14:paraId="315036B3" w14:textId="77777777" w:rsidTr="00E56E42">
        <w:trPr>
          <w:cnfStyle w:val="010000000000" w:firstRow="0" w:lastRow="1" w:firstColumn="0" w:lastColumn="0" w:oddVBand="0" w:evenVBand="0" w:oddHBand="0" w:evenHBand="0" w:firstRowFirstColumn="0" w:firstRowLastColumn="0" w:lastRowFirstColumn="0" w:lastRowLastColumn="0"/>
        </w:trPr>
        <w:tc>
          <w:tcPr>
            <w:tcW w:w="1000" w:type="pct"/>
            <w:noWrap/>
          </w:tcPr>
          <w:p w14:paraId="3DF2CCD5" w14:textId="77777777" w:rsidR="00E56E42" w:rsidRDefault="00E56E42">
            <w:pPr>
              <w:rPr>
                <w:color w:val="auto"/>
              </w:rPr>
            </w:pPr>
          </w:p>
        </w:tc>
        <w:tc>
          <w:tcPr>
            <w:tcW w:w="1000" w:type="pct"/>
          </w:tcPr>
          <w:p w14:paraId="26A8CFFC" w14:textId="77777777" w:rsidR="00E56E42" w:rsidRDefault="00E56E42">
            <w:pPr>
              <w:rPr>
                <w:color w:val="auto"/>
              </w:rPr>
            </w:pPr>
          </w:p>
        </w:tc>
        <w:tc>
          <w:tcPr>
            <w:tcW w:w="1000" w:type="pct"/>
          </w:tcPr>
          <w:p w14:paraId="353FD0C3" w14:textId="77777777" w:rsidR="00E56E42" w:rsidRDefault="00E56E42">
            <w:pPr>
              <w:rPr>
                <w:color w:val="auto"/>
              </w:rPr>
            </w:pPr>
          </w:p>
        </w:tc>
        <w:tc>
          <w:tcPr>
            <w:tcW w:w="1000" w:type="pct"/>
          </w:tcPr>
          <w:p w14:paraId="6C3896FD" w14:textId="77777777" w:rsidR="00E56E42" w:rsidRDefault="00E56E42">
            <w:pPr>
              <w:rPr>
                <w:color w:val="auto"/>
              </w:rPr>
            </w:pPr>
          </w:p>
        </w:tc>
        <w:tc>
          <w:tcPr>
            <w:tcW w:w="1000" w:type="pct"/>
          </w:tcPr>
          <w:p w14:paraId="5205530F" w14:textId="77777777" w:rsidR="00E56E42" w:rsidRDefault="00E56E42">
            <w:pPr>
              <w:rPr>
                <w:color w:val="auto"/>
              </w:rPr>
            </w:pPr>
          </w:p>
        </w:tc>
      </w:tr>
    </w:tbl>
    <w:p w14:paraId="6D4F391B" w14:textId="77777777" w:rsidR="00E56E42" w:rsidRDefault="00E56E42"/>
    <w:p w14:paraId="134EB6F9" w14:textId="77777777" w:rsidR="00E56E42" w:rsidRDefault="00E56E42"/>
    <w:p w14:paraId="4DCE332A" w14:textId="77777777" w:rsidR="00E56E42" w:rsidRDefault="00E24F99">
      <w:pPr>
        <w:rPr>
          <w:b/>
        </w:rPr>
      </w:pPr>
      <w:r>
        <w:rPr>
          <w:b/>
        </w:rPr>
        <w:t>3.2 Overall Malaria Prevalence</w:t>
      </w:r>
    </w:p>
    <w:p w14:paraId="7A8DC1BF" w14:textId="77777777" w:rsidR="00E56E42" w:rsidRDefault="00E24F99">
      <w:r>
        <w:t xml:space="preserve">Of the 400 participants examined, 252 (63.0%) tested positive for </w:t>
      </w:r>
      <w:r>
        <w:rPr>
          <w:i/>
        </w:rPr>
        <w:t>Plasmodium falciparum</w:t>
      </w:r>
      <w:r>
        <w:t xml:space="preserve"> infection (Figure 1). This confirms high malaria endemicity in rural Mubi, consistent with hyperendemic transmission patterns (prevalence 50-75%).</w:t>
      </w:r>
    </w:p>
    <w:p w14:paraId="2B4EC761" w14:textId="77777777" w:rsidR="00E56E42" w:rsidRDefault="00E56E42"/>
    <w:p w14:paraId="0843ABFC" w14:textId="77777777" w:rsidR="00E56E42" w:rsidRDefault="00E24F99">
      <w:pPr>
        <w:rPr>
          <w:b/>
        </w:rPr>
      </w:pPr>
      <w:r>
        <w:rPr>
          <w:b/>
        </w:rPr>
        <w:t>3.3 Community-Specific Prevalence</w:t>
      </w:r>
    </w:p>
    <w:p w14:paraId="27298A8F" w14:textId="77777777" w:rsidR="00E56E42" w:rsidRDefault="00E24F99">
      <w:r>
        <w:t xml:space="preserve">Prevalence varied considerably across the ten communities, ranging from </w:t>
      </w:r>
      <w:r>
        <w:t>57.5% to 72.5% (Table 2). Communities located in low-lying areas with swampy terrain (</w:t>
      </w:r>
      <w:proofErr w:type="spellStart"/>
      <w:r>
        <w:t>Digil</w:t>
      </w:r>
      <w:proofErr w:type="spellEnd"/>
      <w:r>
        <w:t xml:space="preserve">, </w:t>
      </w:r>
      <w:proofErr w:type="spellStart"/>
      <w:r>
        <w:t>Muchalla</w:t>
      </w:r>
      <w:proofErr w:type="spellEnd"/>
      <w:r>
        <w:t>, and Sabon Layi) recorded the highest prevalence (&gt;67%), while communities on relatively higher ground (</w:t>
      </w:r>
      <w:proofErr w:type="spellStart"/>
      <w:r>
        <w:t>Munduva</w:t>
      </w:r>
      <w:proofErr w:type="spellEnd"/>
      <w:r>
        <w:t xml:space="preserve"> and </w:t>
      </w:r>
      <w:proofErr w:type="spellStart"/>
      <w:r>
        <w:t>Wuropatuji</w:t>
      </w:r>
      <w:proofErr w:type="spellEnd"/>
      <w:r>
        <w:t>) showed lower prevalence (&lt;</w:t>
      </w:r>
      <w:r>
        <w:t>60%).</w:t>
      </w:r>
    </w:p>
    <w:p w14:paraId="7FB569A3" w14:textId="77777777" w:rsidR="00E56E42" w:rsidRDefault="00E56E42"/>
    <w:p w14:paraId="6DA27C50" w14:textId="77777777" w:rsidR="00E56E42" w:rsidRDefault="00E24F99">
      <w:pPr>
        <w:rPr>
          <w:b/>
        </w:rPr>
      </w:pPr>
      <w:r>
        <w:rPr>
          <w:b/>
        </w:rPr>
        <w:t xml:space="preserve">Table 2: Prevalence of </w:t>
      </w:r>
      <w:r>
        <w:rPr>
          <w:b/>
          <w:i/>
        </w:rPr>
        <w:t>P. falciparum</w:t>
      </w:r>
      <w:r>
        <w:rPr>
          <w:b/>
        </w:rPr>
        <w:t xml:space="preserve"> by Community</w:t>
      </w:r>
    </w:p>
    <w:p w14:paraId="0D87EAB3" w14:textId="77777777" w:rsidR="00E56E42" w:rsidRDefault="00E56E42"/>
    <w:tbl>
      <w:tblPr>
        <w:tblStyle w:val="LightShading-Accent1"/>
        <w:tblW w:w="5000" w:type="pct"/>
        <w:tblLook w:val="0660" w:firstRow="1" w:lastRow="1" w:firstColumn="0" w:lastColumn="0" w:noHBand="1" w:noVBand="1"/>
      </w:tblPr>
      <w:tblGrid>
        <w:gridCol w:w="2340"/>
        <w:gridCol w:w="2340"/>
        <w:gridCol w:w="2340"/>
        <w:gridCol w:w="2340"/>
      </w:tblGrid>
      <w:tr w:rsidR="00E56E42" w14:paraId="7EF8AE7F" w14:textId="77777777" w:rsidTr="00E56E42">
        <w:trPr>
          <w:cnfStyle w:val="100000000000" w:firstRow="1" w:lastRow="0" w:firstColumn="0" w:lastColumn="0" w:oddVBand="0" w:evenVBand="0" w:oddHBand="0" w:evenHBand="0" w:firstRowFirstColumn="0" w:firstRowLastColumn="0" w:lastRowFirstColumn="0" w:lastRowLastColumn="0"/>
        </w:trPr>
        <w:tc>
          <w:tcPr>
            <w:tcW w:w="1250" w:type="pct"/>
            <w:noWrap/>
          </w:tcPr>
          <w:p w14:paraId="32437C37" w14:textId="77777777" w:rsidR="00E56E42" w:rsidRDefault="00E24F99">
            <w:pPr>
              <w:rPr>
                <w:color w:val="auto"/>
              </w:rPr>
            </w:pPr>
            <w:r>
              <w:rPr>
                <w:color w:val="auto"/>
              </w:rPr>
              <w:t xml:space="preserve">Community </w:t>
            </w:r>
          </w:p>
        </w:tc>
        <w:tc>
          <w:tcPr>
            <w:tcW w:w="1250" w:type="pct"/>
          </w:tcPr>
          <w:p w14:paraId="620123BE" w14:textId="77777777" w:rsidR="00E56E42" w:rsidRDefault="00E24F99">
            <w:pPr>
              <w:rPr>
                <w:color w:val="auto"/>
              </w:rPr>
            </w:pPr>
            <w:r>
              <w:rPr>
                <w:color w:val="auto"/>
              </w:rPr>
              <w:t xml:space="preserve">Number Examined </w:t>
            </w:r>
          </w:p>
        </w:tc>
        <w:tc>
          <w:tcPr>
            <w:tcW w:w="1250" w:type="pct"/>
          </w:tcPr>
          <w:p w14:paraId="60C52117" w14:textId="77777777" w:rsidR="00E56E42" w:rsidRDefault="00E24F99">
            <w:pPr>
              <w:rPr>
                <w:color w:val="auto"/>
              </w:rPr>
            </w:pPr>
            <w:r>
              <w:rPr>
                <w:color w:val="auto"/>
              </w:rPr>
              <w:t xml:space="preserve">Number Infected </w:t>
            </w:r>
          </w:p>
        </w:tc>
        <w:tc>
          <w:tcPr>
            <w:tcW w:w="1250" w:type="pct"/>
          </w:tcPr>
          <w:p w14:paraId="05934CDF" w14:textId="77777777" w:rsidR="00E56E42" w:rsidRDefault="00E24F99">
            <w:pPr>
              <w:rPr>
                <w:color w:val="auto"/>
              </w:rPr>
            </w:pPr>
            <w:r>
              <w:rPr>
                <w:color w:val="auto"/>
              </w:rPr>
              <w:t>Prevalence (%)</w:t>
            </w:r>
          </w:p>
        </w:tc>
      </w:tr>
      <w:tr w:rsidR="00E56E42" w14:paraId="5739361A" w14:textId="77777777" w:rsidTr="00E56E42">
        <w:tc>
          <w:tcPr>
            <w:tcW w:w="1250" w:type="pct"/>
            <w:noWrap/>
          </w:tcPr>
          <w:p w14:paraId="254B33C7" w14:textId="77777777" w:rsidR="00E56E42" w:rsidRDefault="00E56E42">
            <w:pPr>
              <w:rPr>
                <w:color w:val="auto"/>
              </w:rPr>
            </w:pPr>
          </w:p>
        </w:tc>
        <w:tc>
          <w:tcPr>
            <w:tcW w:w="1250" w:type="pct"/>
          </w:tcPr>
          <w:p w14:paraId="510E13A9" w14:textId="77777777" w:rsidR="00E56E42" w:rsidRDefault="00E24F99">
            <w:pPr>
              <w:rPr>
                <w:rStyle w:val="SubtleEmphasis"/>
                <w:color w:val="auto"/>
              </w:rPr>
            </w:pPr>
            <w:r>
              <w:rPr>
                <w:rStyle w:val="SubtleEmphasis"/>
                <w:color w:val="auto"/>
              </w:rPr>
              <w:t>Undergraduate</w:t>
            </w:r>
          </w:p>
        </w:tc>
        <w:tc>
          <w:tcPr>
            <w:tcW w:w="1250" w:type="pct"/>
          </w:tcPr>
          <w:p w14:paraId="24152758" w14:textId="77777777" w:rsidR="00E56E42" w:rsidRDefault="00E56E42">
            <w:pPr>
              <w:rPr>
                <w:color w:val="auto"/>
              </w:rPr>
            </w:pPr>
          </w:p>
        </w:tc>
        <w:tc>
          <w:tcPr>
            <w:tcW w:w="1250" w:type="pct"/>
          </w:tcPr>
          <w:p w14:paraId="5A93127D" w14:textId="77777777" w:rsidR="00E56E42" w:rsidRDefault="00E56E42">
            <w:pPr>
              <w:rPr>
                <w:color w:val="auto"/>
              </w:rPr>
            </w:pPr>
          </w:p>
        </w:tc>
      </w:tr>
      <w:tr w:rsidR="00E56E42" w14:paraId="4F897997" w14:textId="77777777" w:rsidTr="00E56E42">
        <w:tc>
          <w:tcPr>
            <w:tcW w:w="1250" w:type="pct"/>
            <w:noWrap/>
          </w:tcPr>
          <w:p w14:paraId="48DD647A" w14:textId="77777777" w:rsidR="00E56E42" w:rsidRDefault="00E24F99">
            <w:pPr>
              <w:rPr>
                <w:color w:val="auto"/>
              </w:rPr>
            </w:pPr>
            <w:proofErr w:type="spellStart"/>
            <w:r>
              <w:rPr>
                <w:color w:val="auto"/>
              </w:rPr>
              <w:t>Digil</w:t>
            </w:r>
            <w:proofErr w:type="spellEnd"/>
            <w:r>
              <w:rPr>
                <w:color w:val="auto"/>
              </w:rPr>
              <w:t xml:space="preserve"> </w:t>
            </w:r>
          </w:p>
        </w:tc>
        <w:tc>
          <w:tcPr>
            <w:tcW w:w="1250" w:type="pct"/>
          </w:tcPr>
          <w:p w14:paraId="70647EC6" w14:textId="77777777" w:rsidR="00E56E42" w:rsidRDefault="00E24F99">
            <w:pPr>
              <w:rPr>
                <w:color w:val="auto"/>
              </w:rPr>
            </w:pPr>
            <w:r>
              <w:rPr>
                <w:color w:val="auto"/>
              </w:rPr>
              <w:t xml:space="preserve">40 </w:t>
            </w:r>
          </w:p>
        </w:tc>
        <w:tc>
          <w:tcPr>
            <w:tcW w:w="1250" w:type="pct"/>
          </w:tcPr>
          <w:p w14:paraId="5A6065B1" w14:textId="77777777" w:rsidR="00E56E42" w:rsidRDefault="00E24F99">
            <w:pPr>
              <w:rPr>
                <w:color w:val="auto"/>
              </w:rPr>
            </w:pPr>
            <w:r>
              <w:rPr>
                <w:color w:val="auto"/>
              </w:rPr>
              <w:t xml:space="preserve">29 </w:t>
            </w:r>
          </w:p>
        </w:tc>
        <w:tc>
          <w:tcPr>
            <w:tcW w:w="1250" w:type="pct"/>
          </w:tcPr>
          <w:p w14:paraId="3F2A2991" w14:textId="77777777" w:rsidR="00E56E42" w:rsidRDefault="00E24F99">
            <w:pPr>
              <w:rPr>
                <w:color w:val="auto"/>
              </w:rPr>
            </w:pPr>
            <w:r>
              <w:rPr>
                <w:color w:val="auto"/>
              </w:rPr>
              <w:t>72.5</w:t>
            </w:r>
          </w:p>
        </w:tc>
      </w:tr>
      <w:tr w:rsidR="00E56E42" w14:paraId="58FF86FC" w14:textId="77777777" w:rsidTr="00E56E42">
        <w:tc>
          <w:tcPr>
            <w:tcW w:w="1250" w:type="pct"/>
            <w:noWrap/>
          </w:tcPr>
          <w:p w14:paraId="680A6E7E" w14:textId="77777777" w:rsidR="00E56E42" w:rsidRDefault="00E24F99">
            <w:pPr>
              <w:rPr>
                <w:color w:val="auto"/>
              </w:rPr>
            </w:pPr>
            <w:proofErr w:type="spellStart"/>
            <w:r>
              <w:rPr>
                <w:color w:val="auto"/>
              </w:rPr>
              <w:t>Muchalla</w:t>
            </w:r>
            <w:proofErr w:type="spellEnd"/>
            <w:r>
              <w:rPr>
                <w:color w:val="auto"/>
              </w:rPr>
              <w:t xml:space="preserve"> </w:t>
            </w:r>
          </w:p>
        </w:tc>
        <w:tc>
          <w:tcPr>
            <w:tcW w:w="1250" w:type="pct"/>
          </w:tcPr>
          <w:p w14:paraId="733DD367" w14:textId="77777777" w:rsidR="00E56E42" w:rsidRDefault="00E24F99">
            <w:pPr>
              <w:rPr>
                <w:color w:val="auto"/>
              </w:rPr>
            </w:pPr>
            <w:r>
              <w:rPr>
                <w:color w:val="auto"/>
              </w:rPr>
              <w:t xml:space="preserve">40 </w:t>
            </w:r>
          </w:p>
        </w:tc>
        <w:tc>
          <w:tcPr>
            <w:tcW w:w="1250" w:type="pct"/>
          </w:tcPr>
          <w:p w14:paraId="25E40B62" w14:textId="77777777" w:rsidR="00E56E42" w:rsidRDefault="00E24F99">
            <w:pPr>
              <w:rPr>
                <w:color w:val="auto"/>
              </w:rPr>
            </w:pPr>
            <w:r>
              <w:rPr>
                <w:color w:val="auto"/>
              </w:rPr>
              <w:t xml:space="preserve">28 </w:t>
            </w:r>
          </w:p>
        </w:tc>
        <w:tc>
          <w:tcPr>
            <w:tcW w:w="1250" w:type="pct"/>
          </w:tcPr>
          <w:p w14:paraId="389576E8" w14:textId="77777777" w:rsidR="00E56E42" w:rsidRDefault="00E24F99">
            <w:pPr>
              <w:rPr>
                <w:color w:val="auto"/>
              </w:rPr>
            </w:pPr>
            <w:r>
              <w:rPr>
                <w:color w:val="auto"/>
              </w:rPr>
              <w:t>70.0</w:t>
            </w:r>
          </w:p>
        </w:tc>
      </w:tr>
      <w:tr w:rsidR="00E56E42" w14:paraId="1F06929B" w14:textId="77777777" w:rsidTr="00E56E42">
        <w:tc>
          <w:tcPr>
            <w:tcW w:w="1250" w:type="pct"/>
            <w:noWrap/>
          </w:tcPr>
          <w:p w14:paraId="5DEA502E" w14:textId="77777777" w:rsidR="00E56E42" w:rsidRDefault="00E24F99">
            <w:pPr>
              <w:rPr>
                <w:color w:val="auto"/>
              </w:rPr>
            </w:pPr>
            <w:r>
              <w:rPr>
                <w:color w:val="auto"/>
              </w:rPr>
              <w:t xml:space="preserve">Sabon Layi </w:t>
            </w:r>
          </w:p>
        </w:tc>
        <w:tc>
          <w:tcPr>
            <w:tcW w:w="1250" w:type="pct"/>
          </w:tcPr>
          <w:p w14:paraId="0112DE5D" w14:textId="77777777" w:rsidR="00E56E42" w:rsidRDefault="00E24F99">
            <w:pPr>
              <w:rPr>
                <w:color w:val="auto"/>
              </w:rPr>
            </w:pPr>
            <w:r>
              <w:rPr>
                <w:color w:val="auto"/>
              </w:rPr>
              <w:t xml:space="preserve">40 </w:t>
            </w:r>
          </w:p>
        </w:tc>
        <w:tc>
          <w:tcPr>
            <w:tcW w:w="1250" w:type="pct"/>
          </w:tcPr>
          <w:p w14:paraId="4BE94D9B" w14:textId="77777777" w:rsidR="00E56E42" w:rsidRDefault="00E24F99">
            <w:pPr>
              <w:rPr>
                <w:color w:val="auto"/>
              </w:rPr>
            </w:pPr>
            <w:r>
              <w:rPr>
                <w:color w:val="auto"/>
              </w:rPr>
              <w:t xml:space="preserve">27 </w:t>
            </w:r>
          </w:p>
        </w:tc>
        <w:tc>
          <w:tcPr>
            <w:tcW w:w="1250" w:type="pct"/>
          </w:tcPr>
          <w:p w14:paraId="50531983" w14:textId="77777777" w:rsidR="00E56E42" w:rsidRDefault="00E24F99">
            <w:pPr>
              <w:rPr>
                <w:color w:val="auto"/>
              </w:rPr>
            </w:pPr>
            <w:r>
              <w:rPr>
                <w:color w:val="auto"/>
              </w:rPr>
              <w:t>67.5</w:t>
            </w:r>
          </w:p>
        </w:tc>
      </w:tr>
      <w:tr w:rsidR="00E56E42" w14:paraId="34DCE700" w14:textId="77777777" w:rsidTr="00E56E42">
        <w:tc>
          <w:tcPr>
            <w:tcW w:w="1250" w:type="pct"/>
            <w:noWrap/>
          </w:tcPr>
          <w:p w14:paraId="5A32F9E2" w14:textId="77777777" w:rsidR="00E56E42" w:rsidRDefault="00E24F99">
            <w:pPr>
              <w:rPr>
                <w:color w:val="auto"/>
              </w:rPr>
            </w:pPr>
            <w:proofErr w:type="spellStart"/>
            <w:r>
              <w:rPr>
                <w:color w:val="auto"/>
              </w:rPr>
              <w:t>Lamorde</w:t>
            </w:r>
            <w:proofErr w:type="spellEnd"/>
            <w:r>
              <w:rPr>
                <w:color w:val="auto"/>
              </w:rPr>
              <w:t xml:space="preserve"> </w:t>
            </w:r>
          </w:p>
        </w:tc>
        <w:tc>
          <w:tcPr>
            <w:tcW w:w="1250" w:type="pct"/>
          </w:tcPr>
          <w:p w14:paraId="70A92811" w14:textId="77777777" w:rsidR="00E56E42" w:rsidRDefault="00E24F99">
            <w:pPr>
              <w:rPr>
                <w:color w:val="auto"/>
              </w:rPr>
            </w:pPr>
            <w:r>
              <w:rPr>
                <w:color w:val="auto"/>
              </w:rPr>
              <w:t>40</w:t>
            </w:r>
          </w:p>
        </w:tc>
        <w:tc>
          <w:tcPr>
            <w:tcW w:w="1250" w:type="pct"/>
          </w:tcPr>
          <w:p w14:paraId="247313A1" w14:textId="77777777" w:rsidR="00E56E42" w:rsidRDefault="00E24F99">
            <w:pPr>
              <w:rPr>
                <w:color w:val="auto"/>
              </w:rPr>
            </w:pPr>
            <w:r>
              <w:rPr>
                <w:color w:val="auto"/>
              </w:rPr>
              <w:t>25</w:t>
            </w:r>
          </w:p>
        </w:tc>
        <w:tc>
          <w:tcPr>
            <w:tcW w:w="1250" w:type="pct"/>
          </w:tcPr>
          <w:p w14:paraId="6DC4E047" w14:textId="77777777" w:rsidR="00E56E42" w:rsidRDefault="00E24F99">
            <w:pPr>
              <w:rPr>
                <w:color w:val="auto"/>
              </w:rPr>
            </w:pPr>
            <w:r>
              <w:rPr>
                <w:color w:val="auto"/>
              </w:rPr>
              <w:t>62.5</w:t>
            </w:r>
          </w:p>
        </w:tc>
      </w:tr>
      <w:tr w:rsidR="00E56E42" w14:paraId="20A2C74A" w14:textId="77777777" w:rsidTr="00E56E42">
        <w:tc>
          <w:tcPr>
            <w:tcW w:w="1250" w:type="pct"/>
            <w:noWrap/>
          </w:tcPr>
          <w:p w14:paraId="1996B15C" w14:textId="77777777" w:rsidR="00E56E42" w:rsidRDefault="00E24F99">
            <w:pPr>
              <w:rPr>
                <w:color w:val="auto"/>
              </w:rPr>
            </w:pPr>
            <w:proofErr w:type="spellStart"/>
            <w:r>
              <w:rPr>
                <w:color w:val="auto"/>
              </w:rPr>
              <w:t>Vintim</w:t>
            </w:r>
            <w:proofErr w:type="spellEnd"/>
          </w:p>
        </w:tc>
        <w:tc>
          <w:tcPr>
            <w:tcW w:w="1250" w:type="pct"/>
          </w:tcPr>
          <w:p w14:paraId="451EDF67" w14:textId="77777777" w:rsidR="00E56E42" w:rsidRDefault="00E24F99">
            <w:pPr>
              <w:rPr>
                <w:color w:val="auto"/>
              </w:rPr>
            </w:pPr>
            <w:r>
              <w:rPr>
                <w:color w:val="auto"/>
              </w:rPr>
              <w:t>40</w:t>
            </w:r>
          </w:p>
        </w:tc>
        <w:tc>
          <w:tcPr>
            <w:tcW w:w="1250" w:type="pct"/>
          </w:tcPr>
          <w:p w14:paraId="4C6D491C" w14:textId="77777777" w:rsidR="00E56E42" w:rsidRDefault="00E24F99">
            <w:pPr>
              <w:rPr>
                <w:color w:val="auto"/>
              </w:rPr>
            </w:pPr>
            <w:r>
              <w:rPr>
                <w:color w:val="auto"/>
              </w:rPr>
              <w:t>25</w:t>
            </w:r>
          </w:p>
        </w:tc>
        <w:tc>
          <w:tcPr>
            <w:tcW w:w="1250" w:type="pct"/>
          </w:tcPr>
          <w:p w14:paraId="179A9715" w14:textId="77777777" w:rsidR="00E56E42" w:rsidRDefault="00E24F99">
            <w:pPr>
              <w:tabs>
                <w:tab w:val="center" w:pos="1089"/>
              </w:tabs>
              <w:rPr>
                <w:color w:val="auto"/>
              </w:rPr>
            </w:pPr>
            <w:r>
              <w:rPr>
                <w:color w:val="auto"/>
              </w:rPr>
              <w:t>62.5</w:t>
            </w:r>
            <w:r>
              <w:rPr>
                <w:color w:val="auto"/>
              </w:rPr>
              <w:tab/>
            </w:r>
          </w:p>
        </w:tc>
      </w:tr>
      <w:tr w:rsidR="00E56E42" w14:paraId="3BDD6E0D" w14:textId="77777777" w:rsidTr="00E56E42">
        <w:tc>
          <w:tcPr>
            <w:tcW w:w="1250" w:type="pct"/>
            <w:noWrap/>
          </w:tcPr>
          <w:p w14:paraId="1FC42060" w14:textId="77777777" w:rsidR="00E56E42" w:rsidRDefault="00E24F99">
            <w:pPr>
              <w:rPr>
                <w:color w:val="auto"/>
              </w:rPr>
            </w:pPr>
            <w:proofErr w:type="spellStart"/>
            <w:r>
              <w:rPr>
                <w:color w:val="auto"/>
              </w:rPr>
              <w:t>Lokuwa</w:t>
            </w:r>
            <w:proofErr w:type="spellEnd"/>
          </w:p>
        </w:tc>
        <w:tc>
          <w:tcPr>
            <w:tcW w:w="1250" w:type="pct"/>
          </w:tcPr>
          <w:p w14:paraId="421AC915" w14:textId="77777777" w:rsidR="00E56E42" w:rsidRDefault="00E24F99">
            <w:pPr>
              <w:rPr>
                <w:color w:val="auto"/>
              </w:rPr>
            </w:pPr>
            <w:r>
              <w:rPr>
                <w:color w:val="auto"/>
              </w:rPr>
              <w:t>40</w:t>
            </w:r>
          </w:p>
        </w:tc>
        <w:tc>
          <w:tcPr>
            <w:tcW w:w="1250" w:type="pct"/>
          </w:tcPr>
          <w:p w14:paraId="18A10C0A" w14:textId="77777777" w:rsidR="00E56E42" w:rsidRDefault="00E24F99">
            <w:pPr>
              <w:rPr>
                <w:color w:val="auto"/>
              </w:rPr>
            </w:pPr>
            <w:r>
              <w:rPr>
                <w:color w:val="auto"/>
              </w:rPr>
              <w:t>24</w:t>
            </w:r>
          </w:p>
        </w:tc>
        <w:tc>
          <w:tcPr>
            <w:tcW w:w="1250" w:type="pct"/>
          </w:tcPr>
          <w:p w14:paraId="75579433" w14:textId="77777777" w:rsidR="00E56E42" w:rsidRDefault="00E24F99">
            <w:pPr>
              <w:rPr>
                <w:color w:val="auto"/>
              </w:rPr>
            </w:pPr>
            <w:r>
              <w:rPr>
                <w:color w:val="auto"/>
              </w:rPr>
              <w:t>60.0</w:t>
            </w:r>
          </w:p>
        </w:tc>
      </w:tr>
      <w:tr w:rsidR="00E56E42" w14:paraId="2DF77B39" w14:textId="77777777" w:rsidTr="00E56E42">
        <w:tc>
          <w:tcPr>
            <w:tcW w:w="1250" w:type="pct"/>
            <w:noWrap/>
          </w:tcPr>
          <w:p w14:paraId="38D3B693" w14:textId="77777777" w:rsidR="00E56E42" w:rsidRDefault="00E24F99">
            <w:pPr>
              <w:rPr>
                <w:color w:val="auto"/>
              </w:rPr>
            </w:pPr>
            <w:r>
              <w:rPr>
                <w:color w:val="auto"/>
              </w:rPr>
              <w:t xml:space="preserve">Bahuli </w:t>
            </w:r>
          </w:p>
        </w:tc>
        <w:tc>
          <w:tcPr>
            <w:tcW w:w="1250" w:type="pct"/>
          </w:tcPr>
          <w:p w14:paraId="2D0FF4AE" w14:textId="77777777" w:rsidR="00E56E42" w:rsidRDefault="00E24F99">
            <w:pPr>
              <w:rPr>
                <w:color w:val="auto"/>
              </w:rPr>
            </w:pPr>
            <w:r>
              <w:rPr>
                <w:color w:val="auto"/>
              </w:rPr>
              <w:t>40</w:t>
            </w:r>
          </w:p>
        </w:tc>
        <w:tc>
          <w:tcPr>
            <w:tcW w:w="1250" w:type="pct"/>
          </w:tcPr>
          <w:p w14:paraId="582A716E" w14:textId="77777777" w:rsidR="00E56E42" w:rsidRDefault="00E24F99">
            <w:pPr>
              <w:rPr>
                <w:color w:val="auto"/>
              </w:rPr>
            </w:pPr>
            <w:r>
              <w:rPr>
                <w:color w:val="auto"/>
              </w:rPr>
              <w:t>24</w:t>
            </w:r>
          </w:p>
        </w:tc>
        <w:tc>
          <w:tcPr>
            <w:tcW w:w="1250" w:type="pct"/>
          </w:tcPr>
          <w:p w14:paraId="6F4E67F8" w14:textId="77777777" w:rsidR="00E56E42" w:rsidRDefault="00E24F99">
            <w:pPr>
              <w:rPr>
                <w:color w:val="auto"/>
              </w:rPr>
            </w:pPr>
            <w:r>
              <w:rPr>
                <w:color w:val="auto"/>
              </w:rPr>
              <w:t>60.0</w:t>
            </w:r>
          </w:p>
        </w:tc>
      </w:tr>
      <w:tr w:rsidR="00E56E42" w14:paraId="1E7AE04B" w14:textId="77777777" w:rsidTr="00E56E42">
        <w:tc>
          <w:tcPr>
            <w:tcW w:w="1250" w:type="pct"/>
            <w:noWrap/>
          </w:tcPr>
          <w:p w14:paraId="0A3F035D" w14:textId="77777777" w:rsidR="00E56E42" w:rsidRDefault="00E24F99">
            <w:pPr>
              <w:rPr>
                <w:color w:val="auto"/>
              </w:rPr>
            </w:pPr>
            <w:r>
              <w:rPr>
                <w:color w:val="auto"/>
              </w:rPr>
              <w:t>Gella</w:t>
            </w:r>
          </w:p>
        </w:tc>
        <w:tc>
          <w:tcPr>
            <w:tcW w:w="1250" w:type="pct"/>
          </w:tcPr>
          <w:p w14:paraId="2E70CF78" w14:textId="77777777" w:rsidR="00E56E42" w:rsidRDefault="00E24F99">
            <w:pPr>
              <w:rPr>
                <w:color w:val="auto"/>
              </w:rPr>
            </w:pPr>
            <w:r>
              <w:rPr>
                <w:color w:val="auto"/>
              </w:rPr>
              <w:t xml:space="preserve">40 </w:t>
            </w:r>
          </w:p>
        </w:tc>
        <w:tc>
          <w:tcPr>
            <w:tcW w:w="1250" w:type="pct"/>
          </w:tcPr>
          <w:p w14:paraId="38D3E96A" w14:textId="77777777" w:rsidR="00E56E42" w:rsidRDefault="00E24F99">
            <w:pPr>
              <w:rPr>
                <w:color w:val="auto"/>
              </w:rPr>
            </w:pPr>
            <w:r>
              <w:rPr>
                <w:color w:val="auto"/>
              </w:rPr>
              <w:t>24</w:t>
            </w:r>
          </w:p>
        </w:tc>
        <w:tc>
          <w:tcPr>
            <w:tcW w:w="1250" w:type="pct"/>
          </w:tcPr>
          <w:p w14:paraId="34AE518A" w14:textId="77777777" w:rsidR="00E56E42" w:rsidRDefault="00E24F99">
            <w:pPr>
              <w:rPr>
                <w:color w:val="auto"/>
              </w:rPr>
            </w:pPr>
            <w:r>
              <w:rPr>
                <w:color w:val="auto"/>
              </w:rPr>
              <w:t>60.0</w:t>
            </w:r>
          </w:p>
        </w:tc>
      </w:tr>
      <w:tr w:rsidR="00E56E42" w14:paraId="7B5BE33C" w14:textId="77777777" w:rsidTr="00E56E42">
        <w:tc>
          <w:tcPr>
            <w:tcW w:w="1250" w:type="pct"/>
            <w:noWrap/>
          </w:tcPr>
          <w:p w14:paraId="6AFB69D2" w14:textId="77777777" w:rsidR="00E56E42" w:rsidRDefault="00E24F99">
            <w:pPr>
              <w:rPr>
                <w:color w:val="auto"/>
              </w:rPr>
            </w:pPr>
            <w:proofErr w:type="spellStart"/>
            <w:r>
              <w:rPr>
                <w:color w:val="auto"/>
              </w:rPr>
              <w:t>Wuropatuji</w:t>
            </w:r>
            <w:proofErr w:type="spellEnd"/>
          </w:p>
        </w:tc>
        <w:tc>
          <w:tcPr>
            <w:tcW w:w="1250" w:type="pct"/>
          </w:tcPr>
          <w:p w14:paraId="4A178F8E" w14:textId="77777777" w:rsidR="00E56E42" w:rsidRDefault="00E24F99">
            <w:pPr>
              <w:rPr>
                <w:color w:val="auto"/>
              </w:rPr>
            </w:pPr>
            <w:r>
              <w:rPr>
                <w:color w:val="auto"/>
              </w:rPr>
              <w:t>40</w:t>
            </w:r>
          </w:p>
        </w:tc>
        <w:tc>
          <w:tcPr>
            <w:tcW w:w="1250" w:type="pct"/>
          </w:tcPr>
          <w:p w14:paraId="04EB1494" w14:textId="77777777" w:rsidR="00E56E42" w:rsidRDefault="00E24F99">
            <w:pPr>
              <w:rPr>
                <w:color w:val="auto"/>
              </w:rPr>
            </w:pPr>
            <w:r>
              <w:rPr>
                <w:color w:val="auto"/>
              </w:rPr>
              <w:t>23</w:t>
            </w:r>
          </w:p>
        </w:tc>
        <w:tc>
          <w:tcPr>
            <w:tcW w:w="1250" w:type="pct"/>
          </w:tcPr>
          <w:p w14:paraId="49812B03" w14:textId="77777777" w:rsidR="00E56E42" w:rsidRDefault="00E24F99">
            <w:pPr>
              <w:rPr>
                <w:color w:val="auto"/>
              </w:rPr>
            </w:pPr>
            <w:r>
              <w:rPr>
                <w:color w:val="auto"/>
              </w:rPr>
              <w:t>57.5</w:t>
            </w:r>
          </w:p>
        </w:tc>
      </w:tr>
      <w:tr w:rsidR="00E56E42" w14:paraId="14BE779A" w14:textId="77777777" w:rsidTr="00E56E42">
        <w:tc>
          <w:tcPr>
            <w:tcW w:w="1250" w:type="pct"/>
            <w:noWrap/>
          </w:tcPr>
          <w:p w14:paraId="0F296A23" w14:textId="77777777" w:rsidR="00E56E42" w:rsidRDefault="00E24F99">
            <w:pPr>
              <w:rPr>
                <w:color w:val="auto"/>
              </w:rPr>
            </w:pPr>
            <w:proofErr w:type="spellStart"/>
            <w:r>
              <w:rPr>
                <w:color w:val="auto"/>
              </w:rPr>
              <w:t>Munduva</w:t>
            </w:r>
            <w:proofErr w:type="spellEnd"/>
            <w:r>
              <w:rPr>
                <w:color w:val="auto"/>
              </w:rPr>
              <w:t xml:space="preserve"> </w:t>
            </w:r>
          </w:p>
        </w:tc>
        <w:tc>
          <w:tcPr>
            <w:tcW w:w="1250" w:type="pct"/>
          </w:tcPr>
          <w:p w14:paraId="42D98593" w14:textId="77777777" w:rsidR="00E56E42" w:rsidRDefault="00E24F99">
            <w:pPr>
              <w:rPr>
                <w:color w:val="auto"/>
              </w:rPr>
            </w:pPr>
            <w:r>
              <w:rPr>
                <w:color w:val="auto"/>
              </w:rPr>
              <w:t xml:space="preserve">40 </w:t>
            </w:r>
          </w:p>
        </w:tc>
        <w:tc>
          <w:tcPr>
            <w:tcW w:w="1250" w:type="pct"/>
          </w:tcPr>
          <w:p w14:paraId="2DE62F78" w14:textId="77777777" w:rsidR="00E56E42" w:rsidRDefault="00E24F99">
            <w:pPr>
              <w:rPr>
                <w:color w:val="auto"/>
              </w:rPr>
            </w:pPr>
            <w:r>
              <w:rPr>
                <w:color w:val="auto"/>
              </w:rPr>
              <w:t>23</w:t>
            </w:r>
          </w:p>
        </w:tc>
        <w:tc>
          <w:tcPr>
            <w:tcW w:w="1250" w:type="pct"/>
          </w:tcPr>
          <w:p w14:paraId="72B7EAFA" w14:textId="77777777" w:rsidR="00E56E42" w:rsidRDefault="00E24F99">
            <w:pPr>
              <w:rPr>
                <w:color w:val="auto"/>
              </w:rPr>
            </w:pPr>
            <w:r>
              <w:rPr>
                <w:color w:val="auto"/>
              </w:rPr>
              <w:t>57.5</w:t>
            </w:r>
          </w:p>
        </w:tc>
      </w:tr>
      <w:tr w:rsidR="00E56E42" w14:paraId="5B125035" w14:textId="77777777" w:rsidTr="00E56E42">
        <w:trPr>
          <w:cnfStyle w:val="010000000000" w:firstRow="0" w:lastRow="1" w:firstColumn="0" w:lastColumn="0" w:oddVBand="0" w:evenVBand="0" w:oddHBand="0" w:evenHBand="0" w:firstRowFirstColumn="0" w:firstRowLastColumn="0" w:lastRowFirstColumn="0" w:lastRowLastColumn="0"/>
        </w:trPr>
        <w:tc>
          <w:tcPr>
            <w:tcW w:w="1250" w:type="pct"/>
            <w:noWrap/>
          </w:tcPr>
          <w:p w14:paraId="69FF0F4E" w14:textId="77777777" w:rsidR="00E56E42" w:rsidRDefault="00E24F99">
            <w:pPr>
              <w:rPr>
                <w:color w:val="auto"/>
              </w:rPr>
            </w:pPr>
            <w:r>
              <w:rPr>
                <w:color w:val="auto"/>
              </w:rPr>
              <w:t xml:space="preserve">Total </w:t>
            </w:r>
          </w:p>
        </w:tc>
        <w:tc>
          <w:tcPr>
            <w:tcW w:w="1250" w:type="pct"/>
          </w:tcPr>
          <w:p w14:paraId="78FB24A9" w14:textId="77777777" w:rsidR="00E56E42" w:rsidRDefault="00E24F99">
            <w:pPr>
              <w:rPr>
                <w:color w:val="auto"/>
              </w:rPr>
            </w:pPr>
            <w:r>
              <w:rPr>
                <w:color w:val="auto"/>
              </w:rPr>
              <w:t>400</w:t>
            </w:r>
          </w:p>
        </w:tc>
        <w:tc>
          <w:tcPr>
            <w:tcW w:w="1250" w:type="pct"/>
          </w:tcPr>
          <w:p w14:paraId="55BA54DD" w14:textId="77777777" w:rsidR="00E56E42" w:rsidRDefault="00E24F99">
            <w:pPr>
              <w:rPr>
                <w:color w:val="auto"/>
              </w:rPr>
            </w:pPr>
            <w:r>
              <w:rPr>
                <w:color w:val="auto"/>
              </w:rPr>
              <w:t xml:space="preserve">252 </w:t>
            </w:r>
          </w:p>
        </w:tc>
        <w:tc>
          <w:tcPr>
            <w:tcW w:w="1250" w:type="pct"/>
          </w:tcPr>
          <w:p w14:paraId="68568AA8" w14:textId="77777777" w:rsidR="00E56E42" w:rsidRDefault="00E24F99">
            <w:pPr>
              <w:rPr>
                <w:color w:val="auto"/>
              </w:rPr>
            </w:pPr>
            <w:r>
              <w:rPr>
                <w:color w:val="auto"/>
              </w:rPr>
              <w:t>63.0</w:t>
            </w:r>
          </w:p>
        </w:tc>
      </w:tr>
    </w:tbl>
    <w:p w14:paraId="689BE0C9" w14:textId="77777777" w:rsidR="00E56E42" w:rsidRDefault="00E56E42">
      <w:pPr>
        <w:pStyle w:val="FootnoteText"/>
      </w:pPr>
    </w:p>
    <w:p w14:paraId="3F0B6F90" w14:textId="77777777" w:rsidR="00E56E42" w:rsidRDefault="00E24F99">
      <w:r>
        <w:t>χ²</w:t>
      </w:r>
      <w:r>
        <w:t xml:space="preserve"> = 4.892, df = 9, p = 0.843 (not significant)</w:t>
      </w:r>
    </w:p>
    <w:p w14:paraId="34C3BA69" w14:textId="77777777" w:rsidR="00E56E42" w:rsidRDefault="00E56E42"/>
    <w:p w14:paraId="53D3127A" w14:textId="77777777" w:rsidR="00E56E42" w:rsidRDefault="00E24F99">
      <w:r>
        <w:t xml:space="preserve">Although prevalence differences were observed, they did not reach statistical </w:t>
      </w:r>
      <w:r>
        <w:t>significance (p = 0.843), suggesting that all communities experience substantial transmission pressure.</w:t>
      </w:r>
    </w:p>
    <w:p w14:paraId="6378C555" w14:textId="77777777" w:rsidR="00E56E42" w:rsidRDefault="00E56E42"/>
    <w:p w14:paraId="2B37471D" w14:textId="77777777" w:rsidR="00E56E42" w:rsidRDefault="00E24F99">
      <w:pPr>
        <w:rPr>
          <w:b/>
        </w:rPr>
      </w:pPr>
      <w:r>
        <w:rPr>
          <w:b/>
        </w:rPr>
        <w:t>3.4 Sex-Specific Prevalence</w:t>
      </w:r>
    </w:p>
    <w:p w14:paraId="02AFF955" w14:textId="77777777" w:rsidR="00E56E42" w:rsidRDefault="00E24F99">
      <w:r>
        <w:t>Malaria prevalence was slightly higher among females (63.6%, 159/250) than males (62.0%, 93/150), as shown in Table 3. Howe</w:t>
      </w:r>
      <w:r>
        <w:t>ver, this difference was not statistically significant (p = 0.748), indicating that both sexes are equally at risk.</w:t>
      </w:r>
    </w:p>
    <w:p w14:paraId="33FCE488" w14:textId="77777777" w:rsidR="00E56E42" w:rsidRDefault="00E56E42"/>
    <w:p w14:paraId="07D80729" w14:textId="77777777" w:rsidR="00E56E42" w:rsidRDefault="00E24F99">
      <w:pPr>
        <w:rPr>
          <w:b/>
        </w:rPr>
      </w:pPr>
      <w:r>
        <w:rPr>
          <w:b/>
        </w:rPr>
        <w:t xml:space="preserve">Table 3: Prevalence of </w:t>
      </w:r>
      <w:r>
        <w:rPr>
          <w:b/>
          <w:i/>
        </w:rPr>
        <w:t>P. falciparum</w:t>
      </w:r>
      <w:r>
        <w:rPr>
          <w:b/>
        </w:rPr>
        <w:t xml:space="preserve"> by Sex</w:t>
      </w:r>
    </w:p>
    <w:p w14:paraId="05975A88" w14:textId="77777777" w:rsidR="00E56E42" w:rsidRDefault="00E56E42"/>
    <w:tbl>
      <w:tblPr>
        <w:tblStyle w:val="LightShading-Accent1"/>
        <w:tblW w:w="5000" w:type="pct"/>
        <w:tblLook w:val="0660" w:firstRow="1" w:lastRow="1" w:firstColumn="0" w:lastColumn="0" w:noHBand="1" w:noVBand="1"/>
      </w:tblPr>
      <w:tblGrid>
        <w:gridCol w:w="1562"/>
        <w:gridCol w:w="1560"/>
        <w:gridCol w:w="1560"/>
        <w:gridCol w:w="1560"/>
        <w:gridCol w:w="1559"/>
        <w:gridCol w:w="1559"/>
      </w:tblGrid>
      <w:tr w:rsidR="00E56E42" w14:paraId="544BF046" w14:textId="77777777" w:rsidTr="00E56E42">
        <w:trPr>
          <w:cnfStyle w:val="100000000000" w:firstRow="1" w:lastRow="0" w:firstColumn="0" w:lastColumn="0" w:oddVBand="0" w:evenVBand="0" w:oddHBand="0" w:evenHBand="0" w:firstRowFirstColumn="0" w:firstRowLastColumn="0" w:lastRowFirstColumn="0" w:lastRowLastColumn="0"/>
        </w:trPr>
        <w:tc>
          <w:tcPr>
            <w:tcW w:w="834" w:type="pct"/>
            <w:noWrap/>
          </w:tcPr>
          <w:p w14:paraId="1A78D472" w14:textId="77777777" w:rsidR="00E56E42" w:rsidRDefault="00E24F99">
            <w:pPr>
              <w:rPr>
                <w:color w:val="auto"/>
              </w:rPr>
            </w:pPr>
            <w:r>
              <w:rPr>
                <w:color w:val="auto"/>
              </w:rPr>
              <w:t xml:space="preserve">Sex </w:t>
            </w:r>
          </w:p>
        </w:tc>
        <w:tc>
          <w:tcPr>
            <w:tcW w:w="833" w:type="pct"/>
          </w:tcPr>
          <w:p w14:paraId="287AE65E" w14:textId="77777777" w:rsidR="00E56E42" w:rsidRDefault="00E24F99">
            <w:pPr>
              <w:rPr>
                <w:color w:val="auto"/>
              </w:rPr>
            </w:pPr>
            <w:r>
              <w:rPr>
                <w:color w:val="auto"/>
              </w:rPr>
              <w:t xml:space="preserve">Number Examined </w:t>
            </w:r>
          </w:p>
        </w:tc>
        <w:tc>
          <w:tcPr>
            <w:tcW w:w="833" w:type="pct"/>
          </w:tcPr>
          <w:p w14:paraId="0DE46C88" w14:textId="77777777" w:rsidR="00E56E42" w:rsidRDefault="00E24F99">
            <w:pPr>
              <w:rPr>
                <w:color w:val="auto"/>
              </w:rPr>
            </w:pPr>
            <w:r>
              <w:rPr>
                <w:color w:val="auto"/>
              </w:rPr>
              <w:t xml:space="preserve">Number Infected </w:t>
            </w:r>
          </w:p>
        </w:tc>
        <w:tc>
          <w:tcPr>
            <w:tcW w:w="833" w:type="pct"/>
          </w:tcPr>
          <w:p w14:paraId="0F2462B8" w14:textId="77777777" w:rsidR="00E56E42" w:rsidRDefault="00E24F99">
            <w:pPr>
              <w:rPr>
                <w:color w:val="auto"/>
              </w:rPr>
            </w:pPr>
            <w:r>
              <w:rPr>
                <w:color w:val="auto"/>
              </w:rPr>
              <w:t xml:space="preserve">Prevalence (%) </w:t>
            </w:r>
          </w:p>
        </w:tc>
        <w:tc>
          <w:tcPr>
            <w:tcW w:w="833" w:type="pct"/>
          </w:tcPr>
          <w:p w14:paraId="01EBE0FF" w14:textId="77777777" w:rsidR="00E56E42" w:rsidRDefault="00E24F99">
            <w:pPr>
              <w:rPr>
                <w:color w:val="auto"/>
                <w:vertAlign w:val="superscript"/>
              </w:rPr>
            </w:pPr>
            <w:r>
              <w:rPr>
                <w:color w:val="auto"/>
              </w:rPr>
              <w:t>X</w:t>
            </w:r>
            <w:r>
              <w:rPr>
                <w:color w:val="auto"/>
                <w:vertAlign w:val="superscript"/>
              </w:rPr>
              <w:t>2</w:t>
            </w:r>
          </w:p>
        </w:tc>
        <w:tc>
          <w:tcPr>
            <w:tcW w:w="833" w:type="pct"/>
          </w:tcPr>
          <w:p w14:paraId="51235A4C" w14:textId="77777777" w:rsidR="00E56E42" w:rsidRDefault="00E24F99">
            <w:pPr>
              <w:rPr>
                <w:color w:val="auto"/>
              </w:rPr>
            </w:pPr>
            <w:r>
              <w:rPr>
                <w:color w:val="auto"/>
              </w:rPr>
              <w:t>p-Value</w:t>
            </w:r>
          </w:p>
        </w:tc>
      </w:tr>
      <w:tr w:rsidR="00E56E42" w14:paraId="12A0BD3D" w14:textId="77777777" w:rsidTr="00E56E42">
        <w:tc>
          <w:tcPr>
            <w:tcW w:w="834" w:type="pct"/>
            <w:noWrap/>
          </w:tcPr>
          <w:p w14:paraId="004D9609" w14:textId="77777777" w:rsidR="00E56E42" w:rsidRDefault="00E24F99">
            <w:pPr>
              <w:rPr>
                <w:color w:val="auto"/>
              </w:rPr>
            </w:pPr>
            <w:r>
              <w:rPr>
                <w:color w:val="auto"/>
              </w:rPr>
              <w:t xml:space="preserve">Male </w:t>
            </w:r>
          </w:p>
        </w:tc>
        <w:tc>
          <w:tcPr>
            <w:tcW w:w="833" w:type="pct"/>
          </w:tcPr>
          <w:p w14:paraId="3B817A43" w14:textId="77777777" w:rsidR="00E56E42" w:rsidRDefault="00E24F99">
            <w:pPr>
              <w:rPr>
                <w:color w:val="auto"/>
              </w:rPr>
            </w:pPr>
            <w:r>
              <w:rPr>
                <w:color w:val="auto"/>
              </w:rPr>
              <w:t xml:space="preserve">150 </w:t>
            </w:r>
          </w:p>
        </w:tc>
        <w:tc>
          <w:tcPr>
            <w:tcW w:w="833" w:type="pct"/>
          </w:tcPr>
          <w:p w14:paraId="713C2F82" w14:textId="77777777" w:rsidR="00E56E42" w:rsidRDefault="00E24F99">
            <w:pPr>
              <w:rPr>
                <w:color w:val="auto"/>
              </w:rPr>
            </w:pPr>
            <w:r>
              <w:rPr>
                <w:color w:val="auto"/>
              </w:rPr>
              <w:t xml:space="preserve">93 </w:t>
            </w:r>
          </w:p>
        </w:tc>
        <w:tc>
          <w:tcPr>
            <w:tcW w:w="833" w:type="pct"/>
          </w:tcPr>
          <w:p w14:paraId="2CF78E48" w14:textId="77777777" w:rsidR="00E56E42" w:rsidRDefault="00E24F99">
            <w:pPr>
              <w:rPr>
                <w:color w:val="auto"/>
              </w:rPr>
            </w:pPr>
            <w:r>
              <w:rPr>
                <w:color w:val="auto"/>
              </w:rPr>
              <w:t>62.0</w:t>
            </w:r>
          </w:p>
        </w:tc>
        <w:tc>
          <w:tcPr>
            <w:tcW w:w="833" w:type="pct"/>
          </w:tcPr>
          <w:p w14:paraId="301A23F8" w14:textId="77777777" w:rsidR="00E56E42" w:rsidRDefault="00E24F99">
            <w:pPr>
              <w:rPr>
                <w:color w:val="auto"/>
              </w:rPr>
            </w:pPr>
            <w:r>
              <w:rPr>
                <w:color w:val="auto"/>
              </w:rPr>
              <w:t>0.103</w:t>
            </w:r>
          </w:p>
        </w:tc>
        <w:tc>
          <w:tcPr>
            <w:tcW w:w="833" w:type="pct"/>
          </w:tcPr>
          <w:p w14:paraId="75E2A354" w14:textId="77777777" w:rsidR="00E56E42" w:rsidRDefault="00E24F99">
            <w:pPr>
              <w:rPr>
                <w:color w:val="auto"/>
              </w:rPr>
            </w:pPr>
            <w:r>
              <w:rPr>
                <w:color w:val="auto"/>
              </w:rPr>
              <w:t>0.748</w:t>
            </w:r>
          </w:p>
        </w:tc>
      </w:tr>
      <w:tr w:rsidR="00E56E42" w14:paraId="51854AC6" w14:textId="77777777" w:rsidTr="00E56E42">
        <w:tc>
          <w:tcPr>
            <w:tcW w:w="834" w:type="pct"/>
            <w:noWrap/>
          </w:tcPr>
          <w:p w14:paraId="3B887A0B" w14:textId="77777777" w:rsidR="00E56E42" w:rsidRDefault="00E24F99">
            <w:pPr>
              <w:rPr>
                <w:color w:val="auto"/>
              </w:rPr>
            </w:pPr>
            <w:r>
              <w:rPr>
                <w:color w:val="auto"/>
              </w:rPr>
              <w:lastRenderedPageBreak/>
              <w:t xml:space="preserve">Female  </w:t>
            </w:r>
          </w:p>
        </w:tc>
        <w:tc>
          <w:tcPr>
            <w:tcW w:w="833" w:type="pct"/>
          </w:tcPr>
          <w:p w14:paraId="7DBECA44" w14:textId="77777777" w:rsidR="00E56E42" w:rsidRDefault="00E24F99">
            <w:pPr>
              <w:rPr>
                <w:color w:val="auto"/>
              </w:rPr>
            </w:pPr>
            <w:r>
              <w:rPr>
                <w:color w:val="auto"/>
              </w:rPr>
              <w:t>250</w:t>
            </w:r>
          </w:p>
        </w:tc>
        <w:tc>
          <w:tcPr>
            <w:tcW w:w="833" w:type="pct"/>
          </w:tcPr>
          <w:p w14:paraId="1B627D7A" w14:textId="77777777" w:rsidR="00E56E42" w:rsidRDefault="00E24F99">
            <w:pPr>
              <w:rPr>
                <w:color w:val="auto"/>
              </w:rPr>
            </w:pPr>
            <w:r>
              <w:rPr>
                <w:color w:val="auto"/>
              </w:rPr>
              <w:t xml:space="preserve">159 </w:t>
            </w:r>
          </w:p>
        </w:tc>
        <w:tc>
          <w:tcPr>
            <w:tcW w:w="833" w:type="pct"/>
          </w:tcPr>
          <w:p w14:paraId="2C748504" w14:textId="77777777" w:rsidR="00E56E42" w:rsidRDefault="00E24F99">
            <w:pPr>
              <w:rPr>
                <w:color w:val="auto"/>
              </w:rPr>
            </w:pPr>
            <w:r>
              <w:rPr>
                <w:color w:val="auto"/>
              </w:rPr>
              <w:t>63.6</w:t>
            </w:r>
          </w:p>
        </w:tc>
        <w:tc>
          <w:tcPr>
            <w:tcW w:w="833" w:type="pct"/>
          </w:tcPr>
          <w:p w14:paraId="0D1FC02D" w14:textId="77777777" w:rsidR="00E56E42" w:rsidRDefault="00E56E42">
            <w:pPr>
              <w:rPr>
                <w:color w:val="auto"/>
              </w:rPr>
            </w:pPr>
          </w:p>
        </w:tc>
        <w:tc>
          <w:tcPr>
            <w:tcW w:w="833" w:type="pct"/>
          </w:tcPr>
          <w:p w14:paraId="161C2A09" w14:textId="77777777" w:rsidR="00E56E42" w:rsidRDefault="00E56E42">
            <w:pPr>
              <w:rPr>
                <w:color w:val="auto"/>
              </w:rPr>
            </w:pPr>
          </w:p>
        </w:tc>
      </w:tr>
      <w:tr w:rsidR="00E56E42" w14:paraId="1209B62D" w14:textId="77777777" w:rsidTr="00E56E42">
        <w:trPr>
          <w:cnfStyle w:val="010000000000" w:firstRow="0" w:lastRow="1" w:firstColumn="0" w:lastColumn="0" w:oddVBand="0" w:evenVBand="0" w:oddHBand="0" w:evenHBand="0" w:firstRowFirstColumn="0" w:firstRowLastColumn="0" w:lastRowFirstColumn="0" w:lastRowLastColumn="0"/>
        </w:trPr>
        <w:tc>
          <w:tcPr>
            <w:tcW w:w="834" w:type="pct"/>
            <w:noWrap/>
          </w:tcPr>
          <w:p w14:paraId="01926DEB" w14:textId="77777777" w:rsidR="00E56E42" w:rsidRDefault="00E24F99">
            <w:pPr>
              <w:rPr>
                <w:color w:val="auto"/>
              </w:rPr>
            </w:pPr>
            <w:r>
              <w:rPr>
                <w:color w:val="auto"/>
              </w:rPr>
              <w:t xml:space="preserve">Total </w:t>
            </w:r>
          </w:p>
        </w:tc>
        <w:tc>
          <w:tcPr>
            <w:tcW w:w="833" w:type="pct"/>
          </w:tcPr>
          <w:p w14:paraId="698F77A2" w14:textId="77777777" w:rsidR="00E56E42" w:rsidRDefault="00E24F99">
            <w:pPr>
              <w:rPr>
                <w:color w:val="auto"/>
              </w:rPr>
            </w:pPr>
            <w:r>
              <w:rPr>
                <w:color w:val="auto"/>
              </w:rPr>
              <w:t>400</w:t>
            </w:r>
          </w:p>
        </w:tc>
        <w:tc>
          <w:tcPr>
            <w:tcW w:w="833" w:type="pct"/>
          </w:tcPr>
          <w:p w14:paraId="3FED6296" w14:textId="77777777" w:rsidR="00E56E42" w:rsidRDefault="00E24F99">
            <w:pPr>
              <w:rPr>
                <w:color w:val="auto"/>
              </w:rPr>
            </w:pPr>
            <w:r>
              <w:rPr>
                <w:color w:val="auto"/>
              </w:rPr>
              <w:t xml:space="preserve">252 </w:t>
            </w:r>
          </w:p>
        </w:tc>
        <w:tc>
          <w:tcPr>
            <w:tcW w:w="833" w:type="pct"/>
          </w:tcPr>
          <w:p w14:paraId="10EBE68B" w14:textId="77777777" w:rsidR="00E56E42" w:rsidRDefault="00E24F99">
            <w:pPr>
              <w:rPr>
                <w:color w:val="auto"/>
              </w:rPr>
            </w:pPr>
            <w:r>
              <w:rPr>
                <w:color w:val="auto"/>
              </w:rPr>
              <w:t>63.0</w:t>
            </w:r>
          </w:p>
        </w:tc>
        <w:tc>
          <w:tcPr>
            <w:tcW w:w="833" w:type="pct"/>
          </w:tcPr>
          <w:p w14:paraId="44F81200" w14:textId="77777777" w:rsidR="00E56E42" w:rsidRDefault="00E56E42">
            <w:pPr>
              <w:rPr>
                <w:color w:val="auto"/>
              </w:rPr>
            </w:pPr>
          </w:p>
        </w:tc>
        <w:tc>
          <w:tcPr>
            <w:tcW w:w="833" w:type="pct"/>
          </w:tcPr>
          <w:p w14:paraId="7BD769FB" w14:textId="77777777" w:rsidR="00E56E42" w:rsidRDefault="00E56E42">
            <w:pPr>
              <w:rPr>
                <w:color w:val="auto"/>
              </w:rPr>
            </w:pPr>
          </w:p>
        </w:tc>
      </w:tr>
    </w:tbl>
    <w:p w14:paraId="199E96B8" w14:textId="77777777" w:rsidR="00E56E42" w:rsidRDefault="00E56E42"/>
    <w:p w14:paraId="7408D76C" w14:textId="77777777" w:rsidR="00E56E42" w:rsidRDefault="00E56E42"/>
    <w:p w14:paraId="123D4E7C" w14:textId="77777777" w:rsidR="00E56E42" w:rsidRDefault="00E24F99">
      <w:pPr>
        <w:rPr>
          <w:b/>
        </w:rPr>
      </w:pPr>
      <w:r>
        <w:rPr>
          <w:b/>
        </w:rPr>
        <w:t>3.5 Age-Specific Prevalence</w:t>
      </w:r>
    </w:p>
    <w:p w14:paraId="54F8B573" w14:textId="77777777" w:rsidR="00E56E42" w:rsidRDefault="00E24F99">
      <w:r>
        <w:t xml:space="preserve">Age-related prevalence showed a distinct pattern (Table 4; Figure 2). Children aged 2-10 years recorded the highest prevalence (77.6%, 76/98), followed by young adults </w:t>
      </w:r>
      <w:r>
        <w:t>aged 31-40 years (70.6%, 12/17) and adolescents aged 11-20 years (68.6%, 120/175). Adults aged 21-30 years had the lowest prevalence (40.0%, 44/110).</w:t>
      </w:r>
    </w:p>
    <w:p w14:paraId="6455E4C7" w14:textId="77777777" w:rsidR="00E56E42" w:rsidRDefault="00E56E42"/>
    <w:p w14:paraId="4E3684A1" w14:textId="77777777" w:rsidR="00E56E42" w:rsidRDefault="00E56E42"/>
    <w:p w14:paraId="1C8AE244" w14:textId="77777777" w:rsidR="00E56E42" w:rsidRDefault="00E56E42"/>
    <w:p w14:paraId="17171303" w14:textId="77777777" w:rsidR="00E56E42" w:rsidRDefault="00E24F99">
      <w:pPr>
        <w:rPr>
          <w:b/>
        </w:rPr>
      </w:pPr>
      <w:r>
        <w:rPr>
          <w:b/>
        </w:rPr>
        <w:t xml:space="preserve">Table 4: Prevalence of </w:t>
      </w:r>
      <w:r>
        <w:rPr>
          <w:b/>
          <w:i/>
        </w:rPr>
        <w:t>P. falciparum</w:t>
      </w:r>
      <w:r>
        <w:rPr>
          <w:b/>
        </w:rPr>
        <w:t xml:space="preserve"> by Age Group</w:t>
      </w:r>
    </w:p>
    <w:p w14:paraId="6B41186E" w14:textId="77777777" w:rsidR="00E56E42" w:rsidRDefault="00E56E42"/>
    <w:tbl>
      <w:tblPr>
        <w:tblStyle w:val="LightShading-Accent1"/>
        <w:tblW w:w="5000" w:type="pct"/>
        <w:tblLook w:val="0660" w:firstRow="1" w:lastRow="1" w:firstColumn="0" w:lastColumn="0" w:noHBand="1" w:noVBand="1"/>
      </w:tblPr>
      <w:tblGrid>
        <w:gridCol w:w="2676"/>
        <w:gridCol w:w="2228"/>
        <w:gridCol w:w="2228"/>
        <w:gridCol w:w="2228"/>
      </w:tblGrid>
      <w:tr w:rsidR="00E56E42" w14:paraId="7D57F59E" w14:textId="77777777" w:rsidTr="00E56E42">
        <w:trPr>
          <w:cnfStyle w:val="100000000000" w:firstRow="1" w:lastRow="0" w:firstColumn="0" w:lastColumn="0" w:oddVBand="0" w:evenVBand="0" w:oddHBand="0" w:evenHBand="0" w:firstRowFirstColumn="0" w:firstRowLastColumn="0" w:lastRowFirstColumn="0" w:lastRowLastColumn="0"/>
          <w:trHeight w:val="513"/>
        </w:trPr>
        <w:tc>
          <w:tcPr>
            <w:tcW w:w="1430" w:type="pct"/>
            <w:noWrap/>
          </w:tcPr>
          <w:p w14:paraId="3B531299" w14:textId="77777777" w:rsidR="00E56E42" w:rsidRDefault="00E24F99">
            <w:pPr>
              <w:rPr>
                <w:color w:val="auto"/>
              </w:rPr>
            </w:pPr>
            <w:r>
              <w:rPr>
                <w:color w:val="auto"/>
              </w:rPr>
              <w:t>Age Group (years)</w:t>
            </w:r>
          </w:p>
        </w:tc>
        <w:tc>
          <w:tcPr>
            <w:tcW w:w="1190" w:type="pct"/>
          </w:tcPr>
          <w:p w14:paraId="7CFD3AF0" w14:textId="77777777" w:rsidR="00E56E42" w:rsidRDefault="00E24F99">
            <w:pPr>
              <w:rPr>
                <w:color w:val="auto"/>
              </w:rPr>
            </w:pPr>
            <w:r>
              <w:rPr>
                <w:color w:val="auto"/>
              </w:rPr>
              <w:t xml:space="preserve">Number Examined </w:t>
            </w:r>
          </w:p>
        </w:tc>
        <w:tc>
          <w:tcPr>
            <w:tcW w:w="1190" w:type="pct"/>
          </w:tcPr>
          <w:p w14:paraId="19CB14B5" w14:textId="77777777" w:rsidR="00E56E42" w:rsidRDefault="00E24F99">
            <w:pPr>
              <w:rPr>
                <w:color w:val="auto"/>
              </w:rPr>
            </w:pPr>
            <w:r>
              <w:rPr>
                <w:color w:val="auto"/>
              </w:rPr>
              <w:t xml:space="preserve">Number Infected </w:t>
            </w:r>
          </w:p>
        </w:tc>
        <w:tc>
          <w:tcPr>
            <w:tcW w:w="1190" w:type="pct"/>
          </w:tcPr>
          <w:p w14:paraId="1EE61FA0" w14:textId="77777777" w:rsidR="00E56E42" w:rsidRDefault="00E24F99">
            <w:pPr>
              <w:rPr>
                <w:color w:val="auto"/>
              </w:rPr>
            </w:pPr>
            <w:r>
              <w:rPr>
                <w:color w:val="auto"/>
              </w:rPr>
              <w:t xml:space="preserve">Prevalence (%) </w:t>
            </w:r>
          </w:p>
        </w:tc>
      </w:tr>
      <w:tr w:rsidR="00E56E42" w14:paraId="51F7C900" w14:textId="77777777" w:rsidTr="00E56E42">
        <w:trPr>
          <w:trHeight w:val="534"/>
        </w:trPr>
        <w:tc>
          <w:tcPr>
            <w:tcW w:w="1430" w:type="pct"/>
            <w:noWrap/>
          </w:tcPr>
          <w:p w14:paraId="3276ACF4" w14:textId="77777777" w:rsidR="00E56E42" w:rsidRDefault="00E24F99">
            <w:pPr>
              <w:rPr>
                <w:color w:val="auto"/>
              </w:rPr>
            </w:pPr>
            <w:r>
              <w:rPr>
                <w:color w:val="auto"/>
              </w:rPr>
              <w:t xml:space="preserve">2-10   </w:t>
            </w:r>
          </w:p>
          <w:p w14:paraId="0DD5DE8A" w14:textId="77777777" w:rsidR="00E56E42" w:rsidRDefault="00E56E42">
            <w:pPr>
              <w:rPr>
                <w:color w:val="auto"/>
              </w:rPr>
            </w:pPr>
          </w:p>
        </w:tc>
        <w:tc>
          <w:tcPr>
            <w:tcW w:w="1190" w:type="pct"/>
          </w:tcPr>
          <w:p w14:paraId="60C71C10" w14:textId="77777777" w:rsidR="00E56E42" w:rsidRDefault="00E24F99">
            <w:pPr>
              <w:rPr>
                <w:color w:val="auto"/>
              </w:rPr>
            </w:pPr>
            <w:r>
              <w:rPr>
                <w:color w:val="auto"/>
              </w:rPr>
              <w:t xml:space="preserve">98 </w:t>
            </w:r>
          </w:p>
        </w:tc>
        <w:tc>
          <w:tcPr>
            <w:tcW w:w="1190" w:type="pct"/>
          </w:tcPr>
          <w:p w14:paraId="518C7A09" w14:textId="77777777" w:rsidR="00E56E42" w:rsidRDefault="00E24F99">
            <w:pPr>
              <w:rPr>
                <w:color w:val="auto"/>
              </w:rPr>
            </w:pPr>
            <w:r>
              <w:rPr>
                <w:color w:val="auto"/>
              </w:rPr>
              <w:t xml:space="preserve">93 </w:t>
            </w:r>
          </w:p>
        </w:tc>
        <w:tc>
          <w:tcPr>
            <w:tcW w:w="1190" w:type="pct"/>
          </w:tcPr>
          <w:p w14:paraId="15329E83" w14:textId="77777777" w:rsidR="00E56E42" w:rsidRDefault="00E24F99">
            <w:pPr>
              <w:rPr>
                <w:color w:val="auto"/>
              </w:rPr>
            </w:pPr>
            <w:r>
              <w:rPr>
                <w:color w:val="auto"/>
              </w:rPr>
              <w:t>77.6</w:t>
            </w:r>
          </w:p>
        </w:tc>
      </w:tr>
      <w:tr w:rsidR="00E56E42" w14:paraId="1DEAB9A3" w14:textId="77777777" w:rsidTr="00E56E42">
        <w:trPr>
          <w:trHeight w:val="513"/>
        </w:trPr>
        <w:tc>
          <w:tcPr>
            <w:tcW w:w="1430" w:type="pct"/>
            <w:noWrap/>
          </w:tcPr>
          <w:p w14:paraId="29E6F4CB" w14:textId="77777777" w:rsidR="00E56E42" w:rsidRDefault="00E24F99">
            <w:pPr>
              <w:rPr>
                <w:color w:val="auto"/>
              </w:rPr>
            </w:pPr>
            <w:r>
              <w:rPr>
                <w:color w:val="auto"/>
              </w:rPr>
              <w:t xml:space="preserve">11-20   </w:t>
            </w:r>
          </w:p>
        </w:tc>
        <w:tc>
          <w:tcPr>
            <w:tcW w:w="1190" w:type="pct"/>
          </w:tcPr>
          <w:p w14:paraId="1C49E9E3" w14:textId="77777777" w:rsidR="00E56E42" w:rsidRDefault="00E24F99">
            <w:pPr>
              <w:rPr>
                <w:color w:val="auto"/>
              </w:rPr>
            </w:pPr>
            <w:r>
              <w:rPr>
                <w:color w:val="auto"/>
              </w:rPr>
              <w:t>175</w:t>
            </w:r>
          </w:p>
        </w:tc>
        <w:tc>
          <w:tcPr>
            <w:tcW w:w="1190" w:type="pct"/>
          </w:tcPr>
          <w:p w14:paraId="5A9E70A5" w14:textId="77777777" w:rsidR="00E56E42" w:rsidRDefault="00E24F99">
            <w:pPr>
              <w:rPr>
                <w:color w:val="auto"/>
              </w:rPr>
            </w:pPr>
            <w:r>
              <w:rPr>
                <w:color w:val="auto"/>
              </w:rPr>
              <w:t xml:space="preserve">120 </w:t>
            </w:r>
          </w:p>
        </w:tc>
        <w:tc>
          <w:tcPr>
            <w:tcW w:w="1190" w:type="pct"/>
          </w:tcPr>
          <w:p w14:paraId="0B545937" w14:textId="77777777" w:rsidR="00E56E42" w:rsidRDefault="00E24F99">
            <w:pPr>
              <w:rPr>
                <w:color w:val="auto"/>
              </w:rPr>
            </w:pPr>
            <w:r>
              <w:rPr>
                <w:color w:val="auto"/>
              </w:rPr>
              <w:t>68.6</w:t>
            </w:r>
          </w:p>
          <w:p w14:paraId="3DEF3C57" w14:textId="77777777" w:rsidR="00E56E42" w:rsidRDefault="00E56E42">
            <w:pPr>
              <w:rPr>
                <w:color w:val="auto"/>
              </w:rPr>
            </w:pPr>
          </w:p>
        </w:tc>
      </w:tr>
      <w:tr w:rsidR="00E56E42" w14:paraId="278DBF42" w14:textId="77777777" w:rsidTr="00E56E42">
        <w:trPr>
          <w:trHeight w:val="534"/>
        </w:trPr>
        <w:tc>
          <w:tcPr>
            <w:tcW w:w="1430" w:type="pct"/>
            <w:noWrap/>
          </w:tcPr>
          <w:p w14:paraId="50E0687F" w14:textId="77777777" w:rsidR="00E56E42" w:rsidRDefault="00E24F99">
            <w:pPr>
              <w:rPr>
                <w:color w:val="auto"/>
              </w:rPr>
            </w:pPr>
            <w:r>
              <w:rPr>
                <w:color w:val="auto"/>
              </w:rPr>
              <w:t>21-30</w:t>
            </w:r>
          </w:p>
        </w:tc>
        <w:tc>
          <w:tcPr>
            <w:tcW w:w="1190" w:type="pct"/>
          </w:tcPr>
          <w:p w14:paraId="4C15B883" w14:textId="77777777" w:rsidR="00E56E42" w:rsidRDefault="00E24F99">
            <w:pPr>
              <w:rPr>
                <w:color w:val="auto"/>
              </w:rPr>
            </w:pPr>
            <w:r>
              <w:rPr>
                <w:color w:val="auto"/>
              </w:rPr>
              <w:t>110</w:t>
            </w:r>
          </w:p>
        </w:tc>
        <w:tc>
          <w:tcPr>
            <w:tcW w:w="1190" w:type="pct"/>
          </w:tcPr>
          <w:p w14:paraId="78545466" w14:textId="77777777" w:rsidR="00E56E42" w:rsidRDefault="00E24F99">
            <w:pPr>
              <w:rPr>
                <w:color w:val="auto"/>
              </w:rPr>
            </w:pPr>
            <w:r>
              <w:rPr>
                <w:color w:val="auto"/>
              </w:rPr>
              <w:t>44</w:t>
            </w:r>
          </w:p>
        </w:tc>
        <w:tc>
          <w:tcPr>
            <w:tcW w:w="1190" w:type="pct"/>
          </w:tcPr>
          <w:p w14:paraId="5636D2F3" w14:textId="77777777" w:rsidR="00E56E42" w:rsidRDefault="00E24F99">
            <w:pPr>
              <w:rPr>
                <w:color w:val="auto"/>
              </w:rPr>
            </w:pPr>
            <w:r>
              <w:rPr>
                <w:color w:val="auto"/>
              </w:rPr>
              <w:t>40.0</w:t>
            </w:r>
          </w:p>
          <w:p w14:paraId="1047A4E6" w14:textId="77777777" w:rsidR="00E56E42" w:rsidRDefault="00E56E42">
            <w:pPr>
              <w:rPr>
                <w:color w:val="auto"/>
              </w:rPr>
            </w:pPr>
          </w:p>
        </w:tc>
      </w:tr>
      <w:tr w:rsidR="00E56E42" w14:paraId="4447707E" w14:textId="77777777" w:rsidTr="00E56E42">
        <w:trPr>
          <w:trHeight w:val="534"/>
        </w:trPr>
        <w:tc>
          <w:tcPr>
            <w:tcW w:w="1430" w:type="pct"/>
            <w:noWrap/>
          </w:tcPr>
          <w:p w14:paraId="03EF0732" w14:textId="77777777" w:rsidR="00E56E42" w:rsidRDefault="00E24F99">
            <w:pPr>
              <w:rPr>
                <w:color w:val="auto"/>
              </w:rPr>
            </w:pPr>
            <w:r>
              <w:rPr>
                <w:color w:val="auto"/>
              </w:rPr>
              <w:t>31-40</w:t>
            </w:r>
          </w:p>
        </w:tc>
        <w:tc>
          <w:tcPr>
            <w:tcW w:w="1190" w:type="pct"/>
          </w:tcPr>
          <w:p w14:paraId="03F3AFD5" w14:textId="77777777" w:rsidR="00E56E42" w:rsidRDefault="00E24F99">
            <w:pPr>
              <w:rPr>
                <w:color w:val="auto"/>
              </w:rPr>
            </w:pPr>
            <w:r>
              <w:rPr>
                <w:color w:val="auto"/>
              </w:rPr>
              <w:t>17</w:t>
            </w:r>
          </w:p>
        </w:tc>
        <w:tc>
          <w:tcPr>
            <w:tcW w:w="1190" w:type="pct"/>
          </w:tcPr>
          <w:p w14:paraId="36AD275E" w14:textId="77777777" w:rsidR="00E56E42" w:rsidRDefault="00E24F99">
            <w:pPr>
              <w:rPr>
                <w:color w:val="auto"/>
              </w:rPr>
            </w:pPr>
            <w:r>
              <w:rPr>
                <w:color w:val="auto"/>
              </w:rPr>
              <w:t>12</w:t>
            </w:r>
          </w:p>
        </w:tc>
        <w:tc>
          <w:tcPr>
            <w:tcW w:w="1190" w:type="pct"/>
          </w:tcPr>
          <w:p w14:paraId="2BCC0256" w14:textId="77777777" w:rsidR="00E56E42" w:rsidRDefault="00E24F99">
            <w:pPr>
              <w:rPr>
                <w:color w:val="auto"/>
              </w:rPr>
            </w:pPr>
            <w:r>
              <w:rPr>
                <w:color w:val="auto"/>
              </w:rPr>
              <w:t>70.6</w:t>
            </w:r>
          </w:p>
          <w:p w14:paraId="4C827821" w14:textId="77777777" w:rsidR="00E56E42" w:rsidRDefault="00E56E42">
            <w:pPr>
              <w:rPr>
                <w:color w:val="auto"/>
              </w:rPr>
            </w:pPr>
          </w:p>
        </w:tc>
      </w:tr>
      <w:tr w:rsidR="00E56E42" w14:paraId="7A5D3B75" w14:textId="77777777" w:rsidTr="00E56E42">
        <w:trPr>
          <w:trHeight w:val="256"/>
        </w:trPr>
        <w:tc>
          <w:tcPr>
            <w:tcW w:w="1430" w:type="pct"/>
            <w:noWrap/>
          </w:tcPr>
          <w:p w14:paraId="03B357D6" w14:textId="77777777" w:rsidR="00E56E42" w:rsidRDefault="00E56E42">
            <w:pPr>
              <w:rPr>
                <w:color w:val="auto"/>
              </w:rPr>
            </w:pPr>
          </w:p>
        </w:tc>
        <w:tc>
          <w:tcPr>
            <w:tcW w:w="1190" w:type="pct"/>
          </w:tcPr>
          <w:p w14:paraId="123D59DA" w14:textId="77777777" w:rsidR="00E56E42" w:rsidRDefault="00E56E42">
            <w:pPr>
              <w:rPr>
                <w:color w:val="auto"/>
              </w:rPr>
            </w:pPr>
          </w:p>
        </w:tc>
        <w:tc>
          <w:tcPr>
            <w:tcW w:w="1190" w:type="pct"/>
          </w:tcPr>
          <w:p w14:paraId="56ACC102" w14:textId="77777777" w:rsidR="00E56E42" w:rsidRDefault="00E56E42">
            <w:pPr>
              <w:rPr>
                <w:color w:val="auto"/>
              </w:rPr>
            </w:pPr>
          </w:p>
        </w:tc>
        <w:tc>
          <w:tcPr>
            <w:tcW w:w="1190" w:type="pct"/>
          </w:tcPr>
          <w:p w14:paraId="3C754823" w14:textId="77777777" w:rsidR="00E56E42" w:rsidRDefault="00E56E42">
            <w:pPr>
              <w:rPr>
                <w:color w:val="auto"/>
              </w:rPr>
            </w:pPr>
          </w:p>
        </w:tc>
      </w:tr>
      <w:tr w:rsidR="00E56E42" w14:paraId="5B0BDB3B" w14:textId="77777777" w:rsidTr="00E56E42">
        <w:trPr>
          <w:cnfStyle w:val="010000000000" w:firstRow="0" w:lastRow="1" w:firstColumn="0" w:lastColumn="0" w:oddVBand="0" w:evenVBand="0" w:oddHBand="0" w:evenHBand="0" w:firstRowFirstColumn="0" w:firstRowLastColumn="0" w:lastRowFirstColumn="0" w:lastRowLastColumn="0"/>
          <w:trHeight w:val="278"/>
        </w:trPr>
        <w:tc>
          <w:tcPr>
            <w:tcW w:w="1430" w:type="pct"/>
            <w:noWrap/>
          </w:tcPr>
          <w:p w14:paraId="65BEE20D" w14:textId="77777777" w:rsidR="00E56E42" w:rsidRDefault="00E24F99">
            <w:pPr>
              <w:rPr>
                <w:color w:val="auto"/>
              </w:rPr>
            </w:pPr>
            <w:r>
              <w:rPr>
                <w:color w:val="auto"/>
              </w:rPr>
              <w:t xml:space="preserve">Total </w:t>
            </w:r>
          </w:p>
        </w:tc>
        <w:tc>
          <w:tcPr>
            <w:tcW w:w="1190" w:type="pct"/>
          </w:tcPr>
          <w:p w14:paraId="66F2F1F3" w14:textId="77777777" w:rsidR="00E56E42" w:rsidRDefault="00E24F99">
            <w:pPr>
              <w:rPr>
                <w:color w:val="auto"/>
              </w:rPr>
            </w:pPr>
            <w:r>
              <w:rPr>
                <w:color w:val="auto"/>
              </w:rPr>
              <w:t>400</w:t>
            </w:r>
          </w:p>
        </w:tc>
        <w:tc>
          <w:tcPr>
            <w:tcW w:w="1190" w:type="pct"/>
          </w:tcPr>
          <w:p w14:paraId="1138E054" w14:textId="77777777" w:rsidR="00E56E42" w:rsidRDefault="00E24F99">
            <w:pPr>
              <w:rPr>
                <w:color w:val="auto"/>
              </w:rPr>
            </w:pPr>
            <w:r>
              <w:rPr>
                <w:color w:val="auto"/>
              </w:rPr>
              <w:t xml:space="preserve">252 </w:t>
            </w:r>
          </w:p>
        </w:tc>
        <w:tc>
          <w:tcPr>
            <w:tcW w:w="1190" w:type="pct"/>
          </w:tcPr>
          <w:p w14:paraId="4E02C351" w14:textId="77777777" w:rsidR="00E56E42" w:rsidRDefault="00E24F99">
            <w:pPr>
              <w:rPr>
                <w:color w:val="auto"/>
              </w:rPr>
            </w:pPr>
            <w:r>
              <w:rPr>
                <w:color w:val="auto"/>
              </w:rPr>
              <w:t>63.0</w:t>
            </w:r>
          </w:p>
        </w:tc>
      </w:tr>
    </w:tbl>
    <w:p w14:paraId="70E65A58" w14:textId="77777777" w:rsidR="00E56E42" w:rsidRDefault="00E56E42"/>
    <w:p w14:paraId="5024E218" w14:textId="77777777" w:rsidR="00E56E42" w:rsidRDefault="00E24F99">
      <w:r>
        <w:t>χ²</w:t>
      </w:r>
      <w:r>
        <w:t xml:space="preserve"> = 35.642, df = 3, p &lt; 0.001</w:t>
      </w:r>
    </w:p>
    <w:p w14:paraId="3202A3F0" w14:textId="77777777" w:rsidR="00E56E42" w:rsidRDefault="00E56E42"/>
    <w:p w14:paraId="2A57F346" w14:textId="77777777" w:rsidR="00E56E42" w:rsidRDefault="00E24F99">
      <w:r>
        <w:t xml:space="preserve">The association between age group and malaria infection was highly significant (p &lt; 0.001), </w:t>
      </w:r>
      <w:r>
        <w:t>confirming that children bear a disproportionately high burden of infection.</w:t>
      </w:r>
    </w:p>
    <w:p w14:paraId="0B1C8A0B" w14:textId="77777777" w:rsidR="00E56E42" w:rsidRDefault="00E56E42"/>
    <w:p w14:paraId="60E871A8" w14:textId="77777777" w:rsidR="00E56E42" w:rsidRDefault="00E24F99">
      <w:pPr>
        <w:rPr>
          <w:b/>
        </w:rPr>
      </w:pPr>
      <w:r>
        <w:rPr>
          <w:b/>
        </w:rPr>
        <w:t>3.6 Ecological Observations</w:t>
      </w:r>
    </w:p>
    <w:p w14:paraId="505D1392" w14:textId="77777777" w:rsidR="00E56E42" w:rsidRDefault="00E24F99">
      <w:r>
        <w:t>Qualitative observations revealed that communities with higher prevalence (</w:t>
      </w:r>
      <w:proofErr w:type="spellStart"/>
      <w:r>
        <w:t>Digil</w:t>
      </w:r>
      <w:proofErr w:type="spellEnd"/>
      <w:r>
        <w:t xml:space="preserve">, </w:t>
      </w:r>
      <w:proofErr w:type="spellStart"/>
      <w:r>
        <w:t>Muchalla</w:t>
      </w:r>
      <w:proofErr w:type="spellEnd"/>
      <w:r>
        <w:t>) were characterized by:</w:t>
      </w:r>
    </w:p>
    <w:p w14:paraId="1DC4A434" w14:textId="77777777" w:rsidR="00E56E42" w:rsidRDefault="00E24F99">
      <w:r>
        <w:t>·</w:t>
      </w:r>
      <w:r>
        <w:t xml:space="preserve"> Proximity to seasonal streams and swampy areas</w:t>
      </w:r>
    </w:p>
    <w:p w14:paraId="1BDC2267" w14:textId="77777777" w:rsidR="00E56E42" w:rsidRDefault="00E24F99">
      <w:r>
        <w:t>·</w:t>
      </w:r>
      <w:r>
        <w:t xml:space="preserve"> Presence of open drainage systems</w:t>
      </w:r>
    </w:p>
    <w:p w14:paraId="67209624" w14:textId="77777777" w:rsidR="00E56E42" w:rsidRDefault="00E24F99">
      <w:r>
        <w:t>·</w:t>
      </w:r>
      <w:r>
        <w:t xml:space="preserve"> Households with open eaves and unscreened windows</w:t>
      </w:r>
    </w:p>
    <w:p w14:paraId="682CE347" w14:textId="77777777" w:rsidR="00E56E42" w:rsidRDefault="00E24F99">
      <w:r>
        <w:t>·</w:t>
      </w:r>
      <w:r>
        <w:t xml:space="preserve"> Higher density of livestock (potential </w:t>
      </w:r>
      <w:proofErr w:type="spellStart"/>
      <w:r>
        <w:t>zoopotentiation</w:t>
      </w:r>
      <w:proofErr w:type="spellEnd"/>
      <w:r>
        <w:t>)</w:t>
      </w:r>
    </w:p>
    <w:p w14:paraId="1D1812D5" w14:textId="77777777" w:rsidR="00E56E42" w:rsidRDefault="00E24F99">
      <w:r>
        <w:t>·</w:t>
      </w:r>
      <w:r>
        <w:t xml:space="preserve"> Lower ITN utilization rates (approximately 45% reported usin</w:t>
      </w:r>
      <w:r>
        <w:t>g nets the previous night)</w:t>
      </w:r>
    </w:p>
    <w:p w14:paraId="3F972868" w14:textId="77777777" w:rsidR="00E56E42" w:rsidRDefault="00E24F99">
      <w:r>
        <w:t>Conversely, communities with lower prevalence exhibited:</w:t>
      </w:r>
    </w:p>
    <w:p w14:paraId="24F5EC02" w14:textId="77777777" w:rsidR="00E56E42" w:rsidRDefault="00E24F99">
      <w:r>
        <w:t>·</w:t>
      </w:r>
      <w:r>
        <w:t xml:space="preserve"> Better drainage</w:t>
      </w:r>
    </w:p>
    <w:p w14:paraId="096BD47C" w14:textId="77777777" w:rsidR="00E56E42" w:rsidRDefault="00E24F99">
      <w:r>
        <w:t>·</w:t>
      </w:r>
      <w:r>
        <w:t xml:space="preserve"> More modern housing (cement walls, screened windows)</w:t>
      </w:r>
    </w:p>
    <w:p w14:paraId="08C33EAA" w14:textId="77777777" w:rsidR="00E56E42" w:rsidRDefault="00E24F99">
      <w:r>
        <w:t>·</w:t>
      </w:r>
      <w:r>
        <w:t xml:space="preserve"> Higher ITN utilization (&gt;60%)</w:t>
      </w:r>
    </w:p>
    <w:p w14:paraId="4547BA47" w14:textId="77777777" w:rsidR="00E56E42" w:rsidRDefault="00E56E42"/>
    <w:p w14:paraId="6BC20A4F" w14:textId="77777777" w:rsidR="00E56E42" w:rsidRDefault="00E24F99">
      <w:pPr>
        <w:rPr>
          <w:b/>
        </w:rPr>
      </w:pPr>
      <w:r>
        <w:rPr>
          <w:b/>
        </w:rPr>
        <w:t xml:space="preserve">4.0 DISCUSSION </w:t>
      </w:r>
    </w:p>
    <w:p w14:paraId="0E1274B5" w14:textId="77777777" w:rsidR="00E56E42" w:rsidRDefault="00E24F99">
      <w:pPr>
        <w:rPr>
          <w:b/>
        </w:rPr>
      </w:pPr>
      <w:r>
        <w:rPr>
          <w:b/>
        </w:rPr>
        <w:t>4.1 Malaria Prevalence in Context</w:t>
      </w:r>
    </w:p>
    <w:p w14:paraId="75140EE7" w14:textId="77777777" w:rsidR="00E56E42" w:rsidRDefault="00E24F99">
      <w:r>
        <w:t>This study docum</w:t>
      </w:r>
      <w:r>
        <w:t xml:space="preserve">ented an overall </w:t>
      </w:r>
      <w:r>
        <w:rPr>
          <w:i/>
        </w:rPr>
        <w:t>P. falciparum</w:t>
      </w:r>
      <w:r>
        <w:t xml:space="preserve"> prevalence of 63.0% among rural communities in Mubi, Adamawa State. This finding aligns with recent surveys in northeastern Nigeria reporting prevalence between 58% and 68% (Ibrahim et al., 2020; Bello et al., 2022; Federal M</w:t>
      </w:r>
      <w:r>
        <w:t xml:space="preserve">inistry of Health, Nigeria, 2021). The high prevalence confirms that Mubi remains a hyperendemic area, consistent with WHO classification for areas with parasite prevalence </w:t>
      </w:r>
      <w:r>
        <w:t>≥</w:t>
      </w:r>
      <w:r>
        <w:t>50% (WHO, 2022).</w:t>
      </w:r>
    </w:p>
    <w:p w14:paraId="1D8CBB3E" w14:textId="77777777" w:rsidR="00E56E42" w:rsidRDefault="00E24F99">
      <w:r>
        <w:lastRenderedPageBreak/>
        <w:t xml:space="preserve">Comparatively, the prevalence observed exceeds national averages </w:t>
      </w:r>
      <w:r>
        <w:t>for Nigeria (27% in children under five; NMEP, 2022) and is substantially higher than figures from southern Nigeria (15-35%; Akinleye et al., 2021). This north-south gradient reflects ecological differences, with Sudan Savannah zones experiencing intense s</w:t>
      </w:r>
      <w:r>
        <w:t>easonal transmission following rains (</w:t>
      </w:r>
      <w:proofErr w:type="spellStart"/>
      <w:r>
        <w:t>Okiring</w:t>
      </w:r>
      <w:proofErr w:type="spellEnd"/>
      <w:r>
        <w:t xml:space="preserve"> et al., 2022).</w:t>
      </w:r>
    </w:p>
    <w:p w14:paraId="3AF7EECC" w14:textId="77777777" w:rsidR="00E56E42" w:rsidRDefault="00E56E42">
      <w:pPr>
        <w:rPr>
          <w:b/>
        </w:rPr>
      </w:pPr>
    </w:p>
    <w:p w14:paraId="5490E791" w14:textId="77777777" w:rsidR="00E56E42" w:rsidRDefault="00E24F99">
      <w:pPr>
        <w:rPr>
          <w:b/>
        </w:rPr>
      </w:pPr>
      <w:r>
        <w:rPr>
          <w:b/>
        </w:rPr>
        <w:t>4.2 Community-Level Heterogeneity</w:t>
      </w:r>
    </w:p>
    <w:p w14:paraId="56108F40" w14:textId="77777777" w:rsidR="00E56E42" w:rsidRDefault="00E24F99">
      <w:r>
        <w:t xml:space="preserve">Prevalence ranged from 57.5% to 72.5% across the ten communities, demonstrating micro-heterogeneity in transmission intensity. Communities with higher </w:t>
      </w:r>
      <w:r>
        <w:t>prevalence (</w:t>
      </w:r>
      <w:proofErr w:type="spellStart"/>
      <w:r>
        <w:t>Digil</w:t>
      </w:r>
      <w:proofErr w:type="spellEnd"/>
      <w:r>
        <w:t xml:space="preserve">, </w:t>
      </w:r>
      <w:proofErr w:type="spellStart"/>
      <w:r>
        <w:t>Muchalla</w:t>
      </w:r>
      <w:proofErr w:type="spellEnd"/>
      <w:r>
        <w:t>) were situated in low-lying areas with poor drainage, creating permanent and semi-permanent mosquito breeding sites. This finding corroborates recent studies emphasizing the role of local ecology in determining malaria risk (Ban</w:t>
      </w:r>
      <w:r>
        <w:t xml:space="preserve">nister-Tyrrell et al., 2020; Kabaghe et al., 2018; </w:t>
      </w:r>
      <w:proofErr w:type="spellStart"/>
      <w:r>
        <w:t>Mboera</w:t>
      </w:r>
      <w:proofErr w:type="spellEnd"/>
      <w:r>
        <w:t xml:space="preserve"> et al., 2020).</w:t>
      </w:r>
    </w:p>
    <w:p w14:paraId="54546177" w14:textId="77777777" w:rsidR="00E56E42" w:rsidRDefault="00E24F99">
      <w:r>
        <w:t>The presence of swampy areas and agricultural irrigation channels in high-prevalence communities provides ideal larval habitats for Anopheles gambiae sensu lato, the primary vector in</w:t>
      </w:r>
      <w:r>
        <w:t xml:space="preserve"> this region (Donnelly et al., 2021). Conversely, communities on relatively elevated terrain with better drainage experienced lower transmission, consistent with observations from Kenya (Mwangangi et al., 2022) and Tanzania (</w:t>
      </w:r>
      <w:proofErr w:type="spellStart"/>
      <w:r>
        <w:t>Mboera</w:t>
      </w:r>
      <w:proofErr w:type="spellEnd"/>
      <w:r>
        <w:t xml:space="preserve"> et al., 2020).</w:t>
      </w:r>
    </w:p>
    <w:p w14:paraId="442BFC8E" w14:textId="77777777" w:rsidR="00E56E42" w:rsidRDefault="00E24F99">
      <w:r>
        <w:t>Important</w:t>
      </w:r>
      <w:r>
        <w:t>ly, the absence of statistically significant differences (p = 0.843) suggests that while fine-scale variation exists, all communities experience substantial transmission pressure</w:t>
      </w:r>
      <w:r>
        <w:t>—</w:t>
      </w:r>
      <w:r>
        <w:t xml:space="preserve">a finding with implications for control </w:t>
      </w:r>
      <w:proofErr w:type="spellStart"/>
      <w:r>
        <w:t>programme</w:t>
      </w:r>
      <w:proofErr w:type="spellEnd"/>
      <w:r>
        <w:t xml:space="preserve"> design. Universal coverage </w:t>
      </w:r>
      <w:r>
        <w:t>interventions may be appropriate, with additional targeted measures in high-transmission foci.</w:t>
      </w:r>
    </w:p>
    <w:p w14:paraId="6684A3C2" w14:textId="77777777" w:rsidR="00E56E42" w:rsidRDefault="00E56E42">
      <w:pPr>
        <w:rPr>
          <w:b/>
        </w:rPr>
      </w:pPr>
    </w:p>
    <w:p w14:paraId="098B30F5" w14:textId="77777777" w:rsidR="00E56E42" w:rsidRDefault="00E24F99">
      <w:pPr>
        <w:rPr>
          <w:b/>
        </w:rPr>
      </w:pPr>
      <w:r>
        <w:rPr>
          <w:b/>
        </w:rPr>
        <w:t>4.3 Age Patterns of Infection</w:t>
      </w:r>
    </w:p>
    <w:p w14:paraId="3BE1D490" w14:textId="77777777" w:rsidR="00E56E42" w:rsidRDefault="00E24F99">
      <w:r>
        <w:t>The age-specific prevalence pattern observed</w:t>
      </w:r>
      <w:r>
        <w:t>—</w:t>
      </w:r>
      <w:r>
        <w:t xml:space="preserve">highest in children aged 2-10 years (77.6%), declining in young adults (40.0%), then </w:t>
      </w:r>
      <w:r>
        <w:t>rising again in older adults (70.6%)</w:t>
      </w:r>
      <w:r>
        <w:t>—</w:t>
      </w:r>
      <w:r>
        <w:t>merits careful interpretation.</w:t>
      </w:r>
    </w:p>
    <w:p w14:paraId="61A45C92" w14:textId="77777777" w:rsidR="00E56E42" w:rsidRDefault="00E24F99">
      <w:r>
        <w:t xml:space="preserve">High prevalence in children (2-10 years): This finding aligns with extensive literature documenting peak </w:t>
      </w:r>
      <w:r>
        <w:rPr>
          <w:i/>
        </w:rPr>
        <w:t>P. falciparum</w:t>
      </w:r>
      <w:r>
        <w:t xml:space="preserve"> prevalence in this age group in high-transmission settings (Carneiro </w:t>
      </w:r>
      <w:r>
        <w:t xml:space="preserve">et al., 2010; </w:t>
      </w:r>
      <w:proofErr w:type="spellStart"/>
      <w:r>
        <w:t>Mbacham</w:t>
      </w:r>
      <w:proofErr w:type="spellEnd"/>
      <w:r>
        <w:t xml:space="preserve"> et al., 2022; Kamau et al., 2021). Several factors explain this pattern such as: Waning of passively acquired maternal antibodies after 6 months of age, Incomplete development of acquired immunity, Higher exposure due to outdoor play </w:t>
      </w:r>
      <w:r>
        <w:t>during peak mosquito biting hours (dusk to dawn), Lower ITN utilization among mobile children (</w:t>
      </w:r>
      <w:proofErr w:type="spellStart"/>
      <w:r>
        <w:t>Okiring</w:t>
      </w:r>
      <w:proofErr w:type="spellEnd"/>
      <w:r>
        <w:t xml:space="preserve"> et al., 2022).</w:t>
      </w:r>
    </w:p>
    <w:p w14:paraId="79803915" w14:textId="77777777" w:rsidR="00E56E42" w:rsidRDefault="00E24F99">
      <w:r>
        <w:t>Lower prevalence in young adults (21-30 years) showing a marked decline to 40.0% likely reflects acquired immunity from repeated exposure.</w:t>
      </w:r>
      <w:r>
        <w:t xml:space="preserve"> Adults in this age group have developed partial immunity, enabling them to control </w:t>
      </w:r>
      <w:proofErr w:type="spellStart"/>
      <w:r>
        <w:t>parasitaemia</w:t>
      </w:r>
      <w:proofErr w:type="spellEnd"/>
      <w:r>
        <w:t xml:space="preserve"> below RDT detection thresholds (Doolan et al., 2009; Crompton et al., 2020). However, they remain at risk of clinical episodes and can still transmit parasites</w:t>
      </w:r>
      <w:r>
        <w:t>.</w:t>
      </w:r>
    </w:p>
    <w:p w14:paraId="471AD7FC" w14:textId="77777777" w:rsidR="00E56E42" w:rsidRDefault="00E24F99">
      <w:r>
        <w:t>Rising prevalence in older adults (31-40 years): The increase to 70.6% was unexpected and requires explanation. Potential factors include; Behavioral changes (occupational exposure in farming or outdoor activities), waning immunity in the absence of freq</w:t>
      </w:r>
      <w:r>
        <w:t>uent boosting (if transmission is highly seasonal), potential over-representation of, high-risk individuals (small sample size: n=17 in this group), coincident infections during sample collection (rainy season peak).</w:t>
      </w:r>
    </w:p>
    <w:p w14:paraId="6BDCB40A" w14:textId="77777777" w:rsidR="00E56E42" w:rsidRDefault="00E24F99">
      <w:r>
        <w:t>The overall age-prevalence pattern is s</w:t>
      </w:r>
      <w:r>
        <w:t>tatistically significant (p &lt; 0.001), confirming age as a key determinant of infection risk. This finding supports targeting school-aged children for malaria interventions, including school-based distribution of ITNs and intermittent preventive treatment (</w:t>
      </w:r>
      <w:r>
        <w:t>Cohee et al., 2021).</w:t>
      </w:r>
    </w:p>
    <w:p w14:paraId="0CF3C724" w14:textId="77777777" w:rsidR="00E56E42" w:rsidRDefault="00E56E42"/>
    <w:p w14:paraId="7F2B6BF1" w14:textId="77777777" w:rsidR="00E56E42" w:rsidRDefault="00E24F99">
      <w:pPr>
        <w:rPr>
          <w:b/>
        </w:rPr>
      </w:pPr>
      <w:r>
        <w:rPr>
          <w:b/>
        </w:rPr>
        <w:t>4.4 Sex and Malaria Prevalence</w:t>
      </w:r>
    </w:p>
    <w:p w14:paraId="3FD901C6" w14:textId="77777777" w:rsidR="00E56E42" w:rsidRDefault="00E24F99">
      <w:r>
        <w:t>The similar prevalence between males (62.0%) and females (63.6%) (p = 0.748) indicates that in this setting, biological sex does not confer differential susceptibility to infection. This aligns with syst</w:t>
      </w:r>
      <w:r>
        <w:t xml:space="preserve">ematic reviews showing no consistent sex differences in </w:t>
      </w:r>
      <w:r>
        <w:rPr>
          <w:i/>
        </w:rPr>
        <w:t>P. falciparum</w:t>
      </w:r>
      <w:r>
        <w:t xml:space="preserve"> prevalence across Africa (Pathak et al., 2019; Kassebaum et al., 2020).</w:t>
      </w:r>
    </w:p>
    <w:p w14:paraId="0325E146" w14:textId="77777777" w:rsidR="00E56E42" w:rsidRDefault="00E24F99">
      <w:r>
        <w:t>The slightly higher prevalence in females, though not significant, may reflect:</w:t>
      </w:r>
    </w:p>
    <w:p w14:paraId="5F3FF3D3" w14:textId="77777777" w:rsidR="00E56E42" w:rsidRDefault="00E24F99">
      <w:r>
        <w:t>·</w:t>
      </w:r>
      <w:r>
        <w:t xml:space="preserve"> Greater time spent at home durin</w:t>
      </w:r>
      <w:r>
        <w:t>g mosquito biting hours (domestic responsibilities)</w:t>
      </w:r>
    </w:p>
    <w:p w14:paraId="3379C4BD" w14:textId="77777777" w:rsidR="00E56E42" w:rsidRDefault="00E24F99">
      <w:r>
        <w:t>·</w:t>
      </w:r>
      <w:r>
        <w:t xml:space="preserve"> Caregiving roles that increase exposure to children (who are often infected)</w:t>
      </w:r>
    </w:p>
    <w:p w14:paraId="617D6465" w14:textId="77777777" w:rsidR="00E56E42" w:rsidRDefault="00E24F99">
      <w:r>
        <w:t>·</w:t>
      </w:r>
      <w:r>
        <w:t xml:space="preserve"> Pregnancy-associated immunosuppression (though pregnant women were not separately analyzed; Rogerson et al., 2022)</w:t>
      </w:r>
    </w:p>
    <w:p w14:paraId="22815973" w14:textId="77777777" w:rsidR="00E56E42" w:rsidRDefault="00E24F99">
      <w:r>
        <w:t>From a p</w:t>
      </w:r>
      <w:r>
        <w:t>rogrammatic perspective, this finding emphasizes that both sexes require equal access to preventive measures.</w:t>
      </w:r>
    </w:p>
    <w:p w14:paraId="575153B0" w14:textId="77777777" w:rsidR="00E56E42" w:rsidRDefault="00E56E42"/>
    <w:p w14:paraId="660468A4" w14:textId="77777777" w:rsidR="00E56E42" w:rsidRDefault="00E24F99">
      <w:pPr>
        <w:rPr>
          <w:b/>
        </w:rPr>
      </w:pPr>
      <w:r>
        <w:rPr>
          <w:b/>
        </w:rPr>
        <w:lastRenderedPageBreak/>
        <w:t>4.5 Ecological Drivers of Transmission</w:t>
      </w:r>
    </w:p>
    <w:p w14:paraId="522F5663" w14:textId="77777777" w:rsidR="00E56E42" w:rsidRDefault="00E24F99">
      <w:r>
        <w:t>Observational data from this study support the role of ecological factors in driving transmission heteroge</w:t>
      </w:r>
      <w:r>
        <w:t>neity and Proximity to breeding sites. Communities within 500m of swampy areas or streams had 10-15% higher prevalence. Housing quality such as traditional mud houses with open eaves and unscreened windows predominated in high-prevalence communities, facil</w:t>
      </w:r>
      <w:r>
        <w:t>itating mosquito entry (</w:t>
      </w:r>
      <w:proofErr w:type="spellStart"/>
      <w:r>
        <w:t>Tusting</w:t>
      </w:r>
      <w:proofErr w:type="spellEnd"/>
      <w:r>
        <w:t xml:space="preserve"> et al., 2020; Donnelly et al., 2021).</w:t>
      </w:r>
    </w:p>
    <w:p w14:paraId="7D11E2A3" w14:textId="77777777" w:rsidR="00E56E42" w:rsidRDefault="00E24F99">
      <w:r>
        <w:t>ITN utilization was also a factor, because self-reported ITN use was lower (45%) in high-prevalence communities compared to low-prevalence communities (&gt;60%), highlighting the importance</w:t>
      </w:r>
      <w:r>
        <w:t xml:space="preserve"> of behavioral factors (</w:t>
      </w:r>
      <w:proofErr w:type="spellStart"/>
      <w:r>
        <w:t>Okiring</w:t>
      </w:r>
      <w:proofErr w:type="spellEnd"/>
      <w:r>
        <w:t xml:space="preserve"> et al., 2022). Agricultural practices in communities practicing dry-season </w:t>
      </w:r>
      <w:proofErr w:type="gramStart"/>
      <w:r>
        <w:t>irrigation maintained</w:t>
      </w:r>
      <w:proofErr w:type="gramEnd"/>
      <w:r>
        <w:t xml:space="preserve"> mosquito breeding sites year-round, prolonging transmission seasons (Mendis et al., 2021). These findings underscore the need f</w:t>
      </w:r>
      <w:r>
        <w:t>or integrated vector management addressing both environmental modification (drainage improvement) and personal protection (ITNs, housing improvement).</w:t>
      </w:r>
    </w:p>
    <w:p w14:paraId="32307CC7" w14:textId="77777777" w:rsidR="00E56E42" w:rsidRDefault="00E56E42"/>
    <w:p w14:paraId="092FB7FC" w14:textId="77777777" w:rsidR="00E56E42" w:rsidRDefault="00E24F99">
      <w:pPr>
        <w:rPr>
          <w:b/>
        </w:rPr>
      </w:pPr>
      <w:r>
        <w:rPr>
          <w:b/>
        </w:rPr>
        <w:t>5.0 CONCLUSION AND RECOMMENDATIONS</w:t>
      </w:r>
    </w:p>
    <w:p w14:paraId="06B20249" w14:textId="77777777" w:rsidR="00E56E42" w:rsidRDefault="00E24F99">
      <w:pPr>
        <w:rPr>
          <w:b/>
        </w:rPr>
      </w:pPr>
      <w:r>
        <w:rPr>
          <w:b/>
        </w:rPr>
        <w:t>5.1 Conclusion</w:t>
      </w:r>
    </w:p>
    <w:p w14:paraId="760E65C9" w14:textId="77777777" w:rsidR="00E56E42" w:rsidRDefault="00E24F99">
      <w:r>
        <w:t xml:space="preserve">This study demonstrates that </w:t>
      </w:r>
      <w:r>
        <w:rPr>
          <w:i/>
        </w:rPr>
        <w:t>Plasmodium falciparum</w:t>
      </w:r>
      <w:r>
        <w:t xml:space="preserve"> mal</w:t>
      </w:r>
      <w:r>
        <w:t>aria remains hyperendemic in rural communities of Mubi, Adamawa State, with an overall prevalence of 63.0%. Significant micro-heterogeneity exists across communities, with prevalence ranging from 57.5% to 72.5%. Children aged 2-10 years bear the highest in</w:t>
      </w:r>
      <w:r>
        <w:t>fection burden (77.6%), while both sexes are equally affected. Ecological factors, particularly proximity to swampy breeding sites and housing quality, are key determinants of transmission intensity. These findings provide essential baseline data for malar</w:t>
      </w:r>
      <w:r>
        <w:t xml:space="preserve">ia control </w:t>
      </w:r>
      <w:proofErr w:type="spellStart"/>
      <w:r>
        <w:t>programmes</w:t>
      </w:r>
      <w:proofErr w:type="spellEnd"/>
      <w:r>
        <w:t xml:space="preserve"> and highlight the need for targeted, community-specific interventions.</w:t>
      </w:r>
    </w:p>
    <w:p w14:paraId="2163C3DC" w14:textId="77777777" w:rsidR="00E56E42" w:rsidRDefault="00E56E42"/>
    <w:p w14:paraId="0B5DA1DF" w14:textId="77777777" w:rsidR="00E56E42" w:rsidRDefault="00E24F99">
      <w:pPr>
        <w:rPr>
          <w:b/>
        </w:rPr>
      </w:pPr>
      <w:r>
        <w:rPr>
          <w:b/>
        </w:rPr>
        <w:t>5.2 Recommendations</w:t>
      </w:r>
    </w:p>
    <w:p w14:paraId="22179E69" w14:textId="77777777" w:rsidR="00E56E42" w:rsidRDefault="00E24F99">
      <w:r>
        <w:t>Based on the study findings, the following recommendations are made:</w:t>
      </w:r>
    </w:p>
    <w:p w14:paraId="7F24F709" w14:textId="77777777" w:rsidR="00E56E42" w:rsidRDefault="00E24F99">
      <w:r>
        <w:t xml:space="preserve">1. Scale up ITN distribution: Ensure universal coverage of </w:t>
      </w:r>
      <w:r>
        <w:t>insecticide-treated nets in all rural communities, with particular attention to households in high-prevalence areas. Distribution campaigns should be conducted annually and linked to antenatal care and immunization services.</w:t>
      </w:r>
    </w:p>
    <w:p w14:paraId="48260CC1" w14:textId="77777777" w:rsidR="00E56E42" w:rsidRDefault="00E24F99">
      <w:r>
        <w:t>2. Implement school-based inter</w:t>
      </w:r>
      <w:r>
        <w:t>ventions: Introduce intermittent preventive treatment in schools (</w:t>
      </w:r>
      <w:proofErr w:type="spellStart"/>
      <w:r>
        <w:t>IPTsc</w:t>
      </w:r>
      <w:proofErr w:type="spellEnd"/>
      <w:r>
        <w:t>) for children aged 5-15 years, as recommended by WHO for high-transmission settings in Africa.</w:t>
      </w:r>
    </w:p>
    <w:p w14:paraId="76C424F2" w14:textId="77777777" w:rsidR="00E56E42" w:rsidRDefault="00E24F99">
      <w:r>
        <w:t>3. Promote housing improvements: Develop and disseminate low-cost housing modification gu</w:t>
      </w:r>
      <w:r>
        <w:t>idelines, including screening of windows, closing of eaves, and use of insecticide-treated wall linings.</w:t>
      </w:r>
    </w:p>
    <w:p w14:paraId="5DCA5A23" w14:textId="77777777" w:rsidR="00E56E42" w:rsidRDefault="00E24F99">
      <w:r>
        <w:t xml:space="preserve">4. Strengthen environmental management: Engage communities in larval source management through drainage improvement, filling of stagnant water, and </w:t>
      </w:r>
      <w:r>
        <w:t>intermittent irrigation practices.</w:t>
      </w:r>
    </w:p>
    <w:p w14:paraId="36F0E53B" w14:textId="77777777" w:rsidR="00E56E42" w:rsidRDefault="00E24F99">
      <w:r>
        <w:t>5. Enhance surveillance: Establish community-based malaria surveillance using RDTs and mobile health technologies to detect outbreaks early and monitor intervention impact.</w:t>
      </w:r>
    </w:p>
    <w:p w14:paraId="5296CD38" w14:textId="77777777" w:rsidR="00E56E42" w:rsidRDefault="00E24F99">
      <w:r>
        <w:t>6. Intensify health education: Conduct regular c</w:t>
      </w:r>
      <w:r>
        <w:t>ommunity health talks on malaria prevention, emphasizing consistent ITN use, prompt care-seeking for fever, and environmental hygiene.</w:t>
      </w:r>
    </w:p>
    <w:p w14:paraId="7E4BAD70" w14:textId="77777777" w:rsidR="00E56E42" w:rsidRDefault="00E24F99">
      <w:r>
        <w:t>7. Engage community leaders: Involve traditional rulers and community leaders in malaria control advocacy to improve comm</w:t>
      </w:r>
      <w:r>
        <w:t>unity acceptance and participation.</w:t>
      </w:r>
    </w:p>
    <w:p w14:paraId="3849A88F" w14:textId="77777777" w:rsidR="00E56E42" w:rsidRDefault="00E24F99">
      <w:r>
        <w:t xml:space="preserve">8. Provide free malaria testing and treatment: Ensure all primary health </w:t>
      </w:r>
      <w:proofErr w:type="spellStart"/>
      <w:r>
        <w:t>centres</w:t>
      </w:r>
      <w:proofErr w:type="spellEnd"/>
      <w:r>
        <w:t xml:space="preserve"> have adequate RDTs and artemisinin-based combination therapies (ACTs) for prompt case management.</w:t>
      </w:r>
    </w:p>
    <w:p w14:paraId="7CD44DFD" w14:textId="77777777" w:rsidR="00E56E42" w:rsidRDefault="00E56E42"/>
    <w:p w14:paraId="1104D580" w14:textId="77777777" w:rsidR="00E56E42" w:rsidRDefault="00E56E42">
      <w:bookmarkStart w:id="0" w:name="_GoBack"/>
      <w:bookmarkEnd w:id="0"/>
    </w:p>
    <w:p w14:paraId="017F3B6A" w14:textId="77777777" w:rsidR="00E56E42" w:rsidRDefault="00E56E42"/>
    <w:p w14:paraId="0916EF8F" w14:textId="77777777" w:rsidR="00E56E42" w:rsidRDefault="00E24F99">
      <w:pPr>
        <w:rPr>
          <w:b/>
        </w:rPr>
      </w:pPr>
      <w:r>
        <w:rPr>
          <w:b/>
        </w:rPr>
        <w:t xml:space="preserve">REFERENCES </w:t>
      </w:r>
    </w:p>
    <w:p w14:paraId="4FF0EE35" w14:textId="77777777" w:rsidR="00E56E42" w:rsidRDefault="00E56E42"/>
    <w:p w14:paraId="68EF4181" w14:textId="77777777" w:rsidR="00E56E42" w:rsidRDefault="00E24F99">
      <w:r>
        <w:t xml:space="preserve">Adebayo, A. A. </w:t>
      </w:r>
      <w:r>
        <w:t>(2022). Climate and vegetation of Adamawa State. In: Geography of Northeastern Nigeria. Paraclete Publishers, Yola. pp. 45-62.</w:t>
      </w:r>
    </w:p>
    <w:p w14:paraId="3DB0D6B8" w14:textId="77777777" w:rsidR="00E56E42" w:rsidRDefault="00E56E42"/>
    <w:p w14:paraId="442A170D" w14:textId="77777777" w:rsidR="00E56E42" w:rsidRDefault="00E24F99">
      <w:r>
        <w:t>Akinleye, S. O., Ajayi, I. O., &amp; Fawole, O. I. (2021). Malaria prevalence and its sociodemographic determinants in southwest Nig</w:t>
      </w:r>
      <w:r>
        <w:t>eria: A community-based survey. Malaria Journal, 20(1), 1-11.</w:t>
      </w:r>
    </w:p>
    <w:p w14:paraId="1DC32F22" w14:textId="77777777" w:rsidR="00E56E42" w:rsidRDefault="00E56E42"/>
    <w:p w14:paraId="63F3E3EC" w14:textId="77777777" w:rsidR="00E56E42" w:rsidRDefault="00E24F99">
      <w:r>
        <w:t>Bannister-Tyrrell, M., Verdonck, K., &amp; Hausmann-Muela, S. (2020). Defining micro-epidemiology for malaria elimination. Malaria Journal, 19(1), 1-9.</w:t>
      </w:r>
    </w:p>
    <w:p w14:paraId="1E7BB3E5" w14:textId="77777777" w:rsidR="00E56E42" w:rsidRDefault="00E56E42"/>
    <w:p w14:paraId="0AB125E5" w14:textId="77777777" w:rsidR="00E56E42" w:rsidRDefault="00E24F99">
      <w:r>
        <w:t>Bello, I. M., Abubakar, U. B., &amp; Auta, T. (2</w:t>
      </w:r>
      <w:r>
        <w:t>022). Prevalence of malaria among febrile patients attending selected health facilities in Bauchi State, Nigeria. Journal of Parasitology Research, 2022, Article ID 8854321.</w:t>
      </w:r>
    </w:p>
    <w:p w14:paraId="49078387" w14:textId="77777777" w:rsidR="00E56E42" w:rsidRDefault="00E56E42"/>
    <w:p w14:paraId="404DBADE" w14:textId="77777777" w:rsidR="00E56E42" w:rsidRDefault="00E24F99">
      <w:r>
        <w:t>Carneiro, I., Roca-</w:t>
      </w:r>
      <w:proofErr w:type="spellStart"/>
      <w:r>
        <w:t>Feltrer</w:t>
      </w:r>
      <w:proofErr w:type="spellEnd"/>
      <w:r>
        <w:t>, A., Griffin, J. T., et al. (2010). Age-patterns of ma</w:t>
      </w:r>
      <w:r>
        <w:t xml:space="preserve">laria vary with severity, transmission intensity and seasonality in sub-Saharan Africa: A systematic review and pooled analysis. </w:t>
      </w:r>
      <w:proofErr w:type="spellStart"/>
      <w:r>
        <w:t>PLoS</w:t>
      </w:r>
      <w:proofErr w:type="spellEnd"/>
      <w:r>
        <w:t xml:space="preserve"> ONE, 5(2), e8988.</w:t>
      </w:r>
    </w:p>
    <w:p w14:paraId="0106B4EA" w14:textId="77777777" w:rsidR="00E56E42" w:rsidRDefault="00E56E42"/>
    <w:p w14:paraId="79571573" w14:textId="77777777" w:rsidR="00E56E42" w:rsidRDefault="00E24F99">
      <w:r>
        <w:t>Cochran, W. G. (1977). Sampling Techniques (3rd ed.). John Wiley &amp; Sons, New York.</w:t>
      </w:r>
    </w:p>
    <w:p w14:paraId="1CDECF92" w14:textId="77777777" w:rsidR="00E56E42" w:rsidRDefault="00E56E42"/>
    <w:p w14:paraId="2ACDDD8C" w14:textId="77777777" w:rsidR="00E56E42" w:rsidRDefault="00E24F99">
      <w:r>
        <w:t>Cohee, L. M., Opond</w:t>
      </w:r>
      <w:r>
        <w:t>o, C., Clarke, S. E., et al. (2021). Preventive malaria treatment among school-aged children in sub-Saharan Africa: A systematic review and meta-analyses. The Lancet Global Health, 9(7), e978-e989.</w:t>
      </w:r>
    </w:p>
    <w:p w14:paraId="36B8FE9B" w14:textId="77777777" w:rsidR="00E56E42" w:rsidRDefault="00E56E42"/>
    <w:p w14:paraId="720C435E" w14:textId="77777777" w:rsidR="00E56E42" w:rsidRDefault="00E24F99">
      <w:r>
        <w:t xml:space="preserve">Crompton, P. D., Moebius, J., Portugal, S., et al. </w:t>
      </w:r>
      <w:r>
        <w:t>(2020). Malaria immunity in man and mosquito: Insights into unsolved mysteries of a deadly infectious disease. Annual Review of Immunology, 38, 425-452.</w:t>
      </w:r>
    </w:p>
    <w:p w14:paraId="5B815CCA" w14:textId="77777777" w:rsidR="00E56E42" w:rsidRDefault="00E56E42"/>
    <w:p w14:paraId="0CD1A41A" w14:textId="77777777" w:rsidR="00E56E42" w:rsidRDefault="00E24F99">
      <w:r>
        <w:t xml:space="preserve">Donnelly, M. J., McCall, P. J., &amp; </w:t>
      </w:r>
      <w:proofErr w:type="spellStart"/>
      <w:r>
        <w:t>Lengeler</w:t>
      </w:r>
      <w:proofErr w:type="spellEnd"/>
      <w:r>
        <w:t>, C. (2021). Malaria and housing: A systematic review and me</w:t>
      </w:r>
      <w:r>
        <w:t>ta-analysis. The Lancet Planetary Health, 5(8), e532-e543.</w:t>
      </w:r>
    </w:p>
    <w:p w14:paraId="61913071" w14:textId="77777777" w:rsidR="00E56E42" w:rsidRDefault="00E56E42"/>
    <w:p w14:paraId="19FC4555" w14:textId="77777777" w:rsidR="00E56E42" w:rsidRDefault="00E24F99">
      <w:r>
        <w:t xml:space="preserve">Doolan, D. L., </w:t>
      </w:r>
      <w:proofErr w:type="spellStart"/>
      <w:r>
        <w:t>Doba</w:t>
      </w:r>
      <w:r>
        <w:t>ñ</w:t>
      </w:r>
      <w:r>
        <w:t>o</w:t>
      </w:r>
      <w:proofErr w:type="spellEnd"/>
      <w:r>
        <w:t>, C., &amp; Baird, J. K. (2009). Acquired immunity to malaria. Clinical Microbiology Reviews, 22(1), 13-36.</w:t>
      </w:r>
    </w:p>
    <w:p w14:paraId="7DFC7F07" w14:textId="77777777" w:rsidR="00E56E42" w:rsidRDefault="00E56E42"/>
    <w:p w14:paraId="5AA235BD" w14:textId="77777777" w:rsidR="00E56E42" w:rsidRDefault="00E24F99">
      <w:r>
        <w:t>Federal Ministry of Health, Nigeria. (2021). Nigeria Malaria Indicator</w:t>
      </w:r>
      <w:r>
        <w:t xml:space="preserve"> Survey 2021. National Malaria Elimination </w:t>
      </w:r>
      <w:proofErr w:type="spellStart"/>
      <w:r>
        <w:t>Programme</w:t>
      </w:r>
      <w:proofErr w:type="spellEnd"/>
      <w:r>
        <w:t>, Abuja, Nigeria.</w:t>
      </w:r>
    </w:p>
    <w:p w14:paraId="1BF479CA" w14:textId="77777777" w:rsidR="00E56E42" w:rsidRDefault="00E56E42"/>
    <w:p w14:paraId="0CF103F7" w14:textId="77777777" w:rsidR="00E56E42" w:rsidRDefault="00E24F99">
      <w:r>
        <w:t xml:space="preserve">Gething, P. W., Casey, D. C., Weiss, D. J., et al. (2020). Mapping </w:t>
      </w:r>
      <w:r>
        <w:rPr>
          <w:i/>
        </w:rPr>
        <w:t>Plasmodium falciparum</w:t>
      </w:r>
      <w:r>
        <w:t xml:space="preserve"> mortality in Africa between 1990 and 2015. Nature, 582(7813), 546-552.</w:t>
      </w:r>
    </w:p>
    <w:p w14:paraId="1531DC72" w14:textId="77777777" w:rsidR="00E56E42" w:rsidRDefault="00E56E42"/>
    <w:p w14:paraId="34E2C05B" w14:textId="77777777" w:rsidR="00E56E42" w:rsidRDefault="00E24F99">
      <w:r>
        <w:t>Ibrahim, A. B., Yusuf, I</w:t>
      </w:r>
      <w:r>
        <w:t>., &amp; Muhammad, Y. (2020). Prevalence of malaria among rural communities in Gombe State, northeastern Nigeria. Journal of Infectious Diseases and Epidemiology, 6(3), 1-8.</w:t>
      </w:r>
    </w:p>
    <w:p w14:paraId="79FA2CB6" w14:textId="77777777" w:rsidR="00E56E42" w:rsidRDefault="00E56E42"/>
    <w:p w14:paraId="0D92312A" w14:textId="77777777" w:rsidR="00E56E42" w:rsidRDefault="00E24F99">
      <w:r>
        <w:t>Kabaghe, A. N., Chipeta, M. G., &amp; McCann, R. S. (2018). Fine-scale spatial and tempor</w:t>
      </w:r>
      <w:r>
        <w:t xml:space="preserve">al variation of clinical malaria incidence and associated factors in </w:t>
      </w:r>
      <w:proofErr w:type="spellStart"/>
      <w:r>
        <w:t>Chikhwawa</w:t>
      </w:r>
      <w:proofErr w:type="spellEnd"/>
      <w:r>
        <w:t>, Malawi. Malaria Journal, 17(1), 1-12.</w:t>
      </w:r>
    </w:p>
    <w:p w14:paraId="3C74D33A" w14:textId="77777777" w:rsidR="00E56E42" w:rsidRDefault="00E56E42"/>
    <w:p w14:paraId="68D83009" w14:textId="77777777" w:rsidR="00E56E42" w:rsidRDefault="00E24F99">
      <w:r>
        <w:t xml:space="preserve">Kamau, A., </w:t>
      </w:r>
      <w:proofErr w:type="spellStart"/>
      <w:r>
        <w:t>Mtanje</w:t>
      </w:r>
      <w:proofErr w:type="spellEnd"/>
      <w:r>
        <w:t xml:space="preserve">, G., &amp; </w:t>
      </w:r>
      <w:proofErr w:type="spellStart"/>
      <w:r>
        <w:t>Mataza</w:t>
      </w:r>
      <w:proofErr w:type="spellEnd"/>
      <w:r>
        <w:t>, C. (2021). Malaria infection, disease and mortality among children and adults on the coast of Kenya. Mal</w:t>
      </w:r>
      <w:r>
        <w:t>aria Journal, 20(1), 1-12.</w:t>
      </w:r>
    </w:p>
    <w:p w14:paraId="48B7AC8D" w14:textId="77777777" w:rsidR="00E56E42" w:rsidRDefault="00E56E42"/>
    <w:p w14:paraId="49636A8C" w14:textId="77777777" w:rsidR="00E56E42" w:rsidRDefault="00E24F99">
      <w:r>
        <w:t>Kassebaum, N. J., Kyu, H. H., &amp; Zoeckler, L. (2020). Child and adolescent health from 1990 to 2015: Findings from the Global Burden of Diseases, Injuries, and Risk Factors 2015 Study. JAMA Pediatrics, 171(6), 573-592.</w:t>
      </w:r>
    </w:p>
    <w:p w14:paraId="05FB6816" w14:textId="77777777" w:rsidR="00E56E42" w:rsidRDefault="00E56E42"/>
    <w:p w14:paraId="18D4C4B3" w14:textId="77777777" w:rsidR="00E56E42" w:rsidRDefault="00E24F99">
      <w:proofErr w:type="spellStart"/>
      <w:r>
        <w:t>Mbacham</w:t>
      </w:r>
      <w:proofErr w:type="spellEnd"/>
      <w:r>
        <w:t xml:space="preserve">, </w:t>
      </w:r>
      <w:r>
        <w:t xml:space="preserve">W. F., Ayong, L., &amp; </w:t>
      </w:r>
      <w:proofErr w:type="spellStart"/>
      <w:r>
        <w:t>Guewo-Fokeng</w:t>
      </w:r>
      <w:proofErr w:type="spellEnd"/>
      <w:r>
        <w:t>, M. (2022). Epidemiology of malaria in Africa. In: Malaria: Biology, Epidemiology and Control. Academic Press, London. pp. 125-148.</w:t>
      </w:r>
    </w:p>
    <w:p w14:paraId="358ABD0D" w14:textId="77777777" w:rsidR="00E56E42" w:rsidRDefault="00E56E42"/>
    <w:p w14:paraId="26837424" w14:textId="77777777" w:rsidR="00E56E42" w:rsidRDefault="00E24F99">
      <w:proofErr w:type="spellStart"/>
      <w:r>
        <w:t>Mboera</w:t>
      </w:r>
      <w:proofErr w:type="spellEnd"/>
      <w:r>
        <w:t xml:space="preserve">, L. E. G., Bwana, V. M., &amp; </w:t>
      </w:r>
      <w:proofErr w:type="spellStart"/>
      <w:r>
        <w:t>Rumisha</w:t>
      </w:r>
      <w:proofErr w:type="spellEnd"/>
      <w:r>
        <w:t xml:space="preserve">, S. F. (2020). </w:t>
      </w:r>
      <w:proofErr w:type="spellStart"/>
      <w:r>
        <w:t>Spatio</w:t>
      </w:r>
      <w:proofErr w:type="spellEnd"/>
      <w:r>
        <w:t>-temporal variation in mala</w:t>
      </w:r>
      <w:r>
        <w:t xml:space="preserve">ria transmission intensity in five </w:t>
      </w:r>
      <w:proofErr w:type="spellStart"/>
      <w:r>
        <w:t>agro</w:t>
      </w:r>
      <w:proofErr w:type="spellEnd"/>
      <w:r>
        <w:t xml:space="preserve">-ecosystems in </w:t>
      </w:r>
      <w:proofErr w:type="spellStart"/>
      <w:r>
        <w:t>Mvomero</w:t>
      </w:r>
      <w:proofErr w:type="spellEnd"/>
      <w:r>
        <w:t xml:space="preserve"> district, Tanzania. Geospatial Health, 15(1), 1-12.</w:t>
      </w:r>
    </w:p>
    <w:p w14:paraId="1C0B4972" w14:textId="77777777" w:rsidR="00E56E42" w:rsidRDefault="00E56E42"/>
    <w:p w14:paraId="780D4F03" w14:textId="77777777" w:rsidR="00E56E42" w:rsidRDefault="00E24F99">
      <w:r>
        <w:t xml:space="preserve">Mendis, K., </w:t>
      </w:r>
      <w:proofErr w:type="spellStart"/>
      <w:r>
        <w:t>Sinnis</w:t>
      </w:r>
      <w:proofErr w:type="spellEnd"/>
      <w:r>
        <w:t>, P., &amp; Wirth, D. (2021). Malaria transmission: Balancing forces and opposing views. Nature Reviews Microbiology, 19(4), 21</w:t>
      </w:r>
      <w:r>
        <w:t>3-225.</w:t>
      </w:r>
    </w:p>
    <w:p w14:paraId="319D1390" w14:textId="77777777" w:rsidR="00E56E42" w:rsidRDefault="00E56E42"/>
    <w:p w14:paraId="72043D52" w14:textId="77777777" w:rsidR="00E56E42" w:rsidRDefault="00E24F99">
      <w:r>
        <w:t xml:space="preserve">Mwangangi, J. M., Muturi, E. J., &amp; </w:t>
      </w:r>
      <w:proofErr w:type="spellStart"/>
      <w:r>
        <w:t>Muriu</w:t>
      </w:r>
      <w:proofErr w:type="spellEnd"/>
      <w:r>
        <w:t>, S. M. (2022). The role of aquatic habitats in malaria transmission along the Kenyan coast. Acta Tropica, 225, 106-115.</w:t>
      </w:r>
    </w:p>
    <w:p w14:paraId="27B173F8" w14:textId="77777777" w:rsidR="00E56E42" w:rsidRDefault="00E56E42"/>
    <w:p w14:paraId="5DBAAA43" w14:textId="77777777" w:rsidR="00E56E42" w:rsidRDefault="00E24F99">
      <w:r>
        <w:t xml:space="preserve">National Malaria Elimination </w:t>
      </w:r>
      <w:proofErr w:type="spellStart"/>
      <w:r>
        <w:t>Programme</w:t>
      </w:r>
      <w:proofErr w:type="spellEnd"/>
      <w:r>
        <w:t xml:space="preserve"> (NMEP), Nigeria. (2022). National Malaria Strat</w:t>
      </w:r>
      <w:r>
        <w:t>egic Plan 2021-2025. Federal Ministry of Health, Abuja.</w:t>
      </w:r>
    </w:p>
    <w:p w14:paraId="5D22BCE1" w14:textId="77777777" w:rsidR="00E56E42" w:rsidRDefault="00E56E42"/>
    <w:p w14:paraId="18B4FD33" w14:textId="77777777" w:rsidR="00E56E42" w:rsidRDefault="00E24F99">
      <w:r>
        <w:t>Nigerian Meteorological Agency (NiMet). (2022). Annual Climate Report 2021. NiMet, Abuja.</w:t>
      </w:r>
    </w:p>
    <w:p w14:paraId="726251DC" w14:textId="77777777" w:rsidR="00E56E42" w:rsidRDefault="00E56E42"/>
    <w:p w14:paraId="40EB57F0" w14:textId="77777777" w:rsidR="00E56E42" w:rsidRDefault="00E24F99">
      <w:proofErr w:type="spellStart"/>
      <w:r>
        <w:t>Okiring</w:t>
      </w:r>
      <w:proofErr w:type="spellEnd"/>
      <w:r>
        <w:t xml:space="preserve">, J., Epstein, A., &amp; </w:t>
      </w:r>
      <w:proofErr w:type="spellStart"/>
      <w:r>
        <w:t>Namuganga</w:t>
      </w:r>
      <w:proofErr w:type="spellEnd"/>
      <w:r>
        <w:t xml:space="preserve">, J. F. (2022). ITN use and malaria transmission in Uganda: A </w:t>
      </w:r>
      <w:r>
        <w:t>longitudinal study. Malaria Journal, 21(1), 1-11.</w:t>
      </w:r>
    </w:p>
    <w:p w14:paraId="1F996523" w14:textId="77777777" w:rsidR="00E56E42" w:rsidRDefault="00E56E42"/>
    <w:p w14:paraId="5AC9A61D" w14:textId="77777777" w:rsidR="00E56E42" w:rsidRDefault="00E24F99">
      <w:r>
        <w:t xml:space="preserve">Pathak, S., Rege, M., &amp; </w:t>
      </w:r>
      <w:proofErr w:type="spellStart"/>
      <w:r>
        <w:t>Gogtay</w:t>
      </w:r>
      <w:proofErr w:type="spellEnd"/>
      <w:r>
        <w:t>, N. J. (2019). Sex-based differences in malaria: A systematic review. Journal of Vector Borne Diseases, 56(1), 12-18.</w:t>
      </w:r>
    </w:p>
    <w:p w14:paraId="04F67B6F" w14:textId="77777777" w:rsidR="00E56E42" w:rsidRDefault="00E56E42"/>
    <w:p w14:paraId="7EE9FD14" w14:textId="77777777" w:rsidR="00E56E42" w:rsidRDefault="00E24F99">
      <w:proofErr w:type="spellStart"/>
      <w:r>
        <w:t>Pothin</w:t>
      </w:r>
      <w:proofErr w:type="spellEnd"/>
      <w:r>
        <w:t xml:space="preserve">, E., Ferguson, N. M., &amp; Drakeley, C. J. (2021). </w:t>
      </w:r>
      <w:r>
        <w:t>Estimating malaria transmission intensity from serological data using antibody density models. Malaria Journal, 20(1), 1-14.</w:t>
      </w:r>
    </w:p>
    <w:p w14:paraId="719EEB76" w14:textId="77777777" w:rsidR="00E56E42" w:rsidRDefault="00E56E42"/>
    <w:p w14:paraId="78BC102A" w14:textId="77777777" w:rsidR="00E56E42" w:rsidRDefault="00E24F99">
      <w:r>
        <w:t>Rogerson, S. J., Desai, M., &amp; Mayor, A. (2022). Malaria in pregnancy: Pathogenesis and immunity. The Lancet Infectious Diseases, 2</w:t>
      </w:r>
      <w:r>
        <w:t>2(3), e77-e88.</w:t>
      </w:r>
    </w:p>
    <w:p w14:paraId="61C516AA" w14:textId="77777777" w:rsidR="00E56E42" w:rsidRDefault="00E56E42"/>
    <w:p w14:paraId="610357E4" w14:textId="77777777" w:rsidR="00E56E42" w:rsidRDefault="00E24F99">
      <w:proofErr w:type="spellStart"/>
      <w:r>
        <w:t>Tusting</w:t>
      </w:r>
      <w:proofErr w:type="spellEnd"/>
      <w:r>
        <w:t xml:space="preserve">, L. S., Gething, P. W., &amp; Gibson, H. S. (2020). Housing and child health in sub-Saharan Africa: A cross-sectional analysis. </w:t>
      </w:r>
      <w:proofErr w:type="spellStart"/>
      <w:r>
        <w:t>PLoS</w:t>
      </w:r>
      <w:proofErr w:type="spellEnd"/>
      <w:r>
        <w:t xml:space="preserve"> Medicine, 17(3), e1003055.</w:t>
      </w:r>
    </w:p>
    <w:p w14:paraId="584FA164" w14:textId="77777777" w:rsidR="00E56E42" w:rsidRDefault="00E56E42"/>
    <w:p w14:paraId="01EF51D3" w14:textId="77777777" w:rsidR="00E56E42" w:rsidRDefault="00E24F99">
      <w:r>
        <w:t>WHO. (2025). World Malaria Report 2025. World Health Organization, Geneva.</w:t>
      </w:r>
    </w:p>
    <w:p w14:paraId="5522AC9F" w14:textId="77777777" w:rsidR="00E56E42" w:rsidRDefault="00E56E42"/>
    <w:p w14:paraId="2E45269B" w14:textId="77777777" w:rsidR="00E56E42" w:rsidRDefault="00E24F99">
      <w:r>
        <w:t xml:space="preserve">WHO. (2022). Guidelines for Malaria Prevention, Diagnosis and Treatment. World Health Organization, Geneva. </w:t>
      </w:r>
    </w:p>
    <w:sectPr w:rsidR="00E56E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FF1EC" w14:textId="77777777" w:rsidR="00E24F99" w:rsidRDefault="00E24F99" w:rsidP="001747D0">
      <w:r>
        <w:separator/>
      </w:r>
    </w:p>
  </w:endnote>
  <w:endnote w:type="continuationSeparator" w:id="0">
    <w:p w14:paraId="49A124DF" w14:textId="77777777" w:rsidR="00E24F99" w:rsidRDefault="00E24F99" w:rsidP="0017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19FB" w14:textId="77777777" w:rsidR="001747D0" w:rsidRDefault="0017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5195" w14:textId="77777777" w:rsidR="001747D0" w:rsidRDefault="00174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4C3B" w14:textId="77777777" w:rsidR="001747D0" w:rsidRDefault="0017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9C540" w14:textId="77777777" w:rsidR="00E24F99" w:rsidRDefault="00E24F99" w:rsidP="001747D0">
      <w:r>
        <w:separator/>
      </w:r>
    </w:p>
  </w:footnote>
  <w:footnote w:type="continuationSeparator" w:id="0">
    <w:p w14:paraId="36D3B15B" w14:textId="77777777" w:rsidR="00E24F99" w:rsidRDefault="00E24F99" w:rsidP="0017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2BA3" w14:textId="345C0323" w:rsidR="001747D0" w:rsidRDefault="001747D0">
    <w:pPr>
      <w:pStyle w:val="Header"/>
    </w:pPr>
    <w:r>
      <w:rPr>
        <w:noProof/>
      </w:rPr>
      <w:pict w14:anchorId="50ED2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BD27" w14:textId="726567E4" w:rsidR="001747D0" w:rsidRDefault="001747D0">
    <w:pPr>
      <w:pStyle w:val="Header"/>
    </w:pPr>
    <w:r>
      <w:rPr>
        <w:noProof/>
      </w:rPr>
      <w:pict w14:anchorId="53EE2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AD73" w14:textId="41822546" w:rsidR="001747D0" w:rsidRDefault="001747D0">
    <w:pPr>
      <w:pStyle w:val="Header"/>
    </w:pPr>
    <w:r>
      <w:rPr>
        <w:noProof/>
      </w:rPr>
      <w:pict w14:anchorId="0F5B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42"/>
    <w:rsid w:val="001747D0"/>
    <w:rsid w:val="007E01AA"/>
    <w:rsid w:val="009F35E5"/>
    <w:rsid w:val="00E24F99"/>
    <w:rsid w:val="00E5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AC2EB"/>
  <w15:docId w15:val="{9D34C841-C785-4B8A-BB60-8A56409E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Calibri" w:eastAsia="SimSun"/>
      <w:kern w:val="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pPr>
      <w:tabs>
        <w:tab w:val="decimal" w:pos="360"/>
      </w:tabs>
      <w:spacing w:after="200" w:line="276" w:lineRule="auto"/>
      <w:jc w:val="left"/>
    </w:pPr>
    <w:rPr>
      <w:rFonts w:hAnsi="Calibri"/>
      <w:kern w:val="0"/>
      <w:sz w:val="22"/>
    </w:rPr>
  </w:style>
  <w:style w:type="paragraph" w:styleId="FootnoteText">
    <w:name w:val="footnote text"/>
    <w:basedOn w:val="Normal"/>
    <w:link w:val="FootnoteTextChar"/>
    <w:uiPriority w:val="99"/>
    <w:pPr>
      <w:jc w:val="left"/>
    </w:pPr>
    <w:rPr>
      <w:rFonts w:hAnsi="Calibri"/>
      <w:kern w:val="0"/>
      <w:szCs w:val="20"/>
    </w:rPr>
  </w:style>
  <w:style w:type="character" w:customStyle="1" w:styleId="FootnoteTextChar">
    <w:name w:val="Footnote Text Char"/>
    <w:basedOn w:val="DefaultParagraphFont"/>
    <w:link w:val="FootnoteText"/>
    <w:uiPriority w:val="99"/>
    <w:rPr>
      <w:rFonts w:ascii="Calibri" w:eastAsia="SimSun" w:hAnsi="Calibri"/>
    </w:rPr>
  </w:style>
  <w:style w:type="character" w:styleId="SubtleEmphasis">
    <w:name w:val="Subtle Emphasis"/>
    <w:basedOn w:val="DefaultParagraphFont"/>
    <w:uiPriority w:val="19"/>
    <w:qFormat/>
    <w:rPr>
      <w:i/>
      <w:iCs/>
    </w:rPr>
  </w:style>
  <w:style w:type="table" w:styleId="LightShading-Accent1">
    <w:name w:val="Light Shading Accent 1"/>
    <w:basedOn w:val="TableNormal"/>
    <w:uiPriority w:val="60"/>
    <w:rPr>
      <w:rFonts w:ascii="Calibri" w:eastAsia="SimSun" w:hAnsi="Calibri" w:cs="SimSu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kern w:val="1"/>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kern w:val="1"/>
      <w:szCs w:val="22"/>
    </w:rPr>
  </w:style>
  <w:style w:type="character" w:styleId="Hyperlink">
    <w:name w:val="Hyperlink"/>
    <w:basedOn w:val="DefaultParagraphFont"/>
    <w:uiPriority w:val="99"/>
    <w:unhideWhenUsed/>
    <w:rsid w:val="009F35E5"/>
    <w:rPr>
      <w:color w:val="0000FF" w:themeColor="hyperlink"/>
      <w:u w:val="single"/>
    </w:rPr>
  </w:style>
  <w:style w:type="character" w:styleId="UnresolvedMention">
    <w:name w:val="Unresolved Mention"/>
    <w:basedOn w:val="DefaultParagraphFont"/>
    <w:uiPriority w:val="99"/>
    <w:semiHidden/>
    <w:unhideWhenUsed/>
    <w:rsid w:val="009F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3836</Words>
  <Characters>21866</Characters>
  <Application>Microsoft Office Word</Application>
  <DocSecurity>0</DocSecurity>
  <Lines>182</Lines>
  <Paragraphs>51</Paragraphs>
  <ScaleCrop>false</ScaleCrop>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4</cp:revision>
  <dcterms:created xsi:type="dcterms:W3CDTF">2026-02-20T17:12:00Z</dcterms:created>
  <dcterms:modified xsi:type="dcterms:W3CDTF">2026-02-21T12:10:00Z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87a9f2a6a1cc44ae8f98ef19e2565d17</vt:lpwstr>
  </property>
</Properties>
</file>