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511B6" w14:textId="77777777" w:rsidR="00754C9A" w:rsidRDefault="00754C9A" w:rsidP="00441B6F">
      <w:pPr>
        <w:pStyle w:val="Title"/>
        <w:spacing w:after="0"/>
        <w:jc w:val="both"/>
        <w:rPr>
          <w:rFonts w:ascii="Arial" w:hAnsi="Arial" w:cs="Arial"/>
        </w:rPr>
      </w:pPr>
    </w:p>
    <w:p w14:paraId="4BA05B4D" w14:textId="31ACC372" w:rsidR="00794E0E" w:rsidRDefault="00794E0E" w:rsidP="00D41361">
      <w:pPr>
        <w:pStyle w:val="Author"/>
        <w:spacing w:line="240" w:lineRule="auto"/>
        <w:rPr>
          <w:rFonts w:ascii="Arial" w:hAnsi="Arial" w:cs="Arial"/>
          <w:bCs/>
          <w:iCs/>
          <w:kern w:val="28"/>
          <w:sz w:val="36"/>
        </w:rPr>
      </w:pPr>
      <w:r w:rsidRPr="00794E0E">
        <w:rPr>
          <w:rFonts w:ascii="Arial" w:hAnsi="Arial" w:cs="Arial"/>
          <w:bCs/>
          <w:iCs/>
          <w:kern w:val="28"/>
          <w:sz w:val="36"/>
        </w:rPr>
        <w:t>Review Article</w:t>
      </w:r>
    </w:p>
    <w:p w14:paraId="2FFCAEA5" w14:textId="77777777" w:rsidR="0063174C" w:rsidRDefault="0063174C" w:rsidP="00D41361">
      <w:pPr>
        <w:pStyle w:val="Author"/>
        <w:spacing w:line="240" w:lineRule="auto"/>
        <w:rPr>
          <w:rFonts w:ascii="Arial" w:hAnsi="Arial" w:cs="Arial"/>
          <w:bCs/>
          <w:iCs/>
          <w:kern w:val="28"/>
          <w:sz w:val="36"/>
        </w:rPr>
      </w:pPr>
    </w:p>
    <w:p w14:paraId="261B03DD" w14:textId="6F4F3F47" w:rsidR="004E298C" w:rsidRDefault="00D51723" w:rsidP="004E298C">
      <w:pPr>
        <w:pStyle w:val="Author"/>
        <w:spacing w:line="240" w:lineRule="auto"/>
        <w:rPr>
          <w:rFonts w:ascii="Arial" w:hAnsi="Arial" w:cs="Arial"/>
          <w:bCs/>
          <w:iCs/>
          <w:kern w:val="28"/>
          <w:sz w:val="36"/>
        </w:rPr>
      </w:pPr>
      <w:r w:rsidRPr="00D51723">
        <w:rPr>
          <w:rFonts w:ascii="Arial" w:hAnsi="Arial" w:cs="Arial"/>
          <w:bCs/>
          <w:iCs/>
          <w:kern w:val="28"/>
          <w:sz w:val="36"/>
        </w:rPr>
        <w:t>Dietary Safflower Oil and Cardiometabolic Health: From Molecular Pathways to Clinical Implications</w:t>
      </w:r>
    </w:p>
    <w:p w14:paraId="53ABA771" w14:textId="77777777" w:rsidR="006B2596" w:rsidRDefault="006B2596" w:rsidP="004E298C">
      <w:pPr>
        <w:pStyle w:val="Author"/>
        <w:spacing w:line="240" w:lineRule="auto"/>
        <w:rPr>
          <w:rFonts w:ascii="Arial" w:hAnsi="Arial" w:cs="Arial"/>
        </w:rPr>
      </w:pPr>
    </w:p>
    <w:p w14:paraId="4D5D8E73" w14:textId="77777777" w:rsidR="00B33ED0" w:rsidRDefault="00B33ED0" w:rsidP="00441B6F">
      <w:pPr>
        <w:pStyle w:val="Copyright"/>
        <w:spacing w:after="0" w:line="240" w:lineRule="auto"/>
        <w:jc w:val="both"/>
        <w:rPr>
          <w:rFonts w:ascii="Arial" w:hAnsi="Arial" w:cs="Arial"/>
        </w:rPr>
      </w:pPr>
    </w:p>
    <w:bookmarkStart w:id="0" w:name="_GoBack"/>
    <w:bookmarkEnd w:id="0"/>
    <w:p w14:paraId="1F628ADD" w14:textId="5B224929" w:rsidR="00B01FCD" w:rsidRPr="00FB3A86" w:rsidRDefault="00D31E69" w:rsidP="00441B6F">
      <w:pPr>
        <w:pStyle w:val="Copyright"/>
        <w:spacing w:after="0" w:line="240" w:lineRule="auto"/>
        <w:jc w:val="both"/>
        <w:rPr>
          <w:rFonts w:ascii="Arial" w:hAnsi="Arial" w:cs="Arial"/>
        </w:rPr>
        <w:sectPr w:rsidR="00B01FCD" w:rsidRPr="00FB3A86" w:rsidSect="006F3A7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B80E0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75F6FC" w14:textId="444BA33A" w:rsidR="00B01FCD" w:rsidRDefault="00B01FCD" w:rsidP="00441B6F">
      <w:pPr>
        <w:pStyle w:val="AbstHead"/>
        <w:spacing w:after="0"/>
        <w:jc w:val="both"/>
        <w:rPr>
          <w:rFonts w:ascii="Arial" w:hAnsi="Arial" w:cs="Arial"/>
        </w:rPr>
      </w:pPr>
      <w:r w:rsidRPr="00FB3A86">
        <w:rPr>
          <w:rFonts w:ascii="Arial" w:hAnsi="Arial" w:cs="Arial"/>
        </w:rPr>
        <w:t>ABSTRACT</w:t>
      </w:r>
    </w:p>
    <w:p w14:paraId="2290EB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B6BE6A0" w14:textId="77777777" w:rsidTr="001E44FE">
        <w:tc>
          <w:tcPr>
            <w:tcW w:w="9576" w:type="dxa"/>
            <w:shd w:val="clear" w:color="auto" w:fill="F2F2F2"/>
          </w:tcPr>
          <w:p w14:paraId="41A8FFD8" w14:textId="7EF458ED" w:rsidR="00505F06" w:rsidRPr="00BA1B01" w:rsidRDefault="00D51723" w:rsidP="00441B6F">
            <w:pPr>
              <w:pStyle w:val="Body"/>
              <w:spacing w:after="0"/>
              <w:rPr>
                <w:rFonts w:ascii="Arial" w:eastAsia="Calibri" w:hAnsi="Arial" w:cs="Arial"/>
                <w:szCs w:val="22"/>
              </w:rPr>
            </w:pPr>
            <w:r w:rsidRPr="00D51723">
              <w:rPr>
                <w:rFonts w:ascii="Arial" w:eastAsia="Calibri" w:hAnsi="Arial" w:cs="Arial"/>
                <w:szCs w:val="22"/>
                <w:lang w:val="en-IN"/>
              </w:rPr>
              <w:t xml:space="preserve">Metabolic syndrome, characterized by central obesity, </w:t>
            </w:r>
            <w:proofErr w:type="spellStart"/>
            <w:r w:rsidRPr="00D51723">
              <w:rPr>
                <w:rFonts w:ascii="Arial" w:eastAsia="Calibri" w:hAnsi="Arial" w:cs="Arial"/>
                <w:szCs w:val="22"/>
                <w:lang w:val="en-IN"/>
              </w:rPr>
              <w:t>dyslipidemia</w:t>
            </w:r>
            <w:proofErr w:type="spellEnd"/>
            <w:r w:rsidRPr="00D51723">
              <w:rPr>
                <w:rFonts w:ascii="Arial" w:eastAsia="Calibri" w:hAnsi="Arial" w:cs="Arial"/>
                <w:szCs w:val="22"/>
                <w:lang w:val="en-IN"/>
              </w:rPr>
              <w:t>, hypertension, and insulin resistance, continues to rise globally, presenting substantial health risks. Dietary interventions are increasingly investigated as complementary approaches for managing these metabolic disturbances, with safflower (</w:t>
            </w:r>
            <w:proofErr w:type="spellStart"/>
            <w:r w:rsidRPr="00D51723">
              <w:rPr>
                <w:rFonts w:ascii="Arial" w:eastAsia="Calibri" w:hAnsi="Arial" w:cs="Arial"/>
                <w:szCs w:val="22"/>
                <w:lang w:val="en-IN"/>
              </w:rPr>
              <w:t>Carthamus</w:t>
            </w:r>
            <w:proofErr w:type="spellEnd"/>
            <w:r w:rsidRPr="00D51723">
              <w:rPr>
                <w:rFonts w:ascii="Arial" w:eastAsia="Calibri" w:hAnsi="Arial" w:cs="Arial"/>
                <w:szCs w:val="22"/>
                <w:lang w:val="en-IN"/>
              </w:rPr>
              <w:t xml:space="preserve"> </w:t>
            </w:r>
            <w:proofErr w:type="spellStart"/>
            <w:r w:rsidRPr="00D51723">
              <w:rPr>
                <w:rFonts w:ascii="Arial" w:eastAsia="Calibri" w:hAnsi="Arial" w:cs="Arial"/>
                <w:szCs w:val="22"/>
                <w:lang w:val="en-IN"/>
              </w:rPr>
              <w:t>tinctorius</w:t>
            </w:r>
            <w:proofErr w:type="spellEnd"/>
            <w:r w:rsidRPr="00D51723">
              <w:rPr>
                <w:rFonts w:ascii="Arial" w:eastAsia="Calibri" w:hAnsi="Arial" w:cs="Arial"/>
                <w:szCs w:val="22"/>
                <w:lang w:val="en-IN"/>
              </w:rPr>
              <w:t xml:space="preserve"> L.) emerging as a promising candidate due to its rich content of polyunsaturated fatty acids, particularly linoleic acid, and bioactive flavonoids. This review systematically examines current evidence regarding the biochemical, physiological, and clinical impacts of safflower-derived oils and petal extracts on cardiometabolic health. Experimental studies demonstrate that linoleic acid-rich safflower oil can modulate lipid profiles, reduce circulating triglycerides and LDL cholesterol, and enhance hepatic lipid metabolism, while safflower petal extracts influence glucose homeostasis via the AKT/FoxO1 </w:t>
            </w:r>
            <w:proofErr w:type="spellStart"/>
            <w:r w:rsidRPr="00D51723">
              <w:rPr>
                <w:rFonts w:ascii="Arial" w:eastAsia="Calibri" w:hAnsi="Arial" w:cs="Arial"/>
                <w:szCs w:val="22"/>
                <w:lang w:val="en-IN"/>
              </w:rPr>
              <w:t>signaling</w:t>
            </w:r>
            <w:proofErr w:type="spellEnd"/>
            <w:r w:rsidRPr="00D51723">
              <w:rPr>
                <w:rFonts w:ascii="Arial" w:eastAsia="Calibri" w:hAnsi="Arial" w:cs="Arial"/>
                <w:szCs w:val="22"/>
                <w:lang w:val="en-IN"/>
              </w:rPr>
              <w:t xml:space="preserve"> pathway and exert anti-inflammatory effects through NF-</w:t>
            </w:r>
            <w:proofErr w:type="spellStart"/>
            <w:r w:rsidRPr="00D51723">
              <w:rPr>
                <w:rFonts w:ascii="Arial" w:eastAsia="Calibri" w:hAnsi="Arial" w:cs="Arial"/>
                <w:szCs w:val="22"/>
                <w:lang w:val="en-IN"/>
              </w:rPr>
              <w:t>κB</w:t>
            </w:r>
            <w:proofErr w:type="spellEnd"/>
            <w:r w:rsidRPr="00D51723">
              <w:rPr>
                <w:rFonts w:ascii="Arial" w:eastAsia="Calibri" w:hAnsi="Arial" w:cs="Arial"/>
                <w:szCs w:val="22"/>
                <w:lang w:val="en-IN"/>
              </w:rPr>
              <w:t xml:space="preserve"> and Nrf2 modulation. Additionally, emerging research highlights safflower’s interaction with the gut microbiota, promoting beneficial bacterial populations and regulating metabolite-mediated hepatic glucose production. Despite these benefits, variability in study outcomes is noted, influenced by differences in oil composition, dosage, intervention duration, and metabolic context. Comparisons with other lipid sources indicate that safflower oil provides metabolic advantages over saturated fats, yet omega-3-rich oils may offer superior anti-inflammatory and muscle-preserving effects. Overall, the integration of biochemical, animal, and human clinical data underscores the potential of safflower as a context-specific nutritional intervention for metabolic syndrome. Future research should focus on optimizing formulations, understanding gut-liver interactions, and evaluating long-term clinical efficacy to establish evidence-based dietary strategies that leverage safflower’s unique bioactive profile.</w:t>
            </w:r>
          </w:p>
        </w:tc>
      </w:tr>
    </w:tbl>
    <w:p w14:paraId="457B43D8" w14:textId="77777777" w:rsidR="00636EB2" w:rsidRDefault="00636EB2" w:rsidP="00441B6F">
      <w:pPr>
        <w:pStyle w:val="Body"/>
        <w:spacing w:after="0"/>
        <w:rPr>
          <w:rFonts w:ascii="Arial" w:hAnsi="Arial" w:cs="Arial"/>
          <w:i/>
        </w:rPr>
      </w:pPr>
    </w:p>
    <w:p w14:paraId="27358B47" w14:textId="0AB66CAB" w:rsidR="0024282C" w:rsidRDefault="00A24E7E" w:rsidP="00441B6F">
      <w:pPr>
        <w:pStyle w:val="Body"/>
        <w:spacing w:after="0"/>
        <w:rPr>
          <w:rFonts w:ascii="Arial" w:hAnsi="Arial" w:cs="Arial"/>
          <w:i/>
          <w:sz w:val="18"/>
        </w:rPr>
      </w:pPr>
      <w:r w:rsidRPr="00D41361">
        <w:rPr>
          <w:rFonts w:ascii="Arial" w:hAnsi="Arial" w:cs="Arial"/>
          <w:b/>
          <w:bCs/>
          <w:i/>
        </w:rPr>
        <w:t>Keywords:</w:t>
      </w:r>
      <w:r>
        <w:rPr>
          <w:rFonts w:ascii="Arial" w:hAnsi="Arial" w:cs="Arial"/>
          <w:i/>
        </w:rPr>
        <w:t xml:space="preserve"> </w:t>
      </w:r>
      <w:r w:rsidR="00D51723" w:rsidRPr="00D51723">
        <w:rPr>
          <w:rFonts w:ascii="Arial" w:hAnsi="Arial" w:cs="Arial"/>
          <w:i/>
        </w:rPr>
        <w:t>Linoleic acid, Metabolic syndrome, Insulin sensitivity, Gut microbiota; ω6/ω3 ratio, Hepatic metabolism.</w:t>
      </w:r>
    </w:p>
    <w:p w14:paraId="4C2CE494" w14:textId="77777777" w:rsidR="00505F06" w:rsidRPr="00A24E7E" w:rsidRDefault="00505F06" w:rsidP="00441B6F">
      <w:pPr>
        <w:pStyle w:val="Body"/>
        <w:spacing w:after="0"/>
        <w:rPr>
          <w:rFonts w:ascii="Arial" w:hAnsi="Arial" w:cs="Arial"/>
          <w:i/>
        </w:rPr>
      </w:pPr>
    </w:p>
    <w:p w14:paraId="7149EE09" w14:textId="45D36B5B" w:rsidR="007F7B32" w:rsidRDefault="00B01FCD" w:rsidP="00D51723">
      <w:pPr>
        <w:pStyle w:val="AbstHead"/>
        <w:numPr>
          <w:ilvl w:val="0"/>
          <w:numId w:val="37"/>
        </w:numPr>
        <w:spacing w:after="0"/>
        <w:jc w:val="both"/>
        <w:rPr>
          <w:rFonts w:ascii="Arial" w:hAnsi="Arial" w:cs="Arial"/>
        </w:rPr>
      </w:pPr>
      <w:r w:rsidRPr="00FB3A86">
        <w:rPr>
          <w:rFonts w:ascii="Arial" w:hAnsi="Arial" w:cs="Arial"/>
        </w:rPr>
        <w:t>INTRODUCTION</w:t>
      </w:r>
    </w:p>
    <w:p w14:paraId="3C3DBB2B" w14:textId="77777777" w:rsidR="00790ADA" w:rsidRPr="00FB3A86" w:rsidRDefault="00790ADA" w:rsidP="00441B6F">
      <w:pPr>
        <w:pStyle w:val="AbstHead"/>
        <w:spacing w:after="0"/>
        <w:jc w:val="both"/>
        <w:rPr>
          <w:rFonts w:ascii="Arial" w:hAnsi="Arial" w:cs="Arial"/>
        </w:rPr>
      </w:pPr>
    </w:p>
    <w:p w14:paraId="729149DC" w14:textId="77777777" w:rsidR="00D51723" w:rsidRPr="00D51723" w:rsidRDefault="00D51723" w:rsidP="00D51723">
      <w:pPr>
        <w:pStyle w:val="Body"/>
        <w:rPr>
          <w:rFonts w:ascii="Arial" w:hAnsi="Arial" w:cs="Arial"/>
          <w:lang w:val="en-IN"/>
        </w:rPr>
      </w:pPr>
      <w:r w:rsidRPr="00D51723">
        <w:rPr>
          <w:rFonts w:ascii="Arial" w:hAnsi="Arial" w:cs="Arial"/>
          <w:lang w:val="en-IN"/>
        </w:rPr>
        <w:t xml:space="preserve">Obesity is widely recognized as a long-term, multifactorial condition marked by an abnormal or excessive build-up of body fat that poses serious health risks. Its prevalence continues to rise globally, and nearly 12% of the world’s population is classified as obese. National data from Brazil show a concerning pattern as well: more than half of the adult population (52.5%) weighs above the healthy range, and approximately 17.9% meets the criteria for obesity. Excessive accumulation of adipose tissue especially in the visceral region creates physiological disturbances that can initiate or aggravate metabolic syndrome. Metabolic syndrome is understood as a complex cluster of cardiometabolic abnormalities, strongly </w:t>
      </w:r>
      <w:r w:rsidRPr="00D51723">
        <w:rPr>
          <w:rFonts w:ascii="Arial" w:hAnsi="Arial" w:cs="Arial"/>
          <w:lang w:val="en-IN"/>
        </w:rPr>
        <w:lastRenderedPageBreak/>
        <w:t xml:space="preserve">associated with central obesity and insulin resistance. Atherosclerosis represents the underlying pathological basis for most cardiovascular events associated with metabolic syndrome. It is defined by chronic, low-grade inflammation of the vascular wall and elevated levels of circulating inflammatory biomarkers such as C-reactive protein (CRP). In relation to </w:t>
      </w:r>
      <w:proofErr w:type="spellStart"/>
      <w:r w:rsidRPr="00D51723">
        <w:rPr>
          <w:rFonts w:ascii="Arial" w:hAnsi="Arial" w:cs="Arial"/>
          <w:lang w:val="en-IN"/>
        </w:rPr>
        <w:t>dyslipidemia</w:t>
      </w:r>
      <w:proofErr w:type="spellEnd"/>
      <w:r w:rsidRPr="00D51723">
        <w:rPr>
          <w:rFonts w:ascii="Arial" w:hAnsi="Arial" w:cs="Arial"/>
          <w:lang w:val="en-IN"/>
        </w:rPr>
        <w:t>, the central objective in cardiovascular risk reduction is to lower LDL-cholesterol (LDL-c) concentrations. Additional therapeutic goals include maintaining lower triglyceride levels and improving HDL-cholesterol (HDL-c), the latter being considered a potentially protective factor against atherothrombotic processes.</w:t>
      </w:r>
    </w:p>
    <w:p w14:paraId="4ACB7CD3" w14:textId="77777777" w:rsidR="00D51723" w:rsidRPr="00D51723" w:rsidRDefault="00D51723" w:rsidP="00D51723">
      <w:pPr>
        <w:pStyle w:val="Body"/>
        <w:rPr>
          <w:rFonts w:ascii="Arial" w:hAnsi="Arial" w:cs="Arial"/>
          <w:lang w:val="en-IN"/>
        </w:rPr>
      </w:pPr>
      <w:r w:rsidRPr="00D51723">
        <w:rPr>
          <w:rFonts w:ascii="Arial" w:hAnsi="Arial" w:cs="Arial"/>
          <w:lang w:val="en-IN"/>
        </w:rPr>
        <w:t>Dietary strategies that emphasize long-term changes in eating patterns are frequently recommended to improve these parameters. Within this context, safflower oil (</w:t>
      </w:r>
      <w:proofErr w:type="spellStart"/>
      <w:r w:rsidRPr="00D51723">
        <w:rPr>
          <w:rFonts w:ascii="Arial" w:hAnsi="Arial" w:cs="Arial"/>
          <w:lang w:val="en-IN"/>
        </w:rPr>
        <w:t>Carthamus</w:t>
      </w:r>
      <w:proofErr w:type="spellEnd"/>
      <w:r w:rsidRPr="00D51723">
        <w:rPr>
          <w:rFonts w:ascii="Arial" w:hAnsi="Arial" w:cs="Arial"/>
          <w:lang w:val="en-IN"/>
        </w:rPr>
        <w:t xml:space="preserve"> </w:t>
      </w:r>
      <w:proofErr w:type="spellStart"/>
      <w:r w:rsidRPr="00D51723">
        <w:rPr>
          <w:rFonts w:ascii="Arial" w:hAnsi="Arial" w:cs="Arial"/>
          <w:lang w:val="en-IN"/>
        </w:rPr>
        <w:t>tinctorius</w:t>
      </w:r>
      <w:proofErr w:type="spellEnd"/>
      <w:r w:rsidRPr="00D51723">
        <w:rPr>
          <w:rFonts w:ascii="Arial" w:hAnsi="Arial" w:cs="Arial"/>
          <w:lang w:val="en-IN"/>
        </w:rPr>
        <w:t xml:space="preserve"> L.) has emerged as a nutritional approach for preventing or managing obesity. Extracted from a plant belonging to the Asteraceae family, safflower oil contains a high proportion of polyunsaturated fatty acids particularly linoleic acid (approximately 75%) along with monounsaturated fatty acids. This lipid composition encouraged researchers to examine its potential clinical value, and several studies have reported that safflower oil supplementation may improve lipid metabolism and exert antiatherogenic effects. Metabolic syndrome encompasses a range of metabolic disruptions involving impaired protein, carbohydrate, glucose, and lipid metabolism. It manifests as a constellation of risk factors that contribute to the development of type 2 diabetes and atherosclerotic cardiovascular disease (ASCVD). These factors include elevated blood pressure, </w:t>
      </w:r>
      <w:proofErr w:type="spellStart"/>
      <w:r w:rsidRPr="00D51723">
        <w:rPr>
          <w:rFonts w:ascii="Arial" w:hAnsi="Arial" w:cs="Arial"/>
          <w:lang w:val="en-IN"/>
        </w:rPr>
        <w:t>hyperglycemia</w:t>
      </w:r>
      <w:proofErr w:type="spellEnd"/>
      <w:r w:rsidRPr="00D51723">
        <w:rPr>
          <w:rFonts w:ascii="Arial" w:hAnsi="Arial" w:cs="Arial"/>
          <w:lang w:val="en-IN"/>
        </w:rPr>
        <w:t xml:space="preserve"> or diabetes, abnormal lipid levels, central obesity, and increased abdominal fat. Diagnosis typically requires at least three of the following: enlarged waist circumference (≥102 cm for men, ≥88 cm for women though </w:t>
      </w:r>
      <w:proofErr w:type="spellStart"/>
      <w:r w:rsidRPr="00D51723">
        <w:rPr>
          <w:rFonts w:ascii="Arial" w:hAnsi="Arial" w:cs="Arial"/>
          <w:lang w:val="en-IN"/>
        </w:rPr>
        <w:t>cutoffs</w:t>
      </w:r>
      <w:proofErr w:type="spellEnd"/>
      <w:r w:rsidRPr="00D51723">
        <w:rPr>
          <w:rFonts w:ascii="Arial" w:hAnsi="Arial" w:cs="Arial"/>
          <w:lang w:val="en-IN"/>
        </w:rPr>
        <w:t xml:space="preserve"> can vary by population), triglycerides ≥150 mg/dL or current therapy for hypertriglyceridemia, HDL-C &lt;40 mg/dL for men or &lt;50 mg/dL for women or therapy for low HDL, systolic pressure ≥130 mmHg or diastolic ≥85 mmHg, and fasting glucose ≥100 mg/dL or glucose-lowering treatment. Development of metabolic syndrome is shaped by multiple influences, including genetic predisposition, dietary </w:t>
      </w:r>
      <w:proofErr w:type="spellStart"/>
      <w:r w:rsidRPr="00D51723">
        <w:rPr>
          <w:rFonts w:ascii="Arial" w:hAnsi="Arial" w:cs="Arial"/>
          <w:lang w:val="en-IN"/>
        </w:rPr>
        <w:t>behavior</w:t>
      </w:r>
      <w:proofErr w:type="spellEnd"/>
      <w:r w:rsidRPr="00D51723">
        <w:rPr>
          <w:rFonts w:ascii="Arial" w:hAnsi="Arial" w:cs="Arial"/>
          <w:lang w:val="en-IN"/>
        </w:rPr>
        <w:t>, stress levels, physical inactivity, age, and ethnic background. While some of these factors are inherent, others particularly diet and physical activity can be modified.</w:t>
      </w:r>
    </w:p>
    <w:p w14:paraId="7B8086E3" w14:textId="77777777" w:rsidR="00D51723" w:rsidRPr="00D51723" w:rsidRDefault="00D51723" w:rsidP="00D51723">
      <w:pPr>
        <w:pStyle w:val="Body"/>
        <w:rPr>
          <w:rFonts w:ascii="Arial" w:hAnsi="Arial" w:cs="Arial"/>
          <w:lang w:val="en-IN"/>
        </w:rPr>
      </w:pPr>
      <w:r w:rsidRPr="00D51723">
        <w:rPr>
          <w:rFonts w:ascii="Arial" w:hAnsi="Arial" w:cs="Arial"/>
          <w:lang w:val="en-IN"/>
        </w:rPr>
        <w:t xml:space="preserve">Traditionally, metabolic syndrome management has involved lifestyle interventions combined with pharmacological agents that target specific metabolic pathways. Commonly prescribed medications include beta-blockers, statins, fibrates, and </w:t>
      </w:r>
      <w:proofErr w:type="spellStart"/>
      <w:r w:rsidRPr="00D51723">
        <w:rPr>
          <w:rFonts w:ascii="Arial" w:hAnsi="Arial" w:cs="Arial"/>
          <w:lang w:val="en-IN"/>
        </w:rPr>
        <w:t>glibenclamide</w:t>
      </w:r>
      <w:proofErr w:type="spellEnd"/>
      <w:r w:rsidRPr="00D51723">
        <w:rPr>
          <w:rFonts w:ascii="Arial" w:hAnsi="Arial" w:cs="Arial"/>
          <w:lang w:val="en-IN"/>
        </w:rPr>
        <w:t xml:space="preserve">. Despite their clinical utility, these drugs are associated with drawbacks such as high costs, side effects, limited tolerability, and lack of long-term efficacy for all patients. Moreover, they often function as monotherapies, addressing only a subset of metabolic abnormalities without providing a holistic solution. These limitations have intensified interest in complementary approaches with fewer adverse effects and broader metabolic benefits. Complementary and alternative medicine (CAM), used for centuries in many parts of the world, encompasses a wide range of therapeutic practices. Among these, natural products are especially valued due to their perceived safety and their historical use in traditional healthcare systems. Numerous medicinal plants and natural compounds have been identified as promising therapeutic candidates. Increasing evidence supports the idea that plant-derived bioactive molecules contribute to anti-inflammatory, antioxidant, and anti-obesity effects. Natural substances often provide multi-targeted actions and tend to be more accessible, affordable, and environmentally sustainable compared to synthetic pharmaceuticals. Given these advantages, researchers have increasingly explored natural products as potential interventions for metabolic syndrome. For instance, Jang et al. (2016) reported that certain herbal formulations reduced waist size, blood glucose, blood lipids, and blood pressure. </w:t>
      </w:r>
      <w:proofErr w:type="spellStart"/>
      <w:r w:rsidRPr="00D51723">
        <w:rPr>
          <w:rFonts w:ascii="Arial" w:hAnsi="Arial" w:cs="Arial"/>
          <w:lang w:val="en-IN"/>
        </w:rPr>
        <w:t>Sabarathinam</w:t>
      </w:r>
      <w:proofErr w:type="spellEnd"/>
      <w:r w:rsidRPr="00D51723">
        <w:rPr>
          <w:rFonts w:ascii="Arial" w:hAnsi="Arial" w:cs="Arial"/>
          <w:lang w:val="en-IN"/>
        </w:rPr>
        <w:t xml:space="preserve"> et al. (2022) emphasized that plant extracts contain bioactive compounds capable of modulating multiple biological pathways simultaneously. Similarly, </w:t>
      </w:r>
      <w:proofErr w:type="spellStart"/>
      <w:r w:rsidRPr="00D51723">
        <w:rPr>
          <w:rFonts w:ascii="Arial" w:hAnsi="Arial" w:cs="Arial"/>
          <w:lang w:val="en-IN"/>
        </w:rPr>
        <w:t>Taghipour</w:t>
      </w:r>
      <w:proofErr w:type="spellEnd"/>
      <w:r w:rsidRPr="00D51723">
        <w:rPr>
          <w:rFonts w:ascii="Arial" w:hAnsi="Arial" w:cs="Arial"/>
          <w:lang w:val="en-IN"/>
        </w:rPr>
        <w:t xml:space="preserve"> et al. (2019) found that plant-based natural therapies could improve </w:t>
      </w:r>
      <w:proofErr w:type="spellStart"/>
      <w:r w:rsidRPr="00D51723">
        <w:rPr>
          <w:rFonts w:ascii="Arial" w:hAnsi="Arial" w:cs="Arial"/>
          <w:lang w:val="en-IN"/>
        </w:rPr>
        <w:t>hyperglycemia</w:t>
      </w:r>
      <w:proofErr w:type="spellEnd"/>
      <w:r w:rsidRPr="00D51723">
        <w:rPr>
          <w:rFonts w:ascii="Arial" w:hAnsi="Arial" w:cs="Arial"/>
          <w:lang w:val="en-IN"/>
        </w:rPr>
        <w:t xml:space="preserve">, </w:t>
      </w:r>
      <w:proofErr w:type="spellStart"/>
      <w:r w:rsidRPr="00D51723">
        <w:rPr>
          <w:rFonts w:ascii="Arial" w:hAnsi="Arial" w:cs="Arial"/>
          <w:lang w:val="en-IN"/>
        </w:rPr>
        <w:lastRenderedPageBreak/>
        <w:t>dyslipidemia</w:t>
      </w:r>
      <w:proofErr w:type="spellEnd"/>
      <w:r w:rsidRPr="00D51723">
        <w:rPr>
          <w:rFonts w:ascii="Arial" w:hAnsi="Arial" w:cs="Arial"/>
          <w:lang w:val="en-IN"/>
        </w:rPr>
        <w:t>, insulin resistance, blood pressure, and body weight in individuals with obesity-related metabolic dysfunctions.</w:t>
      </w:r>
    </w:p>
    <w:p w14:paraId="0CC3A34F" w14:textId="77777777" w:rsidR="00D51723" w:rsidRPr="00D51723" w:rsidRDefault="00D51723" w:rsidP="00D51723">
      <w:pPr>
        <w:pStyle w:val="Body"/>
        <w:rPr>
          <w:rFonts w:ascii="Arial" w:hAnsi="Arial" w:cs="Arial"/>
          <w:lang w:val="en-IN"/>
        </w:rPr>
      </w:pPr>
      <w:r w:rsidRPr="00D51723">
        <w:rPr>
          <w:rFonts w:ascii="Arial" w:hAnsi="Arial" w:cs="Arial"/>
          <w:lang w:val="en-IN"/>
        </w:rPr>
        <w:t xml:space="preserve">Metabolic syndrome is now widely viewed through the lens of developmental origins, highlighting how environmental factors across the life course influence its onset. With the growing popularity of CAM for managing chronic conditions, including metabolic disorders, a careful examination of current evidence is essential. Although some natural products have shown promise in improving metabolic parameters, the overall quality, consistency, and safety of the available evidence remain unclear. Questions persist regarding which natural products are most effective, through what mechanisms they act, and how they interact with standard therapies. A scoping review can help map the existing research landscape, identify gaps, and inform future investigations. Interest in safflower oil has expanded considerably as researchers seek dietary strategies to address the rising burden of metabolic syndrome worldwide. As global rates of obesity, diabetes, and cardiometabolic diseases continue to climb, understanding dietary fats and their effects on health has become increasingly important. Over time, studies have progressed from evaluating the impact of dietary fat composition on lipid and glucose metabolism to exploring molecular and endocrine mechanisms involving adipokines, inflammatory mediators, and metabolic </w:t>
      </w:r>
      <w:proofErr w:type="spellStart"/>
      <w:r w:rsidRPr="00D51723">
        <w:rPr>
          <w:rFonts w:ascii="Arial" w:hAnsi="Arial" w:cs="Arial"/>
          <w:lang w:val="en-IN"/>
        </w:rPr>
        <w:t>signaling</w:t>
      </w:r>
      <w:proofErr w:type="spellEnd"/>
      <w:r w:rsidRPr="00D51723">
        <w:rPr>
          <w:rFonts w:ascii="Arial" w:hAnsi="Arial" w:cs="Arial"/>
          <w:lang w:val="en-IN"/>
        </w:rPr>
        <w:t xml:space="preserve"> pathways. Safflower oil, rich in linoleic acid, has been investigated for its potential to modulate lipid levels, regulate glucose metabolism, influence inflammatory pathways, and interact with the gut microbiota.</w:t>
      </w:r>
    </w:p>
    <w:p w14:paraId="485CD674" w14:textId="77777777" w:rsidR="00D51723" w:rsidRPr="00D51723" w:rsidRDefault="00D51723" w:rsidP="00D51723">
      <w:pPr>
        <w:pStyle w:val="Body"/>
        <w:rPr>
          <w:rFonts w:ascii="Arial" w:hAnsi="Arial" w:cs="Arial"/>
          <w:lang w:val="en-IN"/>
        </w:rPr>
      </w:pPr>
      <w:r w:rsidRPr="00D51723">
        <w:rPr>
          <w:rFonts w:ascii="Arial" w:hAnsi="Arial" w:cs="Arial"/>
          <w:lang w:val="en-IN"/>
        </w:rPr>
        <w:t>However, the evidence is not entirely consistent. While several studies have reported that safflower oil or linoleic acid supplementation can improve lipid profiles and reduce adipose tissue, other investigations have noted possible adverse effects such as reduced glucose tolerance or heightened inflammatory responses. Additionally, the influence of safflower oil on gut microbiota composition, hepatic metabolism, and oxidative stress has not been fully characterized. Existing research includes a limited number of well-designed clinical trials, and findings from animal experiments are sometimes contradictory. A major point of debate involves the high omega-6 to omega-3 fatty acid ratio in safflower oil, which some hypothesize may influence inflammatory processes and metabolic health outcomes. These controversies have created uncertainty about safflower oil’s optimal use and its clinical relevance.</w:t>
      </w:r>
    </w:p>
    <w:p w14:paraId="0A11560B" w14:textId="2C9C084B" w:rsidR="005A47B6" w:rsidRDefault="00D51723" w:rsidP="00D51723">
      <w:pPr>
        <w:pStyle w:val="Body"/>
        <w:spacing w:after="0"/>
        <w:rPr>
          <w:rFonts w:ascii="Arial" w:hAnsi="Arial" w:cs="Arial"/>
          <w:lang w:val="en-IN"/>
        </w:rPr>
      </w:pPr>
      <w:r w:rsidRPr="00D51723">
        <w:rPr>
          <w:rFonts w:ascii="Arial" w:hAnsi="Arial" w:cs="Arial"/>
          <w:lang w:val="en-IN"/>
        </w:rPr>
        <w:t xml:space="preserve">The theoretical foundation connecting safflower oil to metabolic improvements </w:t>
      </w:r>
      <w:proofErr w:type="spellStart"/>
      <w:r w:rsidRPr="00D51723">
        <w:rPr>
          <w:rFonts w:ascii="Arial" w:hAnsi="Arial" w:cs="Arial"/>
          <w:lang w:val="en-IN"/>
        </w:rPr>
        <w:t>centers</w:t>
      </w:r>
      <w:proofErr w:type="spellEnd"/>
      <w:r w:rsidRPr="00D51723">
        <w:rPr>
          <w:rFonts w:ascii="Arial" w:hAnsi="Arial" w:cs="Arial"/>
          <w:lang w:val="en-IN"/>
        </w:rPr>
        <w:t xml:space="preserve"> on key metabolic abnormalities that define metabolic syndrome namely </w:t>
      </w:r>
      <w:proofErr w:type="spellStart"/>
      <w:r w:rsidRPr="00D51723">
        <w:rPr>
          <w:rFonts w:ascii="Arial" w:hAnsi="Arial" w:cs="Arial"/>
          <w:lang w:val="en-IN"/>
        </w:rPr>
        <w:t>dyslipidemia</w:t>
      </w:r>
      <w:proofErr w:type="spellEnd"/>
      <w:r w:rsidRPr="00D51723">
        <w:rPr>
          <w:rFonts w:ascii="Arial" w:hAnsi="Arial" w:cs="Arial"/>
          <w:lang w:val="en-IN"/>
        </w:rPr>
        <w:t xml:space="preserve">, insulin resistance, hypertension, and visceral obesity. Linoleic acid-rich oils such as safflower oil can influence these parameters via pathways involving peroxisome proliferator-activated receptors (PPARs), alterations in adiponectin levels, modulation of oxidative stress, and shifts in gut microbial populations. This conceptual framework provides a basis for systematically examining the physiological effects of safflower oil on metabolic syndrome. The primary objective of this systematic review is to critically evaluate the available literature on safflower oil and its impact on several metabolic syndrome-related parameters, including lipid metabolism, glucose control, blood pressure, inflammation, and gut microbiota composition. By addressing inconsistencies and highlighting mechanistic insights, the review aims to clarify safflower oil’s therapeutic potential and provide guidance for dietary recommendations. This work seeks to bridge knowledge gaps and contribute to evidence-based nutritional strategies for managing metabolic syndrome. To achieve this, a broad literature search was conducted, focusing on experimental animal studies, clinical research, and mechanistic analyses relevant to safflower oil and metabolic syndrome. Studies were selected based on their scientific rigor, relevance, and publication quality. The findings are organized into thematic sections to provide a coherent, integrated evaluation of safflower oil’s influence on metabolic, cardiovascular, hepatic, and inflammatory biomarkers, offering a </w:t>
      </w:r>
      <w:r w:rsidRPr="00D51723">
        <w:rPr>
          <w:rFonts w:ascii="Arial" w:hAnsi="Arial" w:cs="Arial"/>
          <w:lang w:val="en-IN"/>
        </w:rPr>
        <w:lastRenderedPageBreak/>
        <w:t>comprehensive perspective on its role in the prevention and management of metabolic syndrome.</w:t>
      </w:r>
    </w:p>
    <w:p w14:paraId="7EE9A1A5" w14:textId="77777777" w:rsidR="005A47B6" w:rsidRPr="00D51723" w:rsidRDefault="005A47B6" w:rsidP="005A47B6">
      <w:pPr>
        <w:pStyle w:val="Body"/>
        <w:spacing w:after="0"/>
        <w:rPr>
          <w:rFonts w:ascii="Arial" w:hAnsi="Arial" w:cs="Arial"/>
          <w:b/>
          <w:caps/>
          <w:sz w:val="22"/>
        </w:rPr>
      </w:pPr>
    </w:p>
    <w:p w14:paraId="463F9893" w14:textId="41C098A6" w:rsidR="00D51723" w:rsidRPr="00D51723" w:rsidRDefault="00D51723" w:rsidP="00D51723">
      <w:pPr>
        <w:pStyle w:val="Body"/>
        <w:numPr>
          <w:ilvl w:val="0"/>
          <w:numId w:val="37"/>
        </w:numPr>
        <w:rPr>
          <w:rFonts w:ascii="Arial" w:hAnsi="Arial" w:cs="Arial"/>
          <w:b/>
          <w:caps/>
          <w:sz w:val="22"/>
        </w:rPr>
      </w:pPr>
      <w:r w:rsidRPr="00D51723">
        <w:rPr>
          <w:rFonts w:ascii="Arial" w:hAnsi="Arial" w:cs="Arial"/>
          <w:b/>
          <w:caps/>
          <w:sz w:val="22"/>
        </w:rPr>
        <w:t xml:space="preserve">Literature Search: </w:t>
      </w:r>
    </w:p>
    <w:p w14:paraId="10CD1F3D" w14:textId="77777777" w:rsidR="00D51723" w:rsidRPr="00D51723" w:rsidRDefault="00D51723" w:rsidP="00D51723">
      <w:pPr>
        <w:pStyle w:val="Body"/>
        <w:rPr>
          <w:rFonts w:ascii="Arial" w:hAnsi="Arial" w:cs="Arial"/>
        </w:rPr>
      </w:pPr>
      <w:r w:rsidRPr="00D51723">
        <w:rPr>
          <w:rFonts w:ascii="Arial" w:hAnsi="Arial" w:cs="Arial"/>
        </w:rPr>
        <w:t xml:space="preserve">A structured literature search was undertaken to identify scientific evidence relevant to the metabolic and physiological effects of safflower oil and its major bioactive components. The search process combined multiple strategies to ensure broad coverage of both foundational studies and recent advances. To begin with, key concepts derived from the attached documents such as safflower oil composition, metabolic syndrome, lipid regulation, glucose homeostasis, inflammatory pathways, and gut microbiota interactions were transformed into search terms and Boolean strings. These terms guided systematic searches across major academic databases including PubMed, Scopus, Web of Science, and Google Scholar. The initial search produced a large pool of publications spanning clinical trials, animal experiments, mechanistic studies, and nutritional intervention research. According to the attached source, more than 150 articles were identified in early screening based on relevance to lipid metabolism, insulin </w:t>
      </w:r>
      <w:proofErr w:type="spellStart"/>
      <w:r w:rsidRPr="00D51723">
        <w:rPr>
          <w:rFonts w:ascii="Arial" w:hAnsi="Arial" w:cs="Arial"/>
        </w:rPr>
        <w:t>signalling</w:t>
      </w:r>
      <w:proofErr w:type="spellEnd"/>
      <w:r w:rsidRPr="00D51723">
        <w:rPr>
          <w:rFonts w:ascii="Arial" w:hAnsi="Arial" w:cs="Arial"/>
        </w:rPr>
        <w:t>, adipokine modulation, hepatic function, and microbiota profiles in relation to safflower oil consumption. Titles and abstracts were screened to remove unrelated studies, duplicates, and papers that lacked primary data. Full-text assessment was then performed for approximately fifty highly relevant publications that provided detailed mechanistic, biochemical, or physiological outcomes.  To strengthen the completeness of the evidence base, backward and forward citation tracing was performed, following references from selected articles and identifying newer studies that had cited them. This step captured several influential papers that were not retrieved in the initial database searches but were referenced within foundational studies on lipid oxidation, hepatic gene regulation, thermogenesis, and adipokine responses to safflower oil intake</w:t>
      </w:r>
    </w:p>
    <w:p w14:paraId="283426DA" w14:textId="77777777" w:rsidR="00D51723" w:rsidRPr="00D51723" w:rsidRDefault="00D51723" w:rsidP="00D51723">
      <w:pPr>
        <w:pStyle w:val="Body"/>
        <w:rPr>
          <w:rFonts w:ascii="Arial" w:hAnsi="Arial" w:cs="Arial"/>
        </w:rPr>
      </w:pPr>
      <w:r w:rsidRPr="00D51723">
        <w:rPr>
          <w:rFonts w:ascii="Arial" w:hAnsi="Arial" w:cs="Arial"/>
        </w:rPr>
        <w:t xml:space="preserve">To facilitate a coherent narrative synthesis, the selected studies were organized into thematic clusters based on their primary focus and reported outcomes. This grouping allowed a structured comparison of evidence across diverse research designs. The first cluster encompassed investigations detailing the compositional profile and biochemical properties of safflower oil, including variations in fatty acid content and associated metabolic implications. The second cluster comprised studies examining lipid-modulating effects, such as changes in triglycerides, cholesterol fractions, and hepatic lipid metabolism. A third cluster focused on </w:t>
      </w:r>
      <w:proofErr w:type="spellStart"/>
      <w:r w:rsidRPr="00D51723">
        <w:rPr>
          <w:rFonts w:ascii="Arial" w:hAnsi="Arial" w:cs="Arial"/>
        </w:rPr>
        <w:t>glycaemic</w:t>
      </w:r>
      <w:proofErr w:type="spellEnd"/>
      <w:r w:rsidRPr="00D51723">
        <w:rPr>
          <w:rFonts w:ascii="Arial" w:hAnsi="Arial" w:cs="Arial"/>
        </w:rPr>
        <w:t xml:space="preserve"> regulation and insulin-related outcomes, capturing data on glucose tolerance, insulin sensitivity, and metabolic control. The fourth cluster included research assessing inflammatory and oxidative stress responses, evaluating biomarkers such as cytokines, oxidative damage indicators, and antioxidant capacity. Finally, a fifth cluster incorporated emerging evidence on gut microbial interactions, summarizing studies exploring how safflower oil influences microbiota composition and gut-derived metabolic pathways. Together, these thematic categories enabled a comprehensive and integrated evaluation of safflower oil’s metabolic effects. </w:t>
      </w:r>
    </w:p>
    <w:p w14:paraId="73C33BCE" w14:textId="77777777" w:rsidR="00D51723" w:rsidRPr="00D51723" w:rsidRDefault="00D51723" w:rsidP="00D51723">
      <w:pPr>
        <w:pStyle w:val="Body"/>
        <w:rPr>
          <w:rFonts w:ascii="Arial" w:hAnsi="Arial" w:cs="Arial"/>
        </w:rPr>
      </w:pPr>
      <w:r w:rsidRPr="00D51723">
        <w:rPr>
          <w:rFonts w:ascii="Arial" w:hAnsi="Arial" w:cs="Arial"/>
        </w:rPr>
        <w:t xml:space="preserve">Evidence from animal models was </w:t>
      </w:r>
      <w:proofErr w:type="spellStart"/>
      <w:r w:rsidRPr="00D51723">
        <w:rPr>
          <w:rFonts w:ascii="Arial" w:hAnsi="Arial" w:cs="Arial"/>
        </w:rPr>
        <w:t>analysed</w:t>
      </w:r>
      <w:proofErr w:type="spellEnd"/>
      <w:r w:rsidRPr="00D51723">
        <w:rPr>
          <w:rFonts w:ascii="Arial" w:hAnsi="Arial" w:cs="Arial"/>
        </w:rPr>
        <w:t xml:space="preserve"> separately from human trials to allow clearer interpretation of mechanistic versus translational findings. The attached material also emphasized the heterogeneity in safflower oil formulations (high-linoleic vs. high-oleic), dietary background, intervention duration, and metabolic phenotype of participants, all of which were considered during data integration and comparison across studies. Overall, the literature search strategy combined systematic database searching with iterative refinement through citation mapping and thematic categorization. This process ensured that the review incorporated both classical metabolic studies and recent investigations exploring inflammation, hepatic regulation, and microbiome-linked mechanisms, providing a comprehensive evidence landscape for evaluating the metabolic impacts of safflower oil.</w:t>
      </w:r>
    </w:p>
    <w:p w14:paraId="23DA3A09" w14:textId="637A5C00" w:rsidR="00D51723" w:rsidRPr="00D51723" w:rsidRDefault="00D51723" w:rsidP="00D51723">
      <w:pPr>
        <w:pStyle w:val="Body"/>
        <w:numPr>
          <w:ilvl w:val="0"/>
          <w:numId w:val="37"/>
        </w:numPr>
        <w:rPr>
          <w:rFonts w:ascii="Arial" w:hAnsi="Arial" w:cs="Arial"/>
          <w:b/>
          <w:bCs/>
        </w:rPr>
      </w:pPr>
      <w:r w:rsidRPr="00D51723">
        <w:rPr>
          <w:rFonts w:ascii="Arial" w:hAnsi="Arial" w:cs="Arial"/>
          <w:b/>
          <w:bCs/>
        </w:rPr>
        <w:lastRenderedPageBreak/>
        <w:t xml:space="preserve">PHYTOCHEMISTRY: </w:t>
      </w:r>
    </w:p>
    <w:p w14:paraId="05F129D7" w14:textId="77777777" w:rsidR="00D51723" w:rsidRPr="00D51723" w:rsidRDefault="00D51723" w:rsidP="00D51723">
      <w:pPr>
        <w:pStyle w:val="Body"/>
        <w:rPr>
          <w:rFonts w:ascii="Arial" w:hAnsi="Arial" w:cs="Arial"/>
        </w:rPr>
      </w:pPr>
      <w:r w:rsidRPr="00D51723">
        <w:rPr>
          <w:rFonts w:ascii="Arial" w:hAnsi="Arial" w:cs="Arial"/>
        </w:rPr>
        <w:t>The bioactive constituents of safflower are predominantly concentrated in its tubular florets, which serve as the main reservoir of pharmacologically important metabolites. These floral parts contain a diverse range of compounds, including flavonoids, alkaloids, sterols, lignans, spermidine derivatives, alkyl diols, and complex polysaccharides. Apart from the flowers, safflower achenes are an abundant source of nutritionally valuable lipids, particularly unsaturated fatty acids such as oleic acid and linoleic acid. The seeds also contain appreciable levels of tocopherols, which, together with these unsaturated fatty acids, contribute to the regulation of metabolic disorders commonly referred to as the “three highs,” namely elevated blood pressure, blood glucose, and lipid levels. Additionally, these constituents are recognized for their protective role against oxidative stress, thereby supporting anti-aging effects.</w:t>
      </w:r>
    </w:p>
    <w:p w14:paraId="0FDEC3EC" w14:textId="14556EA3" w:rsidR="00D51723" w:rsidRPr="00D51723" w:rsidRDefault="00D51723" w:rsidP="00D51723">
      <w:pPr>
        <w:pStyle w:val="Body"/>
        <w:numPr>
          <w:ilvl w:val="1"/>
          <w:numId w:val="37"/>
        </w:numPr>
        <w:rPr>
          <w:rFonts w:ascii="Arial" w:hAnsi="Arial" w:cs="Arial"/>
          <w:b/>
          <w:bCs/>
        </w:rPr>
      </w:pPr>
      <w:r w:rsidRPr="00D51723">
        <w:rPr>
          <w:rFonts w:ascii="Arial" w:hAnsi="Arial" w:cs="Arial"/>
          <w:b/>
          <w:bCs/>
        </w:rPr>
        <w:t xml:space="preserve"> Flavonoids: </w:t>
      </w:r>
    </w:p>
    <w:p w14:paraId="700EEBA7" w14:textId="77777777" w:rsidR="00D51723" w:rsidRPr="00D51723" w:rsidRDefault="00D51723" w:rsidP="00D51723">
      <w:pPr>
        <w:pStyle w:val="Body"/>
        <w:rPr>
          <w:rFonts w:ascii="Arial" w:hAnsi="Arial" w:cs="Arial"/>
        </w:rPr>
      </w:pPr>
      <w:r w:rsidRPr="00D51723">
        <w:rPr>
          <w:rFonts w:ascii="Arial" w:hAnsi="Arial" w:cs="Arial"/>
        </w:rPr>
        <w:t xml:space="preserve">Flavonoids and their </w:t>
      </w:r>
      <w:proofErr w:type="spellStart"/>
      <w:r w:rsidRPr="00D51723">
        <w:rPr>
          <w:rFonts w:ascii="Arial" w:hAnsi="Arial" w:cs="Arial"/>
        </w:rPr>
        <w:t>glycosidic</w:t>
      </w:r>
      <w:proofErr w:type="spellEnd"/>
      <w:r w:rsidRPr="00D51723">
        <w:rPr>
          <w:rFonts w:ascii="Arial" w:hAnsi="Arial" w:cs="Arial"/>
        </w:rPr>
        <w:t xml:space="preserve"> derivatives constitute the principal bioactive metabolites in safflower and have therefore attracted considerable attention in safflower-related research. Their importance stems from the strong correlation between these compounds and the therapeutic properties attributed to the plant. The major flavonoid constituents, commonly referred to as quinone chalcone carbohydrates, account for almost all of the characteristic yellow (safflower yellow, SY) and red (safflower red, SR) pigments present in safflower (Zhang J. et al., 2018). These quinone chalcone carbohydrates are mainly isolated in monomeric forms, although a small proportion occurs as dimeric or polymerized structures.</w:t>
      </w:r>
    </w:p>
    <w:p w14:paraId="03A30092" w14:textId="07736B58" w:rsidR="00D41361" w:rsidRDefault="00D51723" w:rsidP="00D51723">
      <w:pPr>
        <w:pStyle w:val="Body"/>
        <w:spacing w:after="0"/>
        <w:rPr>
          <w:rFonts w:ascii="Arial" w:hAnsi="Arial" w:cs="Arial"/>
        </w:rPr>
      </w:pPr>
      <w:r w:rsidRPr="00D51723">
        <w:rPr>
          <w:rFonts w:ascii="Arial" w:hAnsi="Arial" w:cs="Arial"/>
        </w:rPr>
        <w:t xml:space="preserve">Beyond quinone chalcone carbohydrates, safflower also contains other classes of flavonoid metabolites, including </w:t>
      </w:r>
      <w:proofErr w:type="spellStart"/>
      <w:r w:rsidRPr="00D51723">
        <w:rPr>
          <w:rFonts w:ascii="Arial" w:hAnsi="Arial" w:cs="Arial"/>
        </w:rPr>
        <w:t>flavonols</w:t>
      </w:r>
      <w:proofErr w:type="spellEnd"/>
      <w:r w:rsidRPr="00D51723">
        <w:rPr>
          <w:rFonts w:ascii="Arial" w:hAnsi="Arial" w:cs="Arial"/>
        </w:rPr>
        <w:t xml:space="preserve"> and </w:t>
      </w:r>
      <w:proofErr w:type="spellStart"/>
      <w:r w:rsidRPr="00D51723">
        <w:rPr>
          <w:rFonts w:ascii="Arial" w:hAnsi="Arial" w:cs="Arial"/>
        </w:rPr>
        <w:t>dihydroflavonoids</w:t>
      </w:r>
      <w:proofErr w:type="spellEnd"/>
      <w:r w:rsidRPr="00D51723">
        <w:rPr>
          <w:rFonts w:ascii="Arial" w:hAnsi="Arial" w:cs="Arial"/>
        </w:rPr>
        <w:t xml:space="preserve">, which are known to exert diverse biological effects. Among these, </w:t>
      </w:r>
      <w:proofErr w:type="spellStart"/>
      <w:r w:rsidRPr="00D51723">
        <w:rPr>
          <w:rFonts w:ascii="Arial" w:hAnsi="Arial" w:cs="Arial"/>
        </w:rPr>
        <w:t>flavonol</w:t>
      </w:r>
      <w:proofErr w:type="spellEnd"/>
      <w:r w:rsidRPr="00D51723">
        <w:rPr>
          <w:rFonts w:ascii="Arial" w:hAnsi="Arial" w:cs="Arial"/>
        </w:rPr>
        <w:t xml:space="preserve"> glycosides have been investigated most extensively. Several of these compounds exhibit structural or conformational similarities, and studies have shown that their antioxidant potential is closely influenced by the nature and position of glucose substitution within the molecule (Lee et al., 2002).</w:t>
      </w:r>
    </w:p>
    <w:p w14:paraId="1C24726C" w14:textId="77777777" w:rsidR="00D51723" w:rsidRDefault="00D51723" w:rsidP="00441B6F">
      <w:pPr>
        <w:pStyle w:val="Body"/>
        <w:spacing w:after="0"/>
        <w:rPr>
          <w:rFonts w:ascii="Arial" w:hAnsi="Arial" w:cs="Arial"/>
        </w:rPr>
      </w:pPr>
    </w:p>
    <w:p w14:paraId="4DEE08CC" w14:textId="77777777" w:rsidR="00D51723" w:rsidRDefault="00D51723" w:rsidP="00441B6F">
      <w:pPr>
        <w:pStyle w:val="Body"/>
        <w:spacing w:after="0"/>
        <w:rPr>
          <w:rFonts w:ascii="Arial" w:hAnsi="Arial" w:cs="Arial"/>
        </w:rPr>
      </w:pPr>
    </w:p>
    <w:p w14:paraId="2002EDB6" w14:textId="77777777" w:rsidR="00D51723" w:rsidRDefault="00D51723" w:rsidP="00441B6F">
      <w:pPr>
        <w:pStyle w:val="Body"/>
        <w:spacing w:after="0"/>
        <w:rPr>
          <w:rFonts w:ascii="Arial" w:hAnsi="Arial" w:cs="Arial"/>
        </w:rPr>
      </w:pPr>
    </w:p>
    <w:p w14:paraId="09147E2A" w14:textId="588BC7A4" w:rsidR="00D51723" w:rsidRDefault="00D51723" w:rsidP="00441B6F">
      <w:pPr>
        <w:pStyle w:val="Body"/>
        <w:spacing w:after="0"/>
        <w:rPr>
          <w:rFonts w:ascii="Arial" w:hAnsi="Arial" w:cs="Arial"/>
        </w:rPr>
      </w:pPr>
      <w:r>
        <w:rPr>
          <w:rFonts w:ascii="Times New Roman" w:hAnsi="Times New Roman"/>
          <w:noProof/>
          <w:sz w:val="24"/>
          <w:szCs w:val="24"/>
          <w:lang w:val="en-IN" w:eastAsia="en-IN"/>
        </w:rPr>
        <w:lastRenderedPageBreak/>
        <w:drawing>
          <wp:inline distT="0" distB="0" distL="0" distR="0" wp14:anchorId="0576D45F" wp14:editId="351A58AB">
            <wp:extent cx="5212080" cy="59725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5972503"/>
                    </a:xfrm>
                    <a:prstGeom prst="rect">
                      <a:avLst/>
                    </a:prstGeom>
                  </pic:spPr>
                </pic:pic>
              </a:graphicData>
            </a:graphic>
          </wp:inline>
        </w:drawing>
      </w:r>
    </w:p>
    <w:p w14:paraId="09A35228" w14:textId="77777777" w:rsidR="00D51723" w:rsidRDefault="00D51723" w:rsidP="00441B6F">
      <w:pPr>
        <w:pStyle w:val="Body"/>
        <w:spacing w:after="0"/>
        <w:rPr>
          <w:rFonts w:ascii="Arial" w:hAnsi="Arial" w:cs="Arial"/>
        </w:rPr>
      </w:pPr>
    </w:p>
    <w:p w14:paraId="0D450528" w14:textId="77777777" w:rsidR="00D51723" w:rsidRDefault="00D51723" w:rsidP="00441B6F">
      <w:pPr>
        <w:pStyle w:val="Body"/>
        <w:spacing w:after="0"/>
        <w:rPr>
          <w:rFonts w:ascii="Arial" w:hAnsi="Arial" w:cs="Arial"/>
        </w:rPr>
      </w:pPr>
    </w:p>
    <w:p w14:paraId="52707209" w14:textId="77777777" w:rsidR="00D51723" w:rsidRDefault="00D51723" w:rsidP="00441B6F">
      <w:pPr>
        <w:pStyle w:val="Body"/>
        <w:spacing w:after="0"/>
        <w:rPr>
          <w:rFonts w:ascii="Arial" w:hAnsi="Arial" w:cs="Arial"/>
        </w:rPr>
      </w:pPr>
    </w:p>
    <w:p w14:paraId="302BBC9D" w14:textId="77777777" w:rsidR="00D51723" w:rsidRPr="00D901AF" w:rsidRDefault="00D51723" w:rsidP="00D51723">
      <w:pPr>
        <w:pStyle w:val="BodyText"/>
        <w:spacing w:before="247" w:line="235" w:lineRule="auto"/>
        <w:ind w:right="140"/>
        <w:jc w:val="center"/>
        <w:rPr>
          <w:rFonts w:ascii="Arial" w:hAnsi="Arial" w:cs="Arial"/>
        </w:rPr>
      </w:pPr>
      <w:r w:rsidRPr="00D901AF">
        <w:rPr>
          <w:rFonts w:ascii="Arial" w:hAnsi="Arial" w:cs="Arial"/>
          <w:b/>
          <w:bCs/>
        </w:rPr>
        <w:t>Figure-1:</w:t>
      </w:r>
      <w:r w:rsidRPr="00D901AF">
        <w:rPr>
          <w:rFonts w:ascii="Arial" w:hAnsi="Arial" w:cs="Arial"/>
        </w:rPr>
        <w:t xml:space="preserve"> Chemical structures of quinone chalcone compounds and flavonoid glycosides identified in safflower</w:t>
      </w:r>
    </w:p>
    <w:p w14:paraId="585E7FE9" w14:textId="77777777" w:rsidR="00D51723" w:rsidRDefault="00D51723" w:rsidP="00441B6F">
      <w:pPr>
        <w:pStyle w:val="Body"/>
        <w:spacing w:after="0"/>
        <w:rPr>
          <w:rFonts w:ascii="Arial" w:hAnsi="Arial" w:cs="Arial"/>
        </w:rPr>
      </w:pPr>
    </w:p>
    <w:p w14:paraId="7AF0816C" w14:textId="77777777" w:rsidR="00D51723" w:rsidRDefault="00D51723" w:rsidP="00441B6F">
      <w:pPr>
        <w:pStyle w:val="Body"/>
        <w:spacing w:after="0"/>
        <w:rPr>
          <w:rFonts w:ascii="Arial" w:hAnsi="Arial" w:cs="Arial"/>
        </w:rPr>
      </w:pPr>
    </w:p>
    <w:p w14:paraId="1B9F1AA6" w14:textId="6A2B8F8E" w:rsidR="00D51723" w:rsidRDefault="00D51723" w:rsidP="00441B6F">
      <w:pPr>
        <w:pStyle w:val="Body"/>
        <w:spacing w:after="0"/>
        <w:rPr>
          <w:rFonts w:ascii="Arial" w:hAnsi="Arial" w:cs="Arial"/>
        </w:rPr>
      </w:pPr>
      <w:r>
        <w:rPr>
          <w:rFonts w:ascii="Times New Roman" w:hAnsi="Times New Roman"/>
          <w:b/>
          <w:noProof/>
          <w:sz w:val="24"/>
          <w:szCs w:val="24"/>
        </w:rPr>
        <w:lastRenderedPageBreak/>
        <w:drawing>
          <wp:inline distT="0" distB="0" distL="0" distR="0" wp14:anchorId="242F1F37" wp14:editId="7AE8192A">
            <wp:extent cx="5212080" cy="3812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812337"/>
                    </a:xfrm>
                    <a:prstGeom prst="rect">
                      <a:avLst/>
                    </a:prstGeom>
                  </pic:spPr>
                </pic:pic>
              </a:graphicData>
            </a:graphic>
          </wp:inline>
        </w:drawing>
      </w:r>
    </w:p>
    <w:p w14:paraId="19308AC7" w14:textId="77777777" w:rsidR="00D51723" w:rsidRDefault="00D51723" w:rsidP="00441B6F">
      <w:pPr>
        <w:pStyle w:val="Body"/>
        <w:spacing w:after="0"/>
        <w:rPr>
          <w:rFonts w:ascii="Arial" w:hAnsi="Arial" w:cs="Arial"/>
        </w:rPr>
      </w:pPr>
    </w:p>
    <w:p w14:paraId="5DB7B276" w14:textId="77777777" w:rsidR="00D51723" w:rsidRDefault="00D51723" w:rsidP="00441B6F">
      <w:pPr>
        <w:pStyle w:val="Body"/>
        <w:spacing w:after="0"/>
        <w:rPr>
          <w:rFonts w:ascii="Arial" w:hAnsi="Arial" w:cs="Arial"/>
        </w:rPr>
      </w:pPr>
    </w:p>
    <w:p w14:paraId="1B235782" w14:textId="77777777" w:rsidR="00D51723" w:rsidRPr="00D901AF" w:rsidRDefault="00D51723" w:rsidP="00D51723">
      <w:pPr>
        <w:spacing w:line="276" w:lineRule="auto"/>
        <w:jc w:val="center"/>
        <w:rPr>
          <w:rFonts w:ascii="Arial" w:hAnsi="Arial" w:cs="Arial"/>
        </w:rPr>
      </w:pPr>
      <w:r w:rsidRPr="00D901AF">
        <w:rPr>
          <w:rFonts w:ascii="Arial" w:hAnsi="Arial" w:cs="Arial"/>
          <w:b/>
          <w:bCs/>
        </w:rPr>
        <w:t>Figure-2:</w:t>
      </w:r>
      <w:r w:rsidRPr="00D901AF">
        <w:rPr>
          <w:rFonts w:ascii="Arial" w:hAnsi="Arial" w:cs="Arial"/>
        </w:rPr>
        <w:t xml:space="preserve"> Chemical structures of additional flavonoid metabolites identified in safflower.</w:t>
      </w:r>
    </w:p>
    <w:p w14:paraId="7E67A32F" w14:textId="77777777" w:rsidR="00D51723" w:rsidRDefault="00D51723" w:rsidP="00441B6F">
      <w:pPr>
        <w:pStyle w:val="Body"/>
        <w:spacing w:after="0"/>
        <w:rPr>
          <w:rFonts w:ascii="Arial" w:hAnsi="Arial" w:cs="Arial"/>
        </w:rPr>
      </w:pPr>
    </w:p>
    <w:p w14:paraId="0DBE43BE" w14:textId="77777777" w:rsidR="00D51723" w:rsidRDefault="00D51723" w:rsidP="00441B6F">
      <w:pPr>
        <w:pStyle w:val="Body"/>
        <w:spacing w:after="0"/>
        <w:rPr>
          <w:rFonts w:ascii="Arial" w:hAnsi="Arial" w:cs="Arial"/>
        </w:rPr>
      </w:pPr>
    </w:p>
    <w:p w14:paraId="5598EA1C" w14:textId="77777777" w:rsidR="00D51723" w:rsidRDefault="00D51723" w:rsidP="00441B6F">
      <w:pPr>
        <w:pStyle w:val="Body"/>
        <w:spacing w:after="0"/>
        <w:rPr>
          <w:rFonts w:ascii="Arial" w:hAnsi="Arial" w:cs="Arial"/>
        </w:rPr>
      </w:pPr>
    </w:p>
    <w:p w14:paraId="28A47195" w14:textId="77777777" w:rsidR="00D51723" w:rsidRDefault="00D51723" w:rsidP="00441B6F">
      <w:pPr>
        <w:pStyle w:val="Body"/>
        <w:spacing w:after="0"/>
        <w:rPr>
          <w:rFonts w:ascii="Arial" w:hAnsi="Arial" w:cs="Arial"/>
        </w:rPr>
      </w:pPr>
    </w:p>
    <w:p w14:paraId="4B85180E" w14:textId="77777777" w:rsidR="00D51723" w:rsidRDefault="00D51723" w:rsidP="00441B6F">
      <w:pPr>
        <w:pStyle w:val="Body"/>
        <w:spacing w:after="0"/>
        <w:rPr>
          <w:rFonts w:ascii="Arial" w:hAnsi="Arial" w:cs="Arial"/>
        </w:rPr>
      </w:pPr>
    </w:p>
    <w:p w14:paraId="1E6BB024" w14:textId="77777777" w:rsidR="00D51723" w:rsidRDefault="00D51723" w:rsidP="00441B6F">
      <w:pPr>
        <w:pStyle w:val="Body"/>
        <w:spacing w:after="0"/>
        <w:rPr>
          <w:rFonts w:ascii="Arial" w:hAnsi="Arial" w:cs="Arial"/>
        </w:rPr>
      </w:pPr>
    </w:p>
    <w:p w14:paraId="577F3631" w14:textId="77777777" w:rsidR="00D51723" w:rsidRDefault="00D51723" w:rsidP="00441B6F">
      <w:pPr>
        <w:pStyle w:val="Body"/>
        <w:spacing w:after="0"/>
        <w:rPr>
          <w:rFonts w:ascii="Arial" w:hAnsi="Arial" w:cs="Arial"/>
        </w:rPr>
      </w:pPr>
    </w:p>
    <w:p w14:paraId="59BFA9E5" w14:textId="77777777" w:rsidR="00D51723" w:rsidRDefault="00D51723" w:rsidP="00441B6F">
      <w:pPr>
        <w:pStyle w:val="Body"/>
        <w:spacing w:after="0"/>
        <w:rPr>
          <w:rFonts w:ascii="Arial" w:hAnsi="Arial" w:cs="Arial"/>
        </w:rPr>
      </w:pPr>
    </w:p>
    <w:p w14:paraId="0A323050" w14:textId="77777777" w:rsidR="00D51723" w:rsidRDefault="00D51723" w:rsidP="00441B6F">
      <w:pPr>
        <w:pStyle w:val="Body"/>
        <w:spacing w:after="0"/>
        <w:rPr>
          <w:rFonts w:ascii="Arial" w:hAnsi="Arial" w:cs="Arial"/>
        </w:rPr>
      </w:pPr>
    </w:p>
    <w:p w14:paraId="7E9DA272" w14:textId="77777777" w:rsidR="00D51723" w:rsidRDefault="00D51723" w:rsidP="00441B6F">
      <w:pPr>
        <w:pStyle w:val="Body"/>
        <w:spacing w:after="0"/>
        <w:rPr>
          <w:rFonts w:ascii="Arial" w:hAnsi="Arial" w:cs="Arial"/>
        </w:rPr>
      </w:pPr>
    </w:p>
    <w:p w14:paraId="1246CC54" w14:textId="77777777" w:rsidR="00D51723" w:rsidRDefault="00D51723" w:rsidP="00441B6F">
      <w:pPr>
        <w:pStyle w:val="Body"/>
        <w:spacing w:after="0"/>
        <w:rPr>
          <w:rFonts w:ascii="Arial" w:hAnsi="Arial" w:cs="Arial"/>
        </w:rPr>
      </w:pPr>
    </w:p>
    <w:p w14:paraId="053CCC08" w14:textId="77777777" w:rsidR="00D51723" w:rsidRDefault="00D51723" w:rsidP="00441B6F">
      <w:pPr>
        <w:pStyle w:val="Body"/>
        <w:spacing w:after="0"/>
        <w:rPr>
          <w:rFonts w:ascii="Arial" w:hAnsi="Arial" w:cs="Arial"/>
        </w:rPr>
      </w:pPr>
    </w:p>
    <w:p w14:paraId="30A1B26D" w14:textId="77777777" w:rsidR="00D51723" w:rsidRDefault="00D51723" w:rsidP="00441B6F">
      <w:pPr>
        <w:pStyle w:val="Body"/>
        <w:spacing w:after="0"/>
        <w:rPr>
          <w:rFonts w:ascii="Arial" w:hAnsi="Arial" w:cs="Arial"/>
        </w:rPr>
      </w:pPr>
    </w:p>
    <w:p w14:paraId="228FC339" w14:textId="77777777" w:rsidR="00D51723" w:rsidRDefault="00D51723" w:rsidP="00441B6F">
      <w:pPr>
        <w:pStyle w:val="Body"/>
        <w:spacing w:after="0"/>
        <w:rPr>
          <w:rFonts w:ascii="Arial" w:hAnsi="Arial" w:cs="Arial"/>
        </w:rPr>
      </w:pPr>
    </w:p>
    <w:p w14:paraId="5C35597A" w14:textId="77777777" w:rsidR="00D51723" w:rsidRDefault="00D51723" w:rsidP="00441B6F">
      <w:pPr>
        <w:pStyle w:val="Body"/>
        <w:spacing w:after="0"/>
        <w:rPr>
          <w:rFonts w:ascii="Arial" w:hAnsi="Arial" w:cs="Arial"/>
        </w:rPr>
      </w:pPr>
    </w:p>
    <w:p w14:paraId="4692C298" w14:textId="77777777" w:rsidR="00D51723" w:rsidRDefault="00D51723" w:rsidP="00441B6F">
      <w:pPr>
        <w:pStyle w:val="Body"/>
        <w:spacing w:after="0"/>
        <w:rPr>
          <w:rFonts w:ascii="Arial" w:hAnsi="Arial" w:cs="Arial"/>
        </w:rPr>
      </w:pPr>
    </w:p>
    <w:p w14:paraId="441B2070" w14:textId="77777777" w:rsidR="00D51723" w:rsidRDefault="00D51723" w:rsidP="00441B6F">
      <w:pPr>
        <w:pStyle w:val="Body"/>
        <w:spacing w:after="0"/>
        <w:rPr>
          <w:rFonts w:ascii="Arial" w:hAnsi="Arial" w:cs="Arial"/>
        </w:rPr>
      </w:pPr>
    </w:p>
    <w:p w14:paraId="38F73C92" w14:textId="77777777" w:rsidR="00D51723" w:rsidRDefault="00D51723" w:rsidP="00441B6F">
      <w:pPr>
        <w:pStyle w:val="Body"/>
        <w:spacing w:after="0"/>
        <w:rPr>
          <w:rFonts w:ascii="Arial" w:hAnsi="Arial" w:cs="Arial"/>
        </w:rPr>
      </w:pPr>
    </w:p>
    <w:p w14:paraId="24A40DF9" w14:textId="77777777" w:rsidR="00D51723" w:rsidRDefault="00D51723" w:rsidP="00441B6F">
      <w:pPr>
        <w:pStyle w:val="Body"/>
        <w:spacing w:after="0"/>
        <w:rPr>
          <w:rFonts w:ascii="Arial" w:hAnsi="Arial" w:cs="Arial"/>
        </w:rPr>
      </w:pPr>
    </w:p>
    <w:p w14:paraId="35AE8389" w14:textId="77777777" w:rsidR="00D51723" w:rsidRDefault="00D51723" w:rsidP="00441B6F">
      <w:pPr>
        <w:pStyle w:val="Body"/>
        <w:spacing w:after="0"/>
        <w:rPr>
          <w:rFonts w:ascii="Arial" w:hAnsi="Arial" w:cs="Arial"/>
        </w:rPr>
      </w:pPr>
    </w:p>
    <w:p w14:paraId="6F63984A" w14:textId="77777777" w:rsidR="00D901AF" w:rsidRDefault="00D901AF" w:rsidP="00441B6F">
      <w:pPr>
        <w:pStyle w:val="Body"/>
        <w:spacing w:after="0"/>
        <w:rPr>
          <w:rFonts w:ascii="Arial" w:hAnsi="Arial" w:cs="Arial"/>
        </w:rPr>
        <w:sectPr w:rsidR="00D901AF" w:rsidSect="006F3A7D">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12CDB18" w14:textId="5EE65385" w:rsidR="00D901AF" w:rsidRDefault="00D901AF" w:rsidP="00D901AF">
      <w:pPr>
        <w:pStyle w:val="Body"/>
        <w:spacing w:after="0"/>
        <w:jc w:val="center"/>
        <w:rPr>
          <w:rFonts w:ascii="Arial" w:hAnsi="Arial" w:cs="Arial"/>
        </w:rPr>
      </w:pPr>
      <w:r w:rsidRPr="00D901AF">
        <w:rPr>
          <w:rFonts w:ascii="Arial" w:hAnsi="Arial" w:cs="Arial"/>
          <w:b/>
          <w:bCs/>
        </w:rPr>
        <w:lastRenderedPageBreak/>
        <w:t>Table-1:</w:t>
      </w:r>
      <w:r w:rsidRPr="00D901AF">
        <w:rPr>
          <w:rFonts w:ascii="Arial" w:hAnsi="Arial" w:cs="Arial"/>
        </w:rPr>
        <w:t xml:space="preserve"> Summary of flavonoid metabolites in safflower, including structural features and analytical characterization</w:t>
      </w:r>
    </w:p>
    <w:p w14:paraId="05FC89C8" w14:textId="77777777" w:rsidR="00D901AF" w:rsidRDefault="00D901AF" w:rsidP="00441B6F">
      <w:pPr>
        <w:pStyle w:val="Body"/>
        <w:spacing w:after="0"/>
        <w:rPr>
          <w:rFonts w:ascii="Arial" w:hAnsi="Arial" w:cs="Arial"/>
        </w:rPr>
      </w:pPr>
    </w:p>
    <w:p w14:paraId="2F046A9F" w14:textId="14B8E192" w:rsidR="00D901AF" w:rsidRDefault="00D901AF" w:rsidP="00441B6F">
      <w:pPr>
        <w:pStyle w:val="Body"/>
        <w:spacing w:after="0"/>
        <w:rPr>
          <w:rFonts w:ascii="Arial" w:hAnsi="Arial" w:cs="Arial"/>
        </w:rPr>
        <w:sectPr w:rsidR="00D901AF" w:rsidSect="00D901AF">
          <w:type w:val="continuous"/>
          <w:pgSz w:w="15840" w:h="12240" w:orient="landscape"/>
          <w:pgMar w:top="2019" w:right="1440" w:bottom="2019" w:left="2019" w:header="720" w:footer="1123" w:gutter="0"/>
          <w:cols w:space="720"/>
          <w:docGrid w:linePitch="272"/>
        </w:sectPr>
      </w:pPr>
    </w:p>
    <w:tbl>
      <w:tblPr>
        <w:tblStyle w:val="TableGrid"/>
        <w:tblW w:w="5252" w:type="pct"/>
        <w:tblInd w:w="-634" w:type="dxa"/>
        <w:tblLook w:val="04A0" w:firstRow="1" w:lastRow="0" w:firstColumn="1" w:lastColumn="0" w:noHBand="0" w:noVBand="1"/>
      </w:tblPr>
      <w:tblGrid>
        <w:gridCol w:w="612"/>
        <w:gridCol w:w="2146"/>
        <w:gridCol w:w="2687"/>
        <w:gridCol w:w="1768"/>
        <w:gridCol w:w="1870"/>
        <w:gridCol w:w="1057"/>
        <w:gridCol w:w="1813"/>
        <w:gridCol w:w="1279"/>
      </w:tblGrid>
      <w:tr w:rsidR="00D901AF" w14:paraId="16D3FA81" w14:textId="77777777" w:rsidTr="00D901AF">
        <w:trPr>
          <w:trHeight w:val="841"/>
        </w:trPr>
        <w:tc>
          <w:tcPr>
            <w:tcW w:w="238" w:type="pct"/>
            <w:tcBorders>
              <w:left w:val="nil"/>
              <w:right w:val="nil"/>
            </w:tcBorders>
            <w:vAlign w:val="center"/>
          </w:tcPr>
          <w:p w14:paraId="0EC55D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 No</w:t>
            </w:r>
          </w:p>
        </w:tc>
        <w:tc>
          <w:tcPr>
            <w:tcW w:w="899" w:type="pct"/>
            <w:tcBorders>
              <w:left w:val="nil"/>
              <w:right w:val="nil"/>
            </w:tcBorders>
            <w:vAlign w:val="center"/>
          </w:tcPr>
          <w:p w14:paraId="449909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Compound name</w:t>
            </w:r>
          </w:p>
        </w:tc>
        <w:tc>
          <w:tcPr>
            <w:tcW w:w="1071" w:type="pct"/>
            <w:tcBorders>
              <w:left w:val="nil"/>
              <w:right w:val="nil"/>
            </w:tcBorders>
            <w:vAlign w:val="center"/>
          </w:tcPr>
          <w:p w14:paraId="3E11F60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Structural class</w:t>
            </w:r>
          </w:p>
        </w:tc>
        <w:tc>
          <w:tcPr>
            <w:tcW w:w="388" w:type="pct"/>
            <w:tcBorders>
              <w:left w:val="nil"/>
              <w:right w:val="nil"/>
            </w:tcBorders>
            <w:vAlign w:val="center"/>
          </w:tcPr>
          <w:p w14:paraId="5217E39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Substituent features</w:t>
            </w:r>
          </w:p>
        </w:tc>
        <w:tc>
          <w:tcPr>
            <w:tcW w:w="761" w:type="pct"/>
            <w:tcBorders>
              <w:left w:val="nil"/>
              <w:right w:val="nil"/>
            </w:tcBorders>
            <w:vAlign w:val="center"/>
          </w:tcPr>
          <w:p w14:paraId="79825C5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Isolation solvent</w:t>
            </w:r>
          </w:p>
        </w:tc>
        <w:tc>
          <w:tcPr>
            <w:tcW w:w="412" w:type="pct"/>
            <w:tcBorders>
              <w:left w:val="nil"/>
              <w:right w:val="nil"/>
            </w:tcBorders>
            <w:vAlign w:val="center"/>
          </w:tcPr>
          <w:p w14:paraId="191E2D1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Plant source</w:t>
            </w:r>
          </w:p>
        </w:tc>
        <w:tc>
          <w:tcPr>
            <w:tcW w:w="730" w:type="pct"/>
            <w:tcBorders>
              <w:left w:val="nil"/>
              <w:right w:val="nil"/>
            </w:tcBorders>
            <w:vAlign w:val="center"/>
          </w:tcPr>
          <w:p w14:paraId="35B45B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Characterization methods</w:t>
            </w:r>
          </w:p>
        </w:tc>
        <w:tc>
          <w:tcPr>
            <w:tcW w:w="500" w:type="pct"/>
            <w:tcBorders>
              <w:left w:val="nil"/>
              <w:right w:val="nil"/>
            </w:tcBorders>
            <w:vAlign w:val="center"/>
          </w:tcPr>
          <w:p w14:paraId="632B7F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Reference</w:t>
            </w:r>
          </w:p>
        </w:tc>
      </w:tr>
      <w:tr w:rsidR="00D901AF" w14:paraId="67FACB0A" w14:textId="77777777" w:rsidTr="00D901AF">
        <w:tc>
          <w:tcPr>
            <w:tcW w:w="238" w:type="pct"/>
            <w:tcBorders>
              <w:left w:val="nil"/>
              <w:right w:val="nil"/>
            </w:tcBorders>
            <w:vAlign w:val="center"/>
          </w:tcPr>
          <w:p w14:paraId="5D3DDE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w:t>
            </w:r>
          </w:p>
        </w:tc>
        <w:tc>
          <w:tcPr>
            <w:tcW w:w="899" w:type="pct"/>
            <w:tcBorders>
              <w:left w:val="nil"/>
              <w:right w:val="nil"/>
            </w:tcBorders>
            <w:vAlign w:val="center"/>
          </w:tcPr>
          <w:p w14:paraId="298C26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00A0F6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3A10B27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 C-16 (R) stereochemistry</w:t>
            </w:r>
          </w:p>
        </w:tc>
        <w:tc>
          <w:tcPr>
            <w:tcW w:w="761" w:type="pct"/>
            <w:tcBorders>
              <w:left w:val="nil"/>
              <w:right w:val="nil"/>
            </w:tcBorders>
            <w:vAlign w:val="center"/>
          </w:tcPr>
          <w:p w14:paraId="2D9AD6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81166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EA41F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9575F9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Cho et al., 2011</w:t>
            </w:r>
          </w:p>
        </w:tc>
      </w:tr>
      <w:tr w:rsidR="00D901AF" w14:paraId="180BF34A" w14:textId="77777777" w:rsidTr="00D901AF">
        <w:tc>
          <w:tcPr>
            <w:tcW w:w="238" w:type="pct"/>
            <w:tcBorders>
              <w:left w:val="nil"/>
              <w:right w:val="nil"/>
            </w:tcBorders>
            <w:vAlign w:val="center"/>
          </w:tcPr>
          <w:p w14:paraId="1B4C3EC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w:t>
            </w:r>
          </w:p>
        </w:tc>
        <w:tc>
          <w:tcPr>
            <w:tcW w:w="899" w:type="pct"/>
            <w:tcBorders>
              <w:left w:val="nil"/>
              <w:right w:val="nil"/>
            </w:tcBorders>
            <w:vAlign w:val="center"/>
          </w:tcPr>
          <w:p w14:paraId="5710898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Isosafflomin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3079770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3ED755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 C-16 (S) stereochemistry</w:t>
            </w:r>
          </w:p>
        </w:tc>
        <w:tc>
          <w:tcPr>
            <w:tcW w:w="761" w:type="pct"/>
            <w:tcBorders>
              <w:left w:val="nil"/>
              <w:right w:val="nil"/>
            </w:tcBorders>
            <w:vAlign w:val="center"/>
          </w:tcPr>
          <w:p w14:paraId="65FADE0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6425063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7B6C4AF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485B20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Cho et al., 2011</w:t>
            </w:r>
          </w:p>
        </w:tc>
      </w:tr>
      <w:tr w:rsidR="00D901AF" w14:paraId="61B80338" w14:textId="77777777" w:rsidTr="00D901AF">
        <w:tc>
          <w:tcPr>
            <w:tcW w:w="238" w:type="pct"/>
            <w:tcBorders>
              <w:left w:val="nil"/>
              <w:right w:val="nil"/>
            </w:tcBorders>
            <w:vAlign w:val="center"/>
          </w:tcPr>
          <w:p w14:paraId="1D8126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w:t>
            </w:r>
          </w:p>
        </w:tc>
        <w:tc>
          <w:tcPr>
            <w:tcW w:w="899" w:type="pct"/>
            <w:tcBorders>
              <w:left w:val="nil"/>
              <w:right w:val="nil"/>
            </w:tcBorders>
            <w:vAlign w:val="center"/>
          </w:tcPr>
          <w:p w14:paraId="7EB143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Methylsafflomin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717729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03731BC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₃</w:t>
            </w:r>
            <w:r w:rsidRPr="00D901AF">
              <w:rPr>
                <w:rFonts w:ascii="Arial" w:eastAsia="Times New Roman" w:hAnsi="Arial" w:cs="Arial"/>
                <w:sz w:val="20"/>
                <w:szCs w:val="20"/>
              </w:rPr>
              <w:t>; C-16 (R)</w:t>
            </w:r>
          </w:p>
        </w:tc>
        <w:tc>
          <w:tcPr>
            <w:tcW w:w="761" w:type="pct"/>
            <w:tcBorders>
              <w:left w:val="nil"/>
              <w:right w:val="nil"/>
            </w:tcBorders>
            <w:vAlign w:val="center"/>
          </w:tcPr>
          <w:p w14:paraId="71FD94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82F6D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3E8B4F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18837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Zhao et al., 2009</w:t>
            </w:r>
          </w:p>
        </w:tc>
      </w:tr>
      <w:tr w:rsidR="00D901AF" w14:paraId="6BCEAD83" w14:textId="77777777" w:rsidTr="00D901AF">
        <w:tc>
          <w:tcPr>
            <w:tcW w:w="238" w:type="pct"/>
            <w:tcBorders>
              <w:left w:val="nil"/>
              <w:right w:val="nil"/>
            </w:tcBorders>
            <w:vAlign w:val="center"/>
          </w:tcPr>
          <w:p w14:paraId="6B605C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w:t>
            </w:r>
          </w:p>
        </w:tc>
        <w:tc>
          <w:tcPr>
            <w:tcW w:w="899" w:type="pct"/>
            <w:tcBorders>
              <w:left w:val="nil"/>
              <w:right w:val="nil"/>
            </w:tcBorders>
            <w:vAlign w:val="center"/>
          </w:tcPr>
          <w:p w14:paraId="6AC79C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Methylisosafflomin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06D20D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43584A8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₃</w:t>
            </w:r>
            <w:r w:rsidRPr="00D901AF">
              <w:rPr>
                <w:rFonts w:ascii="Arial" w:eastAsia="Times New Roman" w:hAnsi="Arial" w:cs="Arial"/>
                <w:sz w:val="20"/>
                <w:szCs w:val="20"/>
              </w:rPr>
              <w:t>; C-16 (S)</w:t>
            </w:r>
          </w:p>
        </w:tc>
        <w:tc>
          <w:tcPr>
            <w:tcW w:w="761" w:type="pct"/>
            <w:tcBorders>
              <w:left w:val="nil"/>
              <w:right w:val="nil"/>
            </w:tcBorders>
            <w:vAlign w:val="center"/>
          </w:tcPr>
          <w:p w14:paraId="2D302CC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C31D0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0E23A5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898DFC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Zhao et al., 2009</w:t>
            </w:r>
          </w:p>
        </w:tc>
      </w:tr>
      <w:tr w:rsidR="00D901AF" w14:paraId="1218FB4F" w14:textId="77777777" w:rsidTr="00D901AF">
        <w:tc>
          <w:tcPr>
            <w:tcW w:w="238" w:type="pct"/>
            <w:tcBorders>
              <w:left w:val="nil"/>
              <w:right w:val="nil"/>
            </w:tcBorders>
            <w:vAlign w:val="center"/>
          </w:tcPr>
          <w:p w14:paraId="72E365F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w:t>
            </w:r>
          </w:p>
        </w:tc>
        <w:tc>
          <w:tcPr>
            <w:tcW w:w="899" w:type="pct"/>
            <w:tcBorders>
              <w:left w:val="nil"/>
              <w:right w:val="nil"/>
            </w:tcBorders>
            <w:vAlign w:val="center"/>
          </w:tcPr>
          <w:p w14:paraId="18CB73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Carthamin</w:t>
            </w:r>
            <w:proofErr w:type="spellEnd"/>
          </w:p>
        </w:tc>
        <w:tc>
          <w:tcPr>
            <w:tcW w:w="1071" w:type="pct"/>
            <w:tcBorders>
              <w:left w:val="nil"/>
              <w:right w:val="nil"/>
            </w:tcBorders>
            <w:vAlign w:val="center"/>
          </w:tcPr>
          <w:p w14:paraId="5018B79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M2</w:t>
            </w:r>
          </w:p>
        </w:tc>
        <w:tc>
          <w:tcPr>
            <w:tcW w:w="388" w:type="pct"/>
            <w:tcBorders>
              <w:left w:val="nil"/>
              <w:right w:val="nil"/>
            </w:tcBorders>
            <w:vAlign w:val="center"/>
          </w:tcPr>
          <w:p w14:paraId="5F486A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w:t>
            </w:r>
          </w:p>
        </w:tc>
        <w:tc>
          <w:tcPr>
            <w:tcW w:w="761" w:type="pct"/>
            <w:tcBorders>
              <w:left w:val="nil"/>
              <w:right w:val="nil"/>
            </w:tcBorders>
            <w:vAlign w:val="center"/>
          </w:tcPr>
          <w:p w14:paraId="783C14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3FC36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DC4658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 HPLC</w:t>
            </w:r>
          </w:p>
        </w:tc>
        <w:tc>
          <w:tcPr>
            <w:tcW w:w="500" w:type="pct"/>
            <w:tcBorders>
              <w:left w:val="nil"/>
              <w:right w:val="nil"/>
            </w:tcBorders>
            <w:vAlign w:val="center"/>
          </w:tcPr>
          <w:p w14:paraId="2278DF3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758D63D3" w14:textId="77777777" w:rsidTr="00D901AF">
        <w:tc>
          <w:tcPr>
            <w:tcW w:w="238" w:type="pct"/>
            <w:tcBorders>
              <w:left w:val="nil"/>
              <w:right w:val="nil"/>
            </w:tcBorders>
            <w:vAlign w:val="center"/>
          </w:tcPr>
          <w:p w14:paraId="636DB8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w:t>
            </w:r>
          </w:p>
        </w:tc>
        <w:tc>
          <w:tcPr>
            <w:tcW w:w="899" w:type="pct"/>
            <w:tcBorders>
              <w:left w:val="nil"/>
              <w:right w:val="nil"/>
            </w:tcBorders>
            <w:vAlign w:val="center"/>
          </w:tcPr>
          <w:p w14:paraId="034BE63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Hydroxyethyl ether of </w:t>
            </w:r>
            <w:proofErr w:type="spellStart"/>
            <w:r w:rsidRPr="00D901AF">
              <w:rPr>
                <w:rFonts w:ascii="Arial" w:eastAsia="Times New Roman" w:hAnsi="Arial" w:cs="Arial"/>
                <w:sz w:val="20"/>
                <w:szCs w:val="20"/>
              </w:rPr>
              <w:t>carthamin</w:t>
            </w:r>
            <w:proofErr w:type="spellEnd"/>
          </w:p>
        </w:tc>
        <w:tc>
          <w:tcPr>
            <w:tcW w:w="1071" w:type="pct"/>
            <w:tcBorders>
              <w:left w:val="nil"/>
              <w:right w:val="nil"/>
            </w:tcBorders>
            <w:vAlign w:val="center"/>
          </w:tcPr>
          <w:p w14:paraId="11CA713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M2</w:t>
            </w:r>
          </w:p>
        </w:tc>
        <w:tc>
          <w:tcPr>
            <w:tcW w:w="388" w:type="pct"/>
            <w:tcBorders>
              <w:left w:val="nil"/>
              <w:right w:val="nil"/>
            </w:tcBorders>
            <w:vAlign w:val="center"/>
          </w:tcPr>
          <w:p w14:paraId="1E652F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CH</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OH</w:t>
            </w:r>
          </w:p>
        </w:tc>
        <w:tc>
          <w:tcPr>
            <w:tcW w:w="761" w:type="pct"/>
            <w:tcBorders>
              <w:left w:val="nil"/>
              <w:right w:val="nil"/>
            </w:tcBorders>
            <w:vAlign w:val="center"/>
          </w:tcPr>
          <w:p w14:paraId="2AE21C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F5D8D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315E8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A8C5B0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2660EB37" w14:textId="77777777" w:rsidTr="00D901AF">
        <w:tc>
          <w:tcPr>
            <w:tcW w:w="238" w:type="pct"/>
            <w:tcBorders>
              <w:left w:val="nil"/>
              <w:right w:val="nil"/>
            </w:tcBorders>
            <w:vAlign w:val="center"/>
          </w:tcPr>
          <w:p w14:paraId="4C3B9AA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7</w:t>
            </w:r>
          </w:p>
        </w:tc>
        <w:tc>
          <w:tcPr>
            <w:tcW w:w="899" w:type="pct"/>
            <w:tcBorders>
              <w:left w:val="nil"/>
              <w:right w:val="nil"/>
            </w:tcBorders>
            <w:vAlign w:val="center"/>
          </w:tcPr>
          <w:p w14:paraId="25A8BC0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A</w:t>
            </w:r>
          </w:p>
        </w:tc>
        <w:tc>
          <w:tcPr>
            <w:tcW w:w="1071" w:type="pct"/>
            <w:tcBorders>
              <w:left w:val="nil"/>
              <w:right w:val="nil"/>
            </w:tcBorders>
            <w:vAlign w:val="center"/>
          </w:tcPr>
          <w:p w14:paraId="55423D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6945B7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32A6EB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89E162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3C3E7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D92089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3C5C3FF1" w14:textId="77777777" w:rsidTr="00D901AF">
        <w:tc>
          <w:tcPr>
            <w:tcW w:w="238" w:type="pct"/>
            <w:tcBorders>
              <w:left w:val="nil"/>
              <w:right w:val="nil"/>
            </w:tcBorders>
            <w:vAlign w:val="center"/>
          </w:tcPr>
          <w:p w14:paraId="6F2C6C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8</w:t>
            </w:r>
          </w:p>
        </w:tc>
        <w:tc>
          <w:tcPr>
            <w:tcW w:w="899" w:type="pct"/>
            <w:tcBorders>
              <w:left w:val="nil"/>
              <w:right w:val="nil"/>
            </w:tcBorders>
            <w:vAlign w:val="center"/>
          </w:tcPr>
          <w:p w14:paraId="165319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0D030A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8BA323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A24A5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AE335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597EC54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F62CCE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6C119B4D" w14:textId="77777777" w:rsidTr="00D901AF">
        <w:tc>
          <w:tcPr>
            <w:tcW w:w="238" w:type="pct"/>
            <w:tcBorders>
              <w:left w:val="nil"/>
              <w:right w:val="nil"/>
            </w:tcBorders>
            <w:vAlign w:val="center"/>
          </w:tcPr>
          <w:p w14:paraId="3A0DE20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9</w:t>
            </w:r>
          </w:p>
        </w:tc>
        <w:tc>
          <w:tcPr>
            <w:tcW w:w="899" w:type="pct"/>
            <w:tcBorders>
              <w:left w:val="nil"/>
              <w:right w:val="nil"/>
            </w:tcBorders>
            <w:vAlign w:val="center"/>
          </w:tcPr>
          <w:p w14:paraId="41A532C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C</w:t>
            </w:r>
          </w:p>
        </w:tc>
        <w:tc>
          <w:tcPr>
            <w:tcW w:w="1071" w:type="pct"/>
            <w:tcBorders>
              <w:left w:val="nil"/>
              <w:right w:val="nil"/>
            </w:tcBorders>
            <w:vAlign w:val="center"/>
          </w:tcPr>
          <w:p w14:paraId="799B0A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BE494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1B17A62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754CFBC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563FF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84F7A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36188B8B" w14:textId="77777777" w:rsidTr="00D901AF">
        <w:tc>
          <w:tcPr>
            <w:tcW w:w="238" w:type="pct"/>
            <w:tcBorders>
              <w:left w:val="nil"/>
              <w:right w:val="nil"/>
            </w:tcBorders>
            <w:vAlign w:val="center"/>
          </w:tcPr>
          <w:p w14:paraId="7A7FBF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10</w:t>
            </w:r>
          </w:p>
        </w:tc>
        <w:tc>
          <w:tcPr>
            <w:tcW w:w="899" w:type="pct"/>
            <w:tcBorders>
              <w:left w:val="nil"/>
              <w:right w:val="nil"/>
            </w:tcBorders>
            <w:vAlign w:val="center"/>
          </w:tcPr>
          <w:p w14:paraId="11EA111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5B9D875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55D66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B2A681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14E75B0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A9CB36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89B3A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78F0FD1B" w14:textId="77777777" w:rsidTr="00D901AF">
        <w:tc>
          <w:tcPr>
            <w:tcW w:w="238" w:type="pct"/>
            <w:tcBorders>
              <w:left w:val="nil"/>
              <w:right w:val="nil"/>
            </w:tcBorders>
            <w:vAlign w:val="center"/>
          </w:tcPr>
          <w:p w14:paraId="66AE18B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11</w:t>
            </w:r>
          </w:p>
        </w:tc>
        <w:tc>
          <w:tcPr>
            <w:tcW w:w="899" w:type="pct"/>
            <w:tcBorders>
              <w:left w:val="nil"/>
              <w:right w:val="nil"/>
            </w:tcBorders>
            <w:vAlign w:val="center"/>
          </w:tcPr>
          <w:p w14:paraId="3FF791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D</w:t>
            </w:r>
          </w:p>
        </w:tc>
        <w:tc>
          <w:tcPr>
            <w:tcW w:w="1071" w:type="pct"/>
            <w:tcBorders>
              <w:left w:val="nil"/>
              <w:right w:val="nil"/>
            </w:tcBorders>
            <w:vAlign w:val="center"/>
          </w:tcPr>
          <w:p w14:paraId="1794E37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5E726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FBD916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368136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60EEB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5560AD9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6CA37E6A" w14:textId="77777777" w:rsidTr="00D901AF">
        <w:tc>
          <w:tcPr>
            <w:tcW w:w="238" w:type="pct"/>
            <w:tcBorders>
              <w:left w:val="nil"/>
              <w:right w:val="nil"/>
            </w:tcBorders>
            <w:vAlign w:val="center"/>
          </w:tcPr>
          <w:p w14:paraId="502AE0E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12</w:t>
            </w:r>
          </w:p>
        </w:tc>
        <w:tc>
          <w:tcPr>
            <w:tcW w:w="899" w:type="pct"/>
            <w:tcBorders>
              <w:left w:val="nil"/>
              <w:right w:val="nil"/>
            </w:tcBorders>
            <w:vAlign w:val="center"/>
          </w:tcPr>
          <w:p w14:paraId="1803E8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Tinctormine</w:t>
            </w:r>
            <w:proofErr w:type="spellEnd"/>
          </w:p>
        </w:tc>
        <w:tc>
          <w:tcPr>
            <w:tcW w:w="1071" w:type="pct"/>
            <w:tcBorders>
              <w:left w:val="nil"/>
              <w:right w:val="nil"/>
            </w:tcBorders>
            <w:vAlign w:val="center"/>
          </w:tcPr>
          <w:p w14:paraId="68FB286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0649D0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8C564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27ABC93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4537F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123DEC6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Meselhy</w:t>
            </w:r>
            <w:proofErr w:type="spellEnd"/>
            <w:r w:rsidRPr="00D901AF">
              <w:rPr>
                <w:rFonts w:ascii="Arial" w:eastAsia="Times New Roman" w:hAnsi="Arial" w:cs="Arial"/>
                <w:sz w:val="20"/>
                <w:szCs w:val="20"/>
              </w:rPr>
              <w:t xml:space="preserve"> et al., </w:t>
            </w:r>
            <w:r w:rsidRPr="00D901AF">
              <w:rPr>
                <w:rFonts w:ascii="Arial" w:eastAsia="Times New Roman" w:hAnsi="Arial" w:cs="Arial"/>
                <w:sz w:val="20"/>
                <w:szCs w:val="20"/>
              </w:rPr>
              <w:lastRenderedPageBreak/>
              <w:t>1992</w:t>
            </w:r>
          </w:p>
        </w:tc>
      </w:tr>
      <w:tr w:rsidR="00D901AF" w14:paraId="2C934F91" w14:textId="77777777" w:rsidTr="00D901AF">
        <w:tc>
          <w:tcPr>
            <w:tcW w:w="238" w:type="pct"/>
            <w:tcBorders>
              <w:left w:val="nil"/>
              <w:right w:val="nil"/>
            </w:tcBorders>
            <w:vAlign w:val="center"/>
          </w:tcPr>
          <w:p w14:paraId="5735958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13</w:t>
            </w:r>
          </w:p>
        </w:tc>
        <w:tc>
          <w:tcPr>
            <w:tcW w:w="899" w:type="pct"/>
            <w:tcBorders>
              <w:left w:val="nil"/>
              <w:right w:val="nil"/>
            </w:tcBorders>
            <w:vAlign w:val="center"/>
          </w:tcPr>
          <w:p w14:paraId="3DB640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Cartormine</w:t>
            </w:r>
            <w:proofErr w:type="spellEnd"/>
          </w:p>
        </w:tc>
        <w:tc>
          <w:tcPr>
            <w:tcW w:w="1071" w:type="pct"/>
            <w:tcBorders>
              <w:left w:val="nil"/>
              <w:right w:val="nil"/>
            </w:tcBorders>
            <w:vAlign w:val="center"/>
          </w:tcPr>
          <w:p w14:paraId="13E75DA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2DFFED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E3937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0400BCD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B587D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CCF02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3C69D568" w14:textId="77777777" w:rsidTr="00D901AF">
        <w:tc>
          <w:tcPr>
            <w:tcW w:w="238" w:type="pct"/>
            <w:tcBorders>
              <w:left w:val="nil"/>
              <w:right w:val="nil"/>
            </w:tcBorders>
            <w:vAlign w:val="center"/>
          </w:tcPr>
          <w:p w14:paraId="2A6031A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14</w:t>
            </w:r>
          </w:p>
        </w:tc>
        <w:tc>
          <w:tcPr>
            <w:tcW w:w="899" w:type="pct"/>
            <w:tcBorders>
              <w:left w:val="nil"/>
              <w:right w:val="nil"/>
            </w:tcBorders>
            <w:vAlign w:val="center"/>
          </w:tcPr>
          <w:p w14:paraId="475D0A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Isocartormin</w:t>
            </w:r>
            <w:proofErr w:type="spellEnd"/>
          </w:p>
        </w:tc>
        <w:tc>
          <w:tcPr>
            <w:tcW w:w="1071" w:type="pct"/>
            <w:tcBorders>
              <w:left w:val="nil"/>
              <w:right w:val="nil"/>
            </w:tcBorders>
            <w:vAlign w:val="center"/>
          </w:tcPr>
          <w:p w14:paraId="57645F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40AE45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78BF25B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5816C98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D3E172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520C49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2010</w:t>
            </w:r>
          </w:p>
        </w:tc>
      </w:tr>
      <w:tr w:rsidR="00D901AF" w14:paraId="05BEAA4F" w14:textId="77777777" w:rsidTr="00D901AF">
        <w:tc>
          <w:tcPr>
            <w:tcW w:w="238" w:type="pct"/>
            <w:tcBorders>
              <w:left w:val="nil"/>
              <w:right w:val="nil"/>
            </w:tcBorders>
            <w:vAlign w:val="center"/>
          </w:tcPr>
          <w:p w14:paraId="432CC5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15</w:t>
            </w:r>
          </w:p>
        </w:tc>
        <w:tc>
          <w:tcPr>
            <w:tcW w:w="899" w:type="pct"/>
            <w:tcBorders>
              <w:left w:val="nil"/>
              <w:right w:val="nil"/>
            </w:tcBorders>
            <w:vAlign w:val="center"/>
          </w:tcPr>
          <w:p w14:paraId="279FE8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Safflor</w:t>
            </w:r>
            <w:proofErr w:type="spellEnd"/>
            <w:r w:rsidRPr="00D901AF">
              <w:rPr>
                <w:rFonts w:ascii="Arial" w:eastAsia="Times New Roman" w:hAnsi="Arial" w:cs="Arial"/>
                <w:sz w:val="20"/>
                <w:szCs w:val="20"/>
              </w:rPr>
              <w:t xml:space="preserve"> yellow A</w:t>
            </w:r>
          </w:p>
        </w:tc>
        <w:tc>
          <w:tcPr>
            <w:tcW w:w="1071" w:type="pct"/>
            <w:tcBorders>
              <w:left w:val="nil"/>
              <w:right w:val="nil"/>
            </w:tcBorders>
            <w:vAlign w:val="center"/>
          </w:tcPr>
          <w:p w14:paraId="3CAF1B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24ABD8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6F9D3F8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7E9AEB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bottom w:val="single" w:sz="4" w:space="0" w:color="000000"/>
              <w:right w:val="nil"/>
            </w:tcBorders>
            <w:vAlign w:val="center"/>
          </w:tcPr>
          <w:p w14:paraId="183BC0D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476195D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4B0AA659" w14:textId="77777777" w:rsidTr="00D901AF">
        <w:tc>
          <w:tcPr>
            <w:tcW w:w="238" w:type="pct"/>
            <w:tcBorders>
              <w:left w:val="nil"/>
              <w:right w:val="nil"/>
            </w:tcBorders>
            <w:vAlign w:val="center"/>
          </w:tcPr>
          <w:p w14:paraId="7E9851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16</w:t>
            </w:r>
          </w:p>
        </w:tc>
        <w:tc>
          <w:tcPr>
            <w:tcW w:w="899" w:type="pct"/>
            <w:tcBorders>
              <w:left w:val="nil"/>
              <w:right w:val="nil"/>
            </w:tcBorders>
            <w:vAlign w:val="center"/>
          </w:tcPr>
          <w:p w14:paraId="347E22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66065D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1D3D2ED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F3A00C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7F3CF85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10FC2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34A578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3C6B5419" w14:textId="77777777" w:rsidTr="00D901AF">
        <w:tc>
          <w:tcPr>
            <w:tcW w:w="238" w:type="pct"/>
            <w:tcBorders>
              <w:left w:val="nil"/>
              <w:right w:val="nil"/>
            </w:tcBorders>
            <w:vAlign w:val="center"/>
          </w:tcPr>
          <w:p w14:paraId="729C849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17</w:t>
            </w:r>
          </w:p>
        </w:tc>
        <w:tc>
          <w:tcPr>
            <w:tcW w:w="899" w:type="pct"/>
            <w:tcBorders>
              <w:left w:val="nil"/>
              <w:right w:val="nil"/>
            </w:tcBorders>
            <w:vAlign w:val="center"/>
          </w:tcPr>
          <w:p w14:paraId="7998648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6655AC0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7FB503F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E663E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136DF7B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CC5B7C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4827DD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69AB6D1E" w14:textId="77777777" w:rsidTr="00D901AF">
        <w:tc>
          <w:tcPr>
            <w:tcW w:w="238" w:type="pct"/>
            <w:tcBorders>
              <w:left w:val="nil"/>
              <w:right w:val="nil"/>
            </w:tcBorders>
            <w:vAlign w:val="center"/>
          </w:tcPr>
          <w:p w14:paraId="7C860F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18</w:t>
            </w:r>
          </w:p>
        </w:tc>
        <w:tc>
          <w:tcPr>
            <w:tcW w:w="899" w:type="pct"/>
            <w:tcBorders>
              <w:left w:val="nil"/>
              <w:right w:val="nil"/>
            </w:tcBorders>
            <w:vAlign w:val="center"/>
          </w:tcPr>
          <w:p w14:paraId="3E19520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6C6D1B6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30C0389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9480FD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3C945E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305EB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5250E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r w:rsidR="00D901AF" w14:paraId="09742952" w14:textId="77777777" w:rsidTr="00D901AF">
        <w:tc>
          <w:tcPr>
            <w:tcW w:w="238" w:type="pct"/>
            <w:tcBorders>
              <w:left w:val="nil"/>
              <w:right w:val="nil"/>
            </w:tcBorders>
            <w:vAlign w:val="center"/>
          </w:tcPr>
          <w:p w14:paraId="7085FF7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19</w:t>
            </w:r>
          </w:p>
        </w:tc>
        <w:tc>
          <w:tcPr>
            <w:tcW w:w="899" w:type="pct"/>
            <w:tcBorders>
              <w:left w:val="nil"/>
              <w:right w:val="nil"/>
            </w:tcBorders>
            <w:vAlign w:val="center"/>
          </w:tcPr>
          <w:p w14:paraId="5FA5B9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E</w:t>
            </w:r>
          </w:p>
        </w:tc>
        <w:tc>
          <w:tcPr>
            <w:tcW w:w="1071" w:type="pct"/>
            <w:tcBorders>
              <w:left w:val="nil"/>
              <w:right w:val="nil"/>
            </w:tcBorders>
            <w:vAlign w:val="center"/>
          </w:tcPr>
          <w:p w14:paraId="73D0955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23FDD14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B5213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76BFB1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2F8675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A134D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r w:rsidR="00D901AF" w14:paraId="65C00866" w14:textId="77777777" w:rsidTr="00D901AF">
        <w:tc>
          <w:tcPr>
            <w:tcW w:w="238" w:type="pct"/>
            <w:tcBorders>
              <w:left w:val="nil"/>
              <w:right w:val="nil"/>
            </w:tcBorders>
            <w:vAlign w:val="center"/>
          </w:tcPr>
          <w:p w14:paraId="4861D7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20</w:t>
            </w:r>
          </w:p>
        </w:tc>
        <w:tc>
          <w:tcPr>
            <w:tcW w:w="899" w:type="pct"/>
            <w:tcBorders>
              <w:left w:val="nil"/>
              <w:right w:val="nil"/>
            </w:tcBorders>
            <w:vAlign w:val="center"/>
          </w:tcPr>
          <w:p w14:paraId="6C9FAE7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44F57F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192BEA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4D47C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26B630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36809B7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D8FF1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2005</w:t>
            </w:r>
          </w:p>
        </w:tc>
      </w:tr>
      <w:tr w:rsidR="00D901AF" w14:paraId="16DA4817" w14:textId="77777777" w:rsidTr="00D901AF">
        <w:tc>
          <w:tcPr>
            <w:tcW w:w="238" w:type="pct"/>
            <w:tcBorders>
              <w:left w:val="nil"/>
              <w:right w:val="nil"/>
            </w:tcBorders>
            <w:vAlign w:val="center"/>
          </w:tcPr>
          <w:p w14:paraId="130F1D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21</w:t>
            </w:r>
          </w:p>
        </w:tc>
        <w:tc>
          <w:tcPr>
            <w:tcW w:w="899" w:type="pct"/>
            <w:tcBorders>
              <w:left w:val="nil"/>
              <w:right w:val="nil"/>
            </w:tcBorders>
            <w:vAlign w:val="center"/>
          </w:tcPr>
          <w:p w14:paraId="45EAA4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Carthorquinoside</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55C0C08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EA80C5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6FEEFA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E0007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2384F1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653E01D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2016</w:t>
            </w:r>
          </w:p>
        </w:tc>
      </w:tr>
      <w:tr w:rsidR="00D901AF" w14:paraId="3A3FEA94" w14:textId="77777777" w:rsidTr="00D901AF">
        <w:tc>
          <w:tcPr>
            <w:tcW w:w="238" w:type="pct"/>
            <w:tcBorders>
              <w:left w:val="nil"/>
              <w:right w:val="nil"/>
            </w:tcBorders>
            <w:vAlign w:val="center"/>
          </w:tcPr>
          <w:p w14:paraId="4F0C54C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22</w:t>
            </w:r>
          </w:p>
        </w:tc>
        <w:tc>
          <w:tcPr>
            <w:tcW w:w="899" w:type="pct"/>
            <w:tcBorders>
              <w:left w:val="nil"/>
              <w:right w:val="nil"/>
            </w:tcBorders>
            <w:vAlign w:val="center"/>
          </w:tcPr>
          <w:p w14:paraId="271E0A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Carthorquinoside</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467361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3814B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23EC9E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DD4BD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4576806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E291C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2016</w:t>
            </w:r>
          </w:p>
        </w:tc>
      </w:tr>
      <w:tr w:rsidR="00D901AF" w14:paraId="0508CDC1" w14:textId="77777777" w:rsidTr="00D901AF">
        <w:tc>
          <w:tcPr>
            <w:tcW w:w="238" w:type="pct"/>
            <w:tcBorders>
              <w:left w:val="nil"/>
              <w:right w:val="nil"/>
            </w:tcBorders>
            <w:vAlign w:val="center"/>
          </w:tcPr>
          <w:p w14:paraId="411715E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23</w:t>
            </w:r>
          </w:p>
        </w:tc>
        <w:tc>
          <w:tcPr>
            <w:tcW w:w="899" w:type="pct"/>
            <w:tcBorders>
              <w:left w:val="nil"/>
              <w:right w:val="nil"/>
            </w:tcBorders>
            <w:vAlign w:val="center"/>
          </w:tcPr>
          <w:p w14:paraId="2DAFBB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Anhydrosafflor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49C35C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66C5E4E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0EA7B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4E9A8A2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9B301B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035593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 et al., 2016</w:t>
            </w:r>
          </w:p>
        </w:tc>
      </w:tr>
      <w:tr w:rsidR="00D901AF" w14:paraId="52C62152" w14:textId="77777777" w:rsidTr="00D901AF">
        <w:tc>
          <w:tcPr>
            <w:tcW w:w="238" w:type="pct"/>
            <w:tcBorders>
              <w:left w:val="nil"/>
              <w:right w:val="nil"/>
            </w:tcBorders>
            <w:vAlign w:val="center"/>
          </w:tcPr>
          <w:p w14:paraId="3DCA0B5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24</w:t>
            </w:r>
          </w:p>
        </w:tc>
        <w:tc>
          <w:tcPr>
            <w:tcW w:w="899" w:type="pct"/>
            <w:tcBorders>
              <w:left w:val="nil"/>
              <w:right w:val="nil"/>
            </w:tcBorders>
            <w:vAlign w:val="center"/>
          </w:tcPr>
          <w:p w14:paraId="0B2161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1AA31F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7F073A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3623A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A715A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9AA036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3A510F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7AF2ED6C" w14:textId="77777777" w:rsidTr="00D901AF">
        <w:tc>
          <w:tcPr>
            <w:tcW w:w="238" w:type="pct"/>
            <w:tcBorders>
              <w:left w:val="nil"/>
              <w:right w:val="nil"/>
            </w:tcBorders>
            <w:vAlign w:val="center"/>
          </w:tcPr>
          <w:p w14:paraId="15F920C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25</w:t>
            </w:r>
          </w:p>
        </w:tc>
        <w:tc>
          <w:tcPr>
            <w:tcW w:w="899" w:type="pct"/>
            <w:tcBorders>
              <w:left w:val="nil"/>
              <w:right w:val="nil"/>
            </w:tcBorders>
            <w:vAlign w:val="center"/>
          </w:tcPr>
          <w:p w14:paraId="116B51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Precarthamin</w:t>
            </w:r>
            <w:proofErr w:type="spellEnd"/>
          </w:p>
        </w:tc>
        <w:tc>
          <w:tcPr>
            <w:tcW w:w="1071" w:type="pct"/>
            <w:tcBorders>
              <w:left w:val="nil"/>
              <w:right w:val="nil"/>
            </w:tcBorders>
            <w:vAlign w:val="center"/>
          </w:tcPr>
          <w:p w14:paraId="5D31DC1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CD4472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6BA67E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82FEB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17888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3810E3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Wang et al., 2006</w:t>
            </w:r>
          </w:p>
        </w:tc>
      </w:tr>
      <w:tr w:rsidR="00D901AF" w14:paraId="77D30D9A" w14:textId="77777777" w:rsidTr="00D901AF">
        <w:tc>
          <w:tcPr>
            <w:tcW w:w="238" w:type="pct"/>
            <w:tcBorders>
              <w:left w:val="nil"/>
              <w:right w:val="nil"/>
            </w:tcBorders>
            <w:vAlign w:val="center"/>
          </w:tcPr>
          <w:p w14:paraId="548B33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26</w:t>
            </w:r>
          </w:p>
        </w:tc>
        <w:tc>
          <w:tcPr>
            <w:tcW w:w="899" w:type="pct"/>
            <w:tcBorders>
              <w:left w:val="nil"/>
              <w:right w:val="nil"/>
            </w:tcBorders>
            <w:vAlign w:val="center"/>
          </w:tcPr>
          <w:p w14:paraId="7B5605D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Luteolin</w:t>
            </w:r>
          </w:p>
        </w:tc>
        <w:tc>
          <w:tcPr>
            <w:tcW w:w="1071" w:type="pct"/>
            <w:tcBorders>
              <w:left w:val="nil"/>
              <w:right w:val="nil"/>
            </w:tcBorders>
            <w:vAlign w:val="center"/>
          </w:tcPr>
          <w:p w14:paraId="2E29F06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19F8725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H, 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H</w:t>
            </w:r>
          </w:p>
        </w:tc>
        <w:tc>
          <w:tcPr>
            <w:tcW w:w="761" w:type="pct"/>
            <w:tcBorders>
              <w:left w:val="nil"/>
              <w:right w:val="nil"/>
            </w:tcBorders>
            <w:vAlign w:val="center"/>
          </w:tcPr>
          <w:p w14:paraId="6B48368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C616D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50BC57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646E55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2E659C42" w14:textId="77777777" w:rsidTr="00D901AF">
        <w:tc>
          <w:tcPr>
            <w:tcW w:w="238" w:type="pct"/>
            <w:tcBorders>
              <w:left w:val="nil"/>
              <w:right w:val="nil"/>
            </w:tcBorders>
            <w:vAlign w:val="center"/>
          </w:tcPr>
          <w:p w14:paraId="76BDC1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27</w:t>
            </w:r>
          </w:p>
        </w:tc>
        <w:tc>
          <w:tcPr>
            <w:tcW w:w="899" w:type="pct"/>
            <w:tcBorders>
              <w:left w:val="nil"/>
              <w:right w:val="nil"/>
            </w:tcBorders>
            <w:vAlign w:val="center"/>
          </w:tcPr>
          <w:p w14:paraId="68BC306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Luteolin-7-O-β-D-glucoside</w:t>
            </w:r>
          </w:p>
        </w:tc>
        <w:tc>
          <w:tcPr>
            <w:tcW w:w="1071" w:type="pct"/>
            <w:tcBorders>
              <w:left w:val="nil"/>
              <w:right w:val="nil"/>
            </w:tcBorders>
            <w:vAlign w:val="center"/>
          </w:tcPr>
          <w:p w14:paraId="169A244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326DB1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55167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0EFECB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5FCF76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350225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72CD71B2" w14:textId="77777777" w:rsidTr="00D901AF">
        <w:tc>
          <w:tcPr>
            <w:tcW w:w="238" w:type="pct"/>
            <w:tcBorders>
              <w:left w:val="nil"/>
              <w:right w:val="nil"/>
            </w:tcBorders>
            <w:vAlign w:val="center"/>
          </w:tcPr>
          <w:p w14:paraId="0B28540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28</w:t>
            </w:r>
          </w:p>
        </w:tc>
        <w:tc>
          <w:tcPr>
            <w:tcW w:w="899" w:type="pct"/>
            <w:tcBorders>
              <w:left w:val="nil"/>
              <w:right w:val="nil"/>
            </w:tcBorders>
            <w:vAlign w:val="center"/>
          </w:tcPr>
          <w:p w14:paraId="252BCE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Luteolin-7-O-(6″-O-acetyl)-β-D-glucoside</w:t>
            </w:r>
          </w:p>
        </w:tc>
        <w:tc>
          <w:tcPr>
            <w:tcW w:w="1071" w:type="pct"/>
            <w:tcBorders>
              <w:left w:val="nil"/>
              <w:right w:val="nil"/>
            </w:tcBorders>
            <w:vAlign w:val="center"/>
          </w:tcPr>
          <w:p w14:paraId="1C9390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642669A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Acetylated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0B0F8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104B59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35BDC0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w:t>
            </w:r>
          </w:p>
        </w:tc>
        <w:tc>
          <w:tcPr>
            <w:tcW w:w="500" w:type="pct"/>
            <w:tcBorders>
              <w:left w:val="nil"/>
              <w:right w:val="nil"/>
            </w:tcBorders>
            <w:vAlign w:val="center"/>
          </w:tcPr>
          <w:p w14:paraId="4B96C9E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0776C743" w14:textId="77777777" w:rsidTr="00D901AF">
        <w:tc>
          <w:tcPr>
            <w:tcW w:w="238" w:type="pct"/>
            <w:tcBorders>
              <w:left w:val="nil"/>
              <w:right w:val="nil"/>
            </w:tcBorders>
            <w:vAlign w:val="center"/>
          </w:tcPr>
          <w:p w14:paraId="4E8FA96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29</w:t>
            </w:r>
          </w:p>
        </w:tc>
        <w:tc>
          <w:tcPr>
            <w:tcW w:w="899" w:type="pct"/>
            <w:tcBorders>
              <w:left w:val="nil"/>
              <w:right w:val="nil"/>
            </w:tcBorders>
            <w:vAlign w:val="center"/>
          </w:tcPr>
          <w:p w14:paraId="7861E7D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w:t>
            </w:r>
          </w:p>
        </w:tc>
        <w:tc>
          <w:tcPr>
            <w:tcW w:w="1071" w:type="pct"/>
            <w:tcBorders>
              <w:left w:val="nil"/>
              <w:right w:val="nil"/>
            </w:tcBorders>
            <w:vAlign w:val="center"/>
          </w:tcPr>
          <w:p w14:paraId="5F08421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5ADCCA5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OH</w:t>
            </w:r>
          </w:p>
        </w:tc>
        <w:tc>
          <w:tcPr>
            <w:tcW w:w="761" w:type="pct"/>
            <w:tcBorders>
              <w:left w:val="nil"/>
              <w:right w:val="nil"/>
            </w:tcBorders>
            <w:vAlign w:val="center"/>
          </w:tcPr>
          <w:p w14:paraId="634C59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031A3B4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060504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w:t>
            </w:r>
          </w:p>
        </w:tc>
        <w:tc>
          <w:tcPr>
            <w:tcW w:w="500" w:type="pct"/>
            <w:tcBorders>
              <w:left w:val="nil"/>
              <w:right w:val="nil"/>
            </w:tcBorders>
            <w:vAlign w:val="center"/>
          </w:tcPr>
          <w:p w14:paraId="29F3C2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1B8AE1A" w14:textId="77777777" w:rsidTr="00D901AF">
        <w:tc>
          <w:tcPr>
            <w:tcW w:w="238" w:type="pct"/>
            <w:tcBorders>
              <w:left w:val="nil"/>
              <w:right w:val="nil"/>
            </w:tcBorders>
            <w:vAlign w:val="center"/>
          </w:tcPr>
          <w:p w14:paraId="72C70BE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30</w:t>
            </w:r>
          </w:p>
        </w:tc>
        <w:tc>
          <w:tcPr>
            <w:tcW w:w="899" w:type="pct"/>
            <w:tcBorders>
              <w:left w:val="nil"/>
              <w:right w:val="nil"/>
            </w:tcBorders>
            <w:vAlign w:val="center"/>
          </w:tcPr>
          <w:p w14:paraId="591FE64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Quercetin-7-O-β-D-glucoside</w:t>
            </w:r>
          </w:p>
        </w:tc>
        <w:tc>
          <w:tcPr>
            <w:tcW w:w="1071" w:type="pct"/>
            <w:tcBorders>
              <w:left w:val="nil"/>
              <w:right w:val="nil"/>
            </w:tcBorders>
            <w:vAlign w:val="center"/>
          </w:tcPr>
          <w:p w14:paraId="37D2BB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2A7267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020780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4D3A1D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75F5525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5F6571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716C471F" w14:textId="77777777" w:rsidTr="00D901AF">
        <w:tc>
          <w:tcPr>
            <w:tcW w:w="238" w:type="pct"/>
            <w:tcBorders>
              <w:left w:val="nil"/>
              <w:right w:val="nil"/>
            </w:tcBorders>
            <w:vAlign w:val="center"/>
          </w:tcPr>
          <w:p w14:paraId="34FC037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31</w:t>
            </w:r>
          </w:p>
        </w:tc>
        <w:tc>
          <w:tcPr>
            <w:tcW w:w="899" w:type="pct"/>
            <w:tcBorders>
              <w:left w:val="nil"/>
              <w:right w:val="nil"/>
            </w:tcBorders>
            <w:vAlign w:val="center"/>
          </w:tcPr>
          <w:p w14:paraId="431D0A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Quercetin-7-O-(6″-O-acetyl)-β-D-glucoside</w:t>
            </w:r>
          </w:p>
        </w:tc>
        <w:tc>
          <w:tcPr>
            <w:tcW w:w="1071" w:type="pct"/>
            <w:tcBorders>
              <w:left w:val="nil"/>
              <w:right w:val="nil"/>
            </w:tcBorders>
            <w:vAlign w:val="center"/>
          </w:tcPr>
          <w:p w14:paraId="4C32358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3D3C44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Acetylated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C16EF0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6DD0A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08F829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335F7DD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2C7F8F05" w14:textId="77777777" w:rsidTr="00D901AF">
        <w:tc>
          <w:tcPr>
            <w:tcW w:w="238" w:type="pct"/>
            <w:tcBorders>
              <w:left w:val="nil"/>
              <w:right w:val="nil"/>
            </w:tcBorders>
            <w:vAlign w:val="center"/>
          </w:tcPr>
          <w:p w14:paraId="61F167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32</w:t>
            </w:r>
          </w:p>
        </w:tc>
        <w:tc>
          <w:tcPr>
            <w:tcW w:w="899" w:type="pct"/>
            <w:tcBorders>
              <w:left w:val="nil"/>
              <w:right w:val="nil"/>
            </w:tcBorders>
            <w:vAlign w:val="center"/>
          </w:tcPr>
          <w:p w14:paraId="050FE70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Quercetin-3-O-β-D-glucoside</w:t>
            </w:r>
          </w:p>
        </w:tc>
        <w:tc>
          <w:tcPr>
            <w:tcW w:w="1071" w:type="pct"/>
            <w:tcBorders>
              <w:left w:val="nil"/>
              <w:right w:val="nil"/>
            </w:tcBorders>
            <w:vAlign w:val="center"/>
          </w:tcPr>
          <w:p w14:paraId="4E1E4AB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7B25F6A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O-</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A74FF4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572E6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53F3E3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4E72FDC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08D41BED" w14:textId="77777777" w:rsidTr="00D901AF">
        <w:tc>
          <w:tcPr>
            <w:tcW w:w="238" w:type="pct"/>
            <w:tcBorders>
              <w:left w:val="nil"/>
              <w:right w:val="nil"/>
            </w:tcBorders>
            <w:vAlign w:val="center"/>
          </w:tcPr>
          <w:p w14:paraId="349E7B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33</w:t>
            </w:r>
          </w:p>
        </w:tc>
        <w:tc>
          <w:tcPr>
            <w:tcW w:w="899" w:type="pct"/>
            <w:tcBorders>
              <w:left w:val="nil"/>
              <w:right w:val="nil"/>
            </w:tcBorders>
            <w:vAlign w:val="center"/>
          </w:tcPr>
          <w:p w14:paraId="3EFD37E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Quercetin-3,7-di-O-β-D-glucoside</w:t>
            </w:r>
          </w:p>
        </w:tc>
        <w:tc>
          <w:tcPr>
            <w:tcW w:w="1071" w:type="pct"/>
            <w:tcBorders>
              <w:left w:val="nil"/>
              <w:right w:val="nil"/>
            </w:tcBorders>
            <w:vAlign w:val="center"/>
          </w:tcPr>
          <w:p w14:paraId="135789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20426D0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Dual </w:t>
            </w: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substitution</w:t>
            </w:r>
          </w:p>
        </w:tc>
        <w:tc>
          <w:tcPr>
            <w:tcW w:w="761" w:type="pct"/>
            <w:tcBorders>
              <w:left w:val="nil"/>
              <w:right w:val="nil"/>
            </w:tcBorders>
            <w:vAlign w:val="center"/>
          </w:tcPr>
          <w:p w14:paraId="2F5E9A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5B587B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6C8DA1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1082E6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614F454B" w14:textId="77777777" w:rsidTr="00D901AF">
        <w:tc>
          <w:tcPr>
            <w:tcW w:w="238" w:type="pct"/>
            <w:tcBorders>
              <w:left w:val="nil"/>
              <w:right w:val="nil"/>
            </w:tcBorders>
            <w:vAlign w:val="center"/>
          </w:tcPr>
          <w:p w14:paraId="4C3FFF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34</w:t>
            </w:r>
          </w:p>
        </w:tc>
        <w:tc>
          <w:tcPr>
            <w:tcW w:w="899" w:type="pct"/>
            <w:tcBorders>
              <w:left w:val="nil"/>
              <w:right w:val="nil"/>
            </w:tcBorders>
            <w:vAlign w:val="center"/>
          </w:tcPr>
          <w:p w14:paraId="4E26B42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Quercetin-3-O-α-L-rhamnoside-7-O-β-D-glucoside</w:t>
            </w:r>
          </w:p>
        </w:tc>
        <w:tc>
          <w:tcPr>
            <w:tcW w:w="1071" w:type="pct"/>
            <w:tcBorders>
              <w:left w:val="nil"/>
              <w:right w:val="nil"/>
            </w:tcBorders>
            <w:vAlign w:val="center"/>
          </w:tcPr>
          <w:p w14:paraId="3DD976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5A9D8FF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Rha</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9A9D9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3407998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229A4D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1488DB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Hu et al., 2013</w:t>
            </w:r>
          </w:p>
        </w:tc>
      </w:tr>
      <w:tr w:rsidR="00D901AF" w14:paraId="7F01AE04" w14:textId="77777777" w:rsidTr="00D901AF">
        <w:tc>
          <w:tcPr>
            <w:tcW w:w="238" w:type="pct"/>
            <w:tcBorders>
              <w:left w:val="nil"/>
              <w:right w:val="nil"/>
            </w:tcBorders>
            <w:vAlign w:val="center"/>
          </w:tcPr>
          <w:p w14:paraId="392226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35</w:t>
            </w:r>
          </w:p>
        </w:tc>
        <w:tc>
          <w:tcPr>
            <w:tcW w:w="899" w:type="pct"/>
            <w:tcBorders>
              <w:left w:val="nil"/>
              <w:right w:val="nil"/>
            </w:tcBorders>
            <w:vAlign w:val="center"/>
          </w:tcPr>
          <w:p w14:paraId="6E29688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Quercetin-3-O-β-</w:t>
            </w:r>
            <w:proofErr w:type="spellStart"/>
            <w:r w:rsidRPr="00D901AF">
              <w:rPr>
                <w:rFonts w:ascii="Arial" w:eastAsia="Times New Roman" w:hAnsi="Arial" w:cs="Arial"/>
                <w:sz w:val="20"/>
                <w:szCs w:val="20"/>
              </w:rPr>
              <w:t>rutinoside</w:t>
            </w:r>
            <w:proofErr w:type="spellEnd"/>
          </w:p>
        </w:tc>
        <w:tc>
          <w:tcPr>
            <w:tcW w:w="1071" w:type="pct"/>
            <w:tcBorders>
              <w:left w:val="nil"/>
              <w:right w:val="nil"/>
            </w:tcBorders>
            <w:vAlign w:val="center"/>
          </w:tcPr>
          <w:p w14:paraId="459B2A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6CBC4F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p>
        </w:tc>
        <w:tc>
          <w:tcPr>
            <w:tcW w:w="761" w:type="pct"/>
            <w:tcBorders>
              <w:left w:val="nil"/>
              <w:right w:val="nil"/>
            </w:tcBorders>
            <w:vAlign w:val="center"/>
          </w:tcPr>
          <w:p w14:paraId="0F4840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61DBE37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4BB25E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14F110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Tursun</w:t>
            </w:r>
            <w:proofErr w:type="spellEnd"/>
            <w:r w:rsidRPr="00D901AF">
              <w:rPr>
                <w:rFonts w:ascii="Arial" w:eastAsia="Times New Roman" w:hAnsi="Arial" w:cs="Arial"/>
                <w:sz w:val="20"/>
                <w:szCs w:val="20"/>
              </w:rPr>
              <w:t>, 2022</w:t>
            </w:r>
          </w:p>
        </w:tc>
      </w:tr>
      <w:tr w:rsidR="00D901AF" w14:paraId="463ECED6" w14:textId="77777777" w:rsidTr="00D901AF">
        <w:tc>
          <w:tcPr>
            <w:tcW w:w="238" w:type="pct"/>
            <w:tcBorders>
              <w:left w:val="nil"/>
              <w:right w:val="nil"/>
            </w:tcBorders>
            <w:vAlign w:val="center"/>
          </w:tcPr>
          <w:p w14:paraId="7E7DD3D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36</w:t>
            </w:r>
          </w:p>
        </w:tc>
        <w:tc>
          <w:tcPr>
            <w:tcW w:w="899" w:type="pct"/>
            <w:tcBorders>
              <w:left w:val="nil"/>
              <w:right w:val="nil"/>
            </w:tcBorders>
            <w:vAlign w:val="center"/>
          </w:tcPr>
          <w:p w14:paraId="3C352A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w:t>
            </w:r>
          </w:p>
        </w:tc>
        <w:tc>
          <w:tcPr>
            <w:tcW w:w="1071" w:type="pct"/>
            <w:tcBorders>
              <w:left w:val="nil"/>
              <w:right w:val="nil"/>
            </w:tcBorders>
            <w:vAlign w:val="center"/>
          </w:tcPr>
          <w:p w14:paraId="5EADA99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47505EF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Unsubstituted</w:t>
            </w:r>
          </w:p>
        </w:tc>
        <w:tc>
          <w:tcPr>
            <w:tcW w:w="761" w:type="pct"/>
            <w:tcBorders>
              <w:left w:val="nil"/>
              <w:right w:val="nil"/>
            </w:tcBorders>
            <w:vAlign w:val="center"/>
          </w:tcPr>
          <w:p w14:paraId="7159459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08D05D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CADF2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83FE4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CFEF85F" w14:textId="77777777" w:rsidTr="00D901AF">
        <w:tc>
          <w:tcPr>
            <w:tcW w:w="238" w:type="pct"/>
            <w:tcBorders>
              <w:left w:val="nil"/>
              <w:right w:val="nil"/>
            </w:tcBorders>
            <w:vAlign w:val="center"/>
          </w:tcPr>
          <w:p w14:paraId="7291C7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37</w:t>
            </w:r>
          </w:p>
        </w:tc>
        <w:tc>
          <w:tcPr>
            <w:tcW w:w="899" w:type="pct"/>
            <w:tcBorders>
              <w:left w:val="nil"/>
              <w:right w:val="nil"/>
            </w:tcBorders>
            <w:vAlign w:val="center"/>
          </w:tcPr>
          <w:p w14:paraId="5D90F93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w:t>
            </w:r>
          </w:p>
        </w:tc>
        <w:tc>
          <w:tcPr>
            <w:tcW w:w="1071" w:type="pct"/>
            <w:tcBorders>
              <w:left w:val="nil"/>
              <w:right w:val="nil"/>
            </w:tcBorders>
            <w:vAlign w:val="center"/>
          </w:tcPr>
          <w:p w14:paraId="1DB627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0209A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6-OH</w:t>
            </w:r>
          </w:p>
        </w:tc>
        <w:tc>
          <w:tcPr>
            <w:tcW w:w="761" w:type="pct"/>
            <w:tcBorders>
              <w:left w:val="nil"/>
              <w:right w:val="nil"/>
            </w:tcBorders>
            <w:vAlign w:val="center"/>
          </w:tcPr>
          <w:p w14:paraId="2DD48DA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E4AEF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BC36B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02F06F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55C5170" w14:textId="77777777" w:rsidTr="00D901AF">
        <w:tc>
          <w:tcPr>
            <w:tcW w:w="238" w:type="pct"/>
            <w:tcBorders>
              <w:left w:val="nil"/>
              <w:right w:val="nil"/>
            </w:tcBorders>
            <w:vAlign w:val="center"/>
          </w:tcPr>
          <w:p w14:paraId="3C8B44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38</w:t>
            </w:r>
          </w:p>
        </w:tc>
        <w:tc>
          <w:tcPr>
            <w:tcW w:w="899" w:type="pct"/>
            <w:tcBorders>
              <w:left w:val="nil"/>
              <w:right w:val="nil"/>
            </w:tcBorders>
            <w:vAlign w:val="center"/>
          </w:tcPr>
          <w:p w14:paraId="45E2345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w:t>
            </w:r>
            <w:r w:rsidRPr="00D901AF">
              <w:rPr>
                <w:rFonts w:ascii="Arial" w:eastAsia="Times New Roman" w:hAnsi="Arial" w:cs="Arial"/>
                <w:sz w:val="20"/>
                <w:szCs w:val="20"/>
              </w:rPr>
              <w:lastRenderedPageBreak/>
              <w:t>7-O-β-D-glucoside</w:t>
            </w:r>
          </w:p>
        </w:tc>
        <w:tc>
          <w:tcPr>
            <w:tcW w:w="1071" w:type="pct"/>
            <w:tcBorders>
              <w:left w:val="nil"/>
              <w:right w:val="nil"/>
            </w:tcBorders>
            <w:vAlign w:val="center"/>
          </w:tcPr>
          <w:p w14:paraId="11FDC6D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M4</w:t>
            </w:r>
          </w:p>
        </w:tc>
        <w:tc>
          <w:tcPr>
            <w:tcW w:w="388" w:type="pct"/>
            <w:tcBorders>
              <w:left w:val="nil"/>
              <w:right w:val="nil"/>
            </w:tcBorders>
            <w:vAlign w:val="center"/>
          </w:tcPr>
          <w:p w14:paraId="4FC10D0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at C-7</w:t>
            </w:r>
          </w:p>
        </w:tc>
        <w:tc>
          <w:tcPr>
            <w:tcW w:w="761" w:type="pct"/>
            <w:tcBorders>
              <w:left w:val="nil"/>
              <w:right w:val="nil"/>
            </w:tcBorders>
            <w:vAlign w:val="center"/>
          </w:tcPr>
          <w:p w14:paraId="3C1D9BD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56F12A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Aerial </w:t>
            </w:r>
            <w:r w:rsidRPr="00D901AF">
              <w:rPr>
                <w:rFonts w:ascii="Arial" w:eastAsia="Times New Roman" w:hAnsi="Arial" w:cs="Arial"/>
                <w:sz w:val="20"/>
                <w:szCs w:val="20"/>
              </w:rPr>
              <w:lastRenderedPageBreak/>
              <w:t>parts</w:t>
            </w:r>
          </w:p>
        </w:tc>
        <w:tc>
          <w:tcPr>
            <w:tcW w:w="730" w:type="pct"/>
            <w:tcBorders>
              <w:left w:val="nil"/>
              <w:right w:val="nil"/>
            </w:tcBorders>
            <w:vAlign w:val="center"/>
          </w:tcPr>
          <w:p w14:paraId="7CF299F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¹D/²D NMR</w:t>
            </w:r>
          </w:p>
        </w:tc>
        <w:tc>
          <w:tcPr>
            <w:tcW w:w="500" w:type="pct"/>
            <w:tcBorders>
              <w:left w:val="nil"/>
              <w:right w:val="nil"/>
            </w:tcBorders>
            <w:vAlign w:val="center"/>
          </w:tcPr>
          <w:p w14:paraId="02092E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Li et al., </w:t>
            </w:r>
            <w:r w:rsidRPr="00D901AF">
              <w:rPr>
                <w:rFonts w:ascii="Arial" w:eastAsia="Times New Roman" w:hAnsi="Arial" w:cs="Arial"/>
                <w:sz w:val="20"/>
                <w:szCs w:val="20"/>
              </w:rPr>
              <w:lastRenderedPageBreak/>
              <w:t>2017</w:t>
            </w:r>
          </w:p>
        </w:tc>
      </w:tr>
      <w:tr w:rsidR="00D901AF" w14:paraId="743D42FA" w14:textId="77777777" w:rsidTr="00D901AF">
        <w:tc>
          <w:tcPr>
            <w:tcW w:w="238" w:type="pct"/>
            <w:tcBorders>
              <w:left w:val="nil"/>
              <w:right w:val="nil"/>
            </w:tcBorders>
            <w:vAlign w:val="center"/>
          </w:tcPr>
          <w:p w14:paraId="31AD12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39</w:t>
            </w:r>
          </w:p>
        </w:tc>
        <w:tc>
          <w:tcPr>
            <w:tcW w:w="899" w:type="pct"/>
            <w:tcBorders>
              <w:left w:val="nil"/>
              <w:right w:val="nil"/>
            </w:tcBorders>
            <w:vAlign w:val="center"/>
          </w:tcPr>
          <w:p w14:paraId="579872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6-Hydroxykaempferol-6,7-di-O-β-D-glucoside</w:t>
            </w:r>
          </w:p>
        </w:tc>
        <w:tc>
          <w:tcPr>
            <w:tcW w:w="1071" w:type="pct"/>
            <w:tcBorders>
              <w:left w:val="nil"/>
              <w:right w:val="nil"/>
            </w:tcBorders>
            <w:vAlign w:val="center"/>
          </w:tcPr>
          <w:p w14:paraId="0E6B87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4E3C545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Dual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B7D3E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0ECD5F2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77C93D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5A96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2017</w:t>
            </w:r>
          </w:p>
        </w:tc>
      </w:tr>
      <w:tr w:rsidR="00D901AF" w14:paraId="2A0DA054" w14:textId="77777777" w:rsidTr="00D901AF">
        <w:tc>
          <w:tcPr>
            <w:tcW w:w="238" w:type="pct"/>
            <w:tcBorders>
              <w:left w:val="nil"/>
              <w:right w:val="nil"/>
            </w:tcBorders>
            <w:vAlign w:val="center"/>
          </w:tcPr>
          <w:p w14:paraId="6D3F616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40</w:t>
            </w:r>
          </w:p>
        </w:tc>
        <w:tc>
          <w:tcPr>
            <w:tcW w:w="899" w:type="pct"/>
            <w:tcBorders>
              <w:left w:val="nil"/>
              <w:right w:val="nil"/>
            </w:tcBorders>
            <w:vAlign w:val="center"/>
          </w:tcPr>
          <w:p w14:paraId="3389DFD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Kaempferol-3-O-β-D-glucoside</w:t>
            </w:r>
          </w:p>
        </w:tc>
        <w:tc>
          <w:tcPr>
            <w:tcW w:w="1071" w:type="pct"/>
            <w:tcBorders>
              <w:left w:val="nil"/>
              <w:right w:val="nil"/>
            </w:tcBorders>
            <w:vAlign w:val="center"/>
          </w:tcPr>
          <w:p w14:paraId="4B5C8F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8F140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at C-3</w:t>
            </w:r>
          </w:p>
        </w:tc>
        <w:tc>
          <w:tcPr>
            <w:tcW w:w="761" w:type="pct"/>
            <w:tcBorders>
              <w:left w:val="nil"/>
              <w:right w:val="nil"/>
            </w:tcBorders>
            <w:vAlign w:val="center"/>
          </w:tcPr>
          <w:p w14:paraId="1A3CBB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2702CA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3122EB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3C3CF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62745B8A" w14:textId="77777777" w:rsidTr="00D901AF">
        <w:tc>
          <w:tcPr>
            <w:tcW w:w="238" w:type="pct"/>
            <w:tcBorders>
              <w:left w:val="nil"/>
              <w:right w:val="nil"/>
            </w:tcBorders>
            <w:vAlign w:val="center"/>
          </w:tcPr>
          <w:p w14:paraId="67CC84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41</w:t>
            </w:r>
          </w:p>
        </w:tc>
        <w:tc>
          <w:tcPr>
            <w:tcW w:w="899" w:type="pct"/>
            <w:tcBorders>
              <w:left w:val="nil"/>
              <w:right w:val="nil"/>
            </w:tcBorders>
            <w:vAlign w:val="center"/>
          </w:tcPr>
          <w:p w14:paraId="2C01B94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6-Hydroxykaempferol-3-O-β-D-glucoside</w:t>
            </w:r>
          </w:p>
        </w:tc>
        <w:tc>
          <w:tcPr>
            <w:tcW w:w="1071" w:type="pct"/>
            <w:tcBorders>
              <w:left w:val="nil"/>
              <w:right w:val="nil"/>
            </w:tcBorders>
            <w:vAlign w:val="center"/>
          </w:tcPr>
          <w:p w14:paraId="592E4EB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608E552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 OH</w:t>
            </w:r>
          </w:p>
        </w:tc>
        <w:tc>
          <w:tcPr>
            <w:tcW w:w="761" w:type="pct"/>
            <w:tcBorders>
              <w:left w:val="nil"/>
              <w:right w:val="nil"/>
            </w:tcBorders>
            <w:vAlign w:val="center"/>
          </w:tcPr>
          <w:p w14:paraId="4F65025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7116DF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157AB8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007B3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2017</w:t>
            </w:r>
          </w:p>
        </w:tc>
      </w:tr>
      <w:tr w:rsidR="00D901AF" w14:paraId="636B2EA5" w14:textId="77777777" w:rsidTr="00D901AF">
        <w:tc>
          <w:tcPr>
            <w:tcW w:w="238" w:type="pct"/>
            <w:tcBorders>
              <w:left w:val="nil"/>
              <w:right w:val="nil"/>
            </w:tcBorders>
            <w:vAlign w:val="center"/>
          </w:tcPr>
          <w:p w14:paraId="24E8AD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42</w:t>
            </w:r>
          </w:p>
        </w:tc>
        <w:tc>
          <w:tcPr>
            <w:tcW w:w="899" w:type="pct"/>
            <w:tcBorders>
              <w:left w:val="nil"/>
              <w:right w:val="nil"/>
            </w:tcBorders>
            <w:vAlign w:val="center"/>
          </w:tcPr>
          <w:p w14:paraId="0D4D39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6-Hydroxykaempferol-3,6-di-O-β-D-glucoside</w:t>
            </w:r>
          </w:p>
        </w:tc>
        <w:tc>
          <w:tcPr>
            <w:tcW w:w="1071" w:type="pct"/>
            <w:tcBorders>
              <w:left w:val="nil"/>
              <w:right w:val="nil"/>
            </w:tcBorders>
            <w:vAlign w:val="center"/>
          </w:tcPr>
          <w:p w14:paraId="66A72EC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6BB12E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1D072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74D677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62B8C49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55AB1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8E30054" w14:textId="77777777" w:rsidTr="00D901AF">
        <w:tc>
          <w:tcPr>
            <w:tcW w:w="238" w:type="pct"/>
            <w:tcBorders>
              <w:left w:val="nil"/>
              <w:right w:val="nil"/>
            </w:tcBorders>
            <w:vAlign w:val="center"/>
          </w:tcPr>
          <w:p w14:paraId="21E953D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43</w:t>
            </w:r>
          </w:p>
        </w:tc>
        <w:tc>
          <w:tcPr>
            <w:tcW w:w="899" w:type="pct"/>
            <w:tcBorders>
              <w:left w:val="nil"/>
              <w:right w:val="nil"/>
            </w:tcBorders>
            <w:vAlign w:val="center"/>
          </w:tcPr>
          <w:p w14:paraId="0F417E0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6-Hydroxykaempferol-3,7-di-O-β-D-glucoside</w:t>
            </w:r>
          </w:p>
        </w:tc>
        <w:tc>
          <w:tcPr>
            <w:tcW w:w="1071" w:type="pct"/>
            <w:tcBorders>
              <w:left w:val="nil"/>
              <w:right w:val="nil"/>
            </w:tcBorders>
            <w:vAlign w:val="center"/>
          </w:tcPr>
          <w:p w14:paraId="5E8B904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2B29E7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01A9BE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67FB289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2952517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560C81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81EFF7B" w14:textId="77777777" w:rsidTr="00D901AF">
        <w:tc>
          <w:tcPr>
            <w:tcW w:w="238" w:type="pct"/>
            <w:tcBorders>
              <w:left w:val="nil"/>
              <w:right w:val="nil"/>
            </w:tcBorders>
            <w:vAlign w:val="center"/>
          </w:tcPr>
          <w:p w14:paraId="77906C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44</w:t>
            </w:r>
          </w:p>
        </w:tc>
        <w:tc>
          <w:tcPr>
            <w:tcW w:w="899" w:type="pct"/>
            <w:tcBorders>
              <w:left w:val="nil"/>
              <w:right w:val="nil"/>
            </w:tcBorders>
            <w:vAlign w:val="center"/>
          </w:tcPr>
          <w:p w14:paraId="7A97EB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6-Hydroxykaempferol-3,6,7-tri-O-β-D-glucoside</w:t>
            </w:r>
          </w:p>
        </w:tc>
        <w:tc>
          <w:tcPr>
            <w:tcW w:w="1071" w:type="pct"/>
            <w:tcBorders>
              <w:left w:val="nil"/>
              <w:right w:val="nil"/>
            </w:tcBorders>
            <w:vAlign w:val="center"/>
          </w:tcPr>
          <w:p w14:paraId="313A9D3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0AE9A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Tri-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56A17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42251A3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246AB8F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D47D76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05822DA1" w14:textId="77777777" w:rsidTr="00D901AF">
        <w:tc>
          <w:tcPr>
            <w:tcW w:w="238" w:type="pct"/>
            <w:tcBorders>
              <w:left w:val="nil"/>
              <w:right w:val="nil"/>
            </w:tcBorders>
            <w:vAlign w:val="center"/>
          </w:tcPr>
          <w:p w14:paraId="183BD7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45</w:t>
            </w:r>
          </w:p>
        </w:tc>
        <w:tc>
          <w:tcPr>
            <w:tcW w:w="899" w:type="pct"/>
            <w:tcBorders>
              <w:left w:val="nil"/>
              <w:right w:val="nil"/>
            </w:tcBorders>
            <w:vAlign w:val="center"/>
          </w:tcPr>
          <w:p w14:paraId="4ACAA7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Kaempferol-3-O-β-D-glucoside-7-O-β-D-glucoside</w:t>
            </w:r>
          </w:p>
        </w:tc>
        <w:tc>
          <w:tcPr>
            <w:tcW w:w="1071" w:type="pct"/>
            <w:tcBorders>
              <w:left w:val="nil"/>
              <w:right w:val="nil"/>
            </w:tcBorders>
            <w:vAlign w:val="center"/>
          </w:tcPr>
          <w:p w14:paraId="5B9260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19802F4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5A2B8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2E9DE2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7A183F3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F3F2BD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57D9EF06" w14:textId="77777777" w:rsidTr="00D901AF">
        <w:tc>
          <w:tcPr>
            <w:tcW w:w="238" w:type="pct"/>
            <w:tcBorders>
              <w:left w:val="nil"/>
              <w:right w:val="nil"/>
            </w:tcBorders>
            <w:vAlign w:val="center"/>
          </w:tcPr>
          <w:p w14:paraId="6E1D2E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46</w:t>
            </w:r>
          </w:p>
        </w:tc>
        <w:tc>
          <w:tcPr>
            <w:tcW w:w="899" w:type="pct"/>
            <w:tcBorders>
              <w:left w:val="nil"/>
              <w:right w:val="nil"/>
            </w:tcBorders>
            <w:vAlign w:val="center"/>
          </w:tcPr>
          <w:p w14:paraId="70896E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6-Hydroxykaempferol-3-O-β-D-glucoside-7-O-β-D-glucoside</w:t>
            </w:r>
          </w:p>
        </w:tc>
        <w:tc>
          <w:tcPr>
            <w:tcW w:w="1071" w:type="pct"/>
            <w:tcBorders>
              <w:left w:val="nil"/>
              <w:right w:val="nil"/>
            </w:tcBorders>
            <w:vAlign w:val="center"/>
          </w:tcPr>
          <w:p w14:paraId="637211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2A21E8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OH + 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1D6AB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36FAA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DFF86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4EE8E6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Xie</w:t>
            </w:r>
            <w:proofErr w:type="spellEnd"/>
            <w:r w:rsidRPr="00D901AF">
              <w:rPr>
                <w:rFonts w:ascii="Arial" w:eastAsia="Times New Roman" w:hAnsi="Arial" w:cs="Arial"/>
                <w:sz w:val="20"/>
                <w:szCs w:val="20"/>
              </w:rPr>
              <w:t xml:space="preserve"> et al., 2015</w:t>
            </w:r>
          </w:p>
        </w:tc>
      </w:tr>
      <w:tr w:rsidR="00D901AF" w14:paraId="37518E63" w14:textId="77777777" w:rsidTr="00D901AF">
        <w:tc>
          <w:tcPr>
            <w:tcW w:w="238" w:type="pct"/>
            <w:tcBorders>
              <w:left w:val="nil"/>
              <w:right w:val="nil"/>
            </w:tcBorders>
            <w:vAlign w:val="center"/>
          </w:tcPr>
          <w:p w14:paraId="5EB39B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47</w:t>
            </w:r>
          </w:p>
        </w:tc>
        <w:tc>
          <w:tcPr>
            <w:tcW w:w="899" w:type="pct"/>
            <w:tcBorders>
              <w:left w:val="nil"/>
              <w:right w:val="nil"/>
            </w:tcBorders>
            <w:vAlign w:val="center"/>
          </w:tcPr>
          <w:p w14:paraId="2B5B0A2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w:t>
            </w:r>
            <w:r w:rsidRPr="00D901AF">
              <w:rPr>
                <w:rFonts w:ascii="Arial" w:eastAsia="Times New Roman" w:hAnsi="Arial" w:cs="Arial"/>
                <w:sz w:val="20"/>
                <w:szCs w:val="20"/>
              </w:rPr>
              <w:lastRenderedPageBreak/>
              <w:t>3,6-di-O-β-D-glucoside-7-O-β-D-glucuronide</w:t>
            </w:r>
          </w:p>
        </w:tc>
        <w:tc>
          <w:tcPr>
            <w:tcW w:w="1071" w:type="pct"/>
            <w:tcBorders>
              <w:left w:val="nil"/>
              <w:right w:val="nil"/>
            </w:tcBorders>
            <w:vAlign w:val="center"/>
          </w:tcPr>
          <w:p w14:paraId="5EA096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M4</w:t>
            </w:r>
          </w:p>
        </w:tc>
        <w:tc>
          <w:tcPr>
            <w:tcW w:w="388" w:type="pct"/>
            <w:tcBorders>
              <w:left w:val="nil"/>
              <w:right w:val="nil"/>
            </w:tcBorders>
            <w:vAlign w:val="center"/>
          </w:tcPr>
          <w:p w14:paraId="51C0C93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GluA</w:t>
            </w:r>
            <w:proofErr w:type="spellEnd"/>
          </w:p>
        </w:tc>
        <w:tc>
          <w:tcPr>
            <w:tcW w:w="761" w:type="pct"/>
            <w:tcBorders>
              <w:left w:val="nil"/>
              <w:right w:val="nil"/>
            </w:tcBorders>
            <w:vAlign w:val="center"/>
          </w:tcPr>
          <w:p w14:paraId="6BF3BAB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004FBF4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E68C4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458A22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Liu et al., </w:t>
            </w:r>
            <w:r w:rsidRPr="00D901AF">
              <w:rPr>
                <w:rFonts w:ascii="Arial" w:eastAsia="Times New Roman" w:hAnsi="Arial" w:cs="Arial"/>
                <w:sz w:val="20"/>
                <w:szCs w:val="20"/>
              </w:rPr>
              <w:lastRenderedPageBreak/>
              <w:t>2018</w:t>
            </w:r>
          </w:p>
        </w:tc>
      </w:tr>
      <w:tr w:rsidR="00D901AF" w14:paraId="60C4E585" w14:textId="77777777" w:rsidTr="00D901AF">
        <w:tc>
          <w:tcPr>
            <w:tcW w:w="238" w:type="pct"/>
            <w:tcBorders>
              <w:left w:val="nil"/>
              <w:right w:val="nil"/>
            </w:tcBorders>
            <w:vAlign w:val="center"/>
          </w:tcPr>
          <w:p w14:paraId="4ED03E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48</w:t>
            </w:r>
          </w:p>
        </w:tc>
        <w:tc>
          <w:tcPr>
            <w:tcW w:w="899" w:type="pct"/>
            <w:tcBorders>
              <w:left w:val="nil"/>
              <w:right w:val="nil"/>
            </w:tcBorders>
            <w:vAlign w:val="center"/>
          </w:tcPr>
          <w:p w14:paraId="25F34E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w:t>
            </w:r>
            <w:proofErr w:type="spellStart"/>
            <w:r w:rsidRPr="00D901AF">
              <w:rPr>
                <w:rFonts w:ascii="Arial" w:eastAsia="Times New Roman" w:hAnsi="Arial" w:cs="Arial"/>
                <w:sz w:val="20"/>
                <w:szCs w:val="20"/>
              </w:rPr>
              <w:t>rutinoside</w:t>
            </w:r>
            <w:proofErr w:type="spellEnd"/>
          </w:p>
        </w:tc>
        <w:tc>
          <w:tcPr>
            <w:tcW w:w="1071" w:type="pct"/>
            <w:tcBorders>
              <w:left w:val="nil"/>
              <w:right w:val="nil"/>
            </w:tcBorders>
            <w:vAlign w:val="center"/>
          </w:tcPr>
          <w:p w14:paraId="0215148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DC2345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p>
        </w:tc>
        <w:tc>
          <w:tcPr>
            <w:tcW w:w="761" w:type="pct"/>
            <w:tcBorders>
              <w:left w:val="nil"/>
              <w:right w:val="nil"/>
            </w:tcBorders>
            <w:vAlign w:val="center"/>
          </w:tcPr>
          <w:p w14:paraId="1E5F0CF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F81D11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23EA2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7E1E9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1F4FBC1E" w14:textId="77777777" w:rsidTr="00D901AF">
        <w:tc>
          <w:tcPr>
            <w:tcW w:w="238" w:type="pct"/>
            <w:tcBorders>
              <w:left w:val="nil"/>
              <w:right w:val="nil"/>
            </w:tcBorders>
            <w:vAlign w:val="center"/>
          </w:tcPr>
          <w:p w14:paraId="7CA600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49</w:t>
            </w:r>
          </w:p>
        </w:tc>
        <w:tc>
          <w:tcPr>
            <w:tcW w:w="899" w:type="pct"/>
            <w:tcBorders>
              <w:left w:val="nil"/>
              <w:right w:val="nil"/>
            </w:tcBorders>
            <w:vAlign w:val="center"/>
          </w:tcPr>
          <w:p w14:paraId="077C57E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6-Hydroxykaempferol-3-O-β-rutinoside-6-O-β-D-glucoside</w:t>
            </w:r>
          </w:p>
        </w:tc>
        <w:tc>
          <w:tcPr>
            <w:tcW w:w="1071" w:type="pct"/>
            <w:tcBorders>
              <w:left w:val="nil"/>
              <w:right w:val="nil"/>
            </w:tcBorders>
            <w:vAlign w:val="center"/>
          </w:tcPr>
          <w:p w14:paraId="4844501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FC17E2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D10E1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4B9E3AA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03DE4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16C35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167C30F8" w14:textId="77777777" w:rsidTr="00D901AF">
        <w:tc>
          <w:tcPr>
            <w:tcW w:w="238" w:type="pct"/>
            <w:tcBorders>
              <w:left w:val="nil"/>
              <w:right w:val="nil"/>
            </w:tcBorders>
            <w:vAlign w:val="center"/>
          </w:tcPr>
          <w:p w14:paraId="50F0867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50</w:t>
            </w:r>
          </w:p>
        </w:tc>
        <w:tc>
          <w:tcPr>
            <w:tcW w:w="899" w:type="pct"/>
            <w:tcBorders>
              <w:left w:val="nil"/>
              <w:right w:val="nil"/>
            </w:tcBorders>
            <w:vAlign w:val="center"/>
          </w:tcPr>
          <w:p w14:paraId="36636C9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w:t>
            </w:r>
            <w:proofErr w:type="spellStart"/>
            <w:r w:rsidRPr="00D901AF">
              <w:rPr>
                <w:rFonts w:ascii="Arial" w:eastAsia="Times New Roman" w:hAnsi="Arial" w:cs="Arial"/>
                <w:sz w:val="20"/>
                <w:szCs w:val="20"/>
              </w:rPr>
              <w:t>sophoroside</w:t>
            </w:r>
            <w:proofErr w:type="spellEnd"/>
          </w:p>
        </w:tc>
        <w:tc>
          <w:tcPr>
            <w:tcW w:w="1071" w:type="pct"/>
            <w:tcBorders>
              <w:left w:val="nil"/>
              <w:right w:val="nil"/>
            </w:tcBorders>
            <w:vAlign w:val="center"/>
          </w:tcPr>
          <w:p w14:paraId="1F4952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5AEC895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Sophorose</w:t>
            </w:r>
            <w:proofErr w:type="spellEnd"/>
          </w:p>
        </w:tc>
        <w:tc>
          <w:tcPr>
            <w:tcW w:w="761" w:type="pct"/>
            <w:tcBorders>
              <w:left w:val="nil"/>
              <w:right w:val="nil"/>
            </w:tcBorders>
            <w:vAlign w:val="center"/>
          </w:tcPr>
          <w:p w14:paraId="3F5EF6E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933ADC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0E9E70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F471E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2005</w:t>
            </w:r>
          </w:p>
        </w:tc>
      </w:tr>
      <w:tr w:rsidR="00D901AF" w14:paraId="020FF531" w14:textId="77777777" w:rsidTr="00D901AF">
        <w:tc>
          <w:tcPr>
            <w:tcW w:w="238" w:type="pct"/>
            <w:tcBorders>
              <w:left w:val="nil"/>
              <w:right w:val="nil"/>
            </w:tcBorders>
            <w:vAlign w:val="center"/>
          </w:tcPr>
          <w:p w14:paraId="356F4C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51</w:t>
            </w:r>
          </w:p>
        </w:tc>
        <w:tc>
          <w:tcPr>
            <w:tcW w:w="899" w:type="pct"/>
            <w:tcBorders>
              <w:left w:val="nil"/>
              <w:right w:val="nil"/>
            </w:tcBorders>
            <w:vAlign w:val="center"/>
          </w:tcPr>
          <w:p w14:paraId="09E8AC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Apigenin</w:t>
            </w:r>
          </w:p>
        </w:tc>
        <w:tc>
          <w:tcPr>
            <w:tcW w:w="1071" w:type="pct"/>
            <w:tcBorders>
              <w:left w:val="nil"/>
              <w:right w:val="nil"/>
            </w:tcBorders>
            <w:vAlign w:val="center"/>
          </w:tcPr>
          <w:p w14:paraId="3E37EF6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02E74D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Unsubstituted</w:t>
            </w:r>
          </w:p>
        </w:tc>
        <w:tc>
          <w:tcPr>
            <w:tcW w:w="761" w:type="pct"/>
            <w:tcBorders>
              <w:left w:val="nil"/>
              <w:right w:val="nil"/>
            </w:tcBorders>
            <w:vAlign w:val="center"/>
          </w:tcPr>
          <w:p w14:paraId="7EA1A5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1A67E5E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EEC51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6AF989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43070676" w14:textId="77777777" w:rsidTr="00D901AF">
        <w:tc>
          <w:tcPr>
            <w:tcW w:w="238" w:type="pct"/>
            <w:tcBorders>
              <w:left w:val="nil"/>
              <w:right w:val="nil"/>
            </w:tcBorders>
            <w:vAlign w:val="center"/>
          </w:tcPr>
          <w:p w14:paraId="393DFF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52</w:t>
            </w:r>
          </w:p>
        </w:tc>
        <w:tc>
          <w:tcPr>
            <w:tcW w:w="899" w:type="pct"/>
            <w:tcBorders>
              <w:left w:val="nil"/>
              <w:right w:val="nil"/>
            </w:tcBorders>
            <w:vAlign w:val="center"/>
          </w:tcPr>
          <w:p w14:paraId="1A86E73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6-Hydroxyapigenin</w:t>
            </w:r>
          </w:p>
        </w:tc>
        <w:tc>
          <w:tcPr>
            <w:tcW w:w="1071" w:type="pct"/>
            <w:tcBorders>
              <w:left w:val="nil"/>
              <w:right w:val="nil"/>
            </w:tcBorders>
            <w:vAlign w:val="center"/>
          </w:tcPr>
          <w:p w14:paraId="446034F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9DDC73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6-OH</w:t>
            </w:r>
          </w:p>
        </w:tc>
        <w:tc>
          <w:tcPr>
            <w:tcW w:w="761" w:type="pct"/>
            <w:tcBorders>
              <w:left w:val="nil"/>
              <w:right w:val="nil"/>
            </w:tcBorders>
            <w:vAlign w:val="center"/>
          </w:tcPr>
          <w:p w14:paraId="0C308C1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3D7BBC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4F0317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44A9D9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502F7012" w14:textId="77777777" w:rsidTr="00D901AF">
        <w:tc>
          <w:tcPr>
            <w:tcW w:w="238" w:type="pct"/>
            <w:tcBorders>
              <w:left w:val="nil"/>
              <w:right w:val="nil"/>
            </w:tcBorders>
            <w:vAlign w:val="center"/>
          </w:tcPr>
          <w:p w14:paraId="7F8FAAD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53</w:t>
            </w:r>
          </w:p>
        </w:tc>
        <w:tc>
          <w:tcPr>
            <w:tcW w:w="899" w:type="pct"/>
            <w:tcBorders>
              <w:left w:val="nil"/>
              <w:right w:val="nil"/>
            </w:tcBorders>
            <w:vAlign w:val="center"/>
          </w:tcPr>
          <w:p w14:paraId="459AE3D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Apigenin-6,8-di-C-β-D-glucoside</w:t>
            </w:r>
          </w:p>
        </w:tc>
        <w:tc>
          <w:tcPr>
            <w:tcW w:w="1071" w:type="pct"/>
            <w:tcBorders>
              <w:left w:val="nil"/>
              <w:right w:val="nil"/>
            </w:tcBorders>
            <w:vAlign w:val="center"/>
          </w:tcPr>
          <w:p w14:paraId="6224474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24CEB51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C-glycosides</w:t>
            </w:r>
          </w:p>
        </w:tc>
        <w:tc>
          <w:tcPr>
            <w:tcW w:w="761" w:type="pct"/>
            <w:tcBorders>
              <w:left w:val="nil"/>
              <w:right w:val="nil"/>
            </w:tcBorders>
            <w:vAlign w:val="center"/>
          </w:tcPr>
          <w:p w14:paraId="29065F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47DBB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168957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2DEF4B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1091BF0B" w14:textId="77777777" w:rsidTr="00D901AF">
        <w:tc>
          <w:tcPr>
            <w:tcW w:w="238" w:type="pct"/>
            <w:tcBorders>
              <w:left w:val="nil"/>
              <w:right w:val="nil"/>
            </w:tcBorders>
            <w:vAlign w:val="center"/>
          </w:tcPr>
          <w:p w14:paraId="46EB39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54</w:t>
            </w:r>
          </w:p>
        </w:tc>
        <w:tc>
          <w:tcPr>
            <w:tcW w:w="899" w:type="pct"/>
            <w:tcBorders>
              <w:left w:val="nil"/>
              <w:right w:val="nil"/>
            </w:tcBorders>
            <w:vAlign w:val="center"/>
          </w:tcPr>
          <w:p w14:paraId="49166B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Acacetin</w:t>
            </w:r>
          </w:p>
        </w:tc>
        <w:tc>
          <w:tcPr>
            <w:tcW w:w="1071" w:type="pct"/>
            <w:tcBorders>
              <w:left w:val="nil"/>
              <w:right w:val="nil"/>
            </w:tcBorders>
            <w:vAlign w:val="center"/>
          </w:tcPr>
          <w:p w14:paraId="7C1F81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5FC18A9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Methoxy group</w:t>
            </w:r>
          </w:p>
        </w:tc>
        <w:tc>
          <w:tcPr>
            <w:tcW w:w="761" w:type="pct"/>
            <w:tcBorders>
              <w:left w:val="nil"/>
              <w:right w:val="nil"/>
            </w:tcBorders>
            <w:vAlign w:val="center"/>
          </w:tcPr>
          <w:p w14:paraId="1EEF06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52D8F3B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680B0C3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0AE1B9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19D4CDA8" w14:textId="77777777" w:rsidTr="00D901AF">
        <w:tc>
          <w:tcPr>
            <w:tcW w:w="238" w:type="pct"/>
            <w:tcBorders>
              <w:left w:val="nil"/>
              <w:right w:val="nil"/>
            </w:tcBorders>
            <w:vAlign w:val="center"/>
          </w:tcPr>
          <w:p w14:paraId="425AC5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55</w:t>
            </w:r>
          </w:p>
        </w:tc>
        <w:tc>
          <w:tcPr>
            <w:tcW w:w="899" w:type="pct"/>
            <w:tcBorders>
              <w:left w:val="nil"/>
              <w:right w:val="nil"/>
            </w:tcBorders>
            <w:vAlign w:val="center"/>
          </w:tcPr>
          <w:p w14:paraId="2F5ECF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Baicalin</w:t>
            </w:r>
          </w:p>
        </w:tc>
        <w:tc>
          <w:tcPr>
            <w:tcW w:w="1071" w:type="pct"/>
            <w:tcBorders>
              <w:left w:val="nil"/>
              <w:right w:val="nil"/>
            </w:tcBorders>
            <w:vAlign w:val="center"/>
          </w:tcPr>
          <w:p w14:paraId="6353BD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1E96FA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Glucuronide</w:t>
            </w:r>
          </w:p>
        </w:tc>
        <w:tc>
          <w:tcPr>
            <w:tcW w:w="761" w:type="pct"/>
            <w:tcBorders>
              <w:left w:val="nil"/>
              <w:right w:val="nil"/>
            </w:tcBorders>
            <w:vAlign w:val="center"/>
          </w:tcPr>
          <w:p w14:paraId="212456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0A2572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59A7130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9930F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27FD06F8" w14:textId="77777777" w:rsidTr="00D901AF">
        <w:tc>
          <w:tcPr>
            <w:tcW w:w="238" w:type="pct"/>
            <w:tcBorders>
              <w:left w:val="nil"/>
              <w:right w:val="nil"/>
            </w:tcBorders>
            <w:vAlign w:val="center"/>
          </w:tcPr>
          <w:p w14:paraId="13E272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56</w:t>
            </w:r>
          </w:p>
        </w:tc>
        <w:tc>
          <w:tcPr>
            <w:tcW w:w="899" w:type="pct"/>
            <w:tcBorders>
              <w:left w:val="nil"/>
              <w:right w:val="nil"/>
            </w:tcBorders>
            <w:vAlign w:val="center"/>
          </w:tcPr>
          <w:p w14:paraId="714AF6F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Acacetin-7-O-β-D-glucuronide</w:t>
            </w:r>
          </w:p>
        </w:tc>
        <w:tc>
          <w:tcPr>
            <w:tcW w:w="1071" w:type="pct"/>
            <w:tcBorders>
              <w:left w:val="nil"/>
              <w:right w:val="nil"/>
            </w:tcBorders>
            <w:vAlign w:val="center"/>
          </w:tcPr>
          <w:p w14:paraId="63F121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4A48E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GluA</w:t>
            </w:r>
            <w:proofErr w:type="spellEnd"/>
          </w:p>
        </w:tc>
        <w:tc>
          <w:tcPr>
            <w:tcW w:w="761" w:type="pct"/>
            <w:tcBorders>
              <w:left w:val="nil"/>
              <w:right w:val="nil"/>
            </w:tcBorders>
            <w:vAlign w:val="center"/>
          </w:tcPr>
          <w:p w14:paraId="27FCDE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2AE5793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4066E9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4715BCE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CEA0509" w14:textId="77777777" w:rsidTr="00D901AF">
        <w:tc>
          <w:tcPr>
            <w:tcW w:w="238" w:type="pct"/>
            <w:tcBorders>
              <w:left w:val="nil"/>
              <w:right w:val="nil"/>
            </w:tcBorders>
            <w:vAlign w:val="center"/>
          </w:tcPr>
          <w:p w14:paraId="3101272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57</w:t>
            </w:r>
          </w:p>
        </w:tc>
        <w:tc>
          <w:tcPr>
            <w:tcW w:w="899" w:type="pct"/>
            <w:tcBorders>
              <w:left w:val="nil"/>
              <w:right w:val="nil"/>
            </w:tcBorders>
            <w:vAlign w:val="center"/>
          </w:tcPr>
          <w:p w14:paraId="144782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5,7-Dihydroxy-4′-methoxyflavone-7-O-apiosyl-(1→6)-glucoside</w:t>
            </w:r>
          </w:p>
        </w:tc>
        <w:tc>
          <w:tcPr>
            <w:tcW w:w="1071" w:type="pct"/>
            <w:tcBorders>
              <w:left w:val="nil"/>
              <w:right w:val="nil"/>
            </w:tcBorders>
            <w:vAlign w:val="center"/>
          </w:tcPr>
          <w:p w14:paraId="1657A4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B45D01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Api-Glc</w:t>
            </w:r>
            <w:proofErr w:type="spellEnd"/>
          </w:p>
        </w:tc>
        <w:tc>
          <w:tcPr>
            <w:tcW w:w="761" w:type="pct"/>
            <w:tcBorders>
              <w:left w:val="nil"/>
              <w:right w:val="nil"/>
            </w:tcBorders>
            <w:vAlign w:val="center"/>
          </w:tcPr>
          <w:p w14:paraId="004C16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020F10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70202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4320D0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Ahmed et al., 2000</w:t>
            </w:r>
          </w:p>
        </w:tc>
      </w:tr>
      <w:tr w:rsidR="00D901AF" w14:paraId="69D14B4F" w14:textId="77777777" w:rsidTr="00D901AF">
        <w:tc>
          <w:tcPr>
            <w:tcW w:w="238" w:type="pct"/>
            <w:tcBorders>
              <w:left w:val="nil"/>
              <w:right w:val="nil"/>
            </w:tcBorders>
            <w:vAlign w:val="center"/>
          </w:tcPr>
          <w:p w14:paraId="18D01B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58</w:t>
            </w:r>
          </w:p>
        </w:tc>
        <w:tc>
          <w:tcPr>
            <w:tcW w:w="899" w:type="pct"/>
            <w:tcBorders>
              <w:left w:val="nil"/>
              <w:right w:val="nil"/>
            </w:tcBorders>
            <w:vAlign w:val="center"/>
          </w:tcPr>
          <w:p w14:paraId="02B86FA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Neocarthamin</w:t>
            </w:r>
            <w:proofErr w:type="spellEnd"/>
          </w:p>
        </w:tc>
        <w:tc>
          <w:tcPr>
            <w:tcW w:w="1071" w:type="pct"/>
            <w:tcBorders>
              <w:left w:val="nil"/>
              <w:right w:val="nil"/>
            </w:tcBorders>
            <w:vAlign w:val="center"/>
          </w:tcPr>
          <w:p w14:paraId="789F16D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0A3C9F3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Glucoside</w:t>
            </w:r>
          </w:p>
        </w:tc>
        <w:tc>
          <w:tcPr>
            <w:tcW w:w="761" w:type="pct"/>
            <w:tcBorders>
              <w:left w:val="nil"/>
              <w:right w:val="nil"/>
            </w:tcBorders>
            <w:vAlign w:val="center"/>
          </w:tcPr>
          <w:p w14:paraId="52B4A85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77AA13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52AC9B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42D4691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411B6629" w14:textId="77777777" w:rsidTr="00D901AF">
        <w:tc>
          <w:tcPr>
            <w:tcW w:w="238" w:type="pct"/>
            <w:tcBorders>
              <w:left w:val="nil"/>
              <w:right w:val="nil"/>
            </w:tcBorders>
            <w:vAlign w:val="center"/>
          </w:tcPr>
          <w:p w14:paraId="1D43045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59</w:t>
            </w:r>
          </w:p>
        </w:tc>
        <w:tc>
          <w:tcPr>
            <w:tcW w:w="899" w:type="pct"/>
            <w:tcBorders>
              <w:left w:val="nil"/>
              <w:right w:val="nil"/>
            </w:tcBorders>
            <w:vAlign w:val="center"/>
          </w:tcPr>
          <w:p w14:paraId="2F0B6ED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(2R)-4′,5-Dihydroxy-6,7-di-O-β-D-</w:t>
            </w:r>
            <w:proofErr w:type="spellStart"/>
            <w:r w:rsidRPr="00D901AF">
              <w:rPr>
                <w:rFonts w:ascii="Arial" w:eastAsia="Times New Roman" w:hAnsi="Arial" w:cs="Arial"/>
                <w:sz w:val="20"/>
                <w:szCs w:val="20"/>
              </w:rPr>
              <w:t>glucosylflavanone</w:t>
            </w:r>
            <w:proofErr w:type="spellEnd"/>
          </w:p>
        </w:tc>
        <w:tc>
          <w:tcPr>
            <w:tcW w:w="1071" w:type="pct"/>
            <w:tcBorders>
              <w:left w:val="nil"/>
              <w:right w:val="nil"/>
            </w:tcBorders>
            <w:vAlign w:val="center"/>
          </w:tcPr>
          <w:p w14:paraId="64A87FD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2F3CD1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B4444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1515B7C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7D3737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4A5F32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4F74F360" w14:textId="77777777" w:rsidTr="00D901AF">
        <w:tc>
          <w:tcPr>
            <w:tcW w:w="238" w:type="pct"/>
            <w:tcBorders>
              <w:left w:val="nil"/>
              <w:right w:val="nil"/>
            </w:tcBorders>
            <w:vAlign w:val="center"/>
          </w:tcPr>
          <w:p w14:paraId="532B06F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60</w:t>
            </w:r>
          </w:p>
        </w:tc>
        <w:tc>
          <w:tcPr>
            <w:tcW w:w="899" w:type="pct"/>
            <w:tcBorders>
              <w:left w:val="nil"/>
              <w:right w:val="nil"/>
            </w:tcBorders>
            <w:vAlign w:val="center"/>
          </w:tcPr>
          <w:p w14:paraId="34B703E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(2S)-4′,5-Dihydroxy-6,7-di-O-β-D-</w:t>
            </w:r>
            <w:proofErr w:type="spellStart"/>
            <w:r w:rsidRPr="00D901AF">
              <w:rPr>
                <w:rFonts w:ascii="Arial" w:eastAsia="Times New Roman" w:hAnsi="Arial" w:cs="Arial"/>
                <w:sz w:val="20"/>
                <w:szCs w:val="20"/>
              </w:rPr>
              <w:t>glucosylflavanone</w:t>
            </w:r>
            <w:proofErr w:type="spellEnd"/>
          </w:p>
        </w:tc>
        <w:tc>
          <w:tcPr>
            <w:tcW w:w="1071" w:type="pct"/>
            <w:tcBorders>
              <w:left w:val="nil"/>
              <w:right w:val="nil"/>
            </w:tcBorders>
            <w:vAlign w:val="center"/>
          </w:tcPr>
          <w:p w14:paraId="6C1E7EE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68F73B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FB890D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16998F2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C14A4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 HREIMS</w:t>
            </w:r>
          </w:p>
        </w:tc>
        <w:tc>
          <w:tcPr>
            <w:tcW w:w="500" w:type="pct"/>
            <w:tcBorders>
              <w:left w:val="nil"/>
              <w:right w:val="nil"/>
            </w:tcBorders>
            <w:vAlign w:val="center"/>
          </w:tcPr>
          <w:p w14:paraId="5F0149B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bl>
    <w:p w14:paraId="395B2647" w14:textId="77777777" w:rsidR="00D51723" w:rsidRDefault="00D51723" w:rsidP="00441B6F">
      <w:pPr>
        <w:pStyle w:val="Body"/>
        <w:spacing w:after="0"/>
        <w:rPr>
          <w:rFonts w:ascii="Arial" w:hAnsi="Arial" w:cs="Arial"/>
        </w:rPr>
      </w:pPr>
    </w:p>
    <w:p w14:paraId="7B096433" w14:textId="77777777" w:rsidR="00D901AF" w:rsidRDefault="00D901AF" w:rsidP="00441B6F">
      <w:pPr>
        <w:pStyle w:val="Body"/>
        <w:spacing w:after="0"/>
        <w:rPr>
          <w:rFonts w:ascii="Arial" w:hAnsi="Arial" w:cs="Arial"/>
        </w:rPr>
        <w:sectPr w:rsidR="00D901AF" w:rsidSect="00D901AF">
          <w:type w:val="continuous"/>
          <w:pgSz w:w="15840" w:h="12240" w:orient="landscape"/>
          <w:pgMar w:top="2019" w:right="1440" w:bottom="2019" w:left="2019" w:header="720" w:footer="1123" w:gutter="0"/>
          <w:cols w:space="720"/>
          <w:docGrid w:linePitch="272"/>
        </w:sectPr>
      </w:pPr>
    </w:p>
    <w:p w14:paraId="2AE142A7" w14:textId="42894423" w:rsidR="00D901AF" w:rsidRPr="00D901AF" w:rsidRDefault="00D901AF" w:rsidP="00D901AF">
      <w:pPr>
        <w:pStyle w:val="BodyText"/>
        <w:widowControl w:val="0"/>
        <w:numPr>
          <w:ilvl w:val="1"/>
          <w:numId w:val="37"/>
        </w:numPr>
        <w:autoSpaceDE w:val="0"/>
        <w:autoSpaceDN w:val="0"/>
        <w:spacing w:before="253" w:after="0" w:line="235" w:lineRule="auto"/>
        <w:ind w:right="140"/>
        <w:jc w:val="both"/>
        <w:rPr>
          <w:rFonts w:ascii="Arial" w:hAnsi="Arial" w:cs="Arial"/>
          <w:b/>
          <w:bCs/>
        </w:rPr>
      </w:pPr>
      <w:r w:rsidRPr="00D901AF">
        <w:rPr>
          <w:rFonts w:ascii="Arial" w:hAnsi="Arial" w:cs="Arial"/>
          <w:b/>
          <w:bCs/>
        </w:rPr>
        <w:lastRenderedPageBreak/>
        <w:t xml:space="preserve"> </w:t>
      </w:r>
      <w:proofErr w:type="spellStart"/>
      <w:r w:rsidRPr="00D901AF">
        <w:rPr>
          <w:rFonts w:ascii="Arial" w:hAnsi="Arial" w:cs="Arial"/>
          <w:b/>
          <w:bCs/>
        </w:rPr>
        <w:t>Polyalkynes</w:t>
      </w:r>
      <w:proofErr w:type="spellEnd"/>
      <w:r w:rsidRPr="00D901AF">
        <w:rPr>
          <w:rFonts w:ascii="Arial" w:hAnsi="Arial" w:cs="Arial"/>
          <w:b/>
          <w:bCs/>
        </w:rPr>
        <w:t xml:space="preserve">: </w:t>
      </w:r>
    </w:p>
    <w:p w14:paraId="1EC6BBCA" w14:textId="77777777" w:rsidR="00D901AF" w:rsidRPr="00D901AF" w:rsidRDefault="00D901AF" w:rsidP="00D901AF">
      <w:pPr>
        <w:pStyle w:val="BodyText"/>
        <w:spacing w:before="253" w:line="276" w:lineRule="auto"/>
        <w:ind w:right="140"/>
        <w:jc w:val="both"/>
        <w:rPr>
          <w:rFonts w:ascii="Arial" w:hAnsi="Arial" w:cs="Arial"/>
        </w:rPr>
      </w:pPr>
      <w:proofErr w:type="spellStart"/>
      <w:r w:rsidRPr="00D901AF">
        <w:rPr>
          <w:rFonts w:ascii="Arial" w:hAnsi="Arial" w:cs="Arial"/>
        </w:rPr>
        <w:t>Polyalkyne</w:t>
      </w:r>
      <w:proofErr w:type="spellEnd"/>
      <w:r w:rsidRPr="00D901AF">
        <w:rPr>
          <w:rFonts w:ascii="Arial" w:hAnsi="Arial" w:cs="Arial"/>
        </w:rPr>
        <w:t xml:space="preserve"> metabolites identified in safflower are most commonly derived from carbon chains containing ten or thirteen atoms. In their native state, most </w:t>
      </w:r>
      <w:proofErr w:type="spellStart"/>
      <w:r w:rsidRPr="00D901AF">
        <w:rPr>
          <w:rFonts w:ascii="Arial" w:hAnsi="Arial" w:cs="Arial"/>
        </w:rPr>
        <w:t>polyyne</w:t>
      </w:r>
      <w:proofErr w:type="spellEnd"/>
      <w:r w:rsidRPr="00D901AF">
        <w:rPr>
          <w:rFonts w:ascii="Arial" w:hAnsi="Arial" w:cs="Arial"/>
        </w:rPr>
        <w:t xml:space="preserve"> compounds occur as non-glycosylated forms that appear oily, tend to clump upon exposure to air, and show a high degree of instability. The attachment of sugar moieties markedly alters these properties, converting the compounds into a solid, powder-like form and significantly improving their chemical stability (Li et al., 2017). Within the plant, these metabolites are predominantly distributed in the stems, roots, flowers, and immature seeds, particularly in tissues affected by Epidermophyton infection (Zheng et al., 2019).</w:t>
      </w:r>
    </w:p>
    <w:p w14:paraId="491EF3EC" w14:textId="77777777" w:rsidR="00D901AF" w:rsidRDefault="00D901AF" w:rsidP="00D901AF">
      <w:pPr>
        <w:pStyle w:val="BodyText"/>
        <w:spacing w:before="253" w:line="235" w:lineRule="auto"/>
        <w:ind w:right="140"/>
        <w:rPr>
          <w:rFonts w:ascii="Times New Roman" w:hAnsi="Times New Roman"/>
          <w:sz w:val="24"/>
          <w:szCs w:val="24"/>
          <w:highlight w:val="yellow"/>
          <w:lang w:val="en-IN" w:eastAsia="en-IN"/>
        </w:rPr>
      </w:pPr>
      <w:r>
        <w:rPr>
          <w:rFonts w:ascii="Times New Roman" w:hAnsi="Times New Roman"/>
          <w:noProof/>
          <w:sz w:val="24"/>
          <w:szCs w:val="24"/>
          <w:lang w:val="en-IN" w:eastAsia="en-IN"/>
        </w:rPr>
        <w:drawing>
          <wp:inline distT="0" distB="0" distL="0" distR="0" wp14:anchorId="33B29D02" wp14:editId="663E138A">
            <wp:extent cx="5731510" cy="33578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inline>
        </w:drawing>
      </w:r>
    </w:p>
    <w:p w14:paraId="43807FC6" w14:textId="77777777" w:rsidR="00D901AF" w:rsidRPr="00D901AF" w:rsidRDefault="00D901AF" w:rsidP="00D901AF">
      <w:pPr>
        <w:pStyle w:val="BodyText"/>
        <w:spacing w:before="253" w:line="235" w:lineRule="auto"/>
        <w:ind w:right="140"/>
        <w:jc w:val="center"/>
        <w:rPr>
          <w:rFonts w:ascii="Arial" w:hAnsi="Arial" w:cs="Arial"/>
        </w:rPr>
      </w:pPr>
      <w:r w:rsidRPr="00D901AF">
        <w:rPr>
          <w:rFonts w:ascii="Arial" w:hAnsi="Arial" w:cs="Arial"/>
          <w:b/>
          <w:bCs/>
        </w:rPr>
        <w:t>Figure-3:</w:t>
      </w:r>
      <w:r w:rsidRPr="00D901AF">
        <w:rPr>
          <w:rFonts w:ascii="Arial" w:hAnsi="Arial" w:cs="Arial"/>
        </w:rPr>
        <w:t xml:space="preserve"> Structural features of </w:t>
      </w:r>
      <w:proofErr w:type="spellStart"/>
      <w:r w:rsidRPr="00D901AF">
        <w:rPr>
          <w:rFonts w:ascii="Arial" w:hAnsi="Arial" w:cs="Arial"/>
        </w:rPr>
        <w:t>polyalkyne</w:t>
      </w:r>
      <w:proofErr w:type="spellEnd"/>
      <w:r w:rsidRPr="00D901AF">
        <w:rPr>
          <w:rFonts w:ascii="Arial" w:hAnsi="Arial" w:cs="Arial"/>
        </w:rPr>
        <w:t xml:space="preserve"> metabolites found in safflower.</w:t>
      </w:r>
    </w:p>
    <w:p w14:paraId="23832E7C" w14:textId="77777777" w:rsidR="00D51723" w:rsidRDefault="00D51723" w:rsidP="00441B6F">
      <w:pPr>
        <w:pStyle w:val="Body"/>
        <w:spacing w:after="0"/>
        <w:rPr>
          <w:rFonts w:ascii="Arial" w:hAnsi="Arial" w:cs="Arial"/>
        </w:rPr>
      </w:pPr>
    </w:p>
    <w:p w14:paraId="279BE6EC" w14:textId="77777777" w:rsidR="00D51723" w:rsidRDefault="00D51723" w:rsidP="00441B6F">
      <w:pPr>
        <w:pStyle w:val="Body"/>
        <w:spacing w:after="0"/>
        <w:rPr>
          <w:rFonts w:ascii="Arial" w:hAnsi="Arial" w:cs="Arial"/>
        </w:rPr>
      </w:pPr>
    </w:p>
    <w:p w14:paraId="6D040CBB" w14:textId="77777777" w:rsidR="00D51723" w:rsidRDefault="00D51723" w:rsidP="00441B6F">
      <w:pPr>
        <w:pStyle w:val="Body"/>
        <w:spacing w:after="0"/>
        <w:rPr>
          <w:rFonts w:ascii="Arial" w:hAnsi="Arial" w:cs="Arial"/>
        </w:rPr>
      </w:pPr>
    </w:p>
    <w:p w14:paraId="58BE4A3B" w14:textId="77777777" w:rsidR="001F630B" w:rsidRDefault="001F630B" w:rsidP="00441B6F">
      <w:pPr>
        <w:pStyle w:val="Body"/>
        <w:spacing w:after="0"/>
        <w:rPr>
          <w:rFonts w:ascii="Arial" w:hAnsi="Arial" w:cs="Arial"/>
        </w:rPr>
      </w:pPr>
    </w:p>
    <w:p w14:paraId="0E1CEA01" w14:textId="77777777" w:rsidR="001F630B" w:rsidRDefault="001F630B" w:rsidP="00441B6F">
      <w:pPr>
        <w:pStyle w:val="Body"/>
        <w:spacing w:after="0"/>
        <w:rPr>
          <w:rFonts w:ascii="Arial" w:hAnsi="Arial" w:cs="Arial"/>
        </w:rPr>
      </w:pPr>
    </w:p>
    <w:p w14:paraId="5C91A11C" w14:textId="77777777" w:rsidR="001F630B" w:rsidRDefault="001F630B" w:rsidP="00441B6F">
      <w:pPr>
        <w:pStyle w:val="Body"/>
        <w:spacing w:after="0"/>
        <w:rPr>
          <w:rFonts w:ascii="Arial" w:hAnsi="Arial" w:cs="Arial"/>
        </w:rPr>
      </w:pPr>
    </w:p>
    <w:p w14:paraId="4B20D3E8" w14:textId="77777777" w:rsidR="001F630B" w:rsidRDefault="001F630B" w:rsidP="00441B6F">
      <w:pPr>
        <w:pStyle w:val="Body"/>
        <w:spacing w:after="0"/>
        <w:rPr>
          <w:rFonts w:ascii="Arial" w:hAnsi="Arial" w:cs="Arial"/>
        </w:rPr>
      </w:pPr>
    </w:p>
    <w:p w14:paraId="316A32ED" w14:textId="77777777" w:rsidR="001F630B" w:rsidRDefault="001F630B" w:rsidP="00441B6F">
      <w:pPr>
        <w:pStyle w:val="Body"/>
        <w:spacing w:after="0"/>
        <w:rPr>
          <w:rFonts w:ascii="Arial" w:hAnsi="Arial" w:cs="Arial"/>
        </w:rPr>
      </w:pPr>
    </w:p>
    <w:p w14:paraId="2B8B2BF9" w14:textId="77777777" w:rsidR="001F630B" w:rsidRDefault="001F630B" w:rsidP="00441B6F">
      <w:pPr>
        <w:pStyle w:val="Body"/>
        <w:spacing w:after="0"/>
        <w:rPr>
          <w:rFonts w:ascii="Arial" w:hAnsi="Arial" w:cs="Arial"/>
        </w:rPr>
      </w:pPr>
    </w:p>
    <w:p w14:paraId="6F527FA7" w14:textId="77777777" w:rsidR="001F630B" w:rsidRDefault="001F630B" w:rsidP="00441B6F">
      <w:pPr>
        <w:pStyle w:val="Body"/>
        <w:spacing w:after="0"/>
        <w:rPr>
          <w:rFonts w:ascii="Arial" w:hAnsi="Arial" w:cs="Arial"/>
        </w:rPr>
      </w:pPr>
    </w:p>
    <w:p w14:paraId="2D9BFF7D" w14:textId="77777777" w:rsidR="001F630B" w:rsidRDefault="001F630B" w:rsidP="00441B6F">
      <w:pPr>
        <w:pStyle w:val="Body"/>
        <w:spacing w:after="0"/>
        <w:rPr>
          <w:rFonts w:ascii="Arial" w:hAnsi="Arial" w:cs="Arial"/>
        </w:rPr>
      </w:pPr>
    </w:p>
    <w:p w14:paraId="5C9A9867" w14:textId="77777777" w:rsidR="001F630B" w:rsidRDefault="001F630B" w:rsidP="00441B6F">
      <w:pPr>
        <w:pStyle w:val="Body"/>
        <w:spacing w:after="0"/>
        <w:rPr>
          <w:rFonts w:ascii="Arial" w:hAnsi="Arial" w:cs="Arial"/>
        </w:rPr>
      </w:pPr>
    </w:p>
    <w:p w14:paraId="6736EDDC" w14:textId="77777777" w:rsidR="001F630B" w:rsidRDefault="001F630B" w:rsidP="00441B6F">
      <w:pPr>
        <w:pStyle w:val="Body"/>
        <w:spacing w:after="0"/>
        <w:rPr>
          <w:rFonts w:ascii="Arial" w:hAnsi="Arial" w:cs="Arial"/>
        </w:rPr>
      </w:pPr>
    </w:p>
    <w:p w14:paraId="2BE7B238" w14:textId="77777777" w:rsidR="001F630B" w:rsidRDefault="001F630B" w:rsidP="00441B6F">
      <w:pPr>
        <w:pStyle w:val="Body"/>
        <w:spacing w:after="0"/>
        <w:rPr>
          <w:rFonts w:ascii="Arial" w:hAnsi="Arial" w:cs="Arial"/>
        </w:rPr>
        <w:sectPr w:rsidR="001F630B" w:rsidSect="00D901AF">
          <w:type w:val="continuous"/>
          <w:pgSz w:w="12240" w:h="15840"/>
          <w:pgMar w:top="1440" w:right="2019" w:bottom="2019" w:left="2019" w:header="720" w:footer="1123" w:gutter="0"/>
          <w:cols w:space="720"/>
          <w:docGrid w:linePitch="272"/>
        </w:sectPr>
      </w:pPr>
    </w:p>
    <w:p w14:paraId="37C1E964" w14:textId="77777777" w:rsidR="001F630B" w:rsidRDefault="001F630B" w:rsidP="00441B6F">
      <w:pPr>
        <w:pStyle w:val="Body"/>
        <w:spacing w:after="0"/>
        <w:rPr>
          <w:rFonts w:ascii="Arial" w:hAnsi="Arial" w:cs="Arial"/>
        </w:rPr>
      </w:pPr>
    </w:p>
    <w:p w14:paraId="5B1620A3" w14:textId="77777777" w:rsidR="001F630B" w:rsidRDefault="001F630B" w:rsidP="00441B6F">
      <w:pPr>
        <w:pStyle w:val="Body"/>
        <w:spacing w:after="0"/>
        <w:rPr>
          <w:rFonts w:ascii="Arial" w:hAnsi="Arial" w:cs="Arial"/>
        </w:rPr>
        <w:sectPr w:rsidR="001F630B" w:rsidSect="001F630B">
          <w:type w:val="continuous"/>
          <w:pgSz w:w="12240" w:h="15840"/>
          <w:pgMar w:top="1440" w:right="2019" w:bottom="2019" w:left="2019" w:header="720" w:footer="1123" w:gutter="0"/>
          <w:cols w:space="720"/>
          <w:docGrid w:linePitch="272"/>
        </w:sectPr>
      </w:pPr>
    </w:p>
    <w:p w14:paraId="179EF935" w14:textId="1BB5DFCB" w:rsidR="00D51723" w:rsidRDefault="001F630B" w:rsidP="001F630B">
      <w:pPr>
        <w:pStyle w:val="Body"/>
        <w:spacing w:after="0"/>
        <w:jc w:val="center"/>
        <w:rPr>
          <w:rFonts w:ascii="Arial" w:hAnsi="Arial" w:cs="Arial"/>
        </w:rPr>
      </w:pPr>
      <w:r w:rsidRPr="001F630B">
        <w:rPr>
          <w:rFonts w:ascii="Arial" w:hAnsi="Arial" w:cs="Arial"/>
          <w:b/>
          <w:bCs/>
        </w:rPr>
        <w:lastRenderedPageBreak/>
        <w:t>Table-2:</w:t>
      </w:r>
      <w:r>
        <w:rPr>
          <w:rFonts w:ascii="Arial" w:hAnsi="Arial" w:cs="Arial"/>
        </w:rPr>
        <w:t xml:space="preserve"> </w:t>
      </w:r>
      <w:r w:rsidRPr="001F630B">
        <w:rPr>
          <w:rFonts w:ascii="Arial" w:hAnsi="Arial" w:cs="Arial"/>
        </w:rPr>
        <w:t xml:space="preserve">Detailed information about </w:t>
      </w:r>
      <w:proofErr w:type="spellStart"/>
      <w:r w:rsidRPr="001F630B">
        <w:rPr>
          <w:rFonts w:ascii="Arial" w:hAnsi="Arial" w:cs="Arial"/>
        </w:rPr>
        <w:t>polyalkyne</w:t>
      </w:r>
      <w:proofErr w:type="spellEnd"/>
      <w:r w:rsidRPr="001F630B">
        <w:rPr>
          <w:rFonts w:ascii="Arial" w:hAnsi="Arial" w:cs="Arial"/>
        </w:rPr>
        <w:t xml:space="preserve"> metabolites in safﬂower</w:t>
      </w:r>
    </w:p>
    <w:p w14:paraId="2464EC07" w14:textId="77777777" w:rsidR="001F630B" w:rsidRDefault="001F630B"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1024"/>
        <w:gridCol w:w="3766"/>
        <w:gridCol w:w="1537"/>
        <w:gridCol w:w="2020"/>
        <w:gridCol w:w="2243"/>
        <w:gridCol w:w="2007"/>
      </w:tblGrid>
      <w:tr w:rsidR="001F630B" w14:paraId="4CE05420" w14:textId="77777777" w:rsidTr="001F630B">
        <w:tc>
          <w:tcPr>
            <w:tcW w:w="1129" w:type="dxa"/>
            <w:tcBorders>
              <w:left w:val="nil"/>
              <w:right w:val="nil"/>
            </w:tcBorders>
            <w:vAlign w:val="center"/>
          </w:tcPr>
          <w:p w14:paraId="3D4D5D54"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S. No</w:t>
            </w:r>
          </w:p>
        </w:tc>
        <w:tc>
          <w:tcPr>
            <w:tcW w:w="4253" w:type="dxa"/>
            <w:tcBorders>
              <w:left w:val="nil"/>
              <w:right w:val="nil"/>
            </w:tcBorders>
            <w:vAlign w:val="center"/>
          </w:tcPr>
          <w:p w14:paraId="5C022D71"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Compound name</w:t>
            </w:r>
          </w:p>
        </w:tc>
        <w:tc>
          <w:tcPr>
            <w:tcW w:w="1591" w:type="dxa"/>
            <w:tcBorders>
              <w:left w:val="nil"/>
              <w:right w:val="nil"/>
            </w:tcBorders>
            <w:vAlign w:val="center"/>
          </w:tcPr>
          <w:p w14:paraId="5A961E4B"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Extraction solvent</w:t>
            </w:r>
          </w:p>
        </w:tc>
        <w:tc>
          <w:tcPr>
            <w:tcW w:w="2325" w:type="dxa"/>
            <w:tcBorders>
              <w:left w:val="nil"/>
              <w:right w:val="nil"/>
            </w:tcBorders>
            <w:vAlign w:val="center"/>
          </w:tcPr>
          <w:p w14:paraId="4C14FFB5"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Plant part</w:t>
            </w:r>
          </w:p>
        </w:tc>
        <w:tc>
          <w:tcPr>
            <w:tcW w:w="2463" w:type="dxa"/>
            <w:tcBorders>
              <w:left w:val="nil"/>
              <w:right w:val="nil"/>
            </w:tcBorders>
            <w:vAlign w:val="center"/>
          </w:tcPr>
          <w:p w14:paraId="5CA2A223"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Structural elucidation techniques</w:t>
            </w:r>
          </w:p>
        </w:tc>
        <w:tc>
          <w:tcPr>
            <w:tcW w:w="2187" w:type="dxa"/>
            <w:tcBorders>
              <w:left w:val="nil"/>
              <w:right w:val="nil"/>
            </w:tcBorders>
            <w:vAlign w:val="center"/>
          </w:tcPr>
          <w:p w14:paraId="6632FB52"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Reference</w:t>
            </w:r>
          </w:p>
        </w:tc>
      </w:tr>
      <w:tr w:rsidR="001F630B" w14:paraId="46D6901E" w14:textId="77777777" w:rsidTr="001F630B">
        <w:trPr>
          <w:trHeight w:val="454"/>
        </w:trPr>
        <w:tc>
          <w:tcPr>
            <w:tcW w:w="1129" w:type="dxa"/>
            <w:tcBorders>
              <w:left w:val="nil"/>
              <w:right w:val="nil"/>
            </w:tcBorders>
            <w:vAlign w:val="center"/>
          </w:tcPr>
          <w:p w14:paraId="5508399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61</w:t>
            </w:r>
          </w:p>
        </w:tc>
        <w:tc>
          <w:tcPr>
            <w:tcW w:w="4253" w:type="dxa"/>
            <w:tcBorders>
              <w:left w:val="nil"/>
              <w:right w:val="nil"/>
            </w:tcBorders>
            <w:vAlign w:val="center"/>
          </w:tcPr>
          <w:p w14:paraId="3795901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1,11-Tridecadiene-3,5,7,9-tetrayne</w:t>
            </w:r>
          </w:p>
        </w:tc>
        <w:tc>
          <w:tcPr>
            <w:tcW w:w="1591" w:type="dxa"/>
            <w:tcBorders>
              <w:left w:val="nil"/>
              <w:right w:val="nil"/>
            </w:tcBorders>
            <w:vAlign w:val="center"/>
          </w:tcPr>
          <w:p w14:paraId="7FC5E4C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65E75E8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7821EA4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824CCE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B492F69" w14:textId="77777777" w:rsidTr="001F630B">
        <w:trPr>
          <w:trHeight w:val="454"/>
        </w:trPr>
        <w:tc>
          <w:tcPr>
            <w:tcW w:w="1129" w:type="dxa"/>
            <w:tcBorders>
              <w:left w:val="nil"/>
              <w:right w:val="nil"/>
            </w:tcBorders>
            <w:vAlign w:val="center"/>
          </w:tcPr>
          <w:p w14:paraId="3063979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62</w:t>
            </w:r>
          </w:p>
        </w:tc>
        <w:tc>
          <w:tcPr>
            <w:tcW w:w="4253" w:type="dxa"/>
            <w:tcBorders>
              <w:left w:val="nil"/>
              <w:right w:val="nil"/>
            </w:tcBorders>
            <w:vAlign w:val="center"/>
          </w:tcPr>
          <w:p w14:paraId="77BAE9F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1,3,11-Tridecatriene-5,7,9-triyne</w:t>
            </w:r>
          </w:p>
        </w:tc>
        <w:tc>
          <w:tcPr>
            <w:tcW w:w="1591" w:type="dxa"/>
            <w:tcBorders>
              <w:left w:val="nil"/>
              <w:right w:val="nil"/>
            </w:tcBorders>
            <w:vAlign w:val="center"/>
          </w:tcPr>
          <w:p w14:paraId="58ADD94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207670D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7AD4747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3861E6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25A5C5AB" w14:textId="77777777" w:rsidTr="001F630B">
        <w:trPr>
          <w:trHeight w:val="454"/>
        </w:trPr>
        <w:tc>
          <w:tcPr>
            <w:tcW w:w="1129" w:type="dxa"/>
            <w:tcBorders>
              <w:left w:val="nil"/>
              <w:right w:val="nil"/>
            </w:tcBorders>
            <w:vAlign w:val="center"/>
          </w:tcPr>
          <w:p w14:paraId="11AC88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63</w:t>
            </w:r>
          </w:p>
        </w:tc>
        <w:tc>
          <w:tcPr>
            <w:tcW w:w="4253" w:type="dxa"/>
            <w:tcBorders>
              <w:left w:val="nil"/>
              <w:right w:val="nil"/>
            </w:tcBorders>
            <w:vAlign w:val="center"/>
          </w:tcPr>
          <w:p w14:paraId="22F9357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1,3,5,11-Tridecatetracene-7,9-diyne</w:t>
            </w:r>
          </w:p>
        </w:tc>
        <w:tc>
          <w:tcPr>
            <w:tcW w:w="1591" w:type="dxa"/>
            <w:tcBorders>
              <w:left w:val="nil"/>
              <w:right w:val="nil"/>
            </w:tcBorders>
            <w:vAlign w:val="center"/>
          </w:tcPr>
          <w:p w14:paraId="4D85584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0F99205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0079B2E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57D1C60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2552BE9" w14:textId="77777777" w:rsidTr="001F630B">
        <w:trPr>
          <w:trHeight w:val="454"/>
        </w:trPr>
        <w:tc>
          <w:tcPr>
            <w:tcW w:w="1129" w:type="dxa"/>
            <w:tcBorders>
              <w:left w:val="nil"/>
              <w:right w:val="nil"/>
            </w:tcBorders>
            <w:vAlign w:val="center"/>
          </w:tcPr>
          <w:p w14:paraId="639D03F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64</w:t>
            </w:r>
          </w:p>
        </w:tc>
        <w:tc>
          <w:tcPr>
            <w:tcW w:w="4253" w:type="dxa"/>
            <w:tcBorders>
              <w:left w:val="nil"/>
              <w:right w:val="nil"/>
            </w:tcBorders>
            <w:vAlign w:val="center"/>
          </w:tcPr>
          <w:p w14:paraId="19AEFD1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1-Tridecene-3,5,7,9,11-pentayne</w:t>
            </w:r>
          </w:p>
        </w:tc>
        <w:tc>
          <w:tcPr>
            <w:tcW w:w="1591" w:type="dxa"/>
            <w:tcBorders>
              <w:left w:val="nil"/>
              <w:right w:val="nil"/>
            </w:tcBorders>
            <w:vAlign w:val="center"/>
          </w:tcPr>
          <w:p w14:paraId="692F4E3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56D77F8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2444FE3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5D9747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411DFECE" w14:textId="77777777" w:rsidTr="001F630B">
        <w:trPr>
          <w:trHeight w:val="454"/>
        </w:trPr>
        <w:tc>
          <w:tcPr>
            <w:tcW w:w="1129" w:type="dxa"/>
            <w:tcBorders>
              <w:left w:val="nil"/>
              <w:right w:val="nil"/>
            </w:tcBorders>
            <w:vAlign w:val="center"/>
          </w:tcPr>
          <w:p w14:paraId="18822BB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65</w:t>
            </w:r>
          </w:p>
        </w:tc>
        <w:tc>
          <w:tcPr>
            <w:tcW w:w="4253" w:type="dxa"/>
            <w:tcBorders>
              <w:left w:val="nil"/>
              <w:right w:val="nil"/>
            </w:tcBorders>
            <w:vAlign w:val="center"/>
          </w:tcPr>
          <w:p w14:paraId="54D4BDF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1,3-Tridecadiene-5,7,9,11-tetrayne</w:t>
            </w:r>
          </w:p>
        </w:tc>
        <w:tc>
          <w:tcPr>
            <w:tcW w:w="1591" w:type="dxa"/>
            <w:tcBorders>
              <w:left w:val="nil"/>
              <w:right w:val="nil"/>
            </w:tcBorders>
            <w:vAlign w:val="center"/>
          </w:tcPr>
          <w:p w14:paraId="00878D9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6B4F6E7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614D7CD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4BAE63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184C7059" w14:textId="77777777" w:rsidTr="001F630B">
        <w:trPr>
          <w:trHeight w:val="454"/>
        </w:trPr>
        <w:tc>
          <w:tcPr>
            <w:tcW w:w="1129" w:type="dxa"/>
            <w:tcBorders>
              <w:left w:val="nil"/>
              <w:right w:val="nil"/>
            </w:tcBorders>
            <w:vAlign w:val="center"/>
          </w:tcPr>
          <w:p w14:paraId="36C4FB6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66</w:t>
            </w:r>
          </w:p>
        </w:tc>
        <w:tc>
          <w:tcPr>
            <w:tcW w:w="4253" w:type="dxa"/>
            <w:tcBorders>
              <w:left w:val="nil"/>
              <w:right w:val="nil"/>
            </w:tcBorders>
            <w:vAlign w:val="center"/>
          </w:tcPr>
          <w:p w14:paraId="3DEC8A3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1,3,5-Tridecatriene-7,9,11-triyne</w:t>
            </w:r>
          </w:p>
        </w:tc>
        <w:tc>
          <w:tcPr>
            <w:tcW w:w="1591" w:type="dxa"/>
            <w:tcBorders>
              <w:left w:val="nil"/>
              <w:right w:val="nil"/>
            </w:tcBorders>
            <w:vAlign w:val="center"/>
          </w:tcPr>
          <w:p w14:paraId="367F088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4276940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5A1AD0B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51C5474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C1021F1" w14:textId="77777777" w:rsidTr="001F630B">
        <w:trPr>
          <w:trHeight w:val="454"/>
        </w:trPr>
        <w:tc>
          <w:tcPr>
            <w:tcW w:w="1129" w:type="dxa"/>
            <w:tcBorders>
              <w:left w:val="nil"/>
              <w:right w:val="nil"/>
            </w:tcBorders>
            <w:vAlign w:val="center"/>
          </w:tcPr>
          <w:p w14:paraId="477EBBF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67</w:t>
            </w:r>
          </w:p>
        </w:tc>
        <w:tc>
          <w:tcPr>
            <w:tcW w:w="4253" w:type="dxa"/>
            <w:tcBorders>
              <w:left w:val="nil"/>
              <w:right w:val="nil"/>
            </w:tcBorders>
            <w:vAlign w:val="center"/>
          </w:tcPr>
          <w:p w14:paraId="63FE681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trans-3-Triene-5,7,9,11-tetraacetyl-1,2-diol</w:t>
            </w:r>
          </w:p>
        </w:tc>
        <w:tc>
          <w:tcPr>
            <w:tcW w:w="1591" w:type="dxa"/>
            <w:tcBorders>
              <w:left w:val="nil"/>
              <w:right w:val="nil"/>
            </w:tcBorders>
            <w:vAlign w:val="center"/>
          </w:tcPr>
          <w:p w14:paraId="31ED423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7612AA8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4524AF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2B6991E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Yue et al., 2014</w:t>
            </w:r>
          </w:p>
        </w:tc>
      </w:tr>
      <w:tr w:rsidR="001F630B" w14:paraId="366D827D" w14:textId="77777777" w:rsidTr="001F630B">
        <w:trPr>
          <w:trHeight w:val="454"/>
        </w:trPr>
        <w:tc>
          <w:tcPr>
            <w:tcW w:w="1129" w:type="dxa"/>
            <w:tcBorders>
              <w:left w:val="nil"/>
              <w:right w:val="nil"/>
            </w:tcBorders>
            <w:vAlign w:val="center"/>
          </w:tcPr>
          <w:p w14:paraId="61F2E32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68</w:t>
            </w:r>
          </w:p>
        </w:tc>
        <w:tc>
          <w:tcPr>
            <w:tcW w:w="4253" w:type="dxa"/>
            <w:tcBorders>
              <w:left w:val="nil"/>
              <w:right w:val="nil"/>
            </w:tcBorders>
            <w:vAlign w:val="center"/>
          </w:tcPr>
          <w:p w14:paraId="3E014FB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proofErr w:type="gramStart"/>
            <w:r w:rsidRPr="001F630B">
              <w:rPr>
                <w:rFonts w:ascii="Arial" w:eastAsia="Times New Roman" w:hAnsi="Arial" w:cs="Arial"/>
                <w:sz w:val="20"/>
                <w:szCs w:val="20"/>
              </w:rPr>
              <w:t>trans,trans</w:t>
            </w:r>
            <w:proofErr w:type="gramEnd"/>
            <w:r w:rsidRPr="001F630B">
              <w:rPr>
                <w:rFonts w:ascii="Arial" w:eastAsia="Times New Roman" w:hAnsi="Arial" w:cs="Arial"/>
                <w:sz w:val="20"/>
                <w:szCs w:val="20"/>
              </w:rPr>
              <w:t>-3,11-Triene-5,7,9-triacetyl-1,2-diol</w:t>
            </w:r>
          </w:p>
        </w:tc>
        <w:tc>
          <w:tcPr>
            <w:tcW w:w="1591" w:type="dxa"/>
            <w:tcBorders>
              <w:left w:val="nil"/>
              <w:right w:val="nil"/>
            </w:tcBorders>
            <w:vAlign w:val="center"/>
          </w:tcPr>
          <w:p w14:paraId="535D208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36B612E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020091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6AD9891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Yue et al., 2014</w:t>
            </w:r>
          </w:p>
        </w:tc>
      </w:tr>
      <w:tr w:rsidR="001F630B" w14:paraId="02ABA788" w14:textId="77777777" w:rsidTr="001F630B">
        <w:trPr>
          <w:trHeight w:val="454"/>
        </w:trPr>
        <w:tc>
          <w:tcPr>
            <w:tcW w:w="1129" w:type="dxa"/>
            <w:tcBorders>
              <w:left w:val="nil"/>
              <w:right w:val="nil"/>
            </w:tcBorders>
            <w:vAlign w:val="center"/>
          </w:tcPr>
          <w:p w14:paraId="2233D04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69</w:t>
            </w:r>
          </w:p>
        </w:tc>
        <w:tc>
          <w:tcPr>
            <w:tcW w:w="4253" w:type="dxa"/>
            <w:tcBorders>
              <w:left w:val="nil"/>
              <w:right w:val="nil"/>
            </w:tcBorders>
            <w:vAlign w:val="center"/>
          </w:tcPr>
          <w:p w14:paraId="38CADA1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(8Z)-Decaene-4,6-diyne-1-O-β-D-glucopyranoside</w:t>
            </w:r>
          </w:p>
        </w:tc>
        <w:tc>
          <w:tcPr>
            <w:tcW w:w="1591" w:type="dxa"/>
            <w:tcBorders>
              <w:left w:val="nil"/>
              <w:right w:val="nil"/>
            </w:tcBorders>
            <w:vAlign w:val="center"/>
          </w:tcPr>
          <w:p w14:paraId="591E509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7B06AAB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49CF091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269D7C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D8DC5A0" w14:textId="77777777" w:rsidTr="001F630B">
        <w:trPr>
          <w:trHeight w:val="454"/>
        </w:trPr>
        <w:tc>
          <w:tcPr>
            <w:tcW w:w="1129" w:type="dxa"/>
            <w:tcBorders>
              <w:left w:val="nil"/>
              <w:right w:val="nil"/>
            </w:tcBorders>
            <w:vAlign w:val="center"/>
          </w:tcPr>
          <w:p w14:paraId="0E46CC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70</w:t>
            </w:r>
          </w:p>
        </w:tc>
        <w:tc>
          <w:tcPr>
            <w:tcW w:w="4253" w:type="dxa"/>
            <w:tcBorders>
              <w:left w:val="nil"/>
              <w:right w:val="nil"/>
            </w:tcBorders>
            <w:vAlign w:val="center"/>
          </w:tcPr>
          <w:p w14:paraId="4D1EFD0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4′,6′-Acetonide-(8Z)-decaene-4,6-diyne-1-O-β-D-glucopyranoside</w:t>
            </w:r>
          </w:p>
        </w:tc>
        <w:tc>
          <w:tcPr>
            <w:tcW w:w="1591" w:type="dxa"/>
            <w:tcBorders>
              <w:left w:val="nil"/>
              <w:right w:val="nil"/>
            </w:tcBorders>
            <w:vAlign w:val="center"/>
          </w:tcPr>
          <w:p w14:paraId="38DEA3F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5044A56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748936A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F01A7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D970886" w14:textId="77777777" w:rsidTr="001F630B">
        <w:trPr>
          <w:trHeight w:val="454"/>
        </w:trPr>
        <w:tc>
          <w:tcPr>
            <w:tcW w:w="1129" w:type="dxa"/>
            <w:tcBorders>
              <w:left w:val="nil"/>
              <w:right w:val="nil"/>
            </w:tcBorders>
            <w:vAlign w:val="center"/>
          </w:tcPr>
          <w:p w14:paraId="12E3402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71</w:t>
            </w:r>
          </w:p>
        </w:tc>
        <w:tc>
          <w:tcPr>
            <w:tcW w:w="4253" w:type="dxa"/>
            <w:tcBorders>
              <w:left w:val="nil"/>
              <w:right w:val="nil"/>
            </w:tcBorders>
            <w:vAlign w:val="center"/>
          </w:tcPr>
          <w:p w14:paraId="3321C8E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4,6-Decadiyne-1-O-β-D-glucopyranoside</w:t>
            </w:r>
          </w:p>
        </w:tc>
        <w:tc>
          <w:tcPr>
            <w:tcW w:w="1591" w:type="dxa"/>
            <w:tcBorders>
              <w:left w:val="nil"/>
              <w:right w:val="nil"/>
            </w:tcBorders>
            <w:vAlign w:val="center"/>
          </w:tcPr>
          <w:p w14:paraId="3225157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3B658D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157C0B2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52C57E9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24EF2ED5" w14:textId="77777777" w:rsidTr="001F630B">
        <w:trPr>
          <w:trHeight w:val="454"/>
        </w:trPr>
        <w:tc>
          <w:tcPr>
            <w:tcW w:w="1129" w:type="dxa"/>
            <w:tcBorders>
              <w:left w:val="nil"/>
              <w:right w:val="nil"/>
            </w:tcBorders>
            <w:vAlign w:val="center"/>
          </w:tcPr>
          <w:p w14:paraId="262F056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72</w:t>
            </w:r>
          </w:p>
        </w:tc>
        <w:tc>
          <w:tcPr>
            <w:tcW w:w="4253" w:type="dxa"/>
            <w:tcBorders>
              <w:left w:val="nil"/>
              <w:right w:val="nil"/>
            </w:tcBorders>
            <w:vAlign w:val="center"/>
          </w:tcPr>
          <w:p w14:paraId="74EFED1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(8E)-Decaene-4,6-diyne-1-O-β-D-glucopyranoside</w:t>
            </w:r>
          </w:p>
        </w:tc>
        <w:tc>
          <w:tcPr>
            <w:tcW w:w="1591" w:type="dxa"/>
            <w:tcBorders>
              <w:left w:val="nil"/>
              <w:right w:val="nil"/>
            </w:tcBorders>
            <w:vAlign w:val="center"/>
          </w:tcPr>
          <w:p w14:paraId="3367FBB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730DD0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689BE9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058ACE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32C4FEB" w14:textId="77777777" w:rsidTr="001F630B">
        <w:trPr>
          <w:trHeight w:val="454"/>
        </w:trPr>
        <w:tc>
          <w:tcPr>
            <w:tcW w:w="1129" w:type="dxa"/>
            <w:tcBorders>
              <w:left w:val="nil"/>
              <w:right w:val="nil"/>
            </w:tcBorders>
            <w:vAlign w:val="center"/>
          </w:tcPr>
          <w:p w14:paraId="06E46B5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73</w:t>
            </w:r>
          </w:p>
        </w:tc>
        <w:tc>
          <w:tcPr>
            <w:tcW w:w="4253" w:type="dxa"/>
            <w:tcBorders>
              <w:left w:val="nil"/>
              <w:right w:val="nil"/>
            </w:tcBorders>
            <w:vAlign w:val="center"/>
          </w:tcPr>
          <w:p w14:paraId="03F6807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(8Z)-Decaene-4,6-diyne-1-ol-1-O-β-D-glucuronyl-(1″→2′)-β-D-glucopyranoside</w:t>
            </w:r>
          </w:p>
        </w:tc>
        <w:tc>
          <w:tcPr>
            <w:tcW w:w="1591" w:type="dxa"/>
            <w:tcBorders>
              <w:left w:val="nil"/>
              <w:right w:val="nil"/>
            </w:tcBorders>
            <w:vAlign w:val="center"/>
          </w:tcPr>
          <w:p w14:paraId="22A9F3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6CDCF8B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743E153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CBFBF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30A1570" w14:textId="77777777" w:rsidTr="001F630B">
        <w:trPr>
          <w:trHeight w:val="454"/>
        </w:trPr>
        <w:tc>
          <w:tcPr>
            <w:tcW w:w="1129" w:type="dxa"/>
            <w:tcBorders>
              <w:left w:val="nil"/>
              <w:right w:val="nil"/>
            </w:tcBorders>
            <w:vAlign w:val="center"/>
          </w:tcPr>
          <w:p w14:paraId="4602A71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74</w:t>
            </w:r>
          </w:p>
        </w:tc>
        <w:tc>
          <w:tcPr>
            <w:tcW w:w="4253" w:type="dxa"/>
            <w:tcBorders>
              <w:left w:val="nil"/>
              <w:right w:val="nil"/>
            </w:tcBorders>
            <w:vAlign w:val="center"/>
          </w:tcPr>
          <w:p w14:paraId="6ECFEF9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(2E,8Z)-Decadiene-4,6-diyne-1-ol-1-O-β-D-glucopyranoside</w:t>
            </w:r>
          </w:p>
        </w:tc>
        <w:tc>
          <w:tcPr>
            <w:tcW w:w="1591" w:type="dxa"/>
            <w:tcBorders>
              <w:left w:val="nil"/>
              <w:right w:val="nil"/>
            </w:tcBorders>
            <w:vAlign w:val="center"/>
          </w:tcPr>
          <w:p w14:paraId="3A2791C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B1161C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04E0F64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4553986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0D9321A1" w14:textId="77777777" w:rsidTr="001F630B">
        <w:trPr>
          <w:trHeight w:val="454"/>
        </w:trPr>
        <w:tc>
          <w:tcPr>
            <w:tcW w:w="1129" w:type="dxa"/>
            <w:tcBorders>
              <w:left w:val="nil"/>
              <w:right w:val="nil"/>
            </w:tcBorders>
            <w:vAlign w:val="center"/>
          </w:tcPr>
          <w:p w14:paraId="24E52CC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75</w:t>
            </w:r>
          </w:p>
        </w:tc>
        <w:tc>
          <w:tcPr>
            <w:tcW w:w="4253" w:type="dxa"/>
            <w:tcBorders>
              <w:left w:val="nil"/>
              <w:right w:val="nil"/>
            </w:tcBorders>
            <w:vAlign w:val="center"/>
          </w:tcPr>
          <w:p w14:paraId="06F28B0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(2E,8E,10E)-Tridecatriene-4,6-diyne-1,12,13-triol-1-O-β-D-glucopyranoside</w:t>
            </w:r>
          </w:p>
        </w:tc>
        <w:tc>
          <w:tcPr>
            <w:tcW w:w="1591" w:type="dxa"/>
            <w:tcBorders>
              <w:left w:val="nil"/>
              <w:right w:val="nil"/>
            </w:tcBorders>
            <w:vAlign w:val="center"/>
          </w:tcPr>
          <w:p w14:paraId="21CC7E1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D0EC79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7B0C00B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1685296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1D164D10" w14:textId="77777777" w:rsidTr="001F630B">
        <w:trPr>
          <w:trHeight w:val="454"/>
        </w:trPr>
        <w:tc>
          <w:tcPr>
            <w:tcW w:w="1129" w:type="dxa"/>
            <w:tcBorders>
              <w:left w:val="nil"/>
              <w:right w:val="nil"/>
            </w:tcBorders>
            <w:vAlign w:val="center"/>
          </w:tcPr>
          <w:p w14:paraId="607DC79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76</w:t>
            </w:r>
          </w:p>
        </w:tc>
        <w:tc>
          <w:tcPr>
            <w:tcW w:w="4253" w:type="dxa"/>
            <w:tcBorders>
              <w:left w:val="nil"/>
              <w:right w:val="nil"/>
            </w:tcBorders>
            <w:vAlign w:val="center"/>
          </w:tcPr>
          <w:p w14:paraId="545F159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(2E)-Tetradecaene-4,6-diyne-1,10,14-triol-1-O-β-D-glucopyranoside</w:t>
            </w:r>
          </w:p>
        </w:tc>
        <w:tc>
          <w:tcPr>
            <w:tcW w:w="1591" w:type="dxa"/>
            <w:tcBorders>
              <w:left w:val="nil"/>
              <w:right w:val="nil"/>
            </w:tcBorders>
            <w:vAlign w:val="center"/>
          </w:tcPr>
          <w:p w14:paraId="5ECB45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7351F1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0BF6203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C3F225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72A02F3" w14:textId="77777777" w:rsidTr="001F630B">
        <w:trPr>
          <w:trHeight w:val="454"/>
        </w:trPr>
        <w:tc>
          <w:tcPr>
            <w:tcW w:w="1129" w:type="dxa"/>
            <w:tcBorders>
              <w:left w:val="nil"/>
              <w:right w:val="nil"/>
            </w:tcBorders>
            <w:vAlign w:val="center"/>
          </w:tcPr>
          <w:p w14:paraId="7B971B4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77</w:t>
            </w:r>
          </w:p>
        </w:tc>
        <w:tc>
          <w:tcPr>
            <w:tcW w:w="4253" w:type="dxa"/>
            <w:tcBorders>
              <w:left w:val="nil"/>
              <w:right w:val="nil"/>
            </w:tcBorders>
            <w:vAlign w:val="center"/>
          </w:tcPr>
          <w:p w14:paraId="6EFE630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(2E,8E)-Tetradecadiene-4,6-diyne-1,12,14-triol-1-O-β-D-glucopyranoside</w:t>
            </w:r>
          </w:p>
        </w:tc>
        <w:tc>
          <w:tcPr>
            <w:tcW w:w="1591" w:type="dxa"/>
            <w:tcBorders>
              <w:left w:val="nil"/>
              <w:right w:val="nil"/>
            </w:tcBorders>
            <w:vAlign w:val="center"/>
          </w:tcPr>
          <w:p w14:paraId="302A2E0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D33BF3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253AAB0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56C0A29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67BE1AE6" w14:textId="77777777" w:rsidTr="001F630B">
        <w:trPr>
          <w:trHeight w:val="454"/>
        </w:trPr>
        <w:tc>
          <w:tcPr>
            <w:tcW w:w="1129" w:type="dxa"/>
            <w:tcBorders>
              <w:left w:val="nil"/>
              <w:right w:val="nil"/>
            </w:tcBorders>
            <w:vAlign w:val="center"/>
          </w:tcPr>
          <w:p w14:paraId="61BFEF6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78</w:t>
            </w:r>
          </w:p>
        </w:tc>
        <w:tc>
          <w:tcPr>
            <w:tcW w:w="4253" w:type="dxa"/>
            <w:tcBorders>
              <w:left w:val="nil"/>
              <w:right w:val="nil"/>
            </w:tcBorders>
            <w:vAlign w:val="center"/>
          </w:tcPr>
          <w:p w14:paraId="1B512FE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(2Z,8Z)-Tetradecadiene-4,6-diyne-1,12,14-triol-1-O-β-D-glucopyranoside</w:t>
            </w:r>
          </w:p>
        </w:tc>
        <w:tc>
          <w:tcPr>
            <w:tcW w:w="1591" w:type="dxa"/>
            <w:tcBorders>
              <w:left w:val="nil"/>
              <w:right w:val="nil"/>
            </w:tcBorders>
            <w:vAlign w:val="center"/>
          </w:tcPr>
          <w:p w14:paraId="14A825D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1C13A7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3CEBF2D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42D1051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154F7377" w14:textId="77777777" w:rsidTr="001F630B">
        <w:trPr>
          <w:trHeight w:val="454"/>
        </w:trPr>
        <w:tc>
          <w:tcPr>
            <w:tcW w:w="1129" w:type="dxa"/>
            <w:tcBorders>
              <w:left w:val="nil"/>
              <w:right w:val="nil"/>
            </w:tcBorders>
            <w:vAlign w:val="center"/>
          </w:tcPr>
          <w:p w14:paraId="031AE2F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79</w:t>
            </w:r>
          </w:p>
        </w:tc>
        <w:tc>
          <w:tcPr>
            <w:tcW w:w="4253" w:type="dxa"/>
            <w:tcBorders>
              <w:left w:val="nil"/>
              <w:right w:val="nil"/>
            </w:tcBorders>
            <w:vAlign w:val="center"/>
          </w:tcPr>
          <w:p w14:paraId="3980F4E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(2Z,8E)-Tetradecadiene-4,6-diyne-1,12,14-triol-1-O-β-D-glucopyranoside</w:t>
            </w:r>
          </w:p>
        </w:tc>
        <w:tc>
          <w:tcPr>
            <w:tcW w:w="1591" w:type="dxa"/>
            <w:tcBorders>
              <w:left w:val="nil"/>
              <w:right w:val="nil"/>
            </w:tcBorders>
            <w:vAlign w:val="center"/>
          </w:tcPr>
          <w:p w14:paraId="2340AC2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0318F0F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6EE01DC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26E4098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4A36BFF8" w14:textId="77777777" w:rsidTr="001F630B">
        <w:trPr>
          <w:trHeight w:val="454"/>
        </w:trPr>
        <w:tc>
          <w:tcPr>
            <w:tcW w:w="1129" w:type="dxa"/>
            <w:tcBorders>
              <w:left w:val="nil"/>
              <w:right w:val="nil"/>
            </w:tcBorders>
            <w:vAlign w:val="center"/>
          </w:tcPr>
          <w:p w14:paraId="240D5EC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80</w:t>
            </w:r>
          </w:p>
        </w:tc>
        <w:tc>
          <w:tcPr>
            <w:tcW w:w="4253" w:type="dxa"/>
            <w:tcBorders>
              <w:left w:val="nil"/>
              <w:right w:val="nil"/>
            </w:tcBorders>
            <w:vAlign w:val="center"/>
          </w:tcPr>
          <w:p w14:paraId="2FF96A6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(2E,8Z)-Tetradecadiene-4,6-diyne-1,12,14-triol-1-O-β-D-glucopyranoside</w:t>
            </w:r>
          </w:p>
        </w:tc>
        <w:tc>
          <w:tcPr>
            <w:tcW w:w="1591" w:type="dxa"/>
            <w:tcBorders>
              <w:left w:val="nil"/>
              <w:right w:val="nil"/>
            </w:tcBorders>
            <w:vAlign w:val="center"/>
          </w:tcPr>
          <w:p w14:paraId="0E74E70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5CF2AE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67AD4DA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E8833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494B26B2" w14:textId="77777777" w:rsidTr="001F630B">
        <w:trPr>
          <w:trHeight w:val="454"/>
        </w:trPr>
        <w:tc>
          <w:tcPr>
            <w:tcW w:w="1129" w:type="dxa"/>
            <w:tcBorders>
              <w:left w:val="nil"/>
              <w:right w:val="nil"/>
            </w:tcBorders>
            <w:vAlign w:val="center"/>
          </w:tcPr>
          <w:p w14:paraId="316F57F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81</w:t>
            </w:r>
          </w:p>
        </w:tc>
        <w:tc>
          <w:tcPr>
            <w:tcW w:w="4253" w:type="dxa"/>
            <w:tcBorders>
              <w:left w:val="nil"/>
              <w:right w:val="nil"/>
            </w:tcBorders>
            <w:vAlign w:val="center"/>
          </w:tcPr>
          <w:p w14:paraId="178DCA5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(2E,8E)-Tetradecadiene-4,6-diyne-1,11,14-triol</w:t>
            </w:r>
          </w:p>
        </w:tc>
        <w:tc>
          <w:tcPr>
            <w:tcW w:w="1591" w:type="dxa"/>
            <w:tcBorders>
              <w:left w:val="nil"/>
              <w:right w:val="nil"/>
            </w:tcBorders>
            <w:vAlign w:val="center"/>
          </w:tcPr>
          <w:p w14:paraId="359917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4D234DB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5E693F0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6A37EF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2DB1BDD1" w14:textId="77777777" w:rsidTr="001F630B">
        <w:trPr>
          <w:trHeight w:val="454"/>
        </w:trPr>
        <w:tc>
          <w:tcPr>
            <w:tcW w:w="1129" w:type="dxa"/>
            <w:tcBorders>
              <w:left w:val="nil"/>
              <w:right w:val="nil"/>
            </w:tcBorders>
            <w:vAlign w:val="center"/>
          </w:tcPr>
          <w:p w14:paraId="6318476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82</w:t>
            </w:r>
          </w:p>
        </w:tc>
        <w:tc>
          <w:tcPr>
            <w:tcW w:w="4253" w:type="dxa"/>
            <w:tcBorders>
              <w:left w:val="nil"/>
              <w:right w:val="nil"/>
            </w:tcBorders>
            <w:vAlign w:val="center"/>
          </w:tcPr>
          <w:p w14:paraId="3577A12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(2E,8E)-11S-Tetradecadiene-4,6-diyne-1,11,14-triol-1-O-β-D-glucopyranoside</w:t>
            </w:r>
          </w:p>
        </w:tc>
        <w:tc>
          <w:tcPr>
            <w:tcW w:w="1591" w:type="dxa"/>
            <w:tcBorders>
              <w:left w:val="nil"/>
              <w:right w:val="nil"/>
            </w:tcBorders>
            <w:vAlign w:val="center"/>
          </w:tcPr>
          <w:p w14:paraId="496EC04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8D3D6A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31DDF97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2BB72FC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448C4ED3" w14:textId="77777777" w:rsidTr="001F630B">
        <w:trPr>
          <w:trHeight w:val="454"/>
        </w:trPr>
        <w:tc>
          <w:tcPr>
            <w:tcW w:w="1129" w:type="dxa"/>
            <w:tcBorders>
              <w:left w:val="nil"/>
              <w:right w:val="nil"/>
            </w:tcBorders>
            <w:vAlign w:val="center"/>
          </w:tcPr>
          <w:p w14:paraId="16CBB57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83</w:t>
            </w:r>
          </w:p>
        </w:tc>
        <w:tc>
          <w:tcPr>
            <w:tcW w:w="4253" w:type="dxa"/>
            <w:tcBorders>
              <w:left w:val="nil"/>
              <w:right w:val="nil"/>
            </w:tcBorders>
            <w:vAlign w:val="center"/>
          </w:tcPr>
          <w:p w14:paraId="1FFCAAE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(2E,8E)-11S-Tetradecadiene-4,6-diyne-1,11,14-triol</w:t>
            </w:r>
          </w:p>
        </w:tc>
        <w:tc>
          <w:tcPr>
            <w:tcW w:w="1591" w:type="dxa"/>
            <w:tcBorders>
              <w:left w:val="nil"/>
              <w:right w:val="nil"/>
            </w:tcBorders>
            <w:vAlign w:val="center"/>
          </w:tcPr>
          <w:p w14:paraId="3B36687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1528EA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473836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528E9F9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2B5ABC28" w14:textId="77777777" w:rsidTr="001F630B">
        <w:trPr>
          <w:trHeight w:val="454"/>
        </w:trPr>
        <w:tc>
          <w:tcPr>
            <w:tcW w:w="1129" w:type="dxa"/>
            <w:tcBorders>
              <w:left w:val="nil"/>
              <w:right w:val="nil"/>
            </w:tcBorders>
            <w:vAlign w:val="center"/>
          </w:tcPr>
          <w:p w14:paraId="55B8C3A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84</w:t>
            </w:r>
          </w:p>
        </w:tc>
        <w:tc>
          <w:tcPr>
            <w:tcW w:w="4253" w:type="dxa"/>
            <w:tcBorders>
              <w:left w:val="nil"/>
              <w:right w:val="nil"/>
            </w:tcBorders>
            <w:vAlign w:val="center"/>
          </w:tcPr>
          <w:p w14:paraId="2C35BC3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(2Z,8Z)-11S-Tetradecadiene-4,6-diyne-1,11,14-triol-1-O-β-D-glucopyranoside</w:t>
            </w:r>
          </w:p>
        </w:tc>
        <w:tc>
          <w:tcPr>
            <w:tcW w:w="1591" w:type="dxa"/>
            <w:tcBorders>
              <w:left w:val="nil"/>
              <w:right w:val="nil"/>
            </w:tcBorders>
            <w:vAlign w:val="center"/>
          </w:tcPr>
          <w:p w14:paraId="2481B9A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FBC46A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14EF991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46CFC23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0FF69730" w14:textId="77777777" w:rsidTr="001F630B">
        <w:trPr>
          <w:trHeight w:val="454"/>
        </w:trPr>
        <w:tc>
          <w:tcPr>
            <w:tcW w:w="1129" w:type="dxa"/>
            <w:tcBorders>
              <w:left w:val="nil"/>
              <w:right w:val="nil"/>
            </w:tcBorders>
            <w:vAlign w:val="center"/>
          </w:tcPr>
          <w:p w14:paraId="52F10DE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85</w:t>
            </w:r>
          </w:p>
        </w:tc>
        <w:tc>
          <w:tcPr>
            <w:tcW w:w="4253" w:type="dxa"/>
            <w:tcBorders>
              <w:left w:val="nil"/>
              <w:right w:val="nil"/>
            </w:tcBorders>
            <w:vAlign w:val="center"/>
          </w:tcPr>
          <w:p w14:paraId="04AEC8F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(2Z,8E)-11S-Tetradecadiene-4,6-diyne-1,11,14-triol-1-O-β-D-</w:t>
            </w:r>
            <w:r w:rsidRPr="001F630B">
              <w:rPr>
                <w:rFonts w:ascii="Arial" w:eastAsia="Times New Roman" w:hAnsi="Arial" w:cs="Arial"/>
                <w:sz w:val="20"/>
                <w:szCs w:val="20"/>
              </w:rPr>
              <w:lastRenderedPageBreak/>
              <w:t>glucopyranoside</w:t>
            </w:r>
          </w:p>
        </w:tc>
        <w:tc>
          <w:tcPr>
            <w:tcW w:w="1591" w:type="dxa"/>
            <w:tcBorders>
              <w:left w:val="nil"/>
              <w:right w:val="nil"/>
            </w:tcBorders>
            <w:vAlign w:val="center"/>
          </w:tcPr>
          <w:p w14:paraId="4061274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 xml:space="preserve">Petroleum </w:t>
            </w:r>
            <w:r w:rsidRPr="001F630B">
              <w:rPr>
                <w:rFonts w:ascii="Arial" w:eastAsia="Times New Roman" w:hAnsi="Arial" w:cs="Arial"/>
                <w:sz w:val="20"/>
                <w:szCs w:val="20"/>
              </w:rPr>
              <w:lastRenderedPageBreak/>
              <w:t>ether</w:t>
            </w:r>
          </w:p>
        </w:tc>
        <w:tc>
          <w:tcPr>
            <w:tcW w:w="2325" w:type="dxa"/>
            <w:tcBorders>
              <w:left w:val="nil"/>
              <w:right w:val="nil"/>
            </w:tcBorders>
            <w:vAlign w:val="center"/>
          </w:tcPr>
          <w:p w14:paraId="6A2C2CA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Root</w:t>
            </w:r>
          </w:p>
        </w:tc>
        <w:tc>
          <w:tcPr>
            <w:tcW w:w="2463" w:type="dxa"/>
            <w:tcBorders>
              <w:left w:val="nil"/>
              <w:right w:val="nil"/>
            </w:tcBorders>
            <w:vAlign w:val="center"/>
          </w:tcPr>
          <w:p w14:paraId="3BB8D68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 xml:space="preserve">1D NMR, ESIMS, </w:t>
            </w:r>
            <w:r w:rsidRPr="001F630B">
              <w:rPr>
                <w:rFonts w:ascii="Arial" w:eastAsia="Times New Roman" w:hAnsi="Arial" w:cs="Arial"/>
                <w:sz w:val="20"/>
                <w:szCs w:val="20"/>
              </w:rPr>
              <w:lastRenderedPageBreak/>
              <w:t>HPLC</w:t>
            </w:r>
          </w:p>
        </w:tc>
        <w:tc>
          <w:tcPr>
            <w:tcW w:w="2187" w:type="dxa"/>
            <w:tcBorders>
              <w:left w:val="nil"/>
              <w:right w:val="nil"/>
            </w:tcBorders>
            <w:vAlign w:val="center"/>
          </w:tcPr>
          <w:p w14:paraId="3D0BFD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Hao et al., 2010</w:t>
            </w:r>
          </w:p>
        </w:tc>
      </w:tr>
      <w:tr w:rsidR="001F630B" w14:paraId="42C6005E" w14:textId="77777777" w:rsidTr="001F630B">
        <w:trPr>
          <w:trHeight w:val="454"/>
        </w:trPr>
        <w:tc>
          <w:tcPr>
            <w:tcW w:w="1129" w:type="dxa"/>
            <w:tcBorders>
              <w:left w:val="nil"/>
              <w:right w:val="nil"/>
            </w:tcBorders>
            <w:vAlign w:val="center"/>
          </w:tcPr>
          <w:p w14:paraId="0212D54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86</w:t>
            </w:r>
          </w:p>
        </w:tc>
        <w:tc>
          <w:tcPr>
            <w:tcW w:w="4253" w:type="dxa"/>
            <w:tcBorders>
              <w:left w:val="nil"/>
              <w:right w:val="nil"/>
            </w:tcBorders>
            <w:vAlign w:val="center"/>
          </w:tcPr>
          <w:p w14:paraId="278C80D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(2E,8Z)-11S-Tetradecadiene-4,6-diyne-1,11,14-triol-1-O-β-D-glucopyranoside</w:t>
            </w:r>
          </w:p>
        </w:tc>
        <w:tc>
          <w:tcPr>
            <w:tcW w:w="1591" w:type="dxa"/>
            <w:tcBorders>
              <w:left w:val="nil"/>
              <w:right w:val="nil"/>
            </w:tcBorders>
            <w:vAlign w:val="center"/>
          </w:tcPr>
          <w:p w14:paraId="5436E07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84D2BF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239C5F3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40FCF16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bl>
    <w:p w14:paraId="32ECB0F4" w14:textId="77777777" w:rsidR="001F630B" w:rsidRDefault="001F630B" w:rsidP="00441B6F">
      <w:pPr>
        <w:pStyle w:val="Body"/>
        <w:spacing w:after="0"/>
        <w:rPr>
          <w:rFonts w:ascii="Arial" w:hAnsi="Arial" w:cs="Arial"/>
        </w:rPr>
      </w:pPr>
    </w:p>
    <w:p w14:paraId="350B310F" w14:textId="77777777" w:rsidR="00D51723" w:rsidRDefault="00D51723" w:rsidP="00441B6F">
      <w:pPr>
        <w:pStyle w:val="Body"/>
        <w:spacing w:after="0"/>
        <w:rPr>
          <w:rFonts w:ascii="Arial" w:hAnsi="Arial" w:cs="Arial"/>
        </w:rPr>
      </w:pPr>
    </w:p>
    <w:p w14:paraId="25DE8F72" w14:textId="77777777" w:rsidR="00D51723" w:rsidRDefault="00D51723" w:rsidP="00441B6F">
      <w:pPr>
        <w:pStyle w:val="Body"/>
        <w:spacing w:after="0"/>
        <w:rPr>
          <w:rFonts w:ascii="Arial" w:hAnsi="Arial" w:cs="Arial"/>
        </w:rPr>
      </w:pPr>
    </w:p>
    <w:p w14:paraId="1D77C633" w14:textId="77777777" w:rsidR="00D51723" w:rsidRDefault="00D51723" w:rsidP="00441B6F">
      <w:pPr>
        <w:pStyle w:val="Body"/>
        <w:spacing w:after="0"/>
        <w:rPr>
          <w:rFonts w:ascii="Arial" w:hAnsi="Arial" w:cs="Arial"/>
        </w:rPr>
      </w:pPr>
    </w:p>
    <w:p w14:paraId="43DC3D97" w14:textId="1E32DFD0" w:rsidR="001F630B" w:rsidRDefault="001F630B" w:rsidP="00441B6F">
      <w:pPr>
        <w:pStyle w:val="Body"/>
        <w:spacing w:after="0"/>
        <w:rPr>
          <w:rFonts w:ascii="Arial" w:hAnsi="Arial" w:cs="Arial"/>
        </w:rPr>
      </w:pPr>
    </w:p>
    <w:p w14:paraId="26A5FD86" w14:textId="77777777" w:rsidR="001F630B" w:rsidRDefault="001F630B" w:rsidP="00441B6F">
      <w:pPr>
        <w:pStyle w:val="Body"/>
        <w:spacing w:after="0"/>
        <w:rPr>
          <w:rFonts w:ascii="Arial" w:hAnsi="Arial" w:cs="Arial"/>
        </w:rPr>
      </w:pPr>
    </w:p>
    <w:p w14:paraId="004E5D94" w14:textId="77777777" w:rsidR="001F630B" w:rsidRDefault="001F630B" w:rsidP="00441B6F">
      <w:pPr>
        <w:pStyle w:val="Body"/>
        <w:spacing w:after="0"/>
        <w:rPr>
          <w:rFonts w:ascii="Arial" w:hAnsi="Arial" w:cs="Arial"/>
        </w:rPr>
      </w:pPr>
    </w:p>
    <w:p w14:paraId="20211525" w14:textId="77777777" w:rsidR="001F630B" w:rsidRDefault="001F630B" w:rsidP="00441B6F">
      <w:pPr>
        <w:pStyle w:val="Body"/>
        <w:spacing w:after="0"/>
        <w:rPr>
          <w:rFonts w:ascii="Arial" w:hAnsi="Arial" w:cs="Arial"/>
        </w:rPr>
      </w:pPr>
    </w:p>
    <w:p w14:paraId="7C58D42C" w14:textId="77777777" w:rsidR="001F630B" w:rsidRDefault="001F630B" w:rsidP="00441B6F">
      <w:pPr>
        <w:pStyle w:val="Body"/>
        <w:spacing w:after="0"/>
        <w:rPr>
          <w:rFonts w:ascii="Arial" w:hAnsi="Arial" w:cs="Arial"/>
        </w:rPr>
      </w:pPr>
    </w:p>
    <w:p w14:paraId="399D8ADC" w14:textId="77777777" w:rsidR="001F630B" w:rsidRDefault="001F630B" w:rsidP="00441B6F">
      <w:pPr>
        <w:pStyle w:val="Body"/>
        <w:spacing w:after="0"/>
        <w:rPr>
          <w:rFonts w:ascii="Arial" w:hAnsi="Arial" w:cs="Arial"/>
        </w:rPr>
      </w:pPr>
    </w:p>
    <w:p w14:paraId="4A5406E8" w14:textId="77777777" w:rsidR="001F630B" w:rsidRDefault="001F630B" w:rsidP="00441B6F">
      <w:pPr>
        <w:pStyle w:val="Body"/>
        <w:spacing w:after="0"/>
        <w:rPr>
          <w:rFonts w:ascii="Arial" w:hAnsi="Arial" w:cs="Arial"/>
        </w:rPr>
      </w:pPr>
    </w:p>
    <w:p w14:paraId="6C410708" w14:textId="77777777" w:rsidR="001F630B" w:rsidRDefault="001F630B" w:rsidP="00441B6F">
      <w:pPr>
        <w:pStyle w:val="Body"/>
        <w:spacing w:after="0"/>
        <w:rPr>
          <w:rFonts w:ascii="Arial" w:hAnsi="Arial" w:cs="Arial"/>
        </w:rPr>
      </w:pPr>
    </w:p>
    <w:p w14:paraId="45A042EF" w14:textId="77777777" w:rsidR="001F630B" w:rsidRDefault="001F630B" w:rsidP="00441B6F">
      <w:pPr>
        <w:pStyle w:val="Body"/>
        <w:spacing w:after="0"/>
        <w:rPr>
          <w:rFonts w:ascii="Arial" w:hAnsi="Arial" w:cs="Arial"/>
        </w:rPr>
      </w:pPr>
    </w:p>
    <w:p w14:paraId="70BD26FC" w14:textId="77777777" w:rsidR="001F630B" w:rsidRDefault="001F630B" w:rsidP="00441B6F">
      <w:pPr>
        <w:pStyle w:val="Body"/>
        <w:spacing w:after="0"/>
        <w:rPr>
          <w:rFonts w:ascii="Arial" w:hAnsi="Arial" w:cs="Arial"/>
        </w:rPr>
      </w:pPr>
    </w:p>
    <w:p w14:paraId="074E7966" w14:textId="77777777" w:rsidR="001F630B" w:rsidRDefault="001F630B" w:rsidP="00441B6F">
      <w:pPr>
        <w:pStyle w:val="Body"/>
        <w:spacing w:after="0"/>
        <w:rPr>
          <w:rFonts w:ascii="Arial" w:hAnsi="Arial" w:cs="Arial"/>
        </w:rPr>
      </w:pPr>
    </w:p>
    <w:p w14:paraId="0C9D777D" w14:textId="77777777" w:rsidR="001F630B" w:rsidRDefault="001F630B" w:rsidP="00441B6F">
      <w:pPr>
        <w:pStyle w:val="Body"/>
        <w:spacing w:after="0"/>
        <w:rPr>
          <w:rFonts w:ascii="Arial" w:hAnsi="Arial" w:cs="Arial"/>
        </w:rPr>
      </w:pPr>
    </w:p>
    <w:p w14:paraId="13E67E8F" w14:textId="77777777" w:rsidR="001F630B" w:rsidRDefault="001F630B" w:rsidP="00441B6F">
      <w:pPr>
        <w:pStyle w:val="Body"/>
        <w:spacing w:after="0"/>
        <w:rPr>
          <w:rFonts w:ascii="Arial" w:hAnsi="Arial" w:cs="Arial"/>
        </w:rPr>
      </w:pPr>
    </w:p>
    <w:p w14:paraId="55D521D8" w14:textId="77777777" w:rsidR="001F630B" w:rsidRDefault="001F630B" w:rsidP="00441B6F">
      <w:pPr>
        <w:pStyle w:val="Body"/>
        <w:spacing w:after="0"/>
        <w:rPr>
          <w:rFonts w:ascii="Arial" w:hAnsi="Arial" w:cs="Arial"/>
        </w:rPr>
      </w:pPr>
    </w:p>
    <w:p w14:paraId="0F86B27C" w14:textId="77777777" w:rsidR="001F630B" w:rsidRDefault="001F630B" w:rsidP="00441B6F">
      <w:pPr>
        <w:pStyle w:val="Body"/>
        <w:spacing w:after="0"/>
        <w:rPr>
          <w:rFonts w:ascii="Arial" w:hAnsi="Arial" w:cs="Arial"/>
        </w:rPr>
      </w:pPr>
    </w:p>
    <w:p w14:paraId="0A3751E8" w14:textId="77777777" w:rsidR="001F630B" w:rsidRDefault="001F630B" w:rsidP="00441B6F">
      <w:pPr>
        <w:pStyle w:val="Body"/>
        <w:spacing w:after="0"/>
        <w:rPr>
          <w:rFonts w:ascii="Arial" w:hAnsi="Arial" w:cs="Arial"/>
        </w:rPr>
      </w:pPr>
    </w:p>
    <w:p w14:paraId="53E5E5C9" w14:textId="77777777" w:rsidR="001F630B" w:rsidRDefault="001F630B" w:rsidP="00441B6F">
      <w:pPr>
        <w:pStyle w:val="Body"/>
        <w:spacing w:after="0"/>
        <w:rPr>
          <w:rFonts w:ascii="Arial" w:hAnsi="Arial" w:cs="Arial"/>
        </w:rPr>
      </w:pPr>
    </w:p>
    <w:p w14:paraId="4DA4C02E" w14:textId="77777777" w:rsidR="001F630B" w:rsidRDefault="001F630B" w:rsidP="00441B6F">
      <w:pPr>
        <w:pStyle w:val="Body"/>
        <w:spacing w:after="0"/>
        <w:rPr>
          <w:rFonts w:ascii="Arial" w:hAnsi="Arial" w:cs="Arial"/>
        </w:rPr>
      </w:pPr>
    </w:p>
    <w:p w14:paraId="3B0C5152" w14:textId="77777777" w:rsidR="001F630B" w:rsidRDefault="001F630B" w:rsidP="00441B6F">
      <w:pPr>
        <w:pStyle w:val="Body"/>
        <w:spacing w:after="0"/>
        <w:rPr>
          <w:rFonts w:ascii="Arial" w:hAnsi="Arial" w:cs="Arial"/>
        </w:rPr>
      </w:pPr>
    </w:p>
    <w:p w14:paraId="129DBA67" w14:textId="77777777" w:rsidR="001F630B" w:rsidRDefault="001F630B" w:rsidP="00441B6F">
      <w:pPr>
        <w:pStyle w:val="Body"/>
        <w:spacing w:after="0"/>
        <w:rPr>
          <w:rFonts w:ascii="Arial" w:hAnsi="Arial" w:cs="Arial"/>
        </w:rPr>
      </w:pPr>
    </w:p>
    <w:p w14:paraId="7ABBA2E8" w14:textId="77777777" w:rsidR="001F630B" w:rsidRDefault="001F630B" w:rsidP="00441B6F">
      <w:pPr>
        <w:pStyle w:val="Body"/>
        <w:spacing w:after="0"/>
        <w:rPr>
          <w:rFonts w:ascii="Arial" w:hAnsi="Arial" w:cs="Arial"/>
        </w:rPr>
      </w:pPr>
    </w:p>
    <w:p w14:paraId="5535C484" w14:textId="77777777" w:rsidR="001F630B" w:rsidRDefault="001F630B" w:rsidP="00441B6F">
      <w:pPr>
        <w:pStyle w:val="Body"/>
        <w:spacing w:after="0"/>
        <w:rPr>
          <w:rFonts w:ascii="Arial" w:hAnsi="Arial" w:cs="Arial"/>
        </w:rPr>
      </w:pPr>
    </w:p>
    <w:p w14:paraId="2488AAE4" w14:textId="77777777" w:rsidR="001F630B" w:rsidRDefault="001F630B" w:rsidP="00441B6F">
      <w:pPr>
        <w:pStyle w:val="Body"/>
        <w:spacing w:after="0"/>
        <w:rPr>
          <w:rFonts w:ascii="Arial" w:hAnsi="Arial" w:cs="Arial"/>
        </w:rPr>
      </w:pPr>
    </w:p>
    <w:p w14:paraId="5F4C4F2E" w14:textId="77777777" w:rsidR="001F630B" w:rsidRDefault="001F630B" w:rsidP="00441B6F">
      <w:pPr>
        <w:pStyle w:val="Body"/>
        <w:spacing w:after="0"/>
        <w:rPr>
          <w:rFonts w:ascii="Arial" w:hAnsi="Arial" w:cs="Arial"/>
        </w:rPr>
      </w:pPr>
    </w:p>
    <w:p w14:paraId="7E2E6CCF" w14:textId="77777777" w:rsidR="001F630B" w:rsidRDefault="001F630B" w:rsidP="00441B6F">
      <w:pPr>
        <w:pStyle w:val="Body"/>
        <w:spacing w:after="0"/>
        <w:rPr>
          <w:rFonts w:ascii="Arial" w:hAnsi="Arial" w:cs="Arial"/>
        </w:rPr>
      </w:pPr>
    </w:p>
    <w:p w14:paraId="0A5B58BA" w14:textId="77777777" w:rsidR="001F630B" w:rsidRDefault="001F630B" w:rsidP="00441B6F">
      <w:pPr>
        <w:pStyle w:val="Body"/>
        <w:spacing w:after="0"/>
        <w:rPr>
          <w:rFonts w:ascii="Arial" w:hAnsi="Arial" w:cs="Arial"/>
        </w:rPr>
        <w:sectPr w:rsidR="001F630B" w:rsidSect="001F630B">
          <w:type w:val="continuous"/>
          <w:pgSz w:w="15840" w:h="12240" w:orient="landscape"/>
          <w:pgMar w:top="2019" w:right="1440" w:bottom="2019" w:left="2019" w:header="720" w:footer="1123" w:gutter="0"/>
          <w:cols w:space="720"/>
          <w:docGrid w:linePitch="272"/>
        </w:sectPr>
      </w:pPr>
    </w:p>
    <w:p w14:paraId="531E0BF8" w14:textId="5A0FB447" w:rsidR="001F630B" w:rsidRPr="001F630B" w:rsidRDefault="001F630B" w:rsidP="001F630B">
      <w:pPr>
        <w:pStyle w:val="BodyText"/>
        <w:widowControl w:val="0"/>
        <w:numPr>
          <w:ilvl w:val="1"/>
          <w:numId w:val="37"/>
        </w:numPr>
        <w:autoSpaceDE w:val="0"/>
        <w:autoSpaceDN w:val="0"/>
        <w:spacing w:before="253" w:after="0" w:line="235" w:lineRule="auto"/>
        <w:ind w:right="140"/>
        <w:jc w:val="both"/>
        <w:rPr>
          <w:rFonts w:ascii="Arial" w:hAnsi="Arial" w:cs="Arial"/>
          <w:b/>
          <w:bCs/>
        </w:rPr>
      </w:pPr>
      <w:r>
        <w:rPr>
          <w:rFonts w:ascii="Times New Roman" w:hAnsi="Times New Roman"/>
          <w:b/>
          <w:sz w:val="24"/>
          <w:szCs w:val="24"/>
          <w:lang w:val="en-IN" w:eastAsia="en-IN"/>
        </w:rPr>
        <w:lastRenderedPageBreak/>
        <w:t xml:space="preserve"> </w:t>
      </w:r>
      <w:r w:rsidRPr="001F630B">
        <w:rPr>
          <w:rFonts w:ascii="Arial" w:hAnsi="Arial" w:cs="Arial"/>
          <w:b/>
          <w:bCs/>
        </w:rPr>
        <w:t xml:space="preserve">Alkaloids and spermidines: </w:t>
      </w:r>
    </w:p>
    <w:p w14:paraId="42BE101F" w14:textId="77777777" w:rsidR="001F630B" w:rsidRPr="001F630B" w:rsidRDefault="001F630B" w:rsidP="001F630B">
      <w:pPr>
        <w:pStyle w:val="BodyText"/>
        <w:spacing w:before="253" w:line="276" w:lineRule="auto"/>
        <w:ind w:right="140"/>
        <w:jc w:val="both"/>
        <w:rPr>
          <w:rFonts w:ascii="Arial" w:hAnsi="Arial" w:cs="Arial"/>
        </w:rPr>
      </w:pPr>
      <w:r w:rsidRPr="001F630B">
        <w:rPr>
          <w:rFonts w:ascii="Arial" w:hAnsi="Arial" w:cs="Arial"/>
        </w:rPr>
        <w:t xml:space="preserve">Alkaloids identified in safflower are mainly derived from 5-hydroxytryptamine (5-HT) and are generally characterized by relatively low polarity. These compounds are most abundantly distributed in safflower seeds. Previous investigations have reported the isolation of 13 alkaloids from safflower oil and 11 alkaloids from dried safflower flowers, highlighting the chemical diversity of this plant across different matrices (Hao et al., 2010; </w:t>
      </w:r>
      <w:proofErr w:type="spellStart"/>
      <w:r w:rsidRPr="001F630B">
        <w:rPr>
          <w:rFonts w:ascii="Arial" w:hAnsi="Arial" w:cs="Arial"/>
        </w:rPr>
        <w:t>Sakamura</w:t>
      </w:r>
      <w:proofErr w:type="spellEnd"/>
      <w:r w:rsidRPr="001F630B">
        <w:rPr>
          <w:rFonts w:ascii="Arial" w:hAnsi="Arial" w:cs="Arial"/>
        </w:rPr>
        <w:t xml:space="preserve"> et al., 1980). In addition to 5-HT–related alkaloids, safflower also contains spermidine-based metabolites, which typically consist of spermidine molecules substituted with three coumaroyl groups. Using high-speed counter-current chromatography, researchers successfully purified five distinct spermidine derivatives from safflower (Jiang et al., 2014).</w:t>
      </w:r>
    </w:p>
    <w:p w14:paraId="107D45BD" w14:textId="77777777" w:rsidR="001F630B" w:rsidRPr="001F630B" w:rsidRDefault="001F630B" w:rsidP="001F630B">
      <w:pPr>
        <w:pStyle w:val="BodyText"/>
        <w:spacing w:before="253" w:line="276" w:lineRule="auto"/>
        <w:ind w:right="140"/>
        <w:jc w:val="both"/>
        <w:rPr>
          <w:rFonts w:ascii="Arial" w:hAnsi="Arial" w:cs="Arial"/>
        </w:rPr>
      </w:pPr>
      <w:r w:rsidRPr="001F630B">
        <w:rPr>
          <w:rFonts w:ascii="Arial" w:hAnsi="Arial" w:cs="Arial"/>
        </w:rPr>
        <w:t>Further studies have focused on the extraction of total spermine from safflower processing residues. An optimized protocol involved performing three successive heating reflux extractions with absolute methanol at a solvent-to-material ratio of 35:1 (v/w), with each extraction maintained for 2 hours. Under these conditions, the combined yield of four spermine compounds from safflower residue reached 2.894 ± 0.011 mg/g, demonstrating the efficiency of the method (Zhao et al., 2014).</w:t>
      </w:r>
    </w:p>
    <w:p w14:paraId="4ED5DCBC" w14:textId="77777777" w:rsidR="001F630B" w:rsidRDefault="001F630B" w:rsidP="00441B6F">
      <w:pPr>
        <w:pStyle w:val="Body"/>
        <w:spacing w:after="0"/>
        <w:rPr>
          <w:rFonts w:ascii="Arial" w:hAnsi="Arial" w:cs="Arial"/>
        </w:rPr>
      </w:pPr>
    </w:p>
    <w:p w14:paraId="7C3EA560" w14:textId="1744A821" w:rsidR="001F630B" w:rsidRDefault="001F630B" w:rsidP="001F630B">
      <w:pPr>
        <w:pStyle w:val="Body"/>
        <w:spacing w:after="0"/>
        <w:jc w:val="center"/>
        <w:rPr>
          <w:rFonts w:ascii="Arial" w:hAnsi="Arial" w:cs="Arial"/>
        </w:rPr>
      </w:pPr>
      <w:r>
        <w:rPr>
          <w:rFonts w:ascii="Times New Roman" w:hAnsi="Times New Roman"/>
          <w:noProof/>
          <w:sz w:val="24"/>
          <w:szCs w:val="24"/>
          <w:lang w:val="en-IN" w:eastAsia="en-IN"/>
        </w:rPr>
        <w:drawing>
          <wp:inline distT="0" distB="0" distL="0" distR="0" wp14:anchorId="3FF2B14A" wp14:editId="3BDBF001">
            <wp:extent cx="5208270" cy="34362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8270" cy="3436212"/>
                    </a:xfrm>
                    <a:prstGeom prst="rect">
                      <a:avLst/>
                    </a:prstGeom>
                  </pic:spPr>
                </pic:pic>
              </a:graphicData>
            </a:graphic>
          </wp:inline>
        </w:drawing>
      </w:r>
    </w:p>
    <w:p w14:paraId="30BB0E40" w14:textId="77777777" w:rsidR="00D51723" w:rsidRDefault="00D51723" w:rsidP="00441B6F">
      <w:pPr>
        <w:pStyle w:val="Body"/>
        <w:spacing w:after="0"/>
        <w:rPr>
          <w:rFonts w:ascii="Arial" w:hAnsi="Arial" w:cs="Arial"/>
        </w:rPr>
      </w:pPr>
    </w:p>
    <w:p w14:paraId="108584D5" w14:textId="77777777" w:rsidR="00D51723" w:rsidRDefault="00D51723" w:rsidP="00441B6F">
      <w:pPr>
        <w:pStyle w:val="Body"/>
        <w:spacing w:after="0"/>
        <w:rPr>
          <w:rFonts w:ascii="Arial" w:hAnsi="Arial" w:cs="Arial"/>
        </w:rPr>
      </w:pPr>
    </w:p>
    <w:p w14:paraId="1F4282B3" w14:textId="77777777" w:rsidR="00D51723" w:rsidRDefault="00D51723" w:rsidP="00441B6F">
      <w:pPr>
        <w:pStyle w:val="Body"/>
        <w:spacing w:after="0"/>
        <w:rPr>
          <w:rFonts w:ascii="Arial" w:hAnsi="Arial" w:cs="Arial"/>
        </w:rPr>
      </w:pPr>
    </w:p>
    <w:p w14:paraId="7E493037" w14:textId="1A67E4E8" w:rsidR="00D51723" w:rsidRDefault="001F630B" w:rsidP="001F630B">
      <w:pPr>
        <w:pStyle w:val="Body"/>
        <w:spacing w:after="0"/>
        <w:jc w:val="center"/>
        <w:rPr>
          <w:rFonts w:ascii="Arial" w:hAnsi="Arial" w:cs="Arial"/>
        </w:rPr>
      </w:pPr>
      <w:r w:rsidRPr="001F630B">
        <w:rPr>
          <w:rFonts w:ascii="Arial" w:hAnsi="Arial" w:cs="Arial"/>
          <w:b/>
          <w:bCs/>
        </w:rPr>
        <w:t>Figure-4:</w:t>
      </w:r>
      <w:r w:rsidRPr="001F630B">
        <w:rPr>
          <w:rFonts w:ascii="Arial" w:hAnsi="Arial" w:cs="Arial"/>
        </w:rPr>
        <w:t xml:space="preserve"> Structures of alkaloid and spermidine metabolites in safﬂower</w:t>
      </w:r>
    </w:p>
    <w:p w14:paraId="18285B5C" w14:textId="77777777" w:rsidR="00D51723" w:rsidRDefault="00D51723" w:rsidP="001F630B">
      <w:pPr>
        <w:pStyle w:val="Body"/>
        <w:spacing w:after="0"/>
        <w:jc w:val="center"/>
        <w:rPr>
          <w:rFonts w:ascii="Arial" w:hAnsi="Arial" w:cs="Arial"/>
        </w:rPr>
      </w:pPr>
    </w:p>
    <w:p w14:paraId="1ED17195" w14:textId="77777777" w:rsidR="001F630B" w:rsidRDefault="001F630B" w:rsidP="00441B6F">
      <w:pPr>
        <w:pStyle w:val="Body"/>
        <w:spacing w:after="0"/>
        <w:rPr>
          <w:rFonts w:ascii="Arial" w:hAnsi="Arial" w:cs="Arial"/>
        </w:rPr>
        <w:sectPr w:rsidR="001F630B" w:rsidSect="001F630B">
          <w:type w:val="continuous"/>
          <w:pgSz w:w="12240" w:h="15840"/>
          <w:pgMar w:top="1440" w:right="2019" w:bottom="2019" w:left="2019" w:header="720" w:footer="1123" w:gutter="0"/>
          <w:cols w:space="720"/>
          <w:docGrid w:linePitch="272"/>
        </w:sectPr>
      </w:pPr>
    </w:p>
    <w:p w14:paraId="0B931708" w14:textId="6205FB0D" w:rsidR="00D51723" w:rsidRDefault="001F630B" w:rsidP="001F630B">
      <w:pPr>
        <w:pStyle w:val="Body"/>
        <w:jc w:val="center"/>
        <w:rPr>
          <w:rFonts w:ascii="Arial" w:hAnsi="Arial" w:cs="Arial"/>
        </w:rPr>
      </w:pPr>
      <w:r w:rsidRPr="001F630B">
        <w:rPr>
          <w:rFonts w:ascii="Arial" w:hAnsi="Arial" w:cs="Arial"/>
          <w:b/>
          <w:bCs/>
        </w:rPr>
        <w:lastRenderedPageBreak/>
        <w:t>Table-3:</w:t>
      </w:r>
      <w:r w:rsidRPr="001F630B">
        <w:rPr>
          <w:rFonts w:ascii="Arial" w:hAnsi="Arial" w:cs="Arial"/>
        </w:rPr>
        <w:t xml:space="preserve"> Alkaloids and Polyamine-Related Metabolites Reported from </w:t>
      </w:r>
      <w:proofErr w:type="spellStart"/>
      <w:r w:rsidRPr="001F630B">
        <w:rPr>
          <w:rFonts w:ascii="Arial" w:hAnsi="Arial" w:cs="Arial"/>
        </w:rPr>
        <w:t>Carthamus</w:t>
      </w:r>
      <w:proofErr w:type="spellEnd"/>
      <w:r w:rsidRPr="001F630B">
        <w:rPr>
          <w:rFonts w:ascii="Arial" w:hAnsi="Arial" w:cs="Arial"/>
        </w:rPr>
        <w:t xml:space="preserve"> </w:t>
      </w:r>
      <w:proofErr w:type="spellStart"/>
      <w:r w:rsidRPr="001F630B">
        <w:rPr>
          <w:rFonts w:ascii="Arial" w:hAnsi="Arial" w:cs="Arial"/>
        </w:rPr>
        <w:t>tinctorius</w:t>
      </w:r>
      <w:proofErr w:type="spellEnd"/>
      <w:r w:rsidRPr="001F630B">
        <w:rPr>
          <w:rFonts w:ascii="Arial" w:hAnsi="Arial" w:cs="Arial"/>
        </w:rPr>
        <w:t xml:space="preserve"> (Safflower)</w:t>
      </w:r>
    </w:p>
    <w:tbl>
      <w:tblPr>
        <w:tblStyle w:val="TableGrid"/>
        <w:tblW w:w="0" w:type="auto"/>
        <w:tblLook w:val="04A0" w:firstRow="1" w:lastRow="0" w:firstColumn="1" w:lastColumn="0" w:noHBand="0" w:noVBand="1"/>
      </w:tblPr>
      <w:tblGrid>
        <w:gridCol w:w="763"/>
        <w:gridCol w:w="2840"/>
        <w:gridCol w:w="1353"/>
        <w:gridCol w:w="1635"/>
        <w:gridCol w:w="1410"/>
        <w:gridCol w:w="1198"/>
        <w:gridCol w:w="1955"/>
        <w:gridCol w:w="1443"/>
      </w:tblGrid>
      <w:tr w:rsidR="001F630B" w14:paraId="1E84BF63" w14:textId="77777777" w:rsidTr="001F630B">
        <w:trPr>
          <w:trHeight w:val="841"/>
        </w:trPr>
        <w:tc>
          <w:tcPr>
            <w:tcW w:w="852" w:type="dxa"/>
            <w:tcBorders>
              <w:left w:val="nil"/>
              <w:right w:val="nil"/>
            </w:tcBorders>
            <w:vAlign w:val="center"/>
          </w:tcPr>
          <w:p w14:paraId="1A636EC7"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 No</w:t>
            </w:r>
          </w:p>
        </w:tc>
        <w:tc>
          <w:tcPr>
            <w:tcW w:w="3538" w:type="dxa"/>
            <w:tcBorders>
              <w:left w:val="nil"/>
              <w:right w:val="nil"/>
            </w:tcBorders>
            <w:vAlign w:val="center"/>
          </w:tcPr>
          <w:p w14:paraId="739D8309"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Compound designation</w:t>
            </w:r>
          </w:p>
        </w:tc>
        <w:tc>
          <w:tcPr>
            <w:tcW w:w="1417" w:type="dxa"/>
            <w:tcBorders>
              <w:left w:val="nil"/>
              <w:right w:val="nil"/>
            </w:tcBorders>
            <w:vAlign w:val="center"/>
          </w:tcPr>
          <w:p w14:paraId="7CB8D9B1"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Structural core</w:t>
            </w:r>
          </w:p>
        </w:tc>
        <w:tc>
          <w:tcPr>
            <w:tcW w:w="1664" w:type="dxa"/>
            <w:tcBorders>
              <w:left w:val="nil"/>
              <w:right w:val="nil"/>
            </w:tcBorders>
            <w:vAlign w:val="center"/>
          </w:tcPr>
          <w:p w14:paraId="5A844B04"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Key functional substitutions</w:t>
            </w:r>
          </w:p>
        </w:tc>
        <w:tc>
          <w:tcPr>
            <w:tcW w:w="1490" w:type="dxa"/>
            <w:tcBorders>
              <w:left w:val="nil"/>
              <w:right w:val="nil"/>
            </w:tcBorders>
            <w:vAlign w:val="center"/>
          </w:tcPr>
          <w:p w14:paraId="203ED210"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Solvent employed</w:t>
            </w:r>
          </w:p>
        </w:tc>
        <w:tc>
          <w:tcPr>
            <w:tcW w:w="1290" w:type="dxa"/>
            <w:tcBorders>
              <w:left w:val="nil"/>
              <w:right w:val="nil"/>
            </w:tcBorders>
            <w:vAlign w:val="center"/>
          </w:tcPr>
          <w:p w14:paraId="250D8216"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Plant material</w:t>
            </w:r>
          </w:p>
        </w:tc>
        <w:tc>
          <w:tcPr>
            <w:tcW w:w="2036" w:type="dxa"/>
            <w:tcBorders>
              <w:left w:val="nil"/>
              <w:right w:val="nil"/>
            </w:tcBorders>
            <w:vAlign w:val="center"/>
          </w:tcPr>
          <w:p w14:paraId="12444A68"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Analytical characterization</w:t>
            </w:r>
          </w:p>
        </w:tc>
        <w:tc>
          <w:tcPr>
            <w:tcW w:w="1661" w:type="dxa"/>
            <w:tcBorders>
              <w:left w:val="nil"/>
              <w:right w:val="nil"/>
            </w:tcBorders>
            <w:vAlign w:val="center"/>
          </w:tcPr>
          <w:p w14:paraId="60E72509"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Source</w:t>
            </w:r>
          </w:p>
        </w:tc>
      </w:tr>
      <w:tr w:rsidR="001F630B" w14:paraId="23F019AE" w14:textId="77777777" w:rsidTr="001F630B">
        <w:trPr>
          <w:trHeight w:val="454"/>
        </w:trPr>
        <w:tc>
          <w:tcPr>
            <w:tcW w:w="852" w:type="dxa"/>
            <w:tcBorders>
              <w:left w:val="nil"/>
              <w:right w:val="nil"/>
            </w:tcBorders>
            <w:vAlign w:val="center"/>
          </w:tcPr>
          <w:p w14:paraId="65AEE8C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87</w:t>
            </w:r>
          </w:p>
        </w:tc>
        <w:tc>
          <w:tcPr>
            <w:tcW w:w="3538" w:type="dxa"/>
            <w:tcBorders>
              <w:left w:val="nil"/>
              <w:right w:val="nil"/>
            </w:tcBorders>
            <w:vAlign w:val="center"/>
          </w:tcPr>
          <w:p w14:paraId="0224A31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N-(p-Coumaroyl) tryptamine</w:t>
            </w:r>
          </w:p>
        </w:tc>
        <w:tc>
          <w:tcPr>
            <w:tcW w:w="1417" w:type="dxa"/>
            <w:tcBorders>
              <w:left w:val="nil"/>
              <w:right w:val="nil"/>
            </w:tcBorders>
            <w:vAlign w:val="center"/>
          </w:tcPr>
          <w:p w14:paraId="529059F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06D7C7E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1F1BABE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039D7F8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4C31242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144486B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0F7F9D78" w14:textId="77777777" w:rsidTr="001F630B">
        <w:trPr>
          <w:trHeight w:val="454"/>
        </w:trPr>
        <w:tc>
          <w:tcPr>
            <w:tcW w:w="852" w:type="dxa"/>
            <w:tcBorders>
              <w:left w:val="nil"/>
              <w:right w:val="nil"/>
            </w:tcBorders>
            <w:vAlign w:val="center"/>
          </w:tcPr>
          <w:p w14:paraId="4D15F8D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88</w:t>
            </w:r>
          </w:p>
        </w:tc>
        <w:tc>
          <w:tcPr>
            <w:tcW w:w="3538" w:type="dxa"/>
            <w:tcBorders>
              <w:left w:val="nil"/>
              <w:right w:val="nil"/>
            </w:tcBorders>
            <w:vAlign w:val="center"/>
          </w:tcPr>
          <w:p w14:paraId="5EF7EE4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w:t>
            </w:r>
            <w:proofErr w:type="spellStart"/>
            <w:r w:rsidRPr="001F630B">
              <w:rPr>
                <w:rFonts w:ascii="Arial" w:eastAsia="Times New Roman" w:hAnsi="Arial" w:cs="Arial"/>
                <w:sz w:val="20"/>
                <w:szCs w:val="20"/>
              </w:rPr>
              <w:t>Feruloyltryptamine</w:t>
            </w:r>
            <w:proofErr w:type="spellEnd"/>
          </w:p>
        </w:tc>
        <w:tc>
          <w:tcPr>
            <w:tcW w:w="1417" w:type="dxa"/>
            <w:tcBorders>
              <w:left w:val="nil"/>
              <w:right w:val="nil"/>
            </w:tcBorders>
            <w:vAlign w:val="center"/>
          </w:tcPr>
          <w:p w14:paraId="687DE1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4041E4E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3AF7BBE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4CF1418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E6C788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025845E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5181627C" w14:textId="77777777" w:rsidTr="001F630B">
        <w:trPr>
          <w:trHeight w:val="454"/>
        </w:trPr>
        <w:tc>
          <w:tcPr>
            <w:tcW w:w="852" w:type="dxa"/>
            <w:tcBorders>
              <w:left w:val="nil"/>
              <w:right w:val="nil"/>
            </w:tcBorders>
            <w:vAlign w:val="center"/>
          </w:tcPr>
          <w:p w14:paraId="2DC8CE8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89</w:t>
            </w:r>
          </w:p>
        </w:tc>
        <w:tc>
          <w:tcPr>
            <w:tcW w:w="3538" w:type="dxa"/>
            <w:tcBorders>
              <w:left w:val="nil"/>
              <w:right w:val="nil"/>
            </w:tcBorders>
            <w:vAlign w:val="center"/>
          </w:tcPr>
          <w:p w14:paraId="0BA8CC6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N-[2-(5-Hydroxy-1H-indol-3-</w:t>
            </w:r>
            <w:proofErr w:type="gramStart"/>
            <w:r w:rsidRPr="001F630B">
              <w:rPr>
                <w:rFonts w:ascii="Arial" w:eastAsia="Times New Roman" w:hAnsi="Arial" w:cs="Arial"/>
                <w:sz w:val="20"/>
                <w:szCs w:val="20"/>
              </w:rPr>
              <w:t>yl)ethyl</w:t>
            </w:r>
            <w:proofErr w:type="gramEnd"/>
            <w:r w:rsidRPr="001F630B">
              <w:rPr>
                <w:rFonts w:ascii="Arial" w:eastAsia="Times New Roman" w:hAnsi="Arial" w:cs="Arial"/>
                <w:sz w:val="20"/>
                <w:szCs w:val="20"/>
              </w:rPr>
              <w:t>]-p-</w:t>
            </w:r>
            <w:proofErr w:type="spellStart"/>
            <w:r w:rsidRPr="001F630B">
              <w:rPr>
                <w:rFonts w:ascii="Arial" w:eastAsia="Times New Roman" w:hAnsi="Arial" w:cs="Arial"/>
                <w:sz w:val="20"/>
                <w:szCs w:val="20"/>
              </w:rPr>
              <w:t>coumaramide</w:t>
            </w:r>
            <w:proofErr w:type="spellEnd"/>
          </w:p>
        </w:tc>
        <w:tc>
          <w:tcPr>
            <w:tcW w:w="1417" w:type="dxa"/>
            <w:tcBorders>
              <w:left w:val="nil"/>
              <w:right w:val="nil"/>
            </w:tcBorders>
            <w:vAlign w:val="center"/>
          </w:tcPr>
          <w:p w14:paraId="65B6EC8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359BDD3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3782645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205043E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42490C9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0775E9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2735E516" w14:textId="77777777" w:rsidTr="001F630B">
        <w:trPr>
          <w:trHeight w:val="454"/>
        </w:trPr>
        <w:tc>
          <w:tcPr>
            <w:tcW w:w="852" w:type="dxa"/>
            <w:tcBorders>
              <w:left w:val="nil"/>
              <w:right w:val="nil"/>
            </w:tcBorders>
            <w:vAlign w:val="center"/>
          </w:tcPr>
          <w:p w14:paraId="6BAC180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90</w:t>
            </w:r>
          </w:p>
        </w:tc>
        <w:tc>
          <w:tcPr>
            <w:tcW w:w="3538" w:type="dxa"/>
            <w:tcBorders>
              <w:left w:val="nil"/>
              <w:right w:val="nil"/>
            </w:tcBorders>
            <w:vAlign w:val="center"/>
          </w:tcPr>
          <w:p w14:paraId="4422640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N-[2-(5-Hydroxy-1H-indol-3-</w:t>
            </w:r>
            <w:proofErr w:type="gramStart"/>
            <w:r w:rsidRPr="001F630B">
              <w:rPr>
                <w:rFonts w:ascii="Arial" w:eastAsia="Times New Roman" w:hAnsi="Arial" w:cs="Arial"/>
                <w:sz w:val="20"/>
                <w:szCs w:val="20"/>
              </w:rPr>
              <w:t>yl)ethyl</w:t>
            </w:r>
            <w:proofErr w:type="gramEnd"/>
            <w:r w:rsidRPr="001F630B">
              <w:rPr>
                <w:rFonts w:ascii="Arial" w:eastAsia="Times New Roman" w:hAnsi="Arial" w:cs="Arial"/>
                <w:sz w:val="20"/>
                <w:szCs w:val="20"/>
              </w:rPr>
              <w:t>]-</w:t>
            </w:r>
            <w:proofErr w:type="spellStart"/>
            <w:r w:rsidRPr="001F630B">
              <w:rPr>
                <w:rFonts w:ascii="Arial" w:eastAsia="Times New Roman" w:hAnsi="Arial" w:cs="Arial"/>
                <w:sz w:val="20"/>
                <w:szCs w:val="20"/>
              </w:rPr>
              <w:t>ferulamide</w:t>
            </w:r>
            <w:proofErr w:type="spellEnd"/>
          </w:p>
        </w:tc>
        <w:tc>
          <w:tcPr>
            <w:tcW w:w="1417" w:type="dxa"/>
            <w:tcBorders>
              <w:left w:val="nil"/>
              <w:right w:val="nil"/>
            </w:tcBorders>
            <w:vAlign w:val="center"/>
          </w:tcPr>
          <w:p w14:paraId="7663AC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68CB08F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5024D5B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30276E0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73B3C96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534207E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3D3CFB08" w14:textId="77777777" w:rsidTr="001F630B">
        <w:trPr>
          <w:trHeight w:val="454"/>
        </w:trPr>
        <w:tc>
          <w:tcPr>
            <w:tcW w:w="852" w:type="dxa"/>
            <w:tcBorders>
              <w:left w:val="nil"/>
              <w:right w:val="nil"/>
            </w:tcBorders>
            <w:vAlign w:val="center"/>
          </w:tcPr>
          <w:p w14:paraId="59A251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91</w:t>
            </w:r>
          </w:p>
        </w:tc>
        <w:tc>
          <w:tcPr>
            <w:tcW w:w="3538" w:type="dxa"/>
            <w:tcBorders>
              <w:left w:val="nil"/>
              <w:right w:val="nil"/>
            </w:tcBorders>
            <w:vAlign w:val="center"/>
          </w:tcPr>
          <w:p w14:paraId="4318247E" w14:textId="77777777" w:rsidR="001F630B" w:rsidRPr="001F630B" w:rsidRDefault="001F630B" w:rsidP="007D1F19">
            <w:pPr>
              <w:pStyle w:val="BodyText"/>
              <w:ind w:right="140"/>
              <w:jc w:val="center"/>
              <w:rPr>
                <w:rFonts w:ascii="Arial" w:eastAsia="Times New Roman" w:hAnsi="Arial" w:cs="Arial"/>
                <w:sz w:val="20"/>
                <w:szCs w:val="20"/>
              </w:rPr>
            </w:pPr>
            <w:proofErr w:type="gramStart"/>
            <w:r w:rsidRPr="001F630B">
              <w:rPr>
                <w:rFonts w:ascii="Arial" w:eastAsia="Times New Roman" w:hAnsi="Arial" w:cs="Arial"/>
                <w:i/>
                <w:iCs/>
                <w:sz w:val="20"/>
                <w:szCs w:val="20"/>
              </w:rPr>
              <w:t>N,N</w:t>
            </w:r>
            <w:proofErr w:type="gramEnd"/>
            <w:r w:rsidRPr="001F630B">
              <w:rPr>
                <w:rFonts w:ascii="Arial" w:eastAsia="Times New Roman" w:hAnsi="Arial" w:cs="Arial"/>
                <w:i/>
                <w:iCs/>
                <w:sz w:val="20"/>
                <w:szCs w:val="20"/>
              </w:rPr>
              <w:t>′-[2,2′-(5,5′-Dihydroxy-4,4′-bi-1H-indol-3,3′-yl)ethyl]-di-p-coumaramide</w:t>
            </w:r>
          </w:p>
        </w:tc>
        <w:tc>
          <w:tcPr>
            <w:tcW w:w="1417" w:type="dxa"/>
            <w:tcBorders>
              <w:left w:val="nil"/>
              <w:right w:val="nil"/>
            </w:tcBorders>
            <w:vAlign w:val="center"/>
          </w:tcPr>
          <w:p w14:paraId="103CC91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06FB76F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w:t>
            </w:r>
            <w:proofErr w:type="spellStart"/>
            <w:r w:rsidRPr="001F630B">
              <w:rPr>
                <w:rFonts w:ascii="Arial" w:eastAsia="Times New Roman" w:hAnsi="Arial" w:cs="Arial"/>
                <w:sz w:val="20"/>
                <w:szCs w:val="20"/>
              </w:rPr>
              <w:t>Glc</w:t>
            </w:r>
            <w:proofErr w:type="spellEnd"/>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780F7BA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507B00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2F8C7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6D17985C"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sz w:val="20"/>
                <w:szCs w:val="20"/>
              </w:rPr>
              <w:t>Sakamura</w:t>
            </w:r>
            <w:proofErr w:type="spellEnd"/>
            <w:r w:rsidRPr="001F630B">
              <w:rPr>
                <w:rFonts w:ascii="Arial" w:eastAsia="Times New Roman" w:hAnsi="Arial" w:cs="Arial"/>
                <w:sz w:val="20"/>
                <w:szCs w:val="20"/>
              </w:rPr>
              <w:t xml:space="preserve"> et al., 1980</w:t>
            </w:r>
          </w:p>
        </w:tc>
      </w:tr>
      <w:tr w:rsidR="001F630B" w14:paraId="7FDA0BF6" w14:textId="77777777" w:rsidTr="001F630B">
        <w:trPr>
          <w:trHeight w:val="454"/>
        </w:trPr>
        <w:tc>
          <w:tcPr>
            <w:tcW w:w="852" w:type="dxa"/>
            <w:tcBorders>
              <w:left w:val="nil"/>
              <w:right w:val="nil"/>
            </w:tcBorders>
            <w:vAlign w:val="center"/>
          </w:tcPr>
          <w:p w14:paraId="6777344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92</w:t>
            </w:r>
          </w:p>
        </w:tc>
        <w:tc>
          <w:tcPr>
            <w:tcW w:w="3538" w:type="dxa"/>
            <w:tcBorders>
              <w:left w:val="nil"/>
              <w:right w:val="nil"/>
            </w:tcBorders>
            <w:vAlign w:val="center"/>
          </w:tcPr>
          <w:p w14:paraId="631C6CF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N-[2-[3′-[2-(p-</w:t>
            </w:r>
            <w:proofErr w:type="gramStart"/>
            <w:r w:rsidRPr="001F630B">
              <w:rPr>
                <w:rFonts w:ascii="Arial" w:eastAsia="Times New Roman" w:hAnsi="Arial" w:cs="Arial"/>
                <w:i/>
                <w:iCs/>
                <w:sz w:val="20"/>
                <w:szCs w:val="20"/>
              </w:rPr>
              <w:t>Coumaramide)ethyl</w:t>
            </w:r>
            <w:proofErr w:type="gramEnd"/>
            <w:r w:rsidRPr="001F630B">
              <w:rPr>
                <w:rFonts w:ascii="Arial" w:eastAsia="Times New Roman" w:hAnsi="Arial" w:cs="Arial"/>
                <w:i/>
                <w:iCs/>
                <w:sz w:val="20"/>
                <w:szCs w:val="20"/>
              </w:rPr>
              <w:t xml:space="preserve">]-5,5′-dihydroxy-4,4′-bi-1H-indol-3-yl]ethyl] </w:t>
            </w:r>
            <w:proofErr w:type="spellStart"/>
            <w:r w:rsidRPr="001F630B">
              <w:rPr>
                <w:rFonts w:ascii="Arial" w:eastAsia="Times New Roman" w:hAnsi="Arial" w:cs="Arial"/>
                <w:i/>
                <w:iCs/>
                <w:sz w:val="20"/>
                <w:szCs w:val="20"/>
              </w:rPr>
              <w:t>ferulamide</w:t>
            </w:r>
            <w:proofErr w:type="spellEnd"/>
          </w:p>
        </w:tc>
        <w:tc>
          <w:tcPr>
            <w:tcW w:w="1417" w:type="dxa"/>
            <w:tcBorders>
              <w:left w:val="nil"/>
              <w:right w:val="nil"/>
            </w:tcBorders>
            <w:vAlign w:val="center"/>
          </w:tcPr>
          <w:p w14:paraId="548E1BC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6ACC4A0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w:t>
            </w:r>
            <w:proofErr w:type="spellStart"/>
            <w:r w:rsidRPr="001F630B">
              <w:rPr>
                <w:rFonts w:ascii="Arial" w:eastAsia="Times New Roman" w:hAnsi="Arial" w:cs="Arial"/>
                <w:sz w:val="20"/>
                <w:szCs w:val="20"/>
              </w:rPr>
              <w:t>Glc</w:t>
            </w:r>
            <w:proofErr w:type="spellEnd"/>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3A41CDB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97E664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125DE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34CEE2A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Zhang J. et al., 2018a</w:t>
            </w:r>
          </w:p>
        </w:tc>
      </w:tr>
      <w:tr w:rsidR="001F630B" w14:paraId="45DA8B13" w14:textId="77777777" w:rsidTr="001F630B">
        <w:trPr>
          <w:trHeight w:val="454"/>
        </w:trPr>
        <w:tc>
          <w:tcPr>
            <w:tcW w:w="852" w:type="dxa"/>
            <w:tcBorders>
              <w:left w:val="nil"/>
              <w:right w:val="nil"/>
            </w:tcBorders>
            <w:vAlign w:val="center"/>
          </w:tcPr>
          <w:p w14:paraId="6B09E0C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93</w:t>
            </w:r>
          </w:p>
        </w:tc>
        <w:tc>
          <w:tcPr>
            <w:tcW w:w="3538" w:type="dxa"/>
            <w:tcBorders>
              <w:left w:val="nil"/>
              <w:right w:val="nil"/>
            </w:tcBorders>
            <w:vAlign w:val="center"/>
          </w:tcPr>
          <w:p w14:paraId="7500978A" w14:textId="77777777" w:rsidR="001F630B" w:rsidRPr="001F630B" w:rsidRDefault="001F630B" w:rsidP="007D1F19">
            <w:pPr>
              <w:pStyle w:val="BodyText"/>
              <w:ind w:right="140"/>
              <w:jc w:val="center"/>
              <w:rPr>
                <w:rFonts w:ascii="Arial" w:eastAsia="Times New Roman" w:hAnsi="Arial" w:cs="Arial"/>
                <w:sz w:val="20"/>
                <w:szCs w:val="20"/>
              </w:rPr>
            </w:pPr>
            <w:proofErr w:type="gramStart"/>
            <w:r w:rsidRPr="001F630B">
              <w:rPr>
                <w:rFonts w:ascii="Arial" w:eastAsia="Times New Roman" w:hAnsi="Arial" w:cs="Arial"/>
                <w:i/>
                <w:iCs/>
                <w:sz w:val="20"/>
                <w:szCs w:val="20"/>
              </w:rPr>
              <w:t>N,N</w:t>
            </w:r>
            <w:proofErr w:type="gramEnd"/>
            <w:r w:rsidRPr="001F630B">
              <w:rPr>
                <w:rFonts w:ascii="Arial" w:eastAsia="Times New Roman" w:hAnsi="Arial" w:cs="Arial"/>
                <w:i/>
                <w:iCs/>
                <w:sz w:val="20"/>
                <w:szCs w:val="20"/>
              </w:rPr>
              <w:t>′-[2,2′-(5,5′-Dihydroxy-4,4′-bi-1H-indol-3,3′-yl)diethyl]-diferulamide</w:t>
            </w:r>
          </w:p>
        </w:tc>
        <w:tc>
          <w:tcPr>
            <w:tcW w:w="1417" w:type="dxa"/>
            <w:tcBorders>
              <w:left w:val="nil"/>
              <w:right w:val="nil"/>
            </w:tcBorders>
            <w:vAlign w:val="center"/>
          </w:tcPr>
          <w:p w14:paraId="32C28F5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6D016FA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6B24D68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7F46948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1BD657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69E9B53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11C78A84" w14:textId="77777777" w:rsidTr="001F630B">
        <w:trPr>
          <w:trHeight w:val="454"/>
        </w:trPr>
        <w:tc>
          <w:tcPr>
            <w:tcW w:w="852" w:type="dxa"/>
            <w:tcBorders>
              <w:left w:val="nil"/>
              <w:right w:val="nil"/>
            </w:tcBorders>
            <w:vAlign w:val="center"/>
          </w:tcPr>
          <w:p w14:paraId="6C162E4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94</w:t>
            </w:r>
          </w:p>
        </w:tc>
        <w:tc>
          <w:tcPr>
            <w:tcW w:w="3538" w:type="dxa"/>
            <w:tcBorders>
              <w:left w:val="nil"/>
              <w:right w:val="nil"/>
            </w:tcBorders>
            <w:vAlign w:val="center"/>
          </w:tcPr>
          <w:p w14:paraId="29FADDA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N-[2-[5-(β-D-</w:t>
            </w:r>
            <w:proofErr w:type="spellStart"/>
            <w:r w:rsidRPr="001F630B">
              <w:rPr>
                <w:rFonts w:ascii="Arial" w:eastAsia="Times New Roman" w:hAnsi="Arial" w:cs="Arial"/>
                <w:i/>
                <w:iCs/>
                <w:sz w:val="20"/>
                <w:szCs w:val="20"/>
              </w:rPr>
              <w:t>Glucosyloxy</w:t>
            </w:r>
            <w:proofErr w:type="spellEnd"/>
            <w:r w:rsidRPr="001F630B">
              <w:rPr>
                <w:rFonts w:ascii="Arial" w:eastAsia="Times New Roman" w:hAnsi="Arial" w:cs="Arial"/>
                <w:i/>
                <w:iCs/>
                <w:sz w:val="20"/>
                <w:szCs w:val="20"/>
              </w:rPr>
              <w:t>)-1H-indol-3-</w:t>
            </w:r>
            <w:proofErr w:type="gramStart"/>
            <w:r w:rsidRPr="001F630B">
              <w:rPr>
                <w:rFonts w:ascii="Arial" w:eastAsia="Times New Roman" w:hAnsi="Arial" w:cs="Arial"/>
                <w:i/>
                <w:iCs/>
                <w:sz w:val="20"/>
                <w:szCs w:val="20"/>
              </w:rPr>
              <w:t>yl]ethyl</w:t>
            </w:r>
            <w:proofErr w:type="gramEnd"/>
            <w:r w:rsidRPr="001F630B">
              <w:rPr>
                <w:rFonts w:ascii="Arial" w:eastAsia="Times New Roman" w:hAnsi="Arial" w:cs="Arial"/>
                <w:i/>
                <w:iCs/>
                <w:sz w:val="20"/>
                <w:szCs w:val="20"/>
              </w:rPr>
              <w:t>]-p-</w:t>
            </w:r>
            <w:proofErr w:type="spellStart"/>
            <w:r w:rsidRPr="001F630B">
              <w:rPr>
                <w:rFonts w:ascii="Arial" w:eastAsia="Times New Roman" w:hAnsi="Arial" w:cs="Arial"/>
                <w:i/>
                <w:iCs/>
                <w:sz w:val="20"/>
                <w:szCs w:val="20"/>
              </w:rPr>
              <w:t>coumaramide</w:t>
            </w:r>
            <w:proofErr w:type="spellEnd"/>
          </w:p>
        </w:tc>
        <w:tc>
          <w:tcPr>
            <w:tcW w:w="1417" w:type="dxa"/>
            <w:tcBorders>
              <w:left w:val="nil"/>
              <w:right w:val="nil"/>
            </w:tcBorders>
            <w:vAlign w:val="center"/>
          </w:tcPr>
          <w:p w14:paraId="1815DA1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195C3AF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024FA9D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4533843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463BCB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HR-FAB-MS</w:t>
            </w:r>
          </w:p>
        </w:tc>
        <w:tc>
          <w:tcPr>
            <w:tcW w:w="1661" w:type="dxa"/>
            <w:tcBorders>
              <w:left w:val="nil"/>
              <w:right w:val="nil"/>
            </w:tcBorders>
            <w:vAlign w:val="center"/>
          </w:tcPr>
          <w:p w14:paraId="614AE88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5F412055" w14:textId="77777777" w:rsidTr="001F630B">
        <w:trPr>
          <w:trHeight w:val="454"/>
        </w:trPr>
        <w:tc>
          <w:tcPr>
            <w:tcW w:w="852" w:type="dxa"/>
            <w:tcBorders>
              <w:left w:val="nil"/>
              <w:right w:val="nil"/>
            </w:tcBorders>
            <w:vAlign w:val="center"/>
          </w:tcPr>
          <w:p w14:paraId="2F19AD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95</w:t>
            </w:r>
          </w:p>
        </w:tc>
        <w:tc>
          <w:tcPr>
            <w:tcW w:w="3538" w:type="dxa"/>
            <w:tcBorders>
              <w:left w:val="nil"/>
              <w:right w:val="nil"/>
            </w:tcBorders>
            <w:vAlign w:val="center"/>
          </w:tcPr>
          <w:p w14:paraId="070F3BB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N-[2-[5-(β-D-</w:t>
            </w:r>
            <w:proofErr w:type="spellStart"/>
            <w:r w:rsidRPr="001F630B">
              <w:rPr>
                <w:rFonts w:ascii="Arial" w:eastAsia="Times New Roman" w:hAnsi="Arial" w:cs="Arial"/>
                <w:i/>
                <w:iCs/>
                <w:sz w:val="20"/>
                <w:szCs w:val="20"/>
              </w:rPr>
              <w:t>Glucosyloxy</w:t>
            </w:r>
            <w:proofErr w:type="spellEnd"/>
            <w:r w:rsidRPr="001F630B">
              <w:rPr>
                <w:rFonts w:ascii="Arial" w:eastAsia="Times New Roman" w:hAnsi="Arial" w:cs="Arial"/>
                <w:i/>
                <w:iCs/>
                <w:sz w:val="20"/>
                <w:szCs w:val="20"/>
              </w:rPr>
              <w:t>)-1H-indol-3-</w:t>
            </w:r>
            <w:proofErr w:type="gramStart"/>
            <w:r w:rsidRPr="001F630B">
              <w:rPr>
                <w:rFonts w:ascii="Arial" w:eastAsia="Times New Roman" w:hAnsi="Arial" w:cs="Arial"/>
                <w:i/>
                <w:iCs/>
                <w:sz w:val="20"/>
                <w:szCs w:val="20"/>
              </w:rPr>
              <w:t>yl]ethyl</w:t>
            </w:r>
            <w:proofErr w:type="gramEnd"/>
            <w:r w:rsidRPr="001F630B">
              <w:rPr>
                <w:rFonts w:ascii="Arial" w:eastAsia="Times New Roman" w:hAnsi="Arial" w:cs="Arial"/>
                <w:i/>
                <w:iCs/>
                <w:sz w:val="20"/>
                <w:szCs w:val="20"/>
              </w:rPr>
              <w:t xml:space="preserve">] </w:t>
            </w:r>
            <w:proofErr w:type="spellStart"/>
            <w:r w:rsidRPr="001F630B">
              <w:rPr>
                <w:rFonts w:ascii="Arial" w:eastAsia="Times New Roman" w:hAnsi="Arial" w:cs="Arial"/>
                <w:i/>
                <w:iCs/>
                <w:sz w:val="20"/>
                <w:szCs w:val="20"/>
              </w:rPr>
              <w:t>ferulamide</w:t>
            </w:r>
            <w:proofErr w:type="spellEnd"/>
          </w:p>
        </w:tc>
        <w:tc>
          <w:tcPr>
            <w:tcW w:w="1417" w:type="dxa"/>
            <w:tcBorders>
              <w:left w:val="nil"/>
              <w:right w:val="nil"/>
            </w:tcBorders>
            <w:vAlign w:val="center"/>
          </w:tcPr>
          <w:p w14:paraId="6E73677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5C5668E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7A04144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989D8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83EE84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HR-FAB-MS</w:t>
            </w:r>
          </w:p>
        </w:tc>
        <w:tc>
          <w:tcPr>
            <w:tcW w:w="1661" w:type="dxa"/>
            <w:tcBorders>
              <w:left w:val="nil"/>
              <w:right w:val="nil"/>
            </w:tcBorders>
            <w:vAlign w:val="center"/>
          </w:tcPr>
          <w:p w14:paraId="7061492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2673DEBE" w14:textId="77777777" w:rsidTr="001F630B">
        <w:trPr>
          <w:trHeight w:val="454"/>
        </w:trPr>
        <w:tc>
          <w:tcPr>
            <w:tcW w:w="852" w:type="dxa"/>
            <w:tcBorders>
              <w:left w:val="nil"/>
              <w:right w:val="nil"/>
            </w:tcBorders>
            <w:vAlign w:val="center"/>
          </w:tcPr>
          <w:p w14:paraId="608246C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96</w:t>
            </w:r>
          </w:p>
        </w:tc>
        <w:tc>
          <w:tcPr>
            <w:tcW w:w="3538" w:type="dxa"/>
            <w:tcBorders>
              <w:left w:val="nil"/>
              <w:right w:val="nil"/>
            </w:tcBorders>
            <w:vAlign w:val="center"/>
          </w:tcPr>
          <w:p w14:paraId="00E126D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4,4″-bis(N-p-</w:t>
            </w:r>
            <w:proofErr w:type="gramStart"/>
            <w:r w:rsidRPr="001F630B">
              <w:rPr>
                <w:rFonts w:ascii="Arial" w:eastAsia="Times New Roman" w:hAnsi="Arial" w:cs="Arial"/>
                <w:i/>
                <w:iCs/>
                <w:sz w:val="20"/>
                <w:szCs w:val="20"/>
              </w:rPr>
              <w:t>Coumaroyl)serotonin</w:t>
            </w:r>
            <w:proofErr w:type="gramEnd"/>
          </w:p>
        </w:tc>
        <w:tc>
          <w:tcPr>
            <w:tcW w:w="1417" w:type="dxa"/>
            <w:tcBorders>
              <w:left w:val="nil"/>
              <w:right w:val="nil"/>
            </w:tcBorders>
            <w:vAlign w:val="center"/>
          </w:tcPr>
          <w:p w14:paraId="589BDF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6EEB189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4C1B175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465B77B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3E0B8A4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5BC4C2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AAB3612" w14:textId="77777777" w:rsidTr="001F630B">
        <w:trPr>
          <w:trHeight w:val="454"/>
        </w:trPr>
        <w:tc>
          <w:tcPr>
            <w:tcW w:w="852" w:type="dxa"/>
            <w:tcBorders>
              <w:left w:val="nil"/>
              <w:right w:val="nil"/>
            </w:tcBorders>
            <w:vAlign w:val="center"/>
          </w:tcPr>
          <w:p w14:paraId="4634E5A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97</w:t>
            </w:r>
          </w:p>
        </w:tc>
        <w:tc>
          <w:tcPr>
            <w:tcW w:w="3538" w:type="dxa"/>
            <w:tcBorders>
              <w:left w:val="nil"/>
              <w:right w:val="nil"/>
            </w:tcBorders>
            <w:vAlign w:val="center"/>
          </w:tcPr>
          <w:p w14:paraId="765C291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4-[N-(p-</w:t>
            </w:r>
            <w:proofErr w:type="gramStart"/>
            <w:r w:rsidRPr="001F630B">
              <w:rPr>
                <w:rFonts w:ascii="Arial" w:eastAsia="Times New Roman" w:hAnsi="Arial" w:cs="Arial"/>
                <w:i/>
                <w:iCs/>
                <w:sz w:val="20"/>
                <w:szCs w:val="20"/>
              </w:rPr>
              <w:t>Coumaroyl)serotonin</w:t>
            </w:r>
            <w:proofErr w:type="gramEnd"/>
            <w:r w:rsidRPr="001F630B">
              <w:rPr>
                <w:rFonts w:ascii="Arial" w:eastAsia="Times New Roman" w:hAnsi="Arial" w:cs="Arial"/>
                <w:i/>
                <w:iCs/>
                <w:sz w:val="20"/>
                <w:szCs w:val="20"/>
              </w:rPr>
              <w:t>-4″-</w:t>
            </w:r>
            <w:proofErr w:type="spellStart"/>
            <w:r w:rsidRPr="001F630B">
              <w:rPr>
                <w:rFonts w:ascii="Arial" w:eastAsia="Times New Roman" w:hAnsi="Arial" w:cs="Arial"/>
                <w:i/>
                <w:iCs/>
                <w:sz w:val="20"/>
                <w:szCs w:val="20"/>
              </w:rPr>
              <w:t>yl</w:t>
            </w:r>
            <w:proofErr w:type="spellEnd"/>
            <w:r w:rsidRPr="001F630B">
              <w:rPr>
                <w:rFonts w:ascii="Arial" w:eastAsia="Times New Roman" w:hAnsi="Arial" w:cs="Arial"/>
                <w:i/>
                <w:iCs/>
                <w:sz w:val="20"/>
                <w:szCs w:val="20"/>
              </w:rPr>
              <w:t>]-N-</w:t>
            </w:r>
            <w:proofErr w:type="spellStart"/>
            <w:r w:rsidRPr="001F630B">
              <w:rPr>
                <w:rFonts w:ascii="Arial" w:eastAsia="Times New Roman" w:hAnsi="Arial" w:cs="Arial"/>
                <w:i/>
                <w:iCs/>
                <w:sz w:val="20"/>
                <w:szCs w:val="20"/>
              </w:rPr>
              <w:t>feruloylserotonin</w:t>
            </w:r>
            <w:proofErr w:type="spellEnd"/>
          </w:p>
        </w:tc>
        <w:tc>
          <w:tcPr>
            <w:tcW w:w="1417" w:type="dxa"/>
            <w:tcBorders>
              <w:left w:val="nil"/>
              <w:right w:val="nil"/>
            </w:tcBorders>
            <w:vAlign w:val="center"/>
          </w:tcPr>
          <w:p w14:paraId="48A037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45798C1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62FFE78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0E62277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6900E7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3F88B59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0FCEFDD" w14:textId="77777777" w:rsidTr="001F630B">
        <w:trPr>
          <w:trHeight w:val="454"/>
        </w:trPr>
        <w:tc>
          <w:tcPr>
            <w:tcW w:w="852" w:type="dxa"/>
            <w:tcBorders>
              <w:left w:val="nil"/>
              <w:right w:val="nil"/>
            </w:tcBorders>
            <w:vAlign w:val="center"/>
          </w:tcPr>
          <w:p w14:paraId="1546570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98</w:t>
            </w:r>
          </w:p>
        </w:tc>
        <w:tc>
          <w:tcPr>
            <w:tcW w:w="3538" w:type="dxa"/>
            <w:tcBorders>
              <w:left w:val="nil"/>
              <w:right w:val="nil"/>
            </w:tcBorders>
            <w:vAlign w:val="center"/>
          </w:tcPr>
          <w:p w14:paraId="4685CFE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4,4″-bis(N-p-</w:t>
            </w:r>
            <w:proofErr w:type="gramStart"/>
            <w:r w:rsidRPr="001F630B">
              <w:rPr>
                <w:rFonts w:ascii="Arial" w:eastAsia="Times New Roman" w:hAnsi="Arial" w:cs="Arial"/>
                <w:i/>
                <w:iCs/>
                <w:sz w:val="20"/>
                <w:szCs w:val="20"/>
              </w:rPr>
              <w:t>Feruloyl)serotonin</w:t>
            </w:r>
            <w:proofErr w:type="gramEnd"/>
          </w:p>
        </w:tc>
        <w:tc>
          <w:tcPr>
            <w:tcW w:w="1417" w:type="dxa"/>
            <w:tcBorders>
              <w:left w:val="nil"/>
              <w:right w:val="nil"/>
            </w:tcBorders>
            <w:vAlign w:val="center"/>
          </w:tcPr>
          <w:p w14:paraId="1685D6B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278BFA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400BA7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1A13086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7369AA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34D8ECB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2C16CD0" w14:textId="77777777" w:rsidTr="001F630B">
        <w:trPr>
          <w:trHeight w:val="454"/>
        </w:trPr>
        <w:tc>
          <w:tcPr>
            <w:tcW w:w="852" w:type="dxa"/>
            <w:tcBorders>
              <w:left w:val="nil"/>
              <w:right w:val="nil"/>
            </w:tcBorders>
            <w:vAlign w:val="center"/>
          </w:tcPr>
          <w:p w14:paraId="028A8F3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99</w:t>
            </w:r>
          </w:p>
        </w:tc>
        <w:tc>
          <w:tcPr>
            <w:tcW w:w="3538" w:type="dxa"/>
            <w:tcBorders>
              <w:left w:val="nil"/>
              <w:right w:val="nil"/>
            </w:tcBorders>
            <w:vAlign w:val="center"/>
          </w:tcPr>
          <w:p w14:paraId="18A3C3C3"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Serotobenine</w:t>
            </w:r>
            <w:proofErr w:type="spellEnd"/>
          </w:p>
        </w:tc>
        <w:tc>
          <w:tcPr>
            <w:tcW w:w="1417" w:type="dxa"/>
            <w:tcBorders>
              <w:left w:val="nil"/>
              <w:right w:val="nil"/>
            </w:tcBorders>
            <w:vAlign w:val="center"/>
          </w:tcPr>
          <w:p w14:paraId="5D99CBF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7032B62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6483029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1106F74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484C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17A7284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Zhang J. et al., 2018a</w:t>
            </w:r>
          </w:p>
        </w:tc>
      </w:tr>
      <w:tr w:rsidR="001F630B" w14:paraId="26558ED6" w14:textId="77777777" w:rsidTr="001F630B">
        <w:trPr>
          <w:trHeight w:val="454"/>
        </w:trPr>
        <w:tc>
          <w:tcPr>
            <w:tcW w:w="852" w:type="dxa"/>
            <w:tcBorders>
              <w:left w:val="nil"/>
              <w:right w:val="nil"/>
            </w:tcBorders>
            <w:vAlign w:val="center"/>
          </w:tcPr>
          <w:p w14:paraId="5178177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100</w:t>
            </w:r>
          </w:p>
        </w:tc>
        <w:tc>
          <w:tcPr>
            <w:tcW w:w="3538" w:type="dxa"/>
            <w:tcBorders>
              <w:left w:val="nil"/>
              <w:right w:val="nil"/>
            </w:tcBorders>
            <w:vAlign w:val="center"/>
          </w:tcPr>
          <w:p w14:paraId="0728268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Uridine</w:t>
            </w:r>
          </w:p>
        </w:tc>
        <w:tc>
          <w:tcPr>
            <w:tcW w:w="1417" w:type="dxa"/>
            <w:tcBorders>
              <w:left w:val="nil"/>
              <w:right w:val="nil"/>
            </w:tcBorders>
            <w:vAlign w:val="center"/>
          </w:tcPr>
          <w:p w14:paraId="2A5A65F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690701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CCC029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498BF80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Aerial tissues</w:t>
            </w:r>
          </w:p>
        </w:tc>
        <w:tc>
          <w:tcPr>
            <w:tcW w:w="2036" w:type="dxa"/>
            <w:tcBorders>
              <w:left w:val="nil"/>
              <w:right w:val="nil"/>
            </w:tcBorders>
            <w:vAlign w:val="center"/>
          </w:tcPr>
          <w:p w14:paraId="19B60B1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77D44B3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1A8063F1" w14:textId="77777777" w:rsidTr="001F630B">
        <w:trPr>
          <w:trHeight w:val="454"/>
        </w:trPr>
        <w:tc>
          <w:tcPr>
            <w:tcW w:w="852" w:type="dxa"/>
            <w:tcBorders>
              <w:left w:val="nil"/>
              <w:right w:val="nil"/>
            </w:tcBorders>
            <w:vAlign w:val="center"/>
          </w:tcPr>
          <w:p w14:paraId="3B55814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101</w:t>
            </w:r>
          </w:p>
        </w:tc>
        <w:tc>
          <w:tcPr>
            <w:tcW w:w="3538" w:type="dxa"/>
            <w:tcBorders>
              <w:left w:val="nil"/>
              <w:right w:val="nil"/>
            </w:tcBorders>
            <w:vAlign w:val="center"/>
          </w:tcPr>
          <w:p w14:paraId="5A4D835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Adenosine</w:t>
            </w:r>
          </w:p>
        </w:tc>
        <w:tc>
          <w:tcPr>
            <w:tcW w:w="1417" w:type="dxa"/>
            <w:tcBorders>
              <w:left w:val="nil"/>
              <w:right w:val="nil"/>
            </w:tcBorders>
            <w:vAlign w:val="center"/>
          </w:tcPr>
          <w:p w14:paraId="6AB3A44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8B2EAB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2E2AED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5D5B4C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Aerial tissues</w:t>
            </w:r>
          </w:p>
        </w:tc>
        <w:tc>
          <w:tcPr>
            <w:tcW w:w="2036" w:type="dxa"/>
            <w:tcBorders>
              <w:left w:val="nil"/>
              <w:right w:val="nil"/>
            </w:tcBorders>
            <w:vAlign w:val="center"/>
          </w:tcPr>
          <w:p w14:paraId="128BBF2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163215F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E45A120" w14:textId="77777777" w:rsidTr="001F630B">
        <w:trPr>
          <w:trHeight w:val="454"/>
        </w:trPr>
        <w:tc>
          <w:tcPr>
            <w:tcW w:w="852" w:type="dxa"/>
            <w:tcBorders>
              <w:left w:val="nil"/>
              <w:right w:val="nil"/>
            </w:tcBorders>
            <w:vAlign w:val="center"/>
          </w:tcPr>
          <w:p w14:paraId="4A86E0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102</w:t>
            </w:r>
          </w:p>
        </w:tc>
        <w:tc>
          <w:tcPr>
            <w:tcW w:w="3538" w:type="dxa"/>
            <w:tcBorders>
              <w:left w:val="nil"/>
              <w:right w:val="nil"/>
            </w:tcBorders>
            <w:vAlign w:val="center"/>
          </w:tcPr>
          <w:p w14:paraId="33607BE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7,8-Dimethyl-pyrazino[2,3-</w:t>
            </w:r>
            <w:proofErr w:type="gramStart"/>
            <w:r w:rsidRPr="001F630B">
              <w:rPr>
                <w:rFonts w:ascii="Arial" w:eastAsia="Times New Roman" w:hAnsi="Arial" w:cs="Arial"/>
                <w:i/>
                <w:iCs/>
                <w:sz w:val="20"/>
                <w:szCs w:val="20"/>
              </w:rPr>
              <w:t>g]quinazolin</w:t>
            </w:r>
            <w:proofErr w:type="gramEnd"/>
            <w:r w:rsidRPr="001F630B">
              <w:rPr>
                <w:rFonts w:ascii="Arial" w:eastAsia="Times New Roman" w:hAnsi="Arial" w:cs="Arial"/>
                <w:i/>
                <w:iCs/>
                <w:sz w:val="20"/>
                <w:szCs w:val="20"/>
              </w:rPr>
              <w:t>-2,4-dione</w:t>
            </w:r>
          </w:p>
        </w:tc>
        <w:tc>
          <w:tcPr>
            <w:tcW w:w="1417" w:type="dxa"/>
            <w:tcBorders>
              <w:left w:val="nil"/>
              <w:right w:val="nil"/>
            </w:tcBorders>
            <w:vAlign w:val="center"/>
          </w:tcPr>
          <w:p w14:paraId="177F079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7F540E0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6AB871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0D69BE0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2CAC732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6ECB74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55D22910" w14:textId="77777777" w:rsidTr="001F630B">
        <w:trPr>
          <w:trHeight w:val="454"/>
        </w:trPr>
        <w:tc>
          <w:tcPr>
            <w:tcW w:w="852" w:type="dxa"/>
            <w:tcBorders>
              <w:left w:val="nil"/>
              <w:right w:val="nil"/>
            </w:tcBorders>
            <w:vAlign w:val="center"/>
          </w:tcPr>
          <w:p w14:paraId="2043064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103</w:t>
            </w:r>
          </w:p>
        </w:tc>
        <w:tc>
          <w:tcPr>
            <w:tcW w:w="3538" w:type="dxa"/>
            <w:tcBorders>
              <w:left w:val="nil"/>
              <w:right w:val="nil"/>
            </w:tcBorders>
            <w:vAlign w:val="center"/>
          </w:tcPr>
          <w:p w14:paraId="465531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Adenine</w:t>
            </w:r>
          </w:p>
        </w:tc>
        <w:tc>
          <w:tcPr>
            <w:tcW w:w="1417" w:type="dxa"/>
            <w:tcBorders>
              <w:left w:val="nil"/>
              <w:right w:val="nil"/>
            </w:tcBorders>
            <w:vAlign w:val="center"/>
          </w:tcPr>
          <w:p w14:paraId="4D59F06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E6913B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7025001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5681FC5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BADB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42947ED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F93A71F" w14:textId="77777777" w:rsidTr="001F630B">
        <w:trPr>
          <w:trHeight w:val="454"/>
        </w:trPr>
        <w:tc>
          <w:tcPr>
            <w:tcW w:w="852" w:type="dxa"/>
            <w:tcBorders>
              <w:left w:val="nil"/>
              <w:right w:val="nil"/>
            </w:tcBorders>
            <w:vAlign w:val="center"/>
          </w:tcPr>
          <w:p w14:paraId="7A7E1E6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104</w:t>
            </w:r>
          </w:p>
        </w:tc>
        <w:tc>
          <w:tcPr>
            <w:tcW w:w="3538" w:type="dxa"/>
            <w:tcBorders>
              <w:left w:val="nil"/>
              <w:right w:val="nil"/>
            </w:tcBorders>
            <w:vAlign w:val="center"/>
          </w:tcPr>
          <w:p w14:paraId="5362571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Thymine</w:t>
            </w:r>
          </w:p>
        </w:tc>
        <w:tc>
          <w:tcPr>
            <w:tcW w:w="1417" w:type="dxa"/>
            <w:tcBorders>
              <w:left w:val="nil"/>
              <w:right w:val="nil"/>
            </w:tcBorders>
            <w:vAlign w:val="center"/>
          </w:tcPr>
          <w:p w14:paraId="7EB34A2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3F3049E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3A90027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41BAE6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3A22AAE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5F028AC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66BFB44C" w14:textId="77777777" w:rsidTr="001F630B">
        <w:trPr>
          <w:trHeight w:val="454"/>
        </w:trPr>
        <w:tc>
          <w:tcPr>
            <w:tcW w:w="852" w:type="dxa"/>
            <w:tcBorders>
              <w:left w:val="nil"/>
              <w:right w:val="nil"/>
            </w:tcBorders>
            <w:vAlign w:val="center"/>
          </w:tcPr>
          <w:p w14:paraId="5E7F497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105</w:t>
            </w:r>
          </w:p>
        </w:tc>
        <w:tc>
          <w:tcPr>
            <w:tcW w:w="3538" w:type="dxa"/>
            <w:tcBorders>
              <w:left w:val="nil"/>
              <w:right w:val="nil"/>
            </w:tcBorders>
            <w:vAlign w:val="center"/>
          </w:tcPr>
          <w:p w14:paraId="5433631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Uracil</w:t>
            </w:r>
          </w:p>
        </w:tc>
        <w:tc>
          <w:tcPr>
            <w:tcW w:w="1417" w:type="dxa"/>
            <w:tcBorders>
              <w:left w:val="nil"/>
              <w:right w:val="nil"/>
            </w:tcBorders>
            <w:vAlign w:val="center"/>
          </w:tcPr>
          <w:p w14:paraId="526CDD3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356F76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102F43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004E379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B84B5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602E2EA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Wu et al., 2012</w:t>
            </w:r>
          </w:p>
        </w:tc>
      </w:tr>
      <w:tr w:rsidR="001F630B" w14:paraId="7A165689" w14:textId="77777777" w:rsidTr="001F630B">
        <w:trPr>
          <w:trHeight w:val="454"/>
        </w:trPr>
        <w:tc>
          <w:tcPr>
            <w:tcW w:w="852" w:type="dxa"/>
            <w:tcBorders>
              <w:left w:val="nil"/>
              <w:right w:val="nil"/>
            </w:tcBorders>
            <w:vAlign w:val="center"/>
          </w:tcPr>
          <w:p w14:paraId="6374B15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106</w:t>
            </w:r>
          </w:p>
        </w:tc>
        <w:tc>
          <w:tcPr>
            <w:tcW w:w="3538" w:type="dxa"/>
            <w:tcBorders>
              <w:left w:val="nil"/>
              <w:right w:val="nil"/>
            </w:tcBorders>
            <w:vAlign w:val="center"/>
          </w:tcPr>
          <w:p w14:paraId="0EC3EF0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w:t>
            </w:r>
            <w:proofErr w:type="gramStart"/>
            <w:r w:rsidRPr="001F630B">
              <w:rPr>
                <w:rFonts w:ascii="Arial" w:eastAsia="Times New Roman" w:hAnsi="Arial" w:cs="Arial"/>
                <w:i/>
                <w:iCs/>
                <w:sz w:val="20"/>
                <w:szCs w:val="20"/>
              </w:rPr>
              <w:t>¹,N</w:t>
            </w:r>
            <w:proofErr w:type="gramEnd"/>
            <w:r w:rsidRPr="001F630B">
              <w:rPr>
                <w:rFonts w:ascii="Arial" w:eastAsia="Times New Roman" w:hAnsi="Arial" w:cs="Arial"/>
                <w:i/>
                <w:iCs/>
                <w:sz w:val="20"/>
                <w:szCs w:val="20"/>
              </w:rPr>
              <w:t>⁵,N¹⁰-(Z)-tri-p-</w:t>
            </w:r>
            <w:proofErr w:type="spellStart"/>
            <w:r w:rsidRPr="001F630B">
              <w:rPr>
                <w:rFonts w:ascii="Arial" w:eastAsia="Times New Roman" w:hAnsi="Arial" w:cs="Arial"/>
                <w:i/>
                <w:iCs/>
                <w:sz w:val="20"/>
                <w:szCs w:val="20"/>
              </w:rPr>
              <w:t>coumaroylspermidine</w:t>
            </w:r>
            <w:proofErr w:type="spellEnd"/>
          </w:p>
        </w:tc>
        <w:tc>
          <w:tcPr>
            <w:tcW w:w="1417" w:type="dxa"/>
            <w:tcBorders>
              <w:left w:val="nil"/>
              <w:right w:val="nil"/>
            </w:tcBorders>
            <w:vAlign w:val="center"/>
          </w:tcPr>
          <w:p w14:paraId="0DB5E7F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691A5D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6C93BCC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n-Butanol</w:t>
            </w:r>
          </w:p>
        </w:tc>
        <w:tc>
          <w:tcPr>
            <w:tcW w:w="1290" w:type="dxa"/>
            <w:tcBorders>
              <w:left w:val="nil"/>
              <w:right w:val="nil"/>
            </w:tcBorders>
            <w:vAlign w:val="center"/>
          </w:tcPr>
          <w:p w14:paraId="7ABF48A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7525D6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4DD4DC5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776F196D" w14:textId="77777777" w:rsidTr="001F630B">
        <w:trPr>
          <w:trHeight w:val="454"/>
        </w:trPr>
        <w:tc>
          <w:tcPr>
            <w:tcW w:w="852" w:type="dxa"/>
            <w:tcBorders>
              <w:left w:val="nil"/>
              <w:right w:val="nil"/>
            </w:tcBorders>
            <w:vAlign w:val="center"/>
          </w:tcPr>
          <w:p w14:paraId="4602D0E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107</w:t>
            </w:r>
          </w:p>
        </w:tc>
        <w:tc>
          <w:tcPr>
            <w:tcW w:w="3538" w:type="dxa"/>
            <w:tcBorders>
              <w:left w:val="nil"/>
              <w:right w:val="nil"/>
            </w:tcBorders>
            <w:vAlign w:val="center"/>
          </w:tcPr>
          <w:p w14:paraId="751560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w:t>
            </w:r>
            <w:proofErr w:type="gramStart"/>
            <w:r w:rsidRPr="001F630B">
              <w:rPr>
                <w:rFonts w:ascii="Arial" w:eastAsia="Times New Roman" w:hAnsi="Arial" w:cs="Arial"/>
                <w:i/>
                <w:iCs/>
                <w:sz w:val="20"/>
                <w:szCs w:val="20"/>
              </w:rPr>
              <w:t>¹,N</w:t>
            </w:r>
            <w:proofErr w:type="gramEnd"/>
            <w:r w:rsidRPr="001F630B">
              <w:rPr>
                <w:rFonts w:ascii="Arial" w:eastAsia="Times New Roman" w:hAnsi="Arial" w:cs="Arial"/>
                <w:i/>
                <w:iCs/>
                <w:sz w:val="20"/>
                <w:szCs w:val="20"/>
              </w:rPr>
              <w:t>⁵,N¹⁰-(E)-tri-p-</w:t>
            </w:r>
            <w:proofErr w:type="spellStart"/>
            <w:r w:rsidRPr="001F630B">
              <w:rPr>
                <w:rFonts w:ascii="Arial" w:eastAsia="Times New Roman" w:hAnsi="Arial" w:cs="Arial"/>
                <w:i/>
                <w:iCs/>
                <w:sz w:val="20"/>
                <w:szCs w:val="20"/>
              </w:rPr>
              <w:t>coumaroylspermidine</w:t>
            </w:r>
            <w:proofErr w:type="spellEnd"/>
          </w:p>
        </w:tc>
        <w:tc>
          <w:tcPr>
            <w:tcW w:w="1417" w:type="dxa"/>
            <w:tcBorders>
              <w:left w:val="nil"/>
              <w:right w:val="nil"/>
            </w:tcBorders>
            <w:vAlign w:val="center"/>
          </w:tcPr>
          <w:p w14:paraId="501D164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6ECC8F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4E6420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n-Butanol</w:t>
            </w:r>
          </w:p>
        </w:tc>
        <w:tc>
          <w:tcPr>
            <w:tcW w:w="1290" w:type="dxa"/>
            <w:tcBorders>
              <w:left w:val="nil"/>
              <w:right w:val="nil"/>
            </w:tcBorders>
            <w:vAlign w:val="center"/>
          </w:tcPr>
          <w:p w14:paraId="508118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38B870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1AC7A0C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0547A481" w14:textId="77777777" w:rsidTr="001F630B">
        <w:trPr>
          <w:trHeight w:val="454"/>
        </w:trPr>
        <w:tc>
          <w:tcPr>
            <w:tcW w:w="852" w:type="dxa"/>
            <w:tcBorders>
              <w:left w:val="nil"/>
              <w:right w:val="nil"/>
            </w:tcBorders>
            <w:vAlign w:val="center"/>
          </w:tcPr>
          <w:p w14:paraId="7C2F5A7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108</w:t>
            </w:r>
          </w:p>
        </w:tc>
        <w:tc>
          <w:tcPr>
            <w:tcW w:w="3538" w:type="dxa"/>
            <w:tcBorders>
              <w:left w:val="nil"/>
              <w:right w:val="nil"/>
            </w:tcBorders>
            <w:vAlign w:val="center"/>
          </w:tcPr>
          <w:p w14:paraId="3FAE686A"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Safflospermidine</w:t>
            </w:r>
            <w:proofErr w:type="spellEnd"/>
            <w:r w:rsidRPr="001F630B">
              <w:rPr>
                <w:rFonts w:ascii="Arial" w:eastAsia="Times New Roman" w:hAnsi="Arial" w:cs="Arial"/>
                <w:i/>
                <w:iCs/>
                <w:sz w:val="20"/>
                <w:szCs w:val="20"/>
              </w:rPr>
              <w:t xml:space="preserve"> A</w:t>
            </w:r>
          </w:p>
        </w:tc>
        <w:tc>
          <w:tcPr>
            <w:tcW w:w="1417" w:type="dxa"/>
            <w:tcBorders>
              <w:left w:val="nil"/>
              <w:right w:val="nil"/>
            </w:tcBorders>
            <w:vAlign w:val="center"/>
          </w:tcPr>
          <w:p w14:paraId="20E874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0CE772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BBE4EB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2EDE8EC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2B177ED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HPLC</w:t>
            </w:r>
          </w:p>
        </w:tc>
        <w:tc>
          <w:tcPr>
            <w:tcW w:w="1661" w:type="dxa"/>
            <w:tcBorders>
              <w:left w:val="nil"/>
              <w:right w:val="nil"/>
            </w:tcBorders>
            <w:vAlign w:val="center"/>
          </w:tcPr>
          <w:p w14:paraId="3F6AF50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32E97F77" w14:textId="77777777" w:rsidTr="001F630B">
        <w:trPr>
          <w:trHeight w:val="454"/>
        </w:trPr>
        <w:tc>
          <w:tcPr>
            <w:tcW w:w="852" w:type="dxa"/>
            <w:tcBorders>
              <w:left w:val="nil"/>
              <w:right w:val="nil"/>
            </w:tcBorders>
            <w:vAlign w:val="center"/>
          </w:tcPr>
          <w:p w14:paraId="287EA5D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109</w:t>
            </w:r>
          </w:p>
        </w:tc>
        <w:tc>
          <w:tcPr>
            <w:tcW w:w="3538" w:type="dxa"/>
            <w:tcBorders>
              <w:left w:val="nil"/>
              <w:right w:val="nil"/>
            </w:tcBorders>
            <w:vAlign w:val="center"/>
          </w:tcPr>
          <w:p w14:paraId="1DAD96DB"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Safflospermidine</w:t>
            </w:r>
            <w:proofErr w:type="spellEnd"/>
            <w:r w:rsidRPr="001F630B">
              <w:rPr>
                <w:rFonts w:ascii="Arial" w:eastAsia="Times New Roman" w:hAnsi="Arial" w:cs="Arial"/>
                <w:i/>
                <w:iCs/>
                <w:sz w:val="20"/>
                <w:szCs w:val="20"/>
              </w:rPr>
              <w:t xml:space="preserve"> B</w:t>
            </w:r>
          </w:p>
        </w:tc>
        <w:tc>
          <w:tcPr>
            <w:tcW w:w="1417" w:type="dxa"/>
            <w:tcBorders>
              <w:left w:val="nil"/>
              <w:right w:val="nil"/>
            </w:tcBorders>
            <w:vAlign w:val="center"/>
          </w:tcPr>
          <w:p w14:paraId="2781104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D5B0B0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8C3CA9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1A3FC6A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BB550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HPLC</w:t>
            </w:r>
          </w:p>
        </w:tc>
        <w:tc>
          <w:tcPr>
            <w:tcW w:w="1661" w:type="dxa"/>
            <w:tcBorders>
              <w:left w:val="nil"/>
              <w:right w:val="nil"/>
            </w:tcBorders>
            <w:vAlign w:val="center"/>
          </w:tcPr>
          <w:p w14:paraId="15D8A2C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2954ECF8" w14:textId="77777777" w:rsidTr="001F630B">
        <w:trPr>
          <w:trHeight w:val="454"/>
        </w:trPr>
        <w:tc>
          <w:tcPr>
            <w:tcW w:w="852" w:type="dxa"/>
            <w:tcBorders>
              <w:left w:val="nil"/>
              <w:right w:val="nil"/>
            </w:tcBorders>
            <w:vAlign w:val="center"/>
          </w:tcPr>
          <w:p w14:paraId="42CBC38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110</w:t>
            </w:r>
          </w:p>
        </w:tc>
        <w:tc>
          <w:tcPr>
            <w:tcW w:w="3538" w:type="dxa"/>
            <w:tcBorders>
              <w:left w:val="nil"/>
              <w:right w:val="nil"/>
            </w:tcBorders>
            <w:vAlign w:val="center"/>
          </w:tcPr>
          <w:p w14:paraId="1E19274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w:t>
            </w:r>
            <w:proofErr w:type="gramStart"/>
            <w:r w:rsidRPr="001F630B">
              <w:rPr>
                <w:rFonts w:ascii="Arial" w:eastAsia="Times New Roman" w:hAnsi="Arial" w:cs="Arial"/>
                <w:i/>
                <w:iCs/>
                <w:sz w:val="20"/>
                <w:szCs w:val="20"/>
              </w:rPr>
              <w:t>¹,N</w:t>
            </w:r>
            <w:proofErr w:type="gramEnd"/>
            <w:r w:rsidRPr="001F630B">
              <w:rPr>
                <w:rFonts w:ascii="Arial" w:eastAsia="Times New Roman" w:hAnsi="Arial" w:cs="Arial"/>
                <w:i/>
                <w:iCs/>
                <w:sz w:val="20"/>
                <w:szCs w:val="20"/>
              </w:rPr>
              <w:t>⁵-(Z),N¹⁰-(E)-tri-p-</w:t>
            </w:r>
            <w:proofErr w:type="spellStart"/>
            <w:r w:rsidRPr="001F630B">
              <w:rPr>
                <w:rFonts w:ascii="Arial" w:eastAsia="Times New Roman" w:hAnsi="Arial" w:cs="Arial"/>
                <w:i/>
                <w:iCs/>
                <w:sz w:val="20"/>
                <w:szCs w:val="20"/>
              </w:rPr>
              <w:t>coumaroylspermidine</w:t>
            </w:r>
            <w:proofErr w:type="spellEnd"/>
          </w:p>
        </w:tc>
        <w:tc>
          <w:tcPr>
            <w:tcW w:w="1417" w:type="dxa"/>
            <w:tcBorders>
              <w:left w:val="nil"/>
              <w:right w:val="nil"/>
            </w:tcBorders>
            <w:vAlign w:val="center"/>
          </w:tcPr>
          <w:p w14:paraId="4605883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5D479E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1F9CD7C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5F0FF3D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2098E0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ESI-MS</w:t>
            </w:r>
          </w:p>
        </w:tc>
        <w:tc>
          <w:tcPr>
            <w:tcW w:w="1661" w:type="dxa"/>
            <w:tcBorders>
              <w:left w:val="nil"/>
              <w:right w:val="nil"/>
            </w:tcBorders>
            <w:vAlign w:val="center"/>
          </w:tcPr>
          <w:p w14:paraId="439AEBC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Zhao et al., 2014</w:t>
            </w:r>
          </w:p>
        </w:tc>
      </w:tr>
    </w:tbl>
    <w:p w14:paraId="4F7245B1" w14:textId="77777777" w:rsidR="001F630B" w:rsidRDefault="001F630B" w:rsidP="00441B6F">
      <w:pPr>
        <w:pStyle w:val="Body"/>
        <w:spacing w:after="0"/>
        <w:rPr>
          <w:rFonts w:ascii="Arial" w:hAnsi="Arial" w:cs="Arial"/>
        </w:rPr>
      </w:pPr>
    </w:p>
    <w:p w14:paraId="550C520F" w14:textId="77777777" w:rsidR="00D51723" w:rsidRDefault="00D51723" w:rsidP="00441B6F">
      <w:pPr>
        <w:pStyle w:val="Body"/>
        <w:spacing w:after="0"/>
        <w:rPr>
          <w:rFonts w:ascii="Arial" w:hAnsi="Arial" w:cs="Arial"/>
        </w:rPr>
      </w:pPr>
    </w:p>
    <w:p w14:paraId="3CF0237E" w14:textId="77777777" w:rsidR="00D51723" w:rsidRDefault="00D51723" w:rsidP="00441B6F">
      <w:pPr>
        <w:pStyle w:val="Body"/>
        <w:spacing w:after="0"/>
        <w:rPr>
          <w:rFonts w:ascii="Arial" w:hAnsi="Arial" w:cs="Arial"/>
        </w:rPr>
      </w:pPr>
    </w:p>
    <w:p w14:paraId="68F5780B" w14:textId="77777777" w:rsidR="00D51723" w:rsidRDefault="00D51723" w:rsidP="00441B6F">
      <w:pPr>
        <w:pStyle w:val="Body"/>
        <w:spacing w:after="0"/>
        <w:rPr>
          <w:rFonts w:ascii="Arial" w:hAnsi="Arial" w:cs="Arial"/>
        </w:rPr>
      </w:pPr>
    </w:p>
    <w:p w14:paraId="44B76F36" w14:textId="77777777" w:rsidR="00D51723" w:rsidRDefault="00D51723" w:rsidP="00441B6F">
      <w:pPr>
        <w:pStyle w:val="Body"/>
        <w:spacing w:after="0"/>
        <w:rPr>
          <w:rFonts w:ascii="Arial" w:hAnsi="Arial" w:cs="Arial"/>
        </w:rPr>
      </w:pPr>
    </w:p>
    <w:p w14:paraId="23BFE1D1" w14:textId="77777777" w:rsidR="004C24A6" w:rsidRDefault="004C24A6" w:rsidP="00441B6F">
      <w:pPr>
        <w:pStyle w:val="Body"/>
        <w:spacing w:after="0"/>
        <w:rPr>
          <w:rFonts w:ascii="Arial" w:hAnsi="Arial" w:cs="Arial"/>
        </w:rPr>
      </w:pPr>
    </w:p>
    <w:p w14:paraId="1F209E20" w14:textId="77777777" w:rsidR="004C24A6" w:rsidRDefault="004C24A6" w:rsidP="00441B6F">
      <w:pPr>
        <w:pStyle w:val="Body"/>
        <w:spacing w:after="0"/>
        <w:rPr>
          <w:rFonts w:ascii="Arial" w:hAnsi="Arial" w:cs="Arial"/>
        </w:rPr>
      </w:pPr>
    </w:p>
    <w:p w14:paraId="701AAD07" w14:textId="77777777" w:rsidR="004C24A6" w:rsidRDefault="004C24A6" w:rsidP="00441B6F">
      <w:pPr>
        <w:pStyle w:val="Body"/>
        <w:spacing w:after="0"/>
        <w:rPr>
          <w:rFonts w:ascii="Arial" w:hAnsi="Arial" w:cs="Arial"/>
        </w:rPr>
      </w:pPr>
    </w:p>
    <w:p w14:paraId="4F1E1D7A" w14:textId="77777777" w:rsidR="004C24A6" w:rsidRDefault="004C24A6" w:rsidP="00441B6F">
      <w:pPr>
        <w:pStyle w:val="Body"/>
        <w:spacing w:after="0"/>
        <w:rPr>
          <w:rFonts w:ascii="Arial" w:hAnsi="Arial" w:cs="Arial"/>
        </w:rPr>
      </w:pPr>
    </w:p>
    <w:p w14:paraId="1339A186" w14:textId="77777777" w:rsidR="004C24A6" w:rsidRDefault="004C24A6" w:rsidP="00441B6F">
      <w:pPr>
        <w:pStyle w:val="Body"/>
        <w:spacing w:after="0"/>
        <w:rPr>
          <w:rFonts w:ascii="Arial" w:hAnsi="Arial" w:cs="Arial"/>
        </w:rPr>
      </w:pPr>
    </w:p>
    <w:p w14:paraId="18B92AD5" w14:textId="77777777" w:rsidR="004C24A6" w:rsidRDefault="004C24A6" w:rsidP="00441B6F">
      <w:pPr>
        <w:pStyle w:val="Body"/>
        <w:spacing w:after="0"/>
        <w:rPr>
          <w:rFonts w:ascii="Arial" w:hAnsi="Arial" w:cs="Arial"/>
        </w:rPr>
      </w:pPr>
    </w:p>
    <w:p w14:paraId="0F8E0877" w14:textId="77777777" w:rsidR="004C24A6" w:rsidRDefault="004C24A6" w:rsidP="00441B6F">
      <w:pPr>
        <w:pStyle w:val="Body"/>
        <w:spacing w:after="0"/>
        <w:rPr>
          <w:rFonts w:ascii="Arial" w:hAnsi="Arial" w:cs="Arial"/>
        </w:rPr>
      </w:pPr>
    </w:p>
    <w:p w14:paraId="066E91DB" w14:textId="77777777" w:rsidR="004C24A6" w:rsidRDefault="004C24A6" w:rsidP="00441B6F">
      <w:pPr>
        <w:pStyle w:val="Body"/>
        <w:spacing w:after="0"/>
        <w:rPr>
          <w:rFonts w:ascii="Arial" w:hAnsi="Arial" w:cs="Arial"/>
        </w:rPr>
      </w:pPr>
    </w:p>
    <w:p w14:paraId="17130D63" w14:textId="77777777" w:rsidR="004C24A6" w:rsidRDefault="004C24A6" w:rsidP="00441B6F">
      <w:pPr>
        <w:pStyle w:val="Body"/>
        <w:spacing w:after="0"/>
        <w:rPr>
          <w:rFonts w:ascii="Arial" w:hAnsi="Arial" w:cs="Arial"/>
        </w:rPr>
      </w:pPr>
    </w:p>
    <w:p w14:paraId="6DAF0773" w14:textId="77777777" w:rsidR="004C24A6" w:rsidRDefault="004C24A6" w:rsidP="00441B6F">
      <w:pPr>
        <w:pStyle w:val="Body"/>
        <w:spacing w:after="0"/>
        <w:rPr>
          <w:rFonts w:ascii="Arial" w:hAnsi="Arial" w:cs="Arial"/>
        </w:rPr>
      </w:pPr>
    </w:p>
    <w:p w14:paraId="016D7E2C" w14:textId="77777777" w:rsidR="004C24A6" w:rsidRDefault="004C24A6" w:rsidP="00441B6F">
      <w:pPr>
        <w:pStyle w:val="Body"/>
        <w:spacing w:after="0"/>
        <w:rPr>
          <w:rFonts w:ascii="Arial" w:hAnsi="Arial" w:cs="Arial"/>
        </w:rPr>
      </w:pPr>
    </w:p>
    <w:p w14:paraId="47181855" w14:textId="77777777" w:rsidR="004C24A6" w:rsidRDefault="004C24A6" w:rsidP="00441B6F">
      <w:pPr>
        <w:pStyle w:val="Body"/>
        <w:spacing w:after="0"/>
        <w:rPr>
          <w:rFonts w:ascii="Arial" w:hAnsi="Arial" w:cs="Arial"/>
        </w:rPr>
      </w:pPr>
    </w:p>
    <w:p w14:paraId="4174F05F" w14:textId="77777777" w:rsidR="004C24A6" w:rsidRDefault="004C24A6" w:rsidP="00441B6F">
      <w:pPr>
        <w:pStyle w:val="Body"/>
        <w:spacing w:after="0"/>
        <w:rPr>
          <w:rFonts w:ascii="Arial" w:hAnsi="Arial" w:cs="Arial"/>
        </w:rPr>
      </w:pPr>
    </w:p>
    <w:p w14:paraId="4407A9EE" w14:textId="77777777" w:rsidR="004C24A6" w:rsidRDefault="004C24A6" w:rsidP="00441B6F">
      <w:pPr>
        <w:pStyle w:val="Body"/>
        <w:spacing w:after="0"/>
        <w:rPr>
          <w:rFonts w:ascii="Arial" w:hAnsi="Arial" w:cs="Arial"/>
        </w:rPr>
      </w:pPr>
    </w:p>
    <w:p w14:paraId="5794C698" w14:textId="77777777" w:rsidR="004C24A6" w:rsidRDefault="004C24A6" w:rsidP="00441B6F">
      <w:pPr>
        <w:pStyle w:val="Body"/>
        <w:spacing w:after="0"/>
        <w:rPr>
          <w:rFonts w:ascii="Arial" w:hAnsi="Arial" w:cs="Arial"/>
        </w:rPr>
      </w:pPr>
    </w:p>
    <w:p w14:paraId="147C88C8" w14:textId="77777777" w:rsidR="004C24A6" w:rsidRDefault="004C24A6" w:rsidP="00441B6F">
      <w:pPr>
        <w:pStyle w:val="Body"/>
        <w:spacing w:after="0"/>
        <w:rPr>
          <w:rFonts w:ascii="Arial" w:hAnsi="Arial" w:cs="Arial"/>
        </w:rPr>
      </w:pPr>
    </w:p>
    <w:p w14:paraId="4C748318" w14:textId="77777777" w:rsidR="004C24A6" w:rsidRDefault="004C24A6" w:rsidP="00441B6F">
      <w:pPr>
        <w:pStyle w:val="Body"/>
        <w:spacing w:after="0"/>
        <w:rPr>
          <w:rFonts w:ascii="Arial" w:hAnsi="Arial" w:cs="Arial"/>
        </w:rPr>
      </w:pPr>
    </w:p>
    <w:p w14:paraId="2C0F7F84" w14:textId="77777777" w:rsidR="004C24A6" w:rsidRDefault="004C24A6" w:rsidP="00441B6F">
      <w:pPr>
        <w:pStyle w:val="Body"/>
        <w:spacing w:after="0"/>
        <w:rPr>
          <w:rFonts w:ascii="Arial" w:hAnsi="Arial" w:cs="Arial"/>
        </w:rPr>
      </w:pPr>
    </w:p>
    <w:p w14:paraId="1510917E" w14:textId="77777777" w:rsidR="004C24A6" w:rsidRDefault="004C24A6" w:rsidP="00441B6F">
      <w:pPr>
        <w:pStyle w:val="Body"/>
        <w:spacing w:after="0"/>
        <w:rPr>
          <w:rFonts w:ascii="Arial" w:hAnsi="Arial" w:cs="Arial"/>
        </w:rPr>
      </w:pPr>
    </w:p>
    <w:p w14:paraId="1D59F948" w14:textId="77777777" w:rsidR="004C24A6" w:rsidRDefault="004C24A6" w:rsidP="00441B6F">
      <w:pPr>
        <w:pStyle w:val="Body"/>
        <w:spacing w:after="0"/>
        <w:rPr>
          <w:rFonts w:ascii="Arial" w:hAnsi="Arial" w:cs="Arial"/>
        </w:rPr>
      </w:pPr>
    </w:p>
    <w:p w14:paraId="30FF6824" w14:textId="77777777" w:rsidR="004C24A6" w:rsidRDefault="004C24A6" w:rsidP="00441B6F">
      <w:pPr>
        <w:pStyle w:val="Body"/>
        <w:spacing w:after="0"/>
        <w:rPr>
          <w:rFonts w:ascii="Arial" w:hAnsi="Arial" w:cs="Arial"/>
        </w:rPr>
      </w:pPr>
    </w:p>
    <w:p w14:paraId="46C27221" w14:textId="77777777" w:rsidR="004C24A6" w:rsidRDefault="004C24A6" w:rsidP="00441B6F">
      <w:pPr>
        <w:pStyle w:val="Body"/>
        <w:spacing w:after="0"/>
        <w:rPr>
          <w:rFonts w:ascii="Arial" w:hAnsi="Arial" w:cs="Arial"/>
        </w:rPr>
      </w:pPr>
    </w:p>
    <w:p w14:paraId="3F10DDE5" w14:textId="77777777" w:rsidR="004C24A6" w:rsidRDefault="004C24A6" w:rsidP="00441B6F">
      <w:pPr>
        <w:pStyle w:val="Body"/>
        <w:spacing w:after="0"/>
        <w:rPr>
          <w:rFonts w:ascii="Arial" w:hAnsi="Arial" w:cs="Arial"/>
        </w:rPr>
      </w:pPr>
    </w:p>
    <w:p w14:paraId="56CDDF02" w14:textId="77777777" w:rsidR="004C24A6" w:rsidRDefault="004C24A6" w:rsidP="00441B6F">
      <w:pPr>
        <w:pStyle w:val="Body"/>
        <w:spacing w:after="0"/>
        <w:rPr>
          <w:rFonts w:ascii="Arial" w:hAnsi="Arial" w:cs="Arial"/>
        </w:rPr>
      </w:pPr>
    </w:p>
    <w:p w14:paraId="5919EA7E" w14:textId="77777777" w:rsidR="004C24A6" w:rsidRDefault="004C24A6" w:rsidP="00441B6F">
      <w:pPr>
        <w:pStyle w:val="Body"/>
        <w:spacing w:after="0"/>
        <w:rPr>
          <w:rFonts w:ascii="Arial" w:hAnsi="Arial" w:cs="Arial"/>
        </w:rPr>
        <w:sectPr w:rsidR="004C24A6" w:rsidSect="001F630B">
          <w:type w:val="continuous"/>
          <w:pgSz w:w="15840" w:h="12240" w:orient="landscape"/>
          <w:pgMar w:top="2019" w:right="1440" w:bottom="2019" w:left="2019" w:header="720" w:footer="1123" w:gutter="0"/>
          <w:cols w:space="720"/>
          <w:docGrid w:linePitch="272"/>
        </w:sectPr>
      </w:pPr>
    </w:p>
    <w:p w14:paraId="34D843CA" w14:textId="33493904" w:rsidR="004C24A6" w:rsidRPr="004C24A6" w:rsidRDefault="004C24A6" w:rsidP="004C24A6">
      <w:pPr>
        <w:pStyle w:val="Body"/>
        <w:numPr>
          <w:ilvl w:val="1"/>
          <w:numId w:val="37"/>
        </w:numPr>
        <w:rPr>
          <w:rFonts w:ascii="Arial" w:hAnsi="Arial" w:cs="Arial"/>
          <w:b/>
          <w:bCs/>
        </w:rPr>
      </w:pPr>
      <w:r w:rsidRPr="004C24A6">
        <w:rPr>
          <w:rFonts w:ascii="Arial" w:hAnsi="Arial" w:cs="Arial"/>
          <w:b/>
          <w:bCs/>
        </w:rPr>
        <w:lastRenderedPageBreak/>
        <w:t xml:space="preserve">Lignans and sterols: </w:t>
      </w:r>
    </w:p>
    <w:p w14:paraId="3E343CCA" w14:textId="67AD6330" w:rsidR="00D51723" w:rsidRDefault="004C24A6" w:rsidP="004C24A6">
      <w:pPr>
        <w:pStyle w:val="Body"/>
        <w:spacing w:after="0"/>
        <w:rPr>
          <w:rFonts w:ascii="Arial" w:hAnsi="Arial" w:cs="Arial"/>
        </w:rPr>
      </w:pPr>
      <w:r w:rsidRPr="004C24A6">
        <w:rPr>
          <w:rFonts w:ascii="Arial" w:hAnsi="Arial" w:cs="Arial"/>
        </w:rPr>
        <w:t xml:space="preserve">Only a limited number of lignan compounds have so far been reported from safflower. Among these, representatives such as the bis-tetrahydrofuran lignan </w:t>
      </w:r>
      <w:proofErr w:type="spellStart"/>
      <w:r w:rsidRPr="004C24A6">
        <w:rPr>
          <w:rFonts w:ascii="Arial" w:hAnsi="Arial" w:cs="Arial"/>
        </w:rPr>
        <w:t>syringaresinol</w:t>
      </w:r>
      <w:proofErr w:type="spellEnd"/>
      <w:r w:rsidRPr="004C24A6">
        <w:rPr>
          <w:rFonts w:ascii="Arial" w:hAnsi="Arial" w:cs="Arial"/>
        </w:rPr>
        <w:t xml:space="preserve"> and </w:t>
      </w:r>
      <w:proofErr w:type="spellStart"/>
      <w:r w:rsidRPr="004C24A6">
        <w:rPr>
          <w:rFonts w:ascii="Arial" w:hAnsi="Arial" w:cs="Arial"/>
        </w:rPr>
        <w:t>lirioresinol</w:t>
      </w:r>
      <w:proofErr w:type="spellEnd"/>
      <w:r w:rsidRPr="004C24A6">
        <w:rPr>
          <w:rFonts w:ascii="Arial" w:hAnsi="Arial" w:cs="Arial"/>
        </w:rPr>
        <w:t xml:space="preserve"> A have been identified, indicating that lignans constitute a relatively minor class of safflower phytochemicals (Peng et al., 2017). In a separate investigation, Zhou and co-workers characterized several steroidal constituents, including stigmasterol, </w:t>
      </w:r>
      <w:proofErr w:type="spellStart"/>
      <w:r w:rsidRPr="004C24A6">
        <w:rPr>
          <w:rFonts w:ascii="Arial" w:hAnsi="Arial" w:cs="Arial"/>
        </w:rPr>
        <w:t>campesterol</w:t>
      </w:r>
      <w:proofErr w:type="spellEnd"/>
      <w:r w:rsidRPr="004C24A6">
        <w:rPr>
          <w:rFonts w:ascii="Arial" w:hAnsi="Arial" w:cs="Arial"/>
        </w:rPr>
        <w:t xml:space="preserve">, and </w:t>
      </w:r>
      <w:proofErr w:type="spellStart"/>
      <w:r w:rsidRPr="004C24A6">
        <w:rPr>
          <w:rFonts w:ascii="Arial" w:hAnsi="Arial" w:cs="Arial"/>
        </w:rPr>
        <w:t>pregnane</w:t>
      </w:r>
      <w:proofErr w:type="spellEnd"/>
      <w:r w:rsidRPr="004C24A6">
        <w:rPr>
          <w:rFonts w:ascii="Arial" w:hAnsi="Arial" w:cs="Arial"/>
        </w:rPr>
        <w:t xml:space="preserve"> derivatives. Their structural identification was achieved through a combination of infrared spectroscopy, nuclear magnetic resonance, and mass spectrometric techniques (Zhou et al., 2014).</w:t>
      </w:r>
    </w:p>
    <w:p w14:paraId="0C6392FA" w14:textId="77777777" w:rsidR="00D51723" w:rsidRDefault="00D51723" w:rsidP="00441B6F">
      <w:pPr>
        <w:pStyle w:val="Body"/>
        <w:spacing w:after="0"/>
        <w:rPr>
          <w:rFonts w:ascii="Arial" w:hAnsi="Arial" w:cs="Arial"/>
        </w:rPr>
      </w:pPr>
    </w:p>
    <w:p w14:paraId="45697BE8" w14:textId="524FA86A" w:rsidR="004C24A6" w:rsidRDefault="004C24A6" w:rsidP="004C24A6">
      <w:pPr>
        <w:pStyle w:val="Body"/>
        <w:spacing w:after="0"/>
        <w:jc w:val="center"/>
        <w:rPr>
          <w:rFonts w:ascii="Arial" w:hAnsi="Arial" w:cs="Arial"/>
        </w:rPr>
      </w:pPr>
      <w:r>
        <w:rPr>
          <w:rFonts w:ascii="Times New Roman" w:hAnsi="Times New Roman"/>
          <w:noProof/>
          <w:sz w:val="24"/>
          <w:szCs w:val="24"/>
        </w:rPr>
        <w:drawing>
          <wp:inline distT="0" distB="0" distL="0" distR="0" wp14:anchorId="54FCC698" wp14:editId="485A2DAF">
            <wp:extent cx="5208270" cy="4085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8270" cy="4085370"/>
                    </a:xfrm>
                    <a:prstGeom prst="rect">
                      <a:avLst/>
                    </a:prstGeom>
                  </pic:spPr>
                </pic:pic>
              </a:graphicData>
            </a:graphic>
          </wp:inline>
        </w:drawing>
      </w:r>
    </w:p>
    <w:p w14:paraId="199098C4" w14:textId="77777777" w:rsidR="00D51723" w:rsidRDefault="00D51723" w:rsidP="00441B6F">
      <w:pPr>
        <w:pStyle w:val="Body"/>
        <w:spacing w:after="0"/>
        <w:rPr>
          <w:rFonts w:ascii="Arial" w:hAnsi="Arial" w:cs="Arial"/>
        </w:rPr>
      </w:pPr>
    </w:p>
    <w:p w14:paraId="4ED38C64" w14:textId="77777777" w:rsidR="00D51723" w:rsidRDefault="00D51723" w:rsidP="00441B6F">
      <w:pPr>
        <w:pStyle w:val="Body"/>
        <w:spacing w:after="0"/>
        <w:rPr>
          <w:rFonts w:ascii="Arial" w:hAnsi="Arial" w:cs="Arial"/>
        </w:rPr>
      </w:pPr>
    </w:p>
    <w:p w14:paraId="1B6ED88C" w14:textId="77777777" w:rsidR="00D51723" w:rsidRDefault="00D51723" w:rsidP="00441B6F">
      <w:pPr>
        <w:pStyle w:val="Body"/>
        <w:spacing w:after="0"/>
        <w:rPr>
          <w:rFonts w:ascii="Arial" w:hAnsi="Arial" w:cs="Arial"/>
        </w:rPr>
      </w:pPr>
    </w:p>
    <w:p w14:paraId="7F950CCC" w14:textId="0A41EF3A" w:rsidR="00D51723" w:rsidRDefault="004C24A6" w:rsidP="004C24A6">
      <w:pPr>
        <w:pStyle w:val="Body"/>
        <w:spacing w:after="0"/>
        <w:jc w:val="center"/>
        <w:rPr>
          <w:rFonts w:ascii="Arial" w:hAnsi="Arial" w:cs="Arial"/>
        </w:rPr>
      </w:pPr>
      <w:r w:rsidRPr="004C24A6">
        <w:rPr>
          <w:rFonts w:ascii="Arial" w:hAnsi="Arial" w:cs="Arial"/>
          <w:b/>
          <w:bCs/>
        </w:rPr>
        <w:t>Figure-5:</w:t>
      </w:r>
      <w:r w:rsidRPr="004C24A6">
        <w:rPr>
          <w:rFonts w:ascii="Arial" w:hAnsi="Arial" w:cs="Arial"/>
        </w:rPr>
        <w:t xml:space="preserve"> Structures of lignans and sterol metabolites in safﬂower.</w:t>
      </w:r>
    </w:p>
    <w:p w14:paraId="194ABDF5" w14:textId="77777777" w:rsidR="00D51723" w:rsidRDefault="00D51723" w:rsidP="00441B6F">
      <w:pPr>
        <w:pStyle w:val="Body"/>
        <w:spacing w:after="0"/>
        <w:rPr>
          <w:rFonts w:ascii="Arial" w:hAnsi="Arial" w:cs="Arial"/>
        </w:rPr>
      </w:pPr>
    </w:p>
    <w:p w14:paraId="5DA74B9F" w14:textId="77777777" w:rsidR="00D51723" w:rsidRDefault="00D51723" w:rsidP="00441B6F">
      <w:pPr>
        <w:pStyle w:val="Body"/>
        <w:spacing w:after="0"/>
        <w:rPr>
          <w:rFonts w:ascii="Arial" w:hAnsi="Arial" w:cs="Arial"/>
        </w:rPr>
      </w:pPr>
    </w:p>
    <w:p w14:paraId="6BEE5E4F" w14:textId="77777777" w:rsidR="00D51723" w:rsidRDefault="00D51723" w:rsidP="00441B6F">
      <w:pPr>
        <w:pStyle w:val="Body"/>
        <w:spacing w:after="0"/>
        <w:rPr>
          <w:rFonts w:ascii="Arial" w:hAnsi="Arial" w:cs="Arial"/>
        </w:rPr>
      </w:pPr>
    </w:p>
    <w:p w14:paraId="7C9891E8" w14:textId="77777777" w:rsidR="00D51723" w:rsidRDefault="00D51723" w:rsidP="00441B6F">
      <w:pPr>
        <w:pStyle w:val="Body"/>
        <w:spacing w:after="0"/>
        <w:rPr>
          <w:rFonts w:ascii="Arial" w:hAnsi="Arial" w:cs="Arial"/>
        </w:rPr>
      </w:pPr>
    </w:p>
    <w:p w14:paraId="2FFED527" w14:textId="77777777" w:rsidR="004C24A6" w:rsidRDefault="004C24A6" w:rsidP="00441B6F">
      <w:pPr>
        <w:pStyle w:val="Body"/>
        <w:spacing w:after="0"/>
        <w:rPr>
          <w:rFonts w:ascii="Arial" w:hAnsi="Arial" w:cs="Arial"/>
        </w:rPr>
      </w:pPr>
    </w:p>
    <w:p w14:paraId="70DE4066" w14:textId="77777777" w:rsidR="004C24A6" w:rsidRDefault="004C24A6" w:rsidP="00441B6F">
      <w:pPr>
        <w:pStyle w:val="Body"/>
        <w:spacing w:after="0"/>
        <w:rPr>
          <w:rFonts w:ascii="Arial" w:hAnsi="Arial" w:cs="Arial"/>
        </w:rPr>
      </w:pPr>
    </w:p>
    <w:p w14:paraId="16618F49" w14:textId="77777777" w:rsidR="004C24A6" w:rsidRDefault="004C24A6" w:rsidP="00441B6F">
      <w:pPr>
        <w:pStyle w:val="Body"/>
        <w:spacing w:after="0"/>
        <w:rPr>
          <w:rFonts w:ascii="Arial" w:hAnsi="Arial" w:cs="Arial"/>
        </w:rPr>
      </w:pPr>
    </w:p>
    <w:p w14:paraId="433AF75D" w14:textId="77777777" w:rsidR="004C24A6" w:rsidRDefault="004C24A6" w:rsidP="00441B6F">
      <w:pPr>
        <w:pStyle w:val="Body"/>
        <w:spacing w:after="0"/>
        <w:rPr>
          <w:rFonts w:ascii="Arial" w:hAnsi="Arial" w:cs="Arial"/>
        </w:rPr>
      </w:pPr>
    </w:p>
    <w:p w14:paraId="08542030" w14:textId="77777777" w:rsidR="004C24A6" w:rsidRDefault="004C24A6" w:rsidP="00441B6F">
      <w:pPr>
        <w:pStyle w:val="Body"/>
        <w:spacing w:after="0"/>
        <w:rPr>
          <w:rFonts w:ascii="Arial" w:hAnsi="Arial" w:cs="Arial"/>
        </w:rPr>
      </w:pPr>
    </w:p>
    <w:p w14:paraId="60B60A65" w14:textId="77777777" w:rsidR="004C24A6" w:rsidRDefault="004C24A6" w:rsidP="00441B6F">
      <w:pPr>
        <w:pStyle w:val="Body"/>
        <w:spacing w:after="0"/>
        <w:rPr>
          <w:rFonts w:ascii="Arial" w:hAnsi="Arial" w:cs="Arial"/>
        </w:rPr>
      </w:pPr>
    </w:p>
    <w:p w14:paraId="2DC90174"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660958D1" w14:textId="399EECE5" w:rsidR="004C24A6" w:rsidRDefault="004C24A6" w:rsidP="004C24A6">
      <w:pPr>
        <w:pStyle w:val="Body"/>
        <w:spacing w:after="0"/>
        <w:jc w:val="center"/>
        <w:rPr>
          <w:rFonts w:ascii="Arial" w:hAnsi="Arial" w:cs="Arial"/>
        </w:rPr>
      </w:pPr>
      <w:r w:rsidRPr="004C24A6">
        <w:rPr>
          <w:rFonts w:ascii="Arial" w:hAnsi="Arial" w:cs="Arial"/>
          <w:b/>
          <w:bCs/>
        </w:rPr>
        <w:lastRenderedPageBreak/>
        <w:t>Table-4:</w:t>
      </w:r>
      <w:r>
        <w:rPr>
          <w:rFonts w:ascii="Arial" w:hAnsi="Arial" w:cs="Arial"/>
        </w:rPr>
        <w:t xml:space="preserve"> Detailed overview of </w:t>
      </w:r>
      <w:r w:rsidRPr="004C24A6">
        <w:rPr>
          <w:rFonts w:ascii="Arial" w:hAnsi="Arial" w:cs="Arial"/>
        </w:rPr>
        <w:t>lignan and sterol-derived metabolites identified in safflower</w:t>
      </w:r>
    </w:p>
    <w:p w14:paraId="273524C2" w14:textId="77777777" w:rsidR="004C24A6" w:rsidRDefault="004C24A6"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894"/>
        <w:gridCol w:w="2917"/>
        <w:gridCol w:w="2144"/>
        <w:gridCol w:w="1687"/>
        <w:gridCol w:w="2888"/>
        <w:gridCol w:w="2067"/>
      </w:tblGrid>
      <w:tr w:rsidR="004C24A6" w14:paraId="0F78205D" w14:textId="77777777" w:rsidTr="004C24A6">
        <w:trPr>
          <w:trHeight w:val="983"/>
        </w:trPr>
        <w:tc>
          <w:tcPr>
            <w:tcW w:w="988" w:type="dxa"/>
            <w:tcBorders>
              <w:left w:val="nil"/>
              <w:right w:val="nil"/>
            </w:tcBorders>
            <w:vAlign w:val="center"/>
          </w:tcPr>
          <w:p w14:paraId="0BF086FC"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 No</w:t>
            </w:r>
          </w:p>
        </w:tc>
        <w:tc>
          <w:tcPr>
            <w:tcW w:w="3118" w:type="dxa"/>
            <w:tcBorders>
              <w:left w:val="nil"/>
              <w:right w:val="nil"/>
            </w:tcBorders>
            <w:vAlign w:val="center"/>
          </w:tcPr>
          <w:p w14:paraId="25772D3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Compound name</w:t>
            </w:r>
          </w:p>
        </w:tc>
        <w:tc>
          <w:tcPr>
            <w:tcW w:w="2410" w:type="dxa"/>
            <w:tcBorders>
              <w:left w:val="nil"/>
              <w:right w:val="nil"/>
            </w:tcBorders>
            <w:vAlign w:val="center"/>
          </w:tcPr>
          <w:p w14:paraId="680D7AC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Solvent used for extraction</w:t>
            </w:r>
          </w:p>
        </w:tc>
        <w:tc>
          <w:tcPr>
            <w:tcW w:w="1843" w:type="dxa"/>
            <w:tcBorders>
              <w:left w:val="nil"/>
              <w:right w:val="nil"/>
            </w:tcBorders>
            <w:vAlign w:val="center"/>
          </w:tcPr>
          <w:p w14:paraId="682B22AA"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Safflower part</w:t>
            </w:r>
          </w:p>
        </w:tc>
        <w:tc>
          <w:tcPr>
            <w:tcW w:w="3281" w:type="dxa"/>
            <w:tcBorders>
              <w:left w:val="nil"/>
              <w:right w:val="nil"/>
            </w:tcBorders>
            <w:vAlign w:val="center"/>
          </w:tcPr>
          <w:p w14:paraId="59DDCAD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Analytical techniques employed</w:t>
            </w:r>
          </w:p>
        </w:tc>
        <w:tc>
          <w:tcPr>
            <w:tcW w:w="2308" w:type="dxa"/>
            <w:tcBorders>
              <w:left w:val="nil"/>
              <w:right w:val="nil"/>
            </w:tcBorders>
            <w:vAlign w:val="center"/>
          </w:tcPr>
          <w:p w14:paraId="2CBAA5D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Reference</w:t>
            </w:r>
          </w:p>
        </w:tc>
      </w:tr>
      <w:tr w:rsidR="004C24A6" w14:paraId="76E1DBAE" w14:textId="77777777" w:rsidTr="004C24A6">
        <w:tc>
          <w:tcPr>
            <w:tcW w:w="988" w:type="dxa"/>
            <w:tcBorders>
              <w:left w:val="nil"/>
              <w:right w:val="nil"/>
            </w:tcBorders>
            <w:vAlign w:val="center"/>
          </w:tcPr>
          <w:p w14:paraId="0E7E56AC"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111</w:t>
            </w:r>
          </w:p>
        </w:tc>
        <w:tc>
          <w:tcPr>
            <w:tcW w:w="3118" w:type="dxa"/>
            <w:tcBorders>
              <w:left w:val="nil"/>
              <w:right w:val="nil"/>
            </w:tcBorders>
            <w:vAlign w:val="center"/>
          </w:tcPr>
          <w:p w14:paraId="1FCFB185"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Dibenzylbutyrolactone</w:t>
            </w:r>
            <w:proofErr w:type="spellEnd"/>
          </w:p>
        </w:tc>
        <w:tc>
          <w:tcPr>
            <w:tcW w:w="2410" w:type="dxa"/>
            <w:tcBorders>
              <w:left w:val="nil"/>
              <w:right w:val="nil"/>
            </w:tcBorders>
            <w:vAlign w:val="center"/>
          </w:tcPr>
          <w:p w14:paraId="7DD9F528"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2D9F086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4913120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7BA7FEA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541B3116" w14:textId="77777777" w:rsidTr="004C24A6">
        <w:tc>
          <w:tcPr>
            <w:tcW w:w="988" w:type="dxa"/>
            <w:tcBorders>
              <w:left w:val="nil"/>
              <w:right w:val="nil"/>
            </w:tcBorders>
            <w:vAlign w:val="center"/>
          </w:tcPr>
          <w:p w14:paraId="51B5A24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112</w:t>
            </w:r>
          </w:p>
        </w:tc>
        <w:tc>
          <w:tcPr>
            <w:tcW w:w="3118" w:type="dxa"/>
            <w:tcBorders>
              <w:left w:val="nil"/>
              <w:right w:val="nil"/>
            </w:tcBorders>
            <w:vAlign w:val="center"/>
          </w:tcPr>
          <w:p w14:paraId="401ECE8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Matairesinol-4′-O-β-D-</w:t>
            </w:r>
            <w:proofErr w:type="spellStart"/>
            <w:r w:rsidRPr="004C24A6">
              <w:rPr>
                <w:rFonts w:ascii="Arial" w:eastAsia="Times New Roman" w:hAnsi="Arial" w:cs="Arial"/>
                <w:sz w:val="20"/>
                <w:szCs w:val="20"/>
              </w:rPr>
              <w:t>apiofuranosyl</w:t>
            </w:r>
            <w:proofErr w:type="spellEnd"/>
            <w:r w:rsidRPr="004C24A6">
              <w:rPr>
                <w:rFonts w:ascii="Arial" w:eastAsia="Times New Roman" w:hAnsi="Arial" w:cs="Arial"/>
                <w:sz w:val="20"/>
                <w:szCs w:val="20"/>
              </w:rPr>
              <w:t>-(1→2)-O-β-D-glucopyranoside</w:t>
            </w:r>
          </w:p>
        </w:tc>
        <w:tc>
          <w:tcPr>
            <w:tcW w:w="2410" w:type="dxa"/>
            <w:tcBorders>
              <w:left w:val="nil"/>
              <w:right w:val="nil"/>
            </w:tcBorders>
            <w:vAlign w:val="center"/>
          </w:tcPr>
          <w:p w14:paraId="78E5603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12A8012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52412EC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29AC5A9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6A3BED3B" w14:textId="77777777" w:rsidTr="004C24A6">
        <w:tc>
          <w:tcPr>
            <w:tcW w:w="988" w:type="dxa"/>
            <w:tcBorders>
              <w:left w:val="nil"/>
              <w:right w:val="nil"/>
            </w:tcBorders>
            <w:vAlign w:val="center"/>
          </w:tcPr>
          <w:p w14:paraId="3236EC9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113</w:t>
            </w:r>
          </w:p>
        </w:tc>
        <w:tc>
          <w:tcPr>
            <w:tcW w:w="3118" w:type="dxa"/>
            <w:tcBorders>
              <w:left w:val="nil"/>
              <w:right w:val="nil"/>
            </w:tcBorders>
            <w:vAlign w:val="center"/>
          </w:tcPr>
          <w:p w14:paraId="002011CA"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 xml:space="preserve">Double tetrahydrofuran </w:t>
            </w:r>
            <w:proofErr w:type="spellStart"/>
            <w:r w:rsidRPr="004C24A6">
              <w:rPr>
                <w:rFonts w:ascii="Arial" w:eastAsia="Times New Roman" w:hAnsi="Arial" w:cs="Arial"/>
                <w:sz w:val="20"/>
                <w:szCs w:val="20"/>
              </w:rPr>
              <w:t>syringaresinol</w:t>
            </w:r>
            <w:proofErr w:type="spellEnd"/>
          </w:p>
        </w:tc>
        <w:tc>
          <w:tcPr>
            <w:tcW w:w="2410" w:type="dxa"/>
            <w:tcBorders>
              <w:left w:val="nil"/>
              <w:right w:val="nil"/>
            </w:tcBorders>
            <w:vAlign w:val="center"/>
          </w:tcPr>
          <w:p w14:paraId="6957222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4EC760EE"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51DE7C5A"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5F55662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347A3EAA" w14:textId="77777777" w:rsidTr="004C24A6">
        <w:tc>
          <w:tcPr>
            <w:tcW w:w="988" w:type="dxa"/>
            <w:tcBorders>
              <w:left w:val="nil"/>
              <w:right w:val="nil"/>
            </w:tcBorders>
            <w:vAlign w:val="center"/>
          </w:tcPr>
          <w:p w14:paraId="1808EA3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114</w:t>
            </w:r>
          </w:p>
        </w:tc>
        <w:tc>
          <w:tcPr>
            <w:tcW w:w="3118" w:type="dxa"/>
            <w:tcBorders>
              <w:left w:val="nil"/>
              <w:right w:val="nil"/>
            </w:tcBorders>
            <w:vAlign w:val="center"/>
          </w:tcPr>
          <w:p w14:paraId="290D3A03"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Lirioresinol</w:t>
            </w:r>
            <w:proofErr w:type="spellEnd"/>
            <w:r w:rsidRPr="004C24A6">
              <w:rPr>
                <w:rFonts w:ascii="Arial" w:eastAsia="Times New Roman" w:hAnsi="Arial" w:cs="Arial"/>
                <w:sz w:val="20"/>
                <w:szCs w:val="20"/>
              </w:rPr>
              <w:t xml:space="preserve"> A</w:t>
            </w:r>
          </w:p>
        </w:tc>
        <w:tc>
          <w:tcPr>
            <w:tcW w:w="2410" w:type="dxa"/>
            <w:tcBorders>
              <w:left w:val="nil"/>
              <w:right w:val="nil"/>
            </w:tcBorders>
            <w:vAlign w:val="center"/>
          </w:tcPr>
          <w:p w14:paraId="7B77414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290F555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4C49FF3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4DCFB5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344F2510" w14:textId="77777777" w:rsidTr="004C24A6">
        <w:tc>
          <w:tcPr>
            <w:tcW w:w="988" w:type="dxa"/>
            <w:tcBorders>
              <w:left w:val="nil"/>
              <w:right w:val="nil"/>
            </w:tcBorders>
            <w:vAlign w:val="center"/>
          </w:tcPr>
          <w:p w14:paraId="50C2C0C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115</w:t>
            </w:r>
          </w:p>
        </w:tc>
        <w:tc>
          <w:tcPr>
            <w:tcW w:w="3118" w:type="dxa"/>
            <w:tcBorders>
              <w:left w:val="nil"/>
              <w:right w:val="nil"/>
            </w:tcBorders>
            <w:vAlign w:val="center"/>
          </w:tcPr>
          <w:p w14:paraId="5A6B1F0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Stigmasterol</w:t>
            </w:r>
          </w:p>
        </w:tc>
        <w:tc>
          <w:tcPr>
            <w:tcW w:w="2410" w:type="dxa"/>
            <w:tcBorders>
              <w:left w:val="nil"/>
              <w:right w:val="nil"/>
            </w:tcBorders>
            <w:vAlign w:val="center"/>
          </w:tcPr>
          <w:p w14:paraId="5A93713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656A507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3A9E0C7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5C51419E"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2DC96791" w14:textId="77777777" w:rsidTr="004C24A6">
        <w:tc>
          <w:tcPr>
            <w:tcW w:w="988" w:type="dxa"/>
            <w:tcBorders>
              <w:left w:val="nil"/>
              <w:right w:val="nil"/>
            </w:tcBorders>
            <w:vAlign w:val="center"/>
          </w:tcPr>
          <w:p w14:paraId="5B4DA868"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116</w:t>
            </w:r>
          </w:p>
        </w:tc>
        <w:tc>
          <w:tcPr>
            <w:tcW w:w="3118" w:type="dxa"/>
            <w:tcBorders>
              <w:left w:val="nil"/>
              <w:right w:val="nil"/>
            </w:tcBorders>
            <w:vAlign w:val="center"/>
          </w:tcPr>
          <w:p w14:paraId="4D429691"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Campesterol</w:t>
            </w:r>
            <w:proofErr w:type="spellEnd"/>
          </w:p>
        </w:tc>
        <w:tc>
          <w:tcPr>
            <w:tcW w:w="2410" w:type="dxa"/>
            <w:tcBorders>
              <w:left w:val="nil"/>
              <w:right w:val="nil"/>
            </w:tcBorders>
            <w:vAlign w:val="center"/>
          </w:tcPr>
          <w:p w14:paraId="0E970B06"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538EB08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24182D7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 HPLC</w:t>
            </w:r>
          </w:p>
        </w:tc>
        <w:tc>
          <w:tcPr>
            <w:tcW w:w="2308" w:type="dxa"/>
            <w:tcBorders>
              <w:left w:val="nil"/>
              <w:right w:val="nil"/>
            </w:tcBorders>
            <w:vAlign w:val="center"/>
          </w:tcPr>
          <w:p w14:paraId="4E9463E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11C90872" w14:textId="77777777" w:rsidTr="004C24A6">
        <w:tc>
          <w:tcPr>
            <w:tcW w:w="988" w:type="dxa"/>
            <w:tcBorders>
              <w:left w:val="nil"/>
              <w:right w:val="nil"/>
            </w:tcBorders>
            <w:vAlign w:val="center"/>
          </w:tcPr>
          <w:p w14:paraId="2296E69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117</w:t>
            </w:r>
          </w:p>
        </w:tc>
        <w:tc>
          <w:tcPr>
            <w:tcW w:w="3118" w:type="dxa"/>
            <w:tcBorders>
              <w:left w:val="nil"/>
              <w:right w:val="nil"/>
            </w:tcBorders>
            <w:vAlign w:val="center"/>
          </w:tcPr>
          <w:p w14:paraId="121807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Sitosteryl-3-O-glucoside</w:t>
            </w:r>
          </w:p>
        </w:tc>
        <w:tc>
          <w:tcPr>
            <w:tcW w:w="2410" w:type="dxa"/>
            <w:tcBorders>
              <w:left w:val="nil"/>
              <w:right w:val="nil"/>
            </w:tcBorders>
            <w:vAlign w:val="center"/>
          </w:tcPr>
          <w:p w14:paraId="3EEBE1E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7A4705A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11B0DF9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 HPLC</w:t>
            </w:r>
          </w:p>
        </w:tc>
        <w:tc>
          <w:tcPr>
            <w:tcW w:w="2308" w:type="dxa"/>
            <w:tcBorders>
              <w:left w:val="nil"/>
              <w:right w:val="nil"/>
            </w:tcBorders>
            <w:vAlign w:val="center"/>
          </w:tcPr>
          <w:p w14:paraId="497E6A8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44A23520" w14:textId="77777777" w:rsidTr="004C24A6">
        <w:tc>
          <w:tcPr>
            <w:tcW w:w="988" w:type="dxa"/>
            <w:tcBorders>
              <w:left w:val="nil"/>
              <w:right w:val="nil"/>
            </w:tcBorders>
            <w:vAlign w:val="center"/>
          </w:tcPr>
          <w:p w14:paraId="6855C39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118</w:t>
            </w:r>
          </w:p>
        </w:tc>
        <w:tc>
          <w:tcPr>
            <w:tcW w:w="3118" w:type="dxa"/>
            <w:tcBorders>
              <w:left w:val="nil"/>
              <w:right w:val="nil"/>
            </w:tcBorders>
            <w:vAlign w:val="center"/>
          </w:tcPr>
          <w:p w14:paraId="3D3E8C2B"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Daucosterol</w:t>
            </w:r>
            <w:proofErr w:type="spellEnd"/>
          </w:p>
        </w:tc>
        <w:tc>
          <w:tcPr>
            <w:tcW w:w="2410" w:type="dxa"/>
            <w:tcBorders>
              <w:left w:val="nil"/>
              <w:right w:val="nil"/>
            </w:tcBorders>
            <w:vAlign w:val="center"/>
          </w:tcPr>
          <w:p w14:paraId="23942C8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067E22C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Aerial parts</w:t>
            </w:r>
          </w:p>
        </w:tc>
        <w:tc>
          <w:tcPr>
            <w:tcW w:w="3281" w:type="dxa"/>
            <w:tcBorders>
              <w:left w:val="nil"/>
              <w:right w:val="nil"/>
            </w:tcBorders>
            <w:vAlign w:val="center"/>
          </w:tcPr>
          <w:p w14:paraId="3007C71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356D7E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7F4182FA" w14:textId="77777777" w:rsidTr="004C24A6">
        <w:tc>
          <w:tcPr>
            <w:tcW w:w="988" w:type="dxa"/>
            <w:tcBorders>
              <w:left w:val="nil"/>
              <w:right w:val="nil"/>
            </w:tcBorders>
            <w:vAlign w:val="center"/>
          </w:tcPr>
          <w:p w14:paraId="1DDCEAE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119</w:t>
            </w:r>
          </w:p>
        </w:tc>
        <w:tc>
          <w:tcPr>
            <w:tcW w:w="3118" w:type="dxa"/>
            <w:tcBorders>
              <w:left w:val="nil"/>
              <w:right w:val="nil"/>
            </w:tcBorders>
            <w:vAlign w:val="center"/>
          </w:tcPr>
          <w:p w14:paraId="3F2BCD46"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Pregnane</w:t>
            </w:r>
            <w:proofErr w:type="spellEnd"/>
          </w:p>
        </w:tc>
        <w:tc>
          <w:tcPr>
            <w:tcW w:w="2410" w:type="dxa"/>
            <w:tcBorders>
              <w:left w:val="nil"/>
              <w:right w:val="nil"/>
            </w:tcBorders>
            <w:vAlign w:val="center"/>
          </w:tcPr>
          <w:p w14:paraId="0E6EC2DC"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4A362FE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1BD7F9A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479020A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bl>
    <w:p w14:paraId="60B7F2F5" w14:textId="77777777" w:rsidR="004C24A6" w:rsidRDefault="004C24A6" w:rsidP="00441B6F">
      <w:pPr>
        <w:pStyle w:val="Body"/>
        <w:spacing w:after="0"/>
        <w:rPr>
          <w:rFonts w:ascii="Arial" w:hAnsi="Arial" w:cs="Arial"/>
        </w:rPr>
      </w:pPr>
    </w:p>
    <w:p w14:paraId="4DA967C3" w14:textId="77777777" w:rsidR="004C24A6" w:rsidRDefault="004C24A6" w:rsidP="00441B6F">
      <w:pPr>
        <w:pStyle w:val="Body"/>
        <w:spacing w:after="0"/>
        <w:rPr>
          <w:rFonts w:ascii="Arial" w:hAnsi="Arial" w:cs="Arial"/>
        </w:rPr>
      </w:pPr>
    </w:p>
    <w:p w14:paraId="49A468C1" w14:textId="77777777" w:rsidR="004C24A6" w:rsidRDefault="004C24A6" w:rsidP="00441B6F">
      <w:pPr>
        <w:pStyle w:val="Body"/>
        <w:spacing w:after="0"/>
        <w:rPr>
          <w:rFonts w:ascii="Arial" w:hAnsi="Arial" w:cs="Arial"/>
        </w:rPr>
      </w:pPr>
    </w:p>
    <w:p w14:paraId="75491487" w14:textId="77777777" w:rsidR="004C24A6" w:rsidRDefault="004C24A6" w:rsidP="00441B6F">
      <w:pPr>
        <w:pStyle w:val="Body"/>
        <w:spacing w:after="0"/>
        <w:rPr>
          <w:rFonts w:ascii="Arial" w:hAnsi="Arial" w:cs="Arial"/>
        </w:rPr>
      </w:pPr>
    </w:p>
    <w:p w14:paraId="5AB089FA" w14:textId="77777777" w:rsidR="004C24A6" w:rsidRDefault="004C24A6" w:rsidP="00441B6F">
      <w:pPr>
        <w:pStyle w:val="Body"/>
        <w:spacing w:after="0"/>
        <w:rPr>
          <w:rFonts w:ascii="Arial" w:hAnsi="Arial" w:cs="Arial"/>
        </w:rPr>
      </w:pPr>
    </w:p>
    <w:p w14:paraId="17E0675D"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7B452BE2" w14:textId="694BE2D3" w:rsidR="004C24A6" w:rsidRPr="004C24A6" w:rsidRDefault="004C24A6" w:rsidP="004C24A6">
      <w:pPr>
        <w:pStyle w:val="Body"/>
        <w:numPr>
          <w:ilvl w:val="1"/>
          <w:numId w:val="37"/>
        </w:numPr>
        <w:rPr>
          <w:rFonts w:ascii="Arial" w:hAnsi="Arial" w:cs="Arial"/>
          <w:b/>
          <w:bCs/>
        </w:rPr>
      </w:pPr>
      <w:r w:rsidRPr="004C24A6">
        <w:rPr>
          <w:rFonts w:ascii="Arial" w:hAnsi="Arial" w:cs="Arial"/>
          <w:b/>
          <w:bCs/>
        </w:rPr>
        <w:lastRenderedPageBreak/>
        <w:t xml:space="preserve">Other metabolites: </w:t>
      </w:r>
    </w:p>
    <w:p w14:paraId="34756CEC" w14:textId="27B17AE8" w:rsidR="004C24A6" w:rsidRDefault="004C24A6" w:rsidP="004C24A6">
      <w:pPr>
        <w:pStyle w:val="Body"/>
        <w:spacing w:after="0"/>
        <w:rPr>
          <w:rFonts w:ascii="Arial" w:hAnsi="Arial" w:cs="Arial"/>
        </w:rPr>
      </w:pPr>
      <w:r w:rsidRPr="004C24A6">
        <w:rPr>
          <w:rFonts w:ascii="Arial" w:hAnsi="Arial" w:cs="Arial"/>
        </w:rPr>
        <w:t xml:space="preserve">Zhou and co-workers (2008) reported the discovery of three previously uncharacterized aromatic glycosides along with three already known </w:t>
      </w:r>
      <w:proofErr w:type="spellStart"/>
      <w:r w:rsidRPr="004C24A6">
        <w:rPr>
          <w:rFonts w:ascii="Arial" w:hAnsi="Arial" w:cs="Arial"/>
        </w:rPr>
        <w:t>glycosidic</w:t>
      </w:r>
      <w:proofErr w:type="spellEnd"/>
      <w:r w:rsidRPr="004C24A6">
        <w:rPr>
          <w:rFonts w:ascii="Arial" w:hAnsi="Arial" w:cs="Arial"/>
        </w:rPr>
        <w:t xml:space="preserve"> compounds. Their study also highlighted that safflower seeds are particularly rich in lipid-based constituents, with linoleic acid and oleic acid representing the dominant fatty acids, while tocopherols constitute a major class of antioxidant components.</w:t>
      </w:r>
    </w:p>
    <w:p w14:paraId="58290955" w14:textId="77777777" w:rsidR="004C24A6" w:rsidRDefault="004C24A6" w:rsidP="004C24A6">
      <w:pPr>
        <w:pStyle w:val="Body"/>
        <w:spacing w:after="0"/>
        <w:rPr>
          <w:rFonts w:ascii="Arial" w:hAnsi="Arial" w:cs="Arial"/>
        </w:rPr>
      </w:pPr>
    </w:p>
    <w:p w14:paraId="1BDAB161" w14:textId="78EBE3E2" w:rsidR="004C24A6" w:rsidRDefault="004C24A6" w:rsidP="00441B6F">
      <w:pPr>
        <w:pStyle w:val="Body"/>
        <w:spacing w:after="0"/>
        <w:rPr>
          <w:rFonts w:ascii="Arial" w:hAnsi="Arial" w:cs="Arial"/>
        </w:rPr>
      </w:pPr>
      <w:r>
        <w:rPr>
          <w:rFonts w:ascii="Times New Roman" w:hAnsi="Times New Roman"/>
          <w:noProof/>
          <w:sz w:val="24"/>
          <w:szCs w:val="24"/>
        </w:rPr>
        <w:drawing>
          <wp:inline distT="0" distB="0" distL="0" distR="0" wp14:anchorId="0C92486B" wp14:editId="4DFEF06C">
            <wp:extent cx="5208270" cy="2972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8270" cy="2972280"/>
                    </a:xfrm>
                    <a:prstGeom prst="rect">
                      <a:avLst/>
                    </a:prstGeom>
                  </pic:spPr>
                </pic:pic>
              </a:graphicData>
            </a:graphic>
          </wp:inline>
        </w:drawing>
      </w:r>
    </w:p>
    <w:p w14:paraId="36602B47" w14:textId="77777777" w:rsidR="00D51723" w:rsidRDefault="00D51723" w:rsidP="00441B6F">
      <w:pPr>
        <w:pStyle w:val="Body"/>
        <w:spacing w:after="0"/>
        <w:rPr>
          <w:rFonts w:ascii="Arial" w:hAnsi="Arial" w:cs="Arial"/>
        </w:rPr>
      </w:pPr>
    </w:p>
    <w:p w14:paraId="344E721B" w14:textId="77777777" w:rsidR="00D51723" w:rsidRDefault="00D51723" w:rsidP="00441B6F">
      <w:pPr>
        <w:pStyle w:val="Body"/>
        <w:spacing w:after="0"/>
        <w:rPr>
          <w:rFonts w:ascii="Arial" w:hAnsi="Arial" w:cs="Arial"/>
        </w:rPr>
      </w:pPr>
    </w:p>
    <w:p w14:paraId="77D27578" w14:textId="77777777" w:rsidR="00D51723" w:rsidRDefault="00D51723" w:rsidP="00441B6F">
      <w:pPr>
        <w:pStyle w:val="Body"/>
        <w:spacing w:after="0"/>
        <w:rPr>
          <w:rFonts w:ascii="Arial" w:hAnsi="Arial" w:cs="Arial"/>
        </w:rPr>
      </w:pPr>
    </w:p>
    <w:p w14:paraId="4FDCFDF4" w14:textId="77777777" w:rsidR="00D51723" w:rsidRDefault="00D51723" w:rsidP="00441B6F">
      <w:pPr>
        <w:pStyle w:val="Body"/>
        <w:spacing w:after="0"/>
        <w:rPr>
          <w:rFonts w:ascii="Arial" w:hAnsi="Arial" w:cs="Arial"/>
        </w:rPr>
      </w:pPr>
    </w:p>
    <w:p w14:paraId="72846B8C" w14:textId="77777777" w:rsidR="00D51723" w:rsidRDefault="00D51723" w:rsidP="00441B6F">
      <w:pPr>
        <w:pStyle w:val="Body"/>
        <w:spacing w:after="0"/>
        <w:rPr>
          <w:rFonts w:ascii="Arial" w:hAnsi="Arial" w:cs="Arial"/>
        </w:rPr>
      </w:pPr>
    </w:p>
    <w:p w14:paraId="6779B2E6" w14:textId="77777777" w:rsidR="004C24A6" w:rsidRPr="004C24A6" w:rsidRDefault="004C24A6" w:rsidP="004C24A6">
      <w:pPr>
        <w:spacing w:line="276" w:lineRule="auto"/>
        <w:jc w:val="center"/>
        <w:rPr>
          <w:rFonts w:ascii="Arial" w:hAnsi="Arial" w:cs="Arial"/>
          <w:lang w:val="en-GB"/>
        </w:rPr>
      </w:pPr>
      <w:r w:rsidRPr="004C24A6">
        <w:rPr>
          <w:rFonts w:ascii="Arial" w:hAnsi="Arial" w:cs="Arial"/>
          <w:b/>
          <w:bCs/>
          <w:lang w:val="en-GB"/>
        </w:rPr>
        <w:t>Figure-6:</w:t>
      </w:r>
      <w:r w:rsidRPr="004C24A6">
        <w:rPr>
          <w:rFonts w:ascii="Arial" w:hAnsi="Arial" w:cs="Arial"/>
          <w:lang w:val="en-GB"/>
        </w:rPr>
        <w:t xml:space="preserve"> Chemical structures of additional metabolites identified in safflower</w:t>
      </w:r>
    </w:p>
    <w:p w14:paraId="0305308C" w14:textId="77777777" w:rsidR="00D51723" w:rsidRDefault="00D51723" w:rsidP="00441B6F">
      <w:pPr>
        <w:pStyle w:val="Body"/>
        <w:spacing w:after="0"/>
        <w:rPr>
          <w:rFonts w:ascii="Arial" w:hAnsi="Arial" w:cs="Arial"/>
        </w:rPr>
      </w:pPr>
    </w:p>
    <w:p w14:paraId="79817CDA" w14:textId="7A955DB0" w:rsidR="00D51723" w:rsidRDefault="00D51723" w:rsidP="00441B6F">
      <w:pPr>
        <w:pStyle w:val="Body"/>
        <w:spacing w:after="0"/>
        <w:rPr>
          <w:rFonts w:ascii="Arial" w:hAnsi="Arial" w:cs="Arial"/>
        </w:rPr>
      </w:pPr>
    </w:p>
    <w:p w14:paraId="3824C0B0" w14:textId="77777777" w:rsidR="004C24A6" w:rsidRDefault="004C24A6" w:rsidP="00441B6F">
      <w:pPr>
        <w:pStyle w:val="Body"/>
        <w:spacing w:after="0"/>
        <w:rPr>
          <w:rFonts w:ascii="Arial" w:hAnsi="Arial" w:cs="Arial"/>
        </w:rPr>
      </w:pPr>
    </w:p>
    <w:p w14:paraId="3D9B6595" w14:textId="77777777" w:rsidR="004C24A6" w:rsidRDefault="004C24A6" w:rsidP="00441B6F">
      <w:pPr>
        <w:pStyle w:val="Body"/>
        <w:spacing w:after="0"/>
        <w:rPr>
          <w:rFonts w:ascii="Arial" w:hAnsi="Arial" w:cs="Arial"/>
        </w:rPr>
      </w:pPr>
    </w:p>
    <w:p w14:paraId="23855E68" w14:textId="77777777" w:rsidR="004C24A6" w:rsidRDefault="004C24A6" w:rsidP="00441B6F">
      <w:pPr>
        <w:pStyle w:val="Body"/>
        <w:spacing w:after="0"/>
        <w:rPr>
          <w:rFonts w:ascii="Arial" w:hAnsi="Arial" w:cs="Arial"/>
        </w:rPr>
      </w:pPr>
    </w:p>
    <w:p w14:paraId="246F7BB8" w14:textId="77777777" w:rsidR="004C24A6" w:rsidRDefault="004C24A6" w:rsidP="00441B6F">
      <w:pPr>
        <w:pStyle w:val="Body"/>
        <w:spacing w:after="0"/>
        <w:rPr>
          <w:rFonts w:ascii="Arial" w:hAnsi="Arial" w:cs="Arial"/>
        </w:rPr>
      </w:pPr>
    </w:p>
    <w:p w14:paraId="22DF4C2B" w14:textId="77777777" w:rsidR="004C24A6" w:rsidRDefault="004C24A6" w:rsidP="00441B6F">
      <w:pPr>
        <w:pStyle w:val="Body"/>
        <w:spacing w:after="0"/>
        <w:rPr>
          <w:rFonts w:ascii="Arial" w:hAnsi="Arial" w:cs="Arial"/>
        </w:rPr>
      </w:pPr>
    </w:p>
    <w:p w14:paraId="3B8C8FC0" w14:textId="77777777" w:rsidR="004C24A6" w:rsidRDefault="004C24A6" w:rsidP="00441B6F">
      <w:pPr>
        <w:pStyle w:val="Body"/>
        <w:spacing w:after="0"/>
        <w:rPr>
          <w:rFonts w:ascii="Arial" w:hAnsi="Arial" w:cs="Arial"/>
        </w:rPr>
      </w:pPr>
    </w:p>
    <w:p w14:paraId="5F32F7DF" w14:textId="77777777" w:rsidR="004C24A6" w:rsidRDefault="004C24A6" w:rsidP="00441B6F">
      <w:pPr>
        <w:pStyle w:val="Body"/>
        <w:spacing w:after="0"/>
        <w:rPr>
          <w:rFonts w:ascii="Arial" w:hAnsi="Arial" w:cs="Arial"/>
        </w:rPr>
      </w:pPr>
    </w:p>
    <w:p w14:paraId="022557DA" w14:textId="77777777" w:rsidR="004C24A6" w:rsidRDefault="004C24A6" w:rsidP="00441B6F">
      <w:pPr>
        <w:pStyle w:val="Body"/>
        <w:spacing w:after="0"/>
        <w:rPr>
          <w:rFonts w:ascii="Arial" w:hAnsi="Arial" w:cs="Arial"/>
        </w:rPr>
      </w:pPr>
    </w:p>
    <w:p w14:paraId="6204F76E" w14:textId="77777777" w:rsidR="004C24A6" w:rsidRDefault="004C24A6" w:rsidP="00441B6F">
      <w:pPr>
        <w:pStyle w:val="Body"/>
        <w:spacing w:after="0"/>
        <w:rPr>
          <w:rFonts w:ascii="Arial" w:hAnsi="Arial" w:cs="Arial"/>
        </w:rPr>
      </w:pPr>
    </w:p>
    <w:p w14:paraId="3BD17631" w14:textId="77777777" w:rsidR="004C24A6" w:rsidRDefault="004C24A6" w:rsidP="00441B6F">
      <w:pPr>
        <w:pStyle w:val="Body"/>
        <w:spacing w:after="0"/>
        <w:rPr>
          <w:rFonts w:ascii="Arial" w:hAnsi="Arial" w:cs="Arial"/>
        </w:rPr>
      </w:pPr>
    </w:p>
    <w:p w14:paraId="170CCFFA" w14:textId="77777777" w:rsidR="004C24A6" w:rsidRDefault="004C24A6" w:rsidP="00441B6F">
      <w:pPr>
        <w:pStyle w:val="Body"/>
        <w:spacing w:after="0"/>
        <w:rPr>
          <w:rFonts w:ascii="Arial" w:hAnsi="Arial" w:cs="Arial"/>
        </w:rPr>
      </w:pPr>
    </w:p>
    <w:p w14:paraId="6E1B7685" w14:textId="77777777" w:rsidR="004C24A6" w:rsidRDefault="004C24A6" w:rsidP="00441B6F">
      <w:pPr>
        <w:pStyle w:val="Body"/>
        <w:spacing w:after="0"/>
        <w:rPr>
          <w:rFonts w:ascii="Arial" w:hAnsi="Arial" w:cs="Arial"/>
        </w:rPr>
      </w:pPr>
    </w:p>
    <w:p w14:paraId="1A783A54" w14:textId="77777777" w:rsidR="004C24A6" w:rsidRDefault="004C24A6" w:rsidP="00441B6F">
      <w:pPr>
        <w:pStyle w:val="Body"/>
        <w:spacing w:after="0"/>
        <w:rPr>
          <w:rFonts w:ascii="Arial" w:hAnsi="Arial" w:cs="Arial"/>
        </w:rPr>
      </w:pPr>
    </w:p>
    <w:p w14:paraId="07333CA5" w14:textId="77777777" w:rsidR="004C24A6" w:rsidRDefault="004C24A6" w:rsidP="00441B6F">
      <w:pPr>
        <w:pStyle w:val="Body"/>
        <w:spacing w:after="0"/>
        <w:rPr>
          <w:rFonts w:ascii="Arial" w:hAnsi="Arial" w:cs="Arial"/>
        </w:rPr>
      </w:pPr>
    </w:p>
    <w:p w14:paraId="451EA765" w14:textId="77777777" w:rsidR="004C24A6" w:rsidRDefault="004C24A6" w:rsidP="00441B6F">
      <w:pPr>
        <w:pStyle w:val="Body"/>
        <w:spacing w:after="0"/>
        <w:rPr>
          <w:rFonts w:ascii="Arial" w:hAnsi="Arial" w:cs="Arial"/>
        </w:rPr>
      </w:pPr>
    </w:p>
    <w:p w14:paraId="1C54AF77" w14:textId="77777777" w:rsidR="004C24A6" w:rsidRDefault="004C24A6" w:rsidP="00441B6F">
      <w:pPr>
        <w:pStyle w:val="Body"/>
        <w:spacing w:after="0"/>
        <w:rPr>
          <w:rFonts w:ascii="Arial" w:hAnsi="Arial" w:cs="Arial"/>
        </w:rPr>
      </w:pPr>
    </w:p>
    <w:p w14:paraId="5702282B" w14:textId="77777777" w:rsidR="004C24A6" w:rsidRDefault="004C24A6" w:rsidP="00441B6F">
      <w:pPr>
        <w:pStyle w:val="Body"/>
        <w:spacing w:after="0"/>
        <w:rPr>
          <w:rFonts w:ascii="Arial" w:hAnsi="Arial" w:cs="Arial"/>
        </w:rPr>
      </w:pPr>
    </w:p>
    <w:p w14:paraId="4E8F35BE"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469F8368" w14:textId="5E6680FB" w:rsidR="004C24A6" w:rsidRDefault="004C24A6" w:rsidP="004C24A6">
      <w:pPr>
        <w:pStyle w:val="Body"/>
        <w:spacing w:after="0"/>
        <w:jc w:val="center"/>
        <w:rPr>
          <w:rFonts w:ascii="Arial" w:hAnsi="Arial" w:cs="Arial"/>
        </w:rPr>
      </w:pPr>
      <w:r w:rsidRPr="004C24A6">
        <w:rPr>
          <w:rFonts w:ascii="Arial" w:hAnsi="Arial" w:cs="Arial"/>
          <w:b/>
          <w:bCs/>
        </w:rPr>
        <w:lastRenderedPageBreak/>
        <w:t>Table-5:</w:t>
      </w:r>
      <w:r w:rsidRPr="004C24A6">
        <w:rPr>
          <w:rFonts w:ascii="Arial" w:hAnsi="Arial" w:cs="Arial"/>
        </w:rPr>
        <w:t xml:space="preserve"> Aromatic glycosides, fatty acids, and tocopherols isolated from safflower</w:t>
      </w:r>
    </w:p>
    <w:p w14:paraId="3508FFA4" w14:textId="77777777" w:rsidR="004C24A6" w:rsidRDefault="004C24A6"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906"/>
        <w:gridCol w:w="2851"/>
        <w:gridCol w:w="2183"/>
        <w:gridCol w:w="1681"/>
        <w:gridCol w:w="2935"/>
        <w:gridCol w:w="2041"/>
      </w:tblGrid>
      <w:tr w:rsidR="004C24A6" w14:paraId="5EF23B21" w14:textId="77777777" w:rsidTr="007D1F19">
        <w:trPr>
          <w:trHeight w:val="841"/>
        </w:trPr>
        <w:tc>
          <w:tcPr>
            <w:tcW w:w="988" w:type="dxa"/>
            <w:tcBorders>
              <w:left w:val="nil"/>
              <w:right w:val="nil"/>
            </w:tcBorders>
            <w:vAlign w:val="center"/>
          </w:tcPr>
          <w:p w14:paraId="02757C60"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 No</w:t>
            </w:r>
          </w:p>
        </w:tc>
        <w:tc>
          <w:tcPr>
            <w:tcW w:w="3118" w:type="dxa"/>
            <w:tcBorders>
              <w:left w:val="nil"/>
              <w:right w:val="nil"/>
            </w:tcBorders>
            <w:vAlign w:val="center"/>
          </w:tcPr>
          <w:p w14:paraId="70313215"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Identified compound</w:t>
            </w:r>
          </w:p>
        </w:tc>
        <w:tc>
          <w:tcPr>
            <w:tcW w:w="2410" w:type="dxa"/>
            <w:tcBorders>
              <w:left w:val="nil"/>
              <w:right w:val="nil"/>
            </w:tcBorders>
            <w:vAlign w:val="center"/>
          </w:tcPr>
          <w:p w14:paraId="2A5B4D36"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Solvent employed for isolation</w:t>
            </w:r>
          </w:p>
        </w:tc>
        <w:tc>
          <w:tcPr>
            <w:tcW w:w="1843" w:type="dxa"/>
            <w:tcBorders>
              <w:left w:val="nil"/>
              <w:right w:val="nil"/>
            </w:tcBorders>
            <w:vAlign w:val="center"/>
          </w:tcPr>
          <w:p w14:paraId="0BADEBA9"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Plant material</w:t>
            </w:r>
          </w:p>
        </w:tc>
        <w:tc>
          <w:tcPr>
            <w:tcW w:w="3281" w:type="dxa"/>
            <w:tcBorders>
              <w:left w:val="nil"/>
              <w:right w:val="nil"/>
            </w:tcBorders>
            <w:vAlign w:val="center"/>
          </w:tcPr>
          <w:p w14:paraId="2A365A1C"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Structural elucidation techniques</w:t>
            </w:r>
          </w:p>
        </w:tc>
        <w:tc>
          <w:tcPr>
            <w:tcW w:w="2308" w:type="dxa"/>
            <w:tcBorders>
              <w:left w:val="nil"/>
              <w:right w:val="nil"/>
            </w:tcBorders>
            <w:vAlign w:val="center"/>
          </w:tcPr>
          <w:p w14:paraId="022BA1FE"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Source</w:t>
            </w:r>
          </w:p>
        </w:tc>
      </w:tr>
      <w:tr w:rsidR="004C24A6" w14:paraId="5AD55033" w14:textId="77777777" w:rsidTr="007D1F19">
        <w:tc>
          <w:tcPr>
            <w:tcW w:w="988" w:type="dxa"/>
            <w:tcBorders>
              <w:left w:val="nil"/>
              <w:right w:val="nil"/>
            </w:tcBorders>
            <w:vAlign w:val="center"/>
          </w:tcPr>
          <w:p w14:paraId="0DD3412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120</w:t>
            </w:r>
          </w:p>
        </w:tc>
        <w:tc>
          <w:tcPr>
            <w:tcW w:w="3118" w:type="dxa"/>
            <w:tcBorders>
              <w:left w:val="nil"/>
              <w:right w:val="nil"/>
            </w:tcBorders>
            <w:vAlign w:val="center"/>
          </w:tcPr>
          <w:p w14:paraId="7C7634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2,3-Dimethoxy-5-methylphenyl-1-O-β-D-glucopyranoside</w:t>
            </w:r>
          </w:p>
        </w:tc>
        <w:tc>
          <w:tcPr>
            <w:tcW w:w="2410" w:type="dxa"/>
            <w:tcBorders>
              <w:left w:val="nil"/>
              <w:right w:val="nil"/>
            </w:tcBorders>
            <w:vAlign w:val="center"/>
          </w:tcPr>
          <w:p w14:paraId="5DD5787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17A4F3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2C3D7B0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4DA555B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6523B71B" w14:textId="77777777" w:rsidTr="007D1F19">
        <w:tc>
          <w:tcPr>
            <w:tcW w:w="988" w:type="dxa"/>
            <w:tcBorders>
              <w:left w:val="nil"/>
              <w:right w:val="nil"/>
            </w:tcBorders>
            <w:vAlign w:val="center"/>
          </w:tcPr>
          <w:p w14:paraId="447299C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121</w:t>
            </w:r>
          </w:p>
        </w:tc>
        <w:tc>
          <w:tcPr>
            <w:tcW w:w="3118" w:type="dxa"/>
            <w:tcBorders>
              <w:left w:val="nil"/>
              <w:right w:val="nil"/>
            </w:tcBorders>
            <w:vAlign w:val="center"/>
          </w:tcPr>
          <w:p w14:paraId="7B816A29"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2,6-Dimethoxy-4-methylphenyl-1-O-β-D-glucopyranoside</w:t>
            </w:r>
          </w:p>
        </w:tc>
        <w:tc>
          <w:tcPr>
            <w:tcW w:w="2410" w:type="dxa"/>
            <w:tcBorders>
              <w:left w:val="nil"/>
              <w:right w:val="nil"/>
            </w:tcBorders>
            <w:vAlign w:val="center"/>
          </w:tcPr>
          <w:p w14:paraId="2ED29A1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06D125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53651B6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68D8EDB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69E1B8A2" w14:textId="77777777" w:rsidTr="007D1F19">
        <w:tc>
          <w:tcPr>
            <w:tcW w:w="988" w:type="dxa"/>
            <w:tcBorders>
              <w:left w:val="nil"/>
              <w:right w:val="nil"/>
            </w:tcBorders>
            <w:vAlign w:val="center"/>
          </w:tcPr>
          <w:p w14:paraId="263460C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122</w:t>
            </w:r>
          </w:p>
        </w:tc>
        <w:tc>
          <w:tcPr>
            <w:tcW w:w="3118" w:type="dxa"/>
            <w:tcBorders>
              <w:left w:val="nil"/>
              <w:right w:val="nil"/>
            </w:tcBorders>
            <w:vAlign w:val="center"/>
          </w:tcPr>
          <w:p w14:paraId="427251B8"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Ethyl-3-(4-O-β-D-glucopyranosyl-3-methoxyphenyl) propionate</w:t>
            </w:r>
          </w:p>
        </w:tc>
        <w:tc>
          <w:tcPr>
            <w:tcW w:w="2410" w:type="dxa"/>
            <w:tcBorders>
              <w:left w:val="nil"/>
              <w:right w:val="nil"/>
            </w:tcBorders>
            <w:vAlign w:val="center"/>
          </w:tcPr>
          <w:p w14:paraId="36B5D0FE"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781F6F3F"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68FBAEF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1A73DC9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22F563A4" w14:textId="77777777" w:rsidTr="007D1F19">
        <w:tc>
          <w:tcPr>
            <w:tcW w:w="988" w:type="dxa"/>
            <w:tcBorders>
              <w:left w:val="nil"/>
              <w:right w:val="nil"/>
            </w:tcBorders>
            <w:vAlign w:val="center"/>
          </w:tcPr>
          <w:p w14:paraId="137518C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123</w:t>
            </w:r>
          </w:p>
        </w:tc>
        <w:tc>
          <w:tcPr>
            <w:tcW w:w="3118" w:type="dxa"/>
            <w:tcBorders>
              <w:left w:val="nil"/>
              <w:right w:val="nil"/>
            </w:tcBorders>
            <w:vAlign w:val="center"/>
          </w:tcPr>
          <w:p w14:paraId="0E43B8A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Methyl-3-(4-O-β-D-glucopyranosyl-3-methoxyphenyl) propionate</w:t>
            </w:r>
          </w:p>
        </w:tc>
        <w:tc>
          <w:tcPr>
            <w:tcW w:w="2410" w:type="dxa"/>
            <w:tcBorders>
              <w:left w:val="nil"/>
              <w:right w:val="nil"/>
            </w:tcBorders>
            <w:vAlign w:val="center"/>
          </w:tcPr>
          <w:p w14:paraId="570E860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33975D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2E6AA02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4B8E08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3502F8EB" w14:textId="77777777" w:rsidTr="007D1F19">
        <w:tc>
          <w:tcPr>
            <w:tcW w:w="988" w:type="dxa"/>
            <w:tcBorders>
              <w:left w:val="nil"/>
              <w:right w:val="nil"/>
            </w:tcBorders>
            <w:vAlign w:val="center"/>
          </w:tcPr>
          <w:p w14:paraId="3AFC4E0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124</w:t>
            </w:r>
          </w:p>
        </w:tc>
        <w:tc>
          <w:tcPr>
            <w:tcW w:w="3118" w:type="dxa"/>
            <w:tcBorders>
              <w:left w:val="nil"/>
              <w:right w:val="nil"/>
            </w:tcBorders>
            <w:vAlign w:val="center"/>
          </w:tcPr>
          <w:p w14:paraId="7C49B535" w14:textId="77777777" w:rsidR="004C24A6" w:rsidRPr="004C24A6" w:rsidRDefault="004C24A6" w:rsidP="007D1F19">
            <w:pPr>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Ethylsyringin</w:t>
            </w:r>
            <w:proofErr w:type="spellEnd"/>
          </w:p>
        </w:tc>
        <w:tc>
          <w:tcPr>
            <w:tcW w:w="2410" w:type="dxa"/>
            <w:tcBorders>
              <w:left w:val="nil"/>
              <w:right w:val="nil"/>
            </w:tcBorders>
            <w:vAlign w:val="center"/>
          </w:tcPr>
          <w:p w14:paraId="32B9B69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Chloroform</w:t>
            </w:r>
          </w:p>
        </w:tc>
        <w:tc>
          <w:tcPr>
            <w:tcW w:w="1843" w:type="dxa"/>
            <w:tcBorders>
              <w:left w:val="nil"/>
              <w:right w:val="nil"/>
            </w:tcBorders>
            <w:vAlign w:val="center"/>
          </w:tcPr>
          <w:p w14:paraId="199E1D3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Leaves</w:t>
            </w:r>
          </w:p>
        </w:tc>
        <w:tc>
          <w:tcPr>
            <w:tcW w:w="3281" w:type="dxa"/>
            <w:tcBorders>
              <w:left w:val="nil"/>
              <w:right w:val="nil"/>
            </w:tcBorders>
            <w:vAlign w:val="center"/>
          </w:tcPr>
          <w:p w14:paraId="61D38B7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0B9A2E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7A1037EC" w14:textId="77777777" w:rsidTr="007D1F19">
        <w:tc>
          <w:tcPr>
            <w:tcW w:w="988" w:type="dxa"/>
            <w:tcBorders>
              <w:left w:val="nil"/>
              <w:right w:val="nil"/>
            </w:tcBorders>
            <w:vAlign w:val="center"/>
          </w:tcPr>
          <w:p w14:paraId="4E1425EA"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125</w:t>
            </w:r>
          </w:p>
        </w:tc>
        <w:tc>
          <w:tcPr>
            <w:tcW w:w="3118" w:type="dxa"/>
            <w:tcBorders>
              <w:left w:val="nil"/>
              <w:right w:val="nil"/>
            </w:tcBorders>
            <w:vAlign w:val="center"/>
          </w:tcPr>
          <w:p w14:paraId="75FF53FA" w14:textId="77777777" w:rsidR="004C24A6" w:rsidRPr="004C24A6" w:rsidRDefault="004C24A6" w:rsidP="007D1F19">
            <w:pPr>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Methylsyringin</w:t>
            </w:r>
            <w:proofErr w:type="spellEnd"/>
          </w:p>
        </w:tc>
        <w:tc>
          <w:tcPr>
            <w:tcW w:w="2410" w:type="dxa"/>
            <w:tcBorders>
              <w:left w:val="nil"/>
              <w:right w:val="nil"/>
            </w:tcBorders>
            <w:vAlign w:val="center"/>
          </w:tcPr>
          <w:p w14:paraId="5F45931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Chloroform</w:t>
            </w:r>
          </w:p>
        </w:tc>
        <w:tc>
          <w:tcPr>
            <w:tcW w:w="1843" w:type="dxa"/>
            <w:tcBorders>
              <w:left w:val="nil"/>
              <w:right w:val="nil"/>
            </w:tcBorders>
            <w:vAlign w:val="center"/>
          </w:tcPr>
          <w:p w14:paraId="0B2870D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Leaves</w:t>
            </w:r>
          </w:p>
        </w:tc>
        <w:tc>
          <w:tcPr>
            <w:tcW w:w="3281" w:type="dxa"/>
            <w:tcBorders>
              <w:left w:val="nil"/>
              <w:right w:val="nil"/>
            </w:tcBorders>
            <w:vAlign w:val="center"/>
          </w:tcPr>
          <w:p w14:paraId="297C896C"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29B0AE0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113E743F" w14:textId="77777777" w:rsidTr="007D1F19">
        <w:tc>
          <w:tcPr>
            <w:tcW w:w="988" w:type="dxa"/>
            <w:tcBorders>
              <w:left w:val="nil"/>
              <w:right w:val="nil"/>
            </w:tcBorders>
            <w:vAlign w:val="center"/>
          </w:tcPr>
          <w:p w14:paraId="5B3E579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126</w:t>
            </w:r>
          </w:p>
        </w:tc>
        <w:tc>
          <w:tcPr>
            <w:tcW w:w="3118" w:type="dxa"/>
            <w:tcBorders>
              <w:left w:val="nil"/>
              <w:right w:val="nil"/>
            </w:tcBorders>
            <w:vAlign w:val="center"/>
          </w:tcPr>
          <w:p w14:paraId="01B3034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(9Z,12Z)-9,12-Octadecadienoic acid</w:t>
            </w:r>
          </w:p>
        </w:tc>
        <w:tc>
          <w:tcPr>
            <w:tcW w:w="2410" w:type="dxa"/>
            <w:tcBorders>
              <w:left w:val="nil"/>
              <w:bottom w:val="single" w:sz="4" w:space="0" w:color="000000"/>
              <w:right w:val="nil"/>
            </w:tcBorders>
            <w:vAlign w:val="center"/>
          </w:tcPr>
          <w:p w14:paraId="4B90FF2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Benzene</w:t>
            </w:r>
          </w:p>
        </w:tc>
        <w:tc>
          <w:tcPr>
            <w:tcW w:w="1843" w:type="dxa"/>
            <w:tcBorders>
              <w:left w:val="nil"/>
              <w:right w:val="nil"/>
            </w:tcBorders>
            <w:vAlign w:val="center"/>
          </w:tcPr>
          <w:p w14:paraId="14993E89"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5600BD3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NMR spectroscopy; ESI-MS; HPLC</w:t>
            </w:r>
          </w:p>
        </w:tc>
        <w:tc>
          <w:tcPr>
            <w:tcW w:w="2308" w:type="dxa"/>
            <w:tcBorders>
              <w:left w:val="nil"/>
              <w:right w:val="nil"/>
            </w:tcBorders>
            <w:vAlign w:val="center"/>
          </w:tcPr>
          <w:p w14:paraId="7567268A"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5133071F" w14:textId="77777777" w:rsidTr="007D1F19">
        <w:tc>
          <w:tcPr>
            <w:tcW w:w="988" w:type="dxa"/>
            <w:tcBorders>
              <w:left w:val="nil"/>
              <w:right w:val="nil"/>
            </w:tcBorders>
            <w:vAlign w:val="center"/>
          </w:tcPr>
          <w:p w14:paraId="23FE4EF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127</w:t>
            </w:r>
          </w:p>
        </w:tc>
        <w:tc>
          <w:tcPr>
            <w:tcW w:w="3118" w:type="dxa"/>
            <w:tcBorders>
              <w:left w:val="nil"/>
              <w:right w:val="nil"/>
            </w:tcBorders>
            <w:vAlign w:val="center"/>
          </w:tcPr>
          <w:p w14:paraId="6E27DE1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(Z)-9-Octadecenoic acid</w:t>
            </w:r>
          </w:p>
        </w:tc>
        <w:tc>
          <w:tcPr>
            <w:tcW w:w="2410" w:type="dxa"/>
            <w:tcBorders>
              <w:left w:val="nil"/>
              <w:right w:val="nil"/>
            </w:tcBorders>
            <w:vAlign w:val="center"/>
          </w:tcPr>
          <w:p w14:paraId="0A7F6D4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Benzene</w:t>
            </w:r>
          </w:p>
        </w:tc>
        <w:tc>
          <w:tcPr>
            <w:tcW w:w="1843" w:type="dxa"/>
            <w:tcBorders>
              <w:left w:val="nil"/>
              <w:right w:val="nil"/>
            </w:tcBorders>
            <w:vAlign w:val="center"/>
          </w:tcPr>
          <w:p w14:paraId="558FDF5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0B77B5F8"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NMR spectroscopy; ESI-MS; HPLC</w:t>
            </w:r>
          </w:p>
        </w:tc>
        <w:tc>
          <w:tcPr>
            <w:tcW w:w="2308" w:type="dxa"/>
            <w:tcBorders>
              <w:left w:val="nil"/>
              <w:right w:val="nil"/>
            </w:tcBorders>
            <w:vAlign w:val="center"/>
          </w:tcPr>
          <w:p w14:paraId="0A8CA8C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7661C2BF" w14:textId="77777777" w:rsidTr="007D1F19">
        <w:tc>
          <w:tcPr>
            <w:tcW w:w="988" w:type="dxa"/>
            <w:tcBorders>
              <w:left w:val="nil"/>
              <w:right w:val="nil"/>
            </w:tcBorders>
            <w:vAlign w:val="center"/>
          </w:tcPr>
          <w:p w14:paraId="2DA518A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128</w:t>
            </w:r>
          </w:p>
        </w:tc>
        <w:tc>
          <w:tcPr>
            <w:tcW w:w="3118" w:type="dxa"/>
            <w:tcBorders>
              <w:left w:val="nil"/>
              <w:right w:val="nil"/>
            </w:tcBorders>
            <w:vAlign w:val="center"/>
          </w:tcPr>
          <w:p w14:paraId="31AF000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Tocopherol</w:t>
            </w:r>
          </w:p>
        </w:tc>
        <w:tc>
          <w:tcPr>
            <w:tcW w:w="2410" w:type="dxa"/>
            <w:tcBorders>
              <w:left w:val="nil"/>
              <w:right w:val="nil"/>
            </w:tcBorders>
            <w:vAlign w:val="center"/>
          </w:tcPr>
          <w:p w14:paraId="21A0EC1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Acetone</w:t>
            </w:r>
          </w:p>
        </w:tc>
        <w:tc>
          <w:tcPr>
            <w:tcW w:w="1843" w:type="dxa"/>
            <w:tcBorders>
              <w:left w:val="nil"/>
              <w:right w:val="nil"/>
            </w:tcBorders>
            <w:vAlign w:val="center"/>
          </w:tcPr>
          <w:p w14:paraId="358D857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1145398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27BC1AE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bl>
    <w:p w14:paraId="0E3E2DF3" w14:textId="77777777" w:rsidR="004C24A6" w:rsidRDefault="004C24A6" w:rsidP="00441B6F">
      <w:pPr>
        <w:pStyle w:val="Body"/>
        <w:spacing w:after="0"/>
        <w:rPr>
          <w:rFonts w:ascii="Arial" w:hAnsi="Arial" w:cs="Arial"/>
        </w:rPr>
      </w:pPr>
    </w:p>
    <w:p w14:paraId="21A2AB08" w14:textId="77777777" w:rsidR="004C24A6" w:rsidRDefault="004C24A6" w:rsidP="00441B6F">
      <w:pPr>
        <w:pStyle w:val="Body"/>
        <w:spacing w:after="0"/>
        <w:rPr>
          <w:rFonts w:ascii="Arial" w:hAnsi="Arial" w:cs="Arial"/>
        </w:rPr>
      </w:pPr>
    </w:p>
    <w:p w14:paraId="154ED1C2" w14:textId="77777777" w:rsidR="004C24A6" w:rsidRDefault="004C24A6" w:rsidP="00441B6F">
      <w:pPr>
        <w:pStyle w:val="Body"/>
        <w:spacing w:after="0"/>
        <w:rPr>
          <w:rFonts w:ascii="Arial" w:hAnsi="Arial" w:cs="Arial"/>
        </w:rPr>
      </w:pPr>
    </w:p>
    <w:p w14:paraId="0A06E712" w14:textId="77777777" w:rsidR="004C24A6" w:rsidRDefault="004C24A6" w:rsidP="00441B6F">
      <w:pPr>
        <w:pStyle w:val="Body"/>
        <w:spacing w:after="0"/>
        <w:rPr>
          <w:rFonts w:ascii="Arial" w:hAnsi="Arial" w:cs="Arial"/>
        </w:rPr>
      </w:pPr>
    </w:p>
    <w:p w14:paraId="0A0A94C4" w14:textId="77777777" w:rsidR="004C24A6" w:rsidRDefault="004C24A6" w:rsidP="00441B6F">
      <w:pPr>
        <w:pStyle w:val="Body"/>
        <w:spacing w:after="0"/>
        <w:rPr>
          <w:rFonts w:ascii="Arial" w:hAnsi="Arial" w:cs="Arial"/>
        </w:rPr>
      </w:pPr>
    </w:p>
    <w:p w14:paraId="6149F680" w14:textId="77777777" w:rsidR="004C24A6" w:rsidRDefault="004C24A6" w:rsidP="00441B6F">
      <w:pPr>
        <w:pStyle w:val="Body"/>
        <w:spacing w:after="0"/>
        <w:rPr>
          <w:rFonts w:ascii="Arial" w:hAnsi="Arial" w:cs="Arial"/>
        </w:rPr>
      </w:pPr>
    </w:p>
    <w:p w14:paraId="078C174C"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135396F5" w14:textId="67AC6121" w:rsidR="004C24A6" w:rsidRPr="004C24A6" w:rsidRDefault="004C24A6" w:rsidP="004C24A6">
      <w:pPr>
        <w:pStyle w:val="ListParagraph"/>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lastRenderedPageBreak/>
        <w:t xml:space="preserve">Materials and methods: </w:t>
      </w:r>
    </w:p>
    <w:p w14:paraId="08D2EA95" w14:textId="77777777" w:rsidR="004C24A6" w:rsidRPr="004C24A6" w:rsidRDefault="004C24A6" w:rsidP="004C24A6">
      <w:pPr>
        <w:numPr>
          <w:ilvl w:val="1"/>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lang w:val="en-GB"/>
        </w:rPr>
        <w:t xml:space="preserve"> </w:t>
      </w:r>
      <w:r w:rsidRPr="004C24A6">
        <w:rPr>
          <w:rFonts w:ascii="Arial" w:hAnsi="Arial" w:cs="Arial"/>
          <w:b/>
          <w:bCs/>
          <w:lang w:val="en-GB"/>
        </w:rPr>
        <w:t xml:space="preserve">Chemical Composition and Advanced Processing: </w:t>
      </w:r>
    </w:p>
    <w:p w14:paraId="1E7E04BD"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The functional value of safflower is closely tied to its diverse chemical constituents, and several studies have shown that targeted processing steps can further enhance its bioactive potential. In a recent investigation, Khan and colleagues (2024) optimized safflower oil through a controlled fractionation approach designed to enrich specific lipid components. In their procedure, crude safflower oil first underwent a slow cooling phase reaching −45°</w:t>
      </w:r>
      <w:proofErr w:type="spellStart"/>
      <w:r w:rsidRPr="004C24A6">
        <w:rPr>
          <w:rFonts w:ascii="Arial" w:hAnsi="Arial" w:cs="Arial"/>
          <w:lang w:val="en-GB"/>
        </w:rPr>
        <w:t>C over</w:t>
      </w:r>
      <w:proofErr w:type="spellEnd"/>
      <w:r w:rsidRPr="004C24A6">
        <w:rPr>
          <w:rFonts w:ascii="Arial" w:hAnsi="Arial" w:cs="Arial"/>
          <w:lang w:val="en-GB"/>
        </w:rPr>
        <w:t xml:space="preserve"> a 24-hour period, after which it was maintained at this temperature for an additional 16 hours. The chilled oil was then subjected to vacuum-assisted filtration (600 mmHg), yielding a clarified fraction referred to as single-fractionated olein (OF). Approximately 40% of this OF fraction was retained for chemical characterization, while the remaining portion underwent a second, more intensive fractionation cycle. During the second cycle, the sample was cooled to −70°</w:t>
      </w:r>
      <w:proofErr w:type="spellStart"/>
      <w:r w:rsidRPr="004C24A6">
        <w:rPr>
          <w:rFonts w:ascii="Arial" w:hAnsi="Arial" w:cs="Arial"/>
          <w:lang w:val="en-GB"/>
        </w:rPr>
        <w:t>C over</w:t>
      </w:r>
      <w:proofErr w:type="spellEnd"/>
      <w:r w:rsidRPr="004C24A6">
        <w:rPr>
          <w:rFonts w:ascii="Arial" w:hAnsi="Arial" w:cs="Arial"/>
          <w:lang w:val="en-GB"/>
        </w:rPr>
        <w:t xml:space="preserve"> 24 hours, held for another 16 hours, and filtered using the same vacuum assembly. This second filtrate was termed double-fractionated olein (DFO). To ensure reproducibility and minimize experimental variability, the entire fractionation workflow was repeated at least six times using a completely randomized design. Unrefined safflower oil served as the untreated control. All three preparations control, OF, and DFO were packaged in amber bottles and stored under ambient conditions (20–25 °C) for a 90-day stability study, with analyses conducted at the beginning of storage and at 45- and 90-day intervals to monitor compositional and oxidative changes.</w:t>
      </w:r>
    </w:p>
    <w:p w14:paraId="65D2D3BA" w14:textId="77777777" w:rsidR="004C24A6" w:rsidRPr="004C24A6" w:rsidRDefault="004C24A6" w:rsidP="004C24A6">
      <w:pPr>
        <w:spacing w:line="276" w:lineRule="auto"/>
        <w:jc w:val="both"/>
        <w:rPr>
          <w:rFonts w:ascii="Arial" w:hAnsi="Arial" w:cs="Arial"/>
          <w:lang w:val="en-GB"/>
        </w:rPr>
      </w:pPr>
    </w:p>
    <w:p w14:paraId="6388796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Complementing lipid-based investigations, Ren et al. (2025) focused on the phytochemical spectrum of safflower petals and identified several biologically important secondary metabolites, particularly the chalcones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and </w:t>
      </w:r>
      <w:proofErr w:type="spellStart"/>
      <w:r w:rsidRPr="004C24A6">
        <w:rPr>
          <w:rFonts w:ascii="Arial" w:hAnsi="Arial" w:cs="Arial"/>
          <w:lang w:val="en-GB"/>
        </w:rPr>
        <w:t>hydroxysafflor</w:t>
      </w:r>
      <w:proofErr w:type="spellEnd"/>
      <w:r w:rsidRPr="004C24A6">
        <w:rPr>
          <w:rFonts w:ascii="Arial" w:hAnsi="Arial" w:cs="Arial"/>
          <w:lang w:val="en-GB"/>
        </w:rPr>
        <w:t xml:space="preserve"> yellow B (HSYB), along with prominent flavonoids such as quercetin and kaempferol. These compounds are often considered central to the plant’s pharmacological activities. Similarly, Yin et al. (2024) described a standardized extraction workflow for obtaining aqueous bioactive fractions from safflower petals. Their study utilized petals harvested from cultivation fields in Xinjiang, China. After drying, the petals were ground into a fine powder, and 100 g of this material was mixed with 2 L of distilled water. The mixture was gently heated to 55 °C and kept at this temperature for 38 minutes to facilitate extraction. Following thermal treatment, the solution was filtered to remove plant residues, and the resulting extract was concentrated using a rotary evaporator. The concentrated material was stored at −20 °C until further analysis. This method ensured efficient recovery of water-soluble constituents, including phenolics and pigment-based </w:t>
      </w:r>
      <w:proofErr w:type="spellStart"/>
      <w:r w:rsidRPr="004C24A6">
        <w:rPr>
          <w:rFonts w:ascii="Arial" w:hAnsi="Arial" w:cs="Arial"/>
          <w:lang w:val="en-GB"/>
        </w:rPr>
        <w:t>bioactives</w:t>
      </w:r>
      <w:proofErr w:type="spellEnd"/>
      <w:r w:rsidRPr="004C24A6">
        <w:rPr>
          <w:rFonts w:ascii="Arial" w:hAnsi="Arial" w:cs="Arial"/>
          <w:lang w:val="en-GB"/>
        </w:rPr>
        <w:t>.</w:t>
      </w:r>
    </w:p>
    <w:p w14:paraId="0D94C0D0" w14:textId="77777777" w:rsidR="004C24A6" w:rsidRPr="004C24A6" w:rsidRDefault="004C24A6" w:rsidP="004C24A6">
      <w:pPr>
        <w:spacing w:line="276" w:lineRule="auto"/>
        <w:jc w:val="both"/>
        <w:rPr>
          <w:rFonts w:ascii="Arial" w:hAnsi="Arial" w:cs="Arial"/>
          <w:lang w:val="en-GB"/>
        </w:rPr>
      </w:pPr>
    </w:p>
    <w:p w14:paraId="05A5A3AF" w14:textId="77777777" w:rsidR="004C24A6" w:rsidRPr="004C24A6" w:rsidRDefault="004C24A6" w:rsidP="004C24A6">
      <w:pPr>
        <w:numPr>
          <w:ilvl w:val="1"/>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lang w:val="en-GB"/>
        </w:rPr>
        <w:t xml:space="preserve"> </w:t>
      </w:r>
      <w:r w:rsidRPr="004C24A6">
        <w:rPr>
          <w:rFonts w:ascii="Arial" w:hAnsi="Arial" w:cs="Arial"/>
          <w:b/>
          <w:bCs/>
          <w:lang w:val="en-GB"/>
        </w:rPr>
        <w:t xml:space="preserve">Biochemical and Physiological Pathways: </w:t>
      </w:r>
    </w:p>
    <w:p w14:paraId="3E85267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 AKT/FoxO1 Axis in Gluconeogenesis: Recent findings by Yin and colleagues (2024) demonstrate that safflower extract (SE) plays a significant role in improving </w:t>
      </w:r>
      <w:proofErr w:type="spellStart"/>
      <w:r w:rsidRPr="004C24A6">
        <w:rPr>
          <w:rFonts w:ascii="Arial" w:hAnsi="Arial" w:cs="Arial"/>
          <w:lang w:val="en-GB"/>
        </w:rPr>
        <w:t>hyperglycemia</w:t>
      </w:r>
      <w:proofErr w:type="spellEnd"/>
      <w:r w:rsidRPr="004C24A6">
        <w:rPr>
          <w:rFonts w:ascii="Arial" w:hAnsi="Arial" w:cs="Arial"/>
          <w:lang w:val="en-GB"/>
        </w:rPr>
        <w:t xml:space="preserve"> by interfering with the hepatic gluconeogenic program. Their work shows that SE activates the Protein Kinase B (AKT) </w:t>
      </w:r>
      <w:proofErr w:type="spellStart"/>
      <w:r w:rsidRPr="004C24A6">
        <w:rPr>
          <w:rFonts w:ascii="Arial" w:hAnsi="Arial" w:cs="Arial"/>
          <w:lang w:val="en-GB"/>
        </w:rPr>
        <w:t>signaling</w:t>
      </w:r>
      <w:proofErr w:type="spellEnd"/>
      <w:r w:rsidRPr="004C24A6">
        <w:rPr>
          <w:rFonts w:ascii="Arial" w:hAnsi="Arial" w:cs="Arial"/>
          <w:lang w:val="en-GB"/>
        </w:rPr>
        <w:t xml:space="preserve"> pathway, a key metabolic regulator. Once activated, AKT phosphorylates the transcription factor FoxO1, a modification that prevents FoxO1 from remaining in the nucleus. As phosphorylated FoxO1 is exported out of the nucleus and subsequently destabilized, its ability to promote the transcription of major gluconeogenic </w:t>
      </w:r>
      <w:r w:rsidRPr="004C24A6">
        <w:rPr>
          <w:rFonts w:ascii="Arial" w:hAnsi="Arial" w:cs="Arial"/>
          <w:lang w:val="en-GB"/>
        </w:rPr>
        <w:lastRenderedPageBreak/>
        <w:t xml:space="preserve">enzymes phosphoenolpyruvate </w:t>
      </w:r>
      <w:proofErr w:type="spellStart"/>
      <w:r w:rsidRPr="004C24A6">
        <w:rPr>
          <w:rFonts w:ascii="Arial" w:hAnsi="Arial" w:cs="Arial"/>
          <w:lang w:val="en-GB"/>
        </w:rPr>
        <w:t>carboxykinase</w:t>
      </w:r>
      <w:proofErr w:type="spellEnd"/>
      <w:r w:rsidRPr="004C24A6">
        <w:rPr>
          <w:rFonts w:ascii="Arial" w:hAnsi="Arial" w:cs="Arial"/>
          <w:lang w:val="en-GB"/>
        </w:rPr>
        <w:t xml:space="preserve"> (</w:t>
      </w:r>
      <w:proofErr w:type="spellStart"/>
      <w:r w:rsidRPr="004C24A6">
        <w:rPr>
          <w:rFonts w:ascii="Arial" w:hAnsi="Arial" w:cs="Arial"/>
          <w:lang w:val="en-GB"/>
        </w:rPr>
        <w:t>Pepck</w:t>
      </w:r>
      <w:proofErr w:type="spellEnd"/>
      <w:r w:rsidRPr="004C24A6">
        <w:rPr>
          <w:rFonts w:ascii="Arial" w:hAnsi="Arial" w:cs="Arial"/>
          <w:lang w:val="en-GB"/>
        </w:rPr>
        <w:t>) and glucose-6-phosphatase (G6pase) is markedly reduced.</w:t>
      </w:r>
    </w:p>
    <w:p w14:paraId="7694F9C0" w14:textId="77777777" w:rsidR="004C24A6" w:rsidRPr="004C24A6" w:rsidRDefault="004C24A6" w:rsidP="004C24A6">
      <w:pPr>
        <w:spacing w:line="276" w:lineRule="auto"/>
        <w:jc w:val="both"/>
        <w:rPr>
          <w:rFonts w:ascii="Arial" w:hAnsi="Arial" w:cs="Arial"/>
          <w:lang w:val="en-GB"/>
        </w:rPr>
      </w:pPr>
    </w:p>
    <w:p w14:paraId="1520D442"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regulatory cascade ultimately suppresses hepatic glucose production, helping to lower circulating glucose levels. Yin et al. validated this mechanism across multiple experimental systems, including diet-induced </w:t>
      </w:r>
      <w:proofErr w:type="spellStart"/>
      <w:r w:rsidRPr="004C24A6">
        <w:rPr>
          <w:rFonts w:ascii="Arial" w:hAnsi="Arial" w:cs="Arial"/>
          <w:lang w:val="en-GB"/>
        </w:rPr>
        <w:t>hyperglycemic</w:t>
      </w:r>
      <w:proofErr w:type="spellEnd"/>
      <w:r w:rsidRPr="004C24A6">
        <w:rPr>
          <w:rFonts w:ascii="Arial" w:hAnsi="Arial" w:cs="Arial"/>
          <w:lang w:val="en-GB"/>
        </w:rPr>
        <w:t xml:space="preserve"> mouse models as well as hepatocyte cell lines such as HepG2 and AML12. Their observations across both in vivo and in vitro platforms strengthen the conclusion that SE directly modulates hepatic glucose output rather than exerting an indirect secondary metabolic effect. Furthermore, these results add to the growing body of evidence highlighting the importance of the AKT–FoxO1 axis as a central therapeutic target for dietary or phytochemical interventions aimed at reversing metabolic dysregulation.</w:t>
      </w:r>
    </w:p>
    <w:p w14:paraId="08578C30" w14:textId="77777777" w:rsidR="004C24A6" w:rsidRPr="004C24A6" w:rsidRDefault="004C24A6" w:rsidP="004C24A6">
      <w:pPr>
        <w:spacing w:line="276" w:lineRule="auto"/>
        <w:jc w:val="both"/>
        <w:rPr>
          <w:rFonts w:ascii="Arial" w:hAnsi="Arial" w:cs="Arial"/>
          <w:lang w:val="en-GB"/>
        </w:rPr>
      </w:pPr>
    </w:p>
    <w:p w14:paraId="277BB09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Cardiolipin </w:t>
      </w:r>
      <w:proofErr w:type="spellStart"/>
      <w:r w:rsidRPr="004C24A6">
        <w:rPr>
          <w:rFonts w:ascii="Arial" w:hAnsi="Arial" w:cs="Arial"/>
          <w:lang w:val="en-GB"/>
        </w:rPr>
        <w:t>Remodeling</w:t>
      </w:r>
      <w:proofErr w:type="spellEnd"/>
      <w:r w:rsidRPr="004C24A6">
        <w:rPr>
          <w:rFonts w:ascii="Arial" w:hAnsi="Arial" w:cs="Arial"/>
          <w:lang w:val="en-GB"/>
        </w:rPr>
        <w:t xml:space="preserve"> in Mitochondria: Recent work by Zhu and colleagues (2024) highlights a previously underappreciated therapeutic avenue for managing Barth syndrome by leveraging dietary fatty acid composition. Barth syndrome arises from loss-of-function mutations in TAFAZZIN (TAZ), an enzyme responsible for </w:t>
      </w:r>
      <w:proofErr w:type="spellStart"/>
      <w:r w:rsidRPr="004C24A6">
        <w:rPr>
          <w:rFonts w:ascii="Arial" w:hAnsi="Arial" w:cs="Arial"/>
          <w:lang w:val="en-GB"/>
        </w:rPr>
        <w:t>remodeling</w:t>
      </w:r>
      <w:proofErr w:type="spellEnd"/>
      <w:r w:rsidRPr="004C24A6">
        <w:rPr>
          <w:rFonts w:ascii="Arial" w:hAnsi="Arial" w:cs="Arial"/>
          <w:lang w:val="en-GB"/>
        </w:rPr>
        <w:t xml:space="preserve"> cardiolipin, the signature phospholipid of the inner mitochondrial membrane. When TAZ is defective, cardiolipin fails to acquire its mature, linoleic-acid–rich acyl pattern, resulting in structurally unstable mitochondrial cristae and impaired cardiac performance. The study demonstrated that feeding TAZ-deficient models a diet enriched in high-linoleic safflower oil can partially compensate for the </w:t>
      </w:r>
      <w:proofErr w:type="spellStart"/>
      <w:r w:rsidRPr="004C24A6">
        <w:rPr>
          <w:rFonts w:ascii="Arial" w:hAnsi="Arial" w:cs="Arial"/>
          <w:lang w:val="en-GB"/>
        </w:rPr>
        <w:t>remodeling</w:t>
      </w:r>
      <w:proofErr w:type="spellEnd"/>
      <w:r w:rsidRPr="004C24A6">
        <w:rPr>
          <w:rFonts w:ascii="Arial" w:hAnsi="Arial" w:cs="Arial"/>
          <w:lang w:val="en-GB"/>
        </w:rPr>
        <w:t xml:space="preserve"> defect. The supplemental linoleic acid becomes directly incorporated into newly synthesized cardiolipin molecules, allowing the mitochondrial membrane to approximate the acyl composition normally achieved through TAZ-mediated </w:t>
      </w:r>
      <w:proofErr w:type="spellStart"/>
      <w:r w:rsidRPr="004C24A6">
        <w:rPr>
          <w:rFonts w:ascii="Arial" w:hAnsi="Arial" w:cs="Arial"/>
          <w:lang w:val="en-GB"/>
        </w:rPr>
        <w:t>remodeling</w:t>
      </w:r>
      <w:proofErr w:type="spellEnd"/>
      <w:r w:rsidRPr="004C24A6">
        <w:rPr>
          <w:rFonts w:ascii="Arial" w:hAnsi="Arial" w:cs="Arial"/>
          <w:lang w:val="en-GB"/>
        </w:rPr>
        <w:t>. This substrate-driven enrichment helped stabilize mitochondrial ultrastructure, improved oxidative phosphorylation capacity, and alleviated the contractile dysfunction characteristic of Barth syndrome. In essence, providing excess dietary linoleic acid enabled a metabolic “work-around,” supporting cardiolipin maturation through mass action rather than enzymatic repair.</w:t>
      </w:r>
    </w:p>
    <w:p w14:paraId="07FBC6F3" w14:textId="77777777" w:rsidR="004C24A6" w:rsidRPr="004C24A6" w:rsidRDefault="004C24A6" w:rsidP="004C24A6">
      <w:pPr>
        <w:spacing w:line="276" w:lineRule="auto"/>
        <w:jc w:val="both"/>
        <w:rPr>
          <w:rFonts w:ascii="Arial" w:hAnsi="Arial" w:cs="Arial"/>
          <w:lang w:val="en-GB"/>
        </w:rPr>
      </w:pPr>
    </w:p>
    <w:p w14:paraId="4F321E58"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NF-</w:t>
      </w:r>
      <w:proofErr w:type="spellStart"/>
      <w:r w:rsidRPr="004C24A6">
        <w:rPr>
          <w:rFonts w:ascii="Arial" w:hAnsi="Arial" w:cs="Arial"/>
          <w:lang w:val="en-GB"/>
        </w:rPr>
        <w:t>κB</w:t>
      </w:r>
      <w:proofErr w:type="spellEnd"/>
      <w:r w:rsidRPr="004C24A6">
        <w:rPr>
          <w:rFonts w:ascii="Arial" w:hAnsi="Arial" w:cs="Arial"/>
          <w:lang w:val="en-GB"/>
        </w:rPr>
        <w:t xml:space="preserve"> and Nrf2 Signalling: Research by Ren et al. (2025) demonstrates that bioactive flavonoids derived from safflower possess a strong capacity to regulate cellular stress pathways. Their work shows that these compounds can suppress activation of the NF-</w:t>
      </w:r>
      <w:proofErr w:type="spellStart"/>
      <w:r w:rsidRPr="004C24A6">
        <w:rPr>
          <w:rFonts w:ascii="Arial" w:hAnsi="Arial" w:cs="Arial"/>
          <w:lang w:val="en-GB"/>
        </w:rPr>
        <w:t>κB</w:t>
      </w:r>
      <w:proofErr w:type="spellEnd"/>
      <w:r w:rsidRPr="004C24A6">
        <w:rPr>
          <w:rFonts w:ascii="Arial" w:hAnsi="Arial" w:cs="Arial"/>
          <w:lang w:val="en-GB"/>
        </w:rPr>
        <w:t xml:space="preserve"> cascade a key mediator of inflammatory responses which in turn limits the production of pro-inflammatory cytokines such as TNF-α, IL-1β, and IL-6. At the same time, safflower flavonoids promote the nuclear translocation and activation of Nrf2, a transcription factor that drives the expression of antioxidant enzymes including HO-1. This coordinated suppression of inflammatory </w:t>
      </w:r>
      <w:proofErr w:type="spellStart"/>
      <w:r w:rsidRPr="004C24A6">
        <w:rPr>
          <w:rFonts w:ascii="Arial" w:hAnsi="Arial" w:cs="Arial"/>
          <w:lang w:val="en-GB"/>
        </w:rPr>
        <w:t>signaling</w:t>
      </w:r>
      <w:proofErr w:type="spellEnd"/>
      <w:r w:rsidRPr="004C24A6">
        <w:rPr>
          <w:rFonts w:ascii="Arial" w:hAnsi="Arial" w:cs="Arial"/>
          <w:lang w:val="en-GB"/>
        </w:rPr>
        <w:t xml:space="preserve"> and enhancement of antioxidant </w:t>
      </w:r>
      <w:proofErr w:type="spellStart"/>
      <w:r w:rsidRPr="004C24A6">
        <w:rPr>
          <w:rFonts w:ascii="Arial" w:hAnsi="Arial" w:cs="Arial"/>
          <w:lang w:val="en-GB"/>
        </w:rPr>
        <w:t>defenses</w:t>
      </w:r>
      <w:proofErr w:type="spellEnd"/>
      <w:r w:rsidRPr="004C24A6">
        <w:rPr>
          <w:rFonts w:ascii="Arial" w:hAnsi="Arial" w:cs="Arial"/>
          <w:lang w:val="en-GB"/>
        </w:rPr>
        <w:t xml:space="preserve"> creates a protective biochemical environment within vulnerable tissues. Ren et al. reported that such dual modulation is particularly relevant in settings of ischemia–reperfusion injury, where oxidative stress rapidly accelerates neuronal and endothelial damage. By dampening inflammatory cytokine release while simultaneously boosting endogenous antioxidant capacity, safflower constituents help stabilize cellular homeostasis, prevent vascular dysfunction, and reduce overall injury severity.</w:t>
      </w:r>
    </w:p>
    <w:p w14:paraId="293C797B" w14:textId="77777777" w:rsidR="004C24A6" w:rsidRPr="004C24A6" w:rsidRDefault="004C24A6" w:rsidP="004C24A6">
      <w:pPr>
        <w:spacing w:line="276" w:lineRule="auto"/>
        <w:jc w:val="both"/>
        <w:rPr>
          <w:rFonts w:ascii="Arial" w:hAnsi="Arial" w:cs="Arial"/>
          <w:lang w:val="en-GB"/>
        </w:rPr>
      </w:pPr>
    </w:p>
    <w:p w14:paraId="50C2E41E" w14:textId="77777777" w:rsidR="004C24A6" w:rsidRPr="004C24A6" w:rsidRDefault="004C24A6" w:rsidP="004C24A6">
      <w:pPr>
        <w:spacing w:line="276" w:lineRule="auto"/>
        <w:jc w:val="both"/>
        <w:rPr>
          <w:rFonts w:ascii="Arial" w:hAnsi="Arial" w:cs="Arial"/>
          <w:lang w:val="en-GB"/>
        </w:rPr>
      </w:pPr>
    </w:p>
    <w:p w14:paraId="5FB63E0B" w14:textId="77777777" w:rsidR="004C24A6" w:rsidRPr="004C24A6" w:rsidRDefault="004C24A6" w:rsidP="004C24A6">
      <w:pPr>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lastRenderedPageBreak/>
        <w:t xml:space="preserve">Technologies and Experimental Models Used: </w:t>
      </w:r>
    </w:p>
    <w:p w14:paraId="6D77227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The elucidation of safflower’s therapeutic potential has been driven by a convergence of advanced lipid engineering, genetic editing, and high-throughput omics technologies. Recent literature highlights a shift from traditional extraction methods toward precision fractionation and systems biology approaches.</w:t>
      </w:r>
    </w:p>
    <w:p w14:paraId="006D0B6E" w14:textId="77777777" w:rsidR="004C24A6" w:rsidRPr="004C24A6" w:rsidRDefault="004C24A6" w:rsidP="004C24A6">
      <w:pPr>
        <w:spacing w:line="276" w:lineRule="auto"/>
        <w:jc w:val="both"/>
        <w:rPr>
          <w:rFonts w:ascii="Arial" w:hAnsi="Arial" w:cs="Arial"/>
          <w:lang w:val="en-GB"/>
        </w:rPr>
      </w:pPr>
    </w:p>
    <w:p w14:paraId="0E71C304"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Advanced Lipid Fractionation and Crystallization: </w:t>
      </w:r>
      <w:r w:rsidRPr="004C24A6">
        <w:rPr>
          <w:rFonts w:ascii="Arial" w:hAnsi="Arial" w:cs="Arial"/>
          <w:lang w:val="en-GB"/>
        </w:rPr>
        <w:t>To overcome the limitations of crude vegetable oils, recent protocols have employed dry crystallization to enhance the bioactivity of safflower oil. Khan et al. (2024) optimized a two-stage dry fractionation process, manipulating cooling curves to isolate specific triglyceride species based on their melting points. By sequentially cooling crude oil to -40oC and subsequently to -70oC, researchers successfully isolated a "double-fractionated olein" (DFO). This super-olein fraction is chemically distinct from its parent oil, boasting a linoleic acid (LA) concentration exceeding 89% a purity level rarely achieved without chemical interesterification. Furthermore, this physical separation technique preserves heat-sensitive bioactive compounds, resulting in significantly enriched phytosterol and phenolic profiles compared to standard solvent extraction methods.</w:t>
      </w:r>
    </w:p>
    <w:p w14:paraId="55575165" w14:textId="77777777" w:rsidR="004C24A6" w:rsidRPr="004C24A6" w:rsidRDefault="004C24A6" w:rsidP="004C24A6">
      <w:pPr>
        <w:spacing w:line="276" w:lineRule="auto"/>
        <w:jc w:val="both"/>
        <w:rPr>
          <w:rFonts w:ascii="Arial" w:hAnsi="Arial" w:cs="Arial"/>
          <w:lang w:val="en-GB"/>
        </w:rPr>
      </w:pPr>
    </w:p>
    <w:p w14:paraId="3951363D" w14:textId="75954BB8" w:rsidR="004C24A6" w:rsidRDefault="004C24A6" w:rsidP="004C24A6">
      <w:pPr>
        <w:spacing w:line="276" w:lineRule="auto"/>
        <w:jc w:val="both"/>
        <w:rPr>
          <w:rFonts w:ascii="Arial" w:hAnsi="Arial" w:cs="Arial"/>
          <w:lang w:val="en-GB"/>
        </w:rPr>
      </w:pPr>
      <w:r w:rsidRPr="004C24A6">
        <w:rPr>
          <w:rFonts w:ascii="Arial" w:hAnsi="Arial" w:cs="Arial"/>
          <w:b/>
          <w:bCs/>
          <w:lang w:val="en-GB"/>
        </w:rPr>
        <w:t>Genetic Engineering in Murine Models:</w:t>
      </w:r>
      <w:r w:rsidRPr="004C24A6">
        <w:rPr>
          <w:rFonts w:ascii="Arial" w:hAnsi="Arial" w:cs="Arial"/>
          <w:lang w:val="en-GB"/>
        </w:rPr>
        <w:t xml:space="preserve"> Advancements in murine genetic engineering have played a central role in clarifying how safflower-oil–derived lipids influence disorders characterized by mitochondrial dysfunction. Recent work by Zhu and colleagues (2024) illustrates this clearly through the use of refined </w:t>
      </w:r>
      <w:proofErr w:type="spellStart"/>
      <w:r w:rsidRPr="004C24A6">
        <w:rPr>
          <w:rFonts w:ascii="Arial" w:hAnsi="Arial" w:cs="Arial"/>
          <w:lang w:val="en-GB"/>
        </w:rPr>
        <w:t>Cre-LoxP</w:t>
      </w:r>
      <w:proofErr w:type="spellEnd"/>
      <w:r w:rsidRPr="004C24A6">
        <w:rPr>
          <w:rFonts w:ascii="Arial" w:hAnsi="Arial" w:cs="Arial"/>
          <w:lang w:val="en-GB"/>
        </w:rPr>
        <w:t xml:space="preserve"> based conditional gene-editing systems. Their study employed two complementary mouse models designed to interrogate the biological consequences of </w:t>
      </w:r>
      <w:proofErr w:type="spellStart"/>
      <w:r w:rsidRPr="004C24A6">
        <w:rPr>
          <w:rFonts w:ascii="Arial" w:hAnsi="Arial" w:cs="Arial"/>
          <w:lang w:val="en-GB"/>
        </w:rPr>
        <w:t>Tafazzin</w:t>
      </w:r>
      <w:proofErr w:type="spellEnd"/>
      <w:r w:rsidRPr="004C24A6">
        <w:rPr>
          <w:rFonts w:ascii="Arial" w:hAnsi="Arial" w:cs="Arial"/>
          <w:lang w:val="en-GB"/>
        </w:rPr>
        <w:t xml:space="preserve"> (TAZ) deficiency a hallmark of Barth syndrome and a classic example of a mitochondrial </w:t>
      </w:r>
      <w:proofErr w:type="spellStart"/>
      <w:r w:rsidRPr="004C24A6">
        <w:rPr>
          <w:rFonts w:ascii="Arial" w:hAnsi="Arial" w:cs="Arial"/>
          <w:lang w:val="en-GB"/>
        </w:rPr>
        <w:t>lipidopathy</w:t>
      </w:r>
      <w:proofErr w:type="spellEnd"/>
      <w:r w:rsidRPr="004C24A6">
        <w:rPr>
          <w:rFonts w:ascii="Arial" w:hAnsi="Arial" w:cs="Arial"/>
          <w:lang w:val="en-GB"/>
        </w:rPr>
        <w:t>.</w:t>
      </w:r>
      <w:r>
        <w:rPr>
          <w:rFonts w:ascii="Arial" w:hAnsi="Arial" w:cs="Arial"/>
          <w:lang w:val="en-GB"/>
        </w:rPr>
        <w:t xml:space="preserve"> </w:t>
      </w:r>
      <w:r w:rsidRPr="004C24A6">
        <w:rPr>
          <w:rFonts w:ascii="Arial" w:hAnsi="Arial" w:cs="Arial"/>
          <w:lang w:val="en-GB"/>
        </w:rPr>
        <w:t>The first model, a global TAZ knockout (</w:t>
      </w:r>
      <w:proofErr w:type="spellStart"/>
      <w:r w:rsidRPr="004C24A6">
        <w:rPr>
          <w:rFonts w:ascii="Arial" w:hAnsi="Arial" w:cs="Arial"/>
          <w:lang w:val="en-GB"/>
        </w:rPr>
        <w:t>gKO</w:t>
      </w:r>
      <w:proofErr w:type="spellEnd"/>
      <w:r w:rsidRPr="004C24A6">
        <w:rPr>
          <w:rFonts w:ascii="Arial" w:hAnsi="Arial" w:cs="Arial"/>
          <w:lang w:val="en-GB"/>
        </w:rPr>
        <w:t>), provided a representation of the full systemic burden of the disease. These mice exhibited profound growth impairment, multisystem metabolic instability, and early lethality, effectively mirroring the human clinical phenotype. However, because systemic failure can obscure tissue-level interpretation, the authors additionally generated a cardiac-restricted TAZ knockout (</w:t>
      </w:r>
      <w:proofErr w:type="spellStart"/>
      <w:r w:rsidRPr="004C24A6">
        <w:rPr>
          <w:rFonts w:ascii="Arial" w:hAnsi="Arial" w:cs="Arial"/>
          <w:lang w:val="en-GB"/>
        </w:rPr>
        <w:t>cKO</w:t>
      </w:r>
      <w:proofErr w:type="spellEnd"/>
      <w:r w:rsidRPr="004C24A6">
        <w:rPr>
          <w:rFonts w:ascii="Arial" w:hAnsi="Arial" w:cs="Arial"/>
          <w:lang w:val="en-GB"/>
        </w:rPr>
        <w:t>). By limiting gene deletion to cardiomyocytes, the researchers were able to examine cardiac mitochondrial abnormalities in isolation, free from secondary effects arising from whole-body metabolic collapse.</w:t>
      </w:r>
    </w:p>
    <w:p w14:paraId="0ADB64CE" w14:textId="77777777" w:rsidR="004C24A6" w:rsidRPr="004C24A6" w:rsidRDefault="004C24A6" w:rsidP="004C24A6">
      <w:pPr>
        <w:spacing w:line="276" w:lineRule="auto"/>
        <w:jc w:val="both"/>
        <w:rPr>
          <w:rFonts w:ascii="Arial" w:hAnsi="Arial" w:cs="Arial"/>
          <w:lang w:val="en-GB"/>
        </w:rPr>
      </w:pPr>
    </w:p>
    <w:p w14:paraId="7B9A8B5D"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The combination of these models offered a powerful experimental framework. Importantly, when dietary lipids were manipulated particularly through supplementation with safflower-derived fatty acids both models showed evidence of structural recovery within mitochondria, including partial restoration of cristae organization and membrane integrity. While these improvements were temporary, they demonstrated that targeted nutritional modulation can directly influence mitochondrial architecture, even in the setting of genetically driven lipid </w:t>
      </w:r>
      <w:proofErr w:type="spellStart"/>
      <w:r w:rsidRPr="004C24A6">
        <w:rPr>
          <w:rFonts w:ascii="Arial" w:hAnsi="Arial" w:cs="Arial"/>
          <w:lang w:val="en-GB"/>
        </w:rPr>
        <w:t>remodeling</w:t>
      </w:r>
      <w:proofErr w:type="spellEnd"/>
      <w:r w:rsidRPr="004C24A6">
        <w:rPr>
          <w:rFonts w:ascii="Arial" w:hAnsi="Arial" w:cs="Arial"/>
          <w:lang w:val="en-GB"/>
        </w:rPr>
        <w:t xml:space="preserve"> defects. This dual-model approach therefore not only underscored the mechanistic importance of TAZ in mitochondrial maintenance but also highlighted the therapeutic potential of precision dietary interventions for lipid-related mitochondrial diseases.</w:t>
      </w:r>
    </w:p>
    <w:p w14:paraId="4A553525" w14:textId="7CD357EF" w:rsidR="004C24A6" w:rsidRDefault="004C24A6" w:rsidP="004C24A6">
      <w:pPr>
        <w:spacing w:line="276" w:lineRule="auto"/>
        <w:jc w:val="both"/>
        <w:rPr>
          <w:rFonts w:ascii="Arial" w:hAnsi="Arial" w:cs="Arial"/>
          <w:lang w:val="en-GB"/>
        </w:rPr>
      </w:pPr>
      <w:r w:rsidRPr="004C24A6">
        <w:rPr>
          <w:rFonts w:ascii="Arial" w:hAnsi="Arial" w:cs="Arial"/>
          <w:b/>
          <w:bCs/>
          <w:lang w:val="en-GB"/>
        </w:rPr>
        <w:t>Multi-Omics Integration:</w:t>
      </w:r>
      <w:r w:rsidRPr="004C24A6">
        <w:rPr>
          <w:rFonts w:ascii="Arial" w:hAnsi="Arial" w:cs="Arial"/>
          <w:lang w:val="en-GB"/>
        </w:rPr>
        <w:t xml:space="preserve"> The increasing complexity of interactions between plant-derived compounds and host metabolic networks has made multi-omics approaches essential in recent research. Instead of relying on a single analytical platform, modern investigations </w:t>
      </w:r>
      <w:r w:rsidRPr="004C24A6">
        <w:rPr>
          <w:rFonts w:ascii="Arial" w:hAnsi="Arial" w:cs="Arial"/>
          <w:lang w:val="en-GB"/>
        </w:rPr>
        <w:lastRenderedPageBreak/>
        <w:t xml:space="preserve">combine complementary technologies to obtain a more holistic picture of how </w:t>
      </w:r>
      <w:proofErr w:type="spellStart"/>
      <w:r w:rsidRPr="004C24A6">
        <w:rPr>
          <w:rFonts w:ascii="Arial" w:hAnsi="Arial" w:cs="Arial"/>
          <w:lang w:val="en-GB"/>
        </w:rPr>
        <w:t>bioactives</w:t>
      </w:r>
      <w:proofErr w:type="spellEnd"/>
      <w:r w:rsidRPr="004C24A6">
        <w:rPr>
          <w:rFonts w:ascii="Arial" w:hAnsi="Arial" w:cs="Arial"/>
          <w:lang w:val="en-GB"/>
        </w:rPr>
        <w:t xml:space="preserve"> exert their effects. A representative example comes from the work of Yin and colleagues (2024), who paired 16S rRNA gene sequencing with an LC-ESI-MS/MS–based metabolomic workflow. This integrated design enabled them to observe changes in gut microbial communities most notably fluctuations in genera such as </w:t>
      </w:r>
      <w:proofErr w:type="spellStart"/>
      <w:r w:rsidRPr="004C24A6">
        <w:rPr>
          <w:rFonts w:ascii="Arial" w:hAnsi="Arial" w:cs="Arial"/>
          <w:lang w:val="en-GB"/>
        </w:rPr>
        <w:t>Akkermansia</w:t>
      </w:r>
      <w:proofErr w:type="spellEnd"/>
      <w:r w:rsidRPr="004C24A6">
        <w:rPr>
          <w:rFonts w:ascii="Arial" w:hAnsi="Arial" w:cs="Arial"/>
          <w:lang w:val="en-GB"/>
        </w:rPr>
        <w:t xml:space="preserve"> and Bacteroides while simultaneously tracking alterations in circulating metabolic signatures.</w:t>
      </w:r>
      <w:r>
        <w:rPr>
          <w:rFonts w:ascii="Arial" w:hAnsi="Arial" w:cs="Arial"/>
          <w:lang w:val="en-GB"/>
        </w:rPr>
        <w:t xml:space="preserve"> </w:t>
      </w:r>
      <w:r w:rsidRPr="004C24A6">
        <w:rPr>
          <w:rFonts w:ascii="Arial" w:hAnsi="Arial" w:cs="Arial"/>
          <w:lang w:val="en-GB"/>
        </w:rPr>
        <w:t>The power of this approach lies in its ability to associate microbial composition with host biochemical responses. By aligning microbiome shifts with serum metabolite patterns, the study revealed a coordinated response to safflower petal water extracts. Specifically, the combined datasets indicated that modifications in microbial ecology were linked to downstream metabolic adjustments, including reduced activation of hepatic gluconeogenic routes. Such findings illustrate how multi-omics integration can highlight functional relationships that would be overlooked using isolated analytical methods, ultimately providing a more refined understanding of how botanical preparations influence systemic metabolism.</w:t>
      </w:r>
    </w:p>
    <w:p w14:paraId="2E250CD7" w14:textId="77777777" w:rsidR="004C24A6" w:rsidRPr="004C24A6" w:rsidRDefault="004C24A6" w:rsidP="004C24A6">
      <w:pPr>
        <w:spacing w:line="276" w:lineRule="auto"/>
        <w:jc w:val="both"/>
        <w:rPr>
          <w:rFonts w:ascii="Arial" w:hAnsi="Arial" w:cs="Arial"/>
          <w:lang w:val="en-GB"/>
        </w:rPr>
      </w:pPr>
    </w:p>
    <w:p w14:paraId="41E4BAA9" w14:textId="77777777" w:rsidR="004C24A6" w:rsidRP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Retrospective Analysis of Human Clinical Trials: </w:t>
      </w:r>
      <w:r w:rsidRPr="004C24A6">
        <w:rPr>
          <w:rFonts w:ascii="Arial" w:hAnsi="Arial" w:cs="Arial"/>
          <w:lang w:val="en-GB"/>
        </w:rPr>
        <w:t>A growing body of evidence has attempted to clarify whether findings from animal models translate meaningfully into human physiology, and one notable effort comes from the work of Nilsson and colleagues (2024). Their investigation took a retrospective look at data drawn from several randomized clinical trials involving older adults with sarcopenic obesity. In these trials, safflower oil had been used as a neutral comparison arm, which created a rare opportunity to examine its physiological impact from the perspective of a “true control” rather than an active treatment.</w:t>
      </w:r>
    </w:p>
    <w:p w14:paraId="7ED9C6A6"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By re-evaluating these datasets, the authors were able to explore how safflower oil performs when placed alongside interventions known to enhance anabolic responses, such as high-quality proteins and omega-3 fatty acids. This allowed them to characterize the boundaries of safflower oil’s effectiveness in promoting muscle tissue maintenance in a population already experiencing impaired muscle metabolism. Their analyses incorporated dual-energy X-ray absorptiometry for precise body-composition profiling, as well as strength and functional assessments that reflect real-world physical capacity.</w:t>
      </w:r>
    </w:p>
    <w:p w14:paraId="3405CEB7" w14:textId="77777777" w:rsidR="004C24A6" w:rsidRPr="004C24A6" w:rsidRDefault="004C24A6" w:rsidP="004C24A6">
      <w:pPr>
        <w:spacing w:line="276" w:lineRule="auto"/>
        <w:jc w:val="both"/>
        <w:rPr>
          <w:rFonts w:ascii="Arial" w:hAnsi="Arial" w:cs="Arial"/>
          <w:lang w:val="en-GB"/>
        </w:rPr>
      </w:pPr>
    </w:p>
    <w:p w14:paraId="03A6C5AB" w14:textId="77777777" w:rsidR="004C24A6" w:rsidRDefault="004C24A6" w:rsidP="004C24A6">
      <w:pPr>
        <w:spacing w:line="276" w:lineRule="auto"/>
        <w:jc w:val="both"/>
        <w:rPr>
          <w:rFonts w:ascii="Arial" w:hAnsi="Arial" w:cs="Arial"/>
          <w:lang w:val="en-GB"/>
        </w:rPr>
      </w:pPr>
      <w:proofErr w:type="spellStart"/>
      <w:r w:rsidRPr="004C24A6">
        <w:rPr>
          <w:rFonts w:ascii="Arial" w:hAnsi="Arial" w:cs="Arial"/>
          <w:lang w:val="en-GB"/>
        </w:rPr>
        <w:t>Therdyothin</w:t>
      </w:r>
      <w:proofErr w:type="spellEnd"/>
      <w:r w:rsidRPr="004C24A6">
        <w:rPr>
          <w:rFonts w:ascii="Arial" w:hAnsi="Arial" w:cs="Arial"/>
          <w:lang w:val="en-GB"/>
        </w:rPr>
        <w:t xml:space="preserve"> et al. synthesized randomized trials to test whether omega</w:t>
      </w:r>
      <w:r w:rsidRPr="004C24A6">
        <w:rPr>
          <w:rFonts w:ascii="Cambria Math" w:hAnsi="Cambria Math" w:cs="Cambria Math"/>
          <w:lang w:val="en-GB"/>
        </w:rPr>
        <w:t>‑</w:t>
      </w:r>
      <w:r w:rsidRPr="004C24A6">
        <w:rPr>
          <w:rFonts w:ascii="Arial" w:hAnsi="Arial" w:cs="Arial"/>
          <w:lang w:val="en-GB"/>
        </w:rPr>
        <w:t>3 polyunsaturated fatty acids (n</w:t>
      </w:r>
      <w:r w:rsidRPr="004C24A6">
        <w:rPr>
          <w:rFonts w:ascii="Cambria Math" w:hAnsi="Cambria Math" w:cs="Cambria Math"/>
          <w:lang w:val="en-GB"/>
        </w:rPr>
        <w:t>‑</w:t>
      </w:r>
      <w:r w:rsidRPr="004C24A6">
        <w:rPr>
          <w:rFonts w:ascii="Arial" w:hAnsi="Arial" w:cs="Arial"/>
          <w:lang w:val="en-GB"/>
        </w:rPr>
        <w:t>3 PUFA) truly enhance anabolic processes in humans. Their meta</w:t>
      </w:r>
      <w:r w:rsidRPr="004C24A6">
        <w:rPr>
          <w:rFonts w:ascii="Cambria Math" w:hAnsi="Cambria Math" w:cs="Cambria Math"/>
          <w:lang w:val="en-GB"/>
        </w:rPr>
        <w:t>‑</w:t>
      </w:r>
      <w:r w:rsidRPr="004C24A6">
        <w:rPr>
          <w:rFonts w:ascii="Arial" w:hAnsi="Arial" w:cs="Arial"/>
          <w:lang w:val="en-GB"/>
        </w:rPr>
        <w:t>analysis pooled eight clinical RCTs using gold</w:t>
      </w:r>
      <w:r w:rsidRPr="004C24A6">
        <w:rPr>
          <w:rFonts w:ascii="Cambria Math" w:hAnsi="Cambria Math" w:cs="Cambria Math"/>
          <w:lang w:val="en-GB"/>
        </w:rPr>
        <w:t>‑</w:t>
      </w:r>
      <w:r w:rsidRPr="004C24A6">
        <w:rPr>
          <w:rFonts w:ascii="Arial" w:hAnsi="Arial" w:cs="Arial"/>
          <w:lang w:val="en-GB"/>
        </w:rPr>
        <w:t xml:space="preserve">standard tracer methods (deuterium oxide or </w:t>
      </w:r>
      <w:proofErr w:type="spellStart"/>
      <w:r w:rsidRPr="004C24A6">
        <w:rPr>
          <w:rFonts w:ascii="Arial" w:hAnsi="Arial" w:cs="Arial"/>
          <w:lang w:val="en-GB"/>
        </w:rPr>
        <w:t>labeled</w:t>
      </w:r>
      <w:proofErr w:type="spellEnd"/>
      <w:r w:rsidRPr="004C24A6">
        <w:rPr>
          <w:rFonts w:ascii="Arial" w:hAnsi="Arial" w:cs="Arial"/>
          <w:lang w:val="en-GB"/>
        </w:rPr>
        <w:t xml:space="preserve"> phenylalanine) to quantify muscle protein synthesis (MPS) as fractional synthetic rate, and, in a subset, whole</w:t>
      </w:r>
      <w:r w:rsidRPr="004C24A6">
        <w:rPr>
          <w:rFonts w:ascii="Cambria Math" w:hAnsi="Cambria Math" w:cs="Cambria Math"/>
          <w:lang w:val="en-GB"/>
        </w:rPr>
        <w:t>‑</w:t>
      </w:r>
      <w:r w:rsidRPr="004C24A6">
        <w:rPr>
          <w:rFonts w:ascii="Arial" w:hAnsi="Arial" w:cs="Arial"/>
          <w:lang w:val="en-GB"/>
        </w:rPr>
        <w:t>body protein synthesis. The central finding was no detectable effect of n</w:t>
      </w:r>
      <w:r w:rsidRPr="004C24A6">
        <w:rPr>
          <w:rFonts w:ascii="Cambria Math" w:hAnsi="Cambria Math" w:cs="Cambria Math"/>
          <w:lang w:val="en-GB"/>
        </w:rPr>
        <w:t>‑</w:t>
      </w:r>
      <w:r w:rsidRPr="004C24A6">
        <w:rPr>
          <w:rFonts w:ascii="Arial" w:hAnsi="Arial" w:cs="Arial"/>
          <w:lang w:val="en-GB"/>
        </w:rPr>
        <w:t>3 PUFA on MPS across age groups, doses, trial durations, and measurement approaches. In contrast, whole</w:t>
      </w:r>
      <w:r w:rsidRPr="004C24A6">
        <w:rPr>
          <w:rFonts w:ascii="Cambria Math" w:hAnsi="Cambria Math" w:cs="Cambria Math"/>
          <w:lang w:val="en-GB"/>
        </w:rPr>
        <w:t>‑</w:t>
      </w:r>
      <w:r w:rsidRPr="004C24A6">
        <w:rPr>
          <w:rFonts w:ascii="Arial" w:hAnsi="Arial" w:cs="Arial"/>
          <w:lang w:val="en-GB"/>
        </w:rPr>
        <w:t>body protein synthesis increased (standardized mean difference ≈ 0.51) in the studies that reported it, with low heterogeneity hinting at systemic protein turnover benefits outside the myofibrillar compartment. The authors discuss that any functional gains seen in some n</w:t>
      </w:r>
      <w:r w:rsidRPr="004C24A6">
        <w:rPr>
          <w:rFonts w:ascii="Cambria Math" w:hAnsi="Cambria Math" w:cs="Cambria Math"/>
          <w:lang w:val="en-GB"/>
        </w:rPr>
        <w:t>‑</w:t>
      </w:r>
      <w:r w:rsidRPr="004C24A6">
        <w:rPr>
          <w:rFonts w:ascii="Arial" w:hAnsi="Arial" w:cs="Arial"/>
          <w:lang w:val="en-GB"/>
        </w:rPr>
        <w:t>3 trials likely reflect mechanisms other than a basal rise in MPS for example, reductions in muscle protein breakdown or improved response under catabolic stress or chronic inflammation and call for trials that jointly quantify MPS and MPB to pinpoint causal pathways.</w:t>
      </w:r>
    </w:p>
    <w:p w14:paraId="47502120" w14:textId="77777777" w:rsidR="004C24A6" w:rsidRPr="004C24A6" w:rsidRDefault="004C24A6" w:rsidP="004C24A6">
      <w:pPr>
        <w:spacing w:line="276" w:lineRule="auto"/>
        <w:jc w:val="both"/>
        <w:rPr>
          <w:rFonts w:ascii="Arial" w:hAnsi="Arial" w:cs="Arial"/>
          <w:lang w:val="en-GB"/>
        </w:rPr>
      </w:pPr>
    </w:p>
    <w:p w14:paraId="2FF9F23C" w14:textId="77777777" w:rsidR="004C24A6" w:rsidRDefault="004C24A6" w:rsidP="004C24A6">
      <w:pPr>
        <w:spacing w:line="276" w:lineRule="auto"/>
        <w:jc w:val="both"/>
        <w:rPr>
          <w:rFonts w:ascii="Arial" w:hAnsi="Arial" w:cs="Arial"/>
          <w:lang w:val="en-GB"/>
        </w:rPr>
      </w:pPr>
      <w:proofErr w:type="spellStart"/>
      <w:r w:rsidRPr="004C24A6">
        <w:rPr>
          <w:rFonts w:ascii="Arial" w:hAnsi="Arial" w:cs="Arial"/>
          <w:lang w:val="en-GB"/>
        </w:rPr>
        <w:t>Tsintzas</w:t>
      </w:r>
      <w:proofErr w:type="spellEnd"/>
      <w:r w:rsidRPr="004C24A6">
        <w:rPr>
          <w:rFonts w:ascii="Arial" w:hAnsi="Arial" w:cs="Arial"/>
          <w:lang w:val="en-GB"/>
        </w:rPr>
        <w:t xml:space="preserve"> et al. ran two complementary human studies in middle</w:t>
      </w:r>
      <w:r w:rsidRPr="004C24A6">
        <w:rPr>
          <w:rFonts w:ascii="Arial" w:hAnsi="Arial" w:cs="Arial"/>
          <w:lang w:val="en-GB"/>
        </w:rPr>
        <w:noBreakHyphen/>
        <w:t>aged overweight/obese men to probe whether increasing dietary fat availability blunts the post</w:t>
      </w:r>
      <w:r w:rsidRPr="004C24A6">
        <w:rPr>
          <w:rFonts w:ascii="Arial" w:hAnsi="Arial" w:cs="Arial"/>
          <w:lang w:val="en-GB"/>
        </w:rPr>
        <w:noBreakHyphen/>
        <w:t xml:space="preserve">meal muscle protein </w:t>
      </w:r>
      <w:r w:rsidRPr="004C24A6">
        <w:rPr>
          <w:rFonts w:ascii="Arial" w:hAnsi="Arial" w:cs="Arial"/>
          <w:lang w:val="en-GB"/>
        </w:rPr>
        <w:lastRenderedPageBreak/>
        <w:t>synthetic response to protein. In an acute crossover experiment, participants consumed a palm</w:t>
      </w:r>
      <w:r w:rsidRPr="004C24A6">
        <w:rPr>
          <w:rFonts w:ascii="Arial" w:hAnsi="Arial" w:cs="Arial"/>
          <w:lang w:val="en-GB"/>
        </w:rPr>
        <w:noBreakHyphen/>
        <w:t>stearin emulsion four hours before an intrinsically</w:t>
      </w:r>
      <w:r w:rsidRPr="004C24A6">
        <w:rPr>
          <w:rFonts w:ascii="Arial" w:hAnsi="Arial" w:cs="Arial"/>
          <w:lang w:val="en-GB"/>
        </w:rPr>
        <w:noBreakHyphen/>
      </w:r>
      <w:proofErr w:type="spellStart"/>
      <w:r w:rsidRPr="004C24A6">
        <w:rPr>
          <w:rFonts w:ascii="Arial" w:hAnsi="Arial" w:cs="Arial"/>
          <w:lang w:val="en-GB"/>
        </w:rPr>
        <w:t>labeled</w:t>
      </w:r>
      <w:proofErr w:type="spellEnd"/>
      <w:r w:rsidRPr="004C24A6">
        <w:rPr>
          <w:rFonts w:ascii="Arial" w:hAnsi="Arial" w:cs="Arial"/>
          <w:lang w:val="en-GB"/>
        </w:rPr>
        <w:t xml:space="preserve"> </w:t>
      </w:r>
      <w:proofErr w:type="spellStart"/>
      <w:r w:rsidRPr="004C24A6">
        <w:rPr>
          <w:rFonts w:ascii="Arial" w:hAnsi="Arial" w:cs="Arial"/>
          <w:lang w:val="en-GB"/>
        </w:rPr>
        <w:t>milk</w:t>
      </w:r>
      <w:r w:rsidRPr="004C24A6">
        <w:rPr>
          <w:rFonts w:ascii="Arial" w:hAnsi="Arial" w:cs="Arial"/>
          <w:lang w:val="en-GB"/>
        </w:rPr>
        <w:noBreakHyphen/>
        <w:t>protein+dextrose</w:t>
      </w:r>
      <w:proofErr w:type="spellEnd"/>
      <w:r w:rsidRPr="004C24A6">
        <w:rPr>
          <w:rFonts w:ascii="Arial" w:hAnsi="Arial" w:cs="Arial"/>
          <w:lang w:val="en-GB"/>
        </w:rPr>
        <w:t xml:space="preserve"> drink; paradoxically, incorporation of dietary amino acids into myofibrillar protein doubled versus control, without impairing peripheral insulin sensitivity or pyruvate dehydrogenase activity. mTOR Ser2448 phosphorylation tended to be higher, while 4E</w:t>
      </w:r>
      <w:r w:rsidRPr="004C24A6">
        <w:rPr>
          <w:rFonts w:ascii="Arial" w:hAnsi="Arial" w:cs="Arial"/>
          <w:lang w:val="en-GB"/>
        </w:rPr>
        <w:noBreakHyphen/>
        <w:t>BP1 was unchanged together implying no classic translational blockade under these real</w:t>
      </w:r>
      <w:r w:rsidRPr="004C24A6">
        <w:rPr>
          <w:rFonts w:ascii="Arial" w:hAnsi="Arial" w:cs="Arial"/>
          <w:lang w:val="en-GB"/>
        </w:rPr>
        <w:noBreakHyphen/>
        <w:t>world lipid loads. In a two</w:t>
      </w:r>
      <w:r w:rsidRPr="004C24A6">
        <w:rPr>
          <w:rFonts w:ascii="Arial" w:hAnsi="Arial" w:cs="Arial"/>
          <w:lang w:val="en-GB"/>
        </w:rPr>
        <w:noBreakHyphen/>
        <w:t>week fat</w:t>
      </w:r>
      <w:r w:rsidRPr="004C24A6">
        <w:rPr>
          <w:rFonts w:ascii="Arial" w:hAnsi="Arial" w:cs="Arial"/>
          <w:lang w:val="en-GB"/>
        </w:rPr>
        <w:noBreakHyphen/>
        <w:t>overfeeding follow</w:t>
      </w:r>
      <w:r w:rsidRPr="004C24A6">
        <w:rPr>
          <w:rFonts w:ascii="Arial" w:hAnsi="Arial" w:cs="Arial"/>
          <w:lang w:val="en-GB"/>
        </w:rPr>
        <w:noBreakHyphen/>
        <w:t>up (≈+25% energy, SFA</w:t>
      </w:r>
      <w:r w:rsidRPr="004C24A6">
        <w:rPr>
          <w:rFonts w:ascii="Arial" w:hAnsi="Arial" w:cs="Arial"/>
          <w:lang w:val="en-GB"/>
        </w:rPr>
        <w:noBreakHyphen/>
        <w:t>rich), participants gained ~1 kg and showed higher muscle ceramide C16:0, but no decrement in mixed</w:t>
      </w:r>
      <w:r w:rsidRPr="004C24A6">
        <w:rPr>
          <w:rFonts w:ascii="Arial" w:hAnsi="Arial" w:cs="Arial"/>
          <w:lang w:val="en-GB"/>
        </w:rPr>
        <w:noBreakHyphen/>
        <w:t>muscle FSR during a clamp plus protein feeding, and no clear insulin</w:t>
      </w:r>
      <w:r w:rsidRPr="004C24A6">
        <w:rPr>
          <w:rFonts w:ascii="Arial" w:hAnsi="Arial" w:cs="Arial"/>
          <w:lang w:val="en-GB"/>
        </w:rPr>
        <w:noBreakHyphen/>
        <w:t>sensitivity hit at the level of glucose disposal. The authors infer that diet</w:t>
      </w:r>
      <w:r w:rsidRPr="004C24A6">
        <w:rPr>
          <w:rFonts w:ascii="Arial" w:hAnsi="Arial" w:cs="Arial"/>
          <w:lang w:val="en-GB"/>
        </w:rPr>
        <w:noBreakHyphen/>
        <w:t>induced intramuscular lipid accrual per se is not sufficient to cause anabolic resistance; instead, overt insulin resistance or other stressors may be required to suppress the postprandial MPS response.</w:t>
      </w:r>
    </w:p>
    <w:p w14:paraId="52B73323" w14:textId="77777777" w:rsidR="004C24A6" w:rsidRPr="004C24A6" w:rsidRDefault="004C24A6" w:rsidP="004C24A6">
      <w:pPr>
        <w:spacing w:line="276" w:lineRule="auto"/>
        <w:jc w:val="both"/>
        <w:rPr>
          <w:rFonts w:ascii="Arial" w:hAnsi="Arial" w:cs="Arial"/>
          <w:lang w:val="en-GB"/>
        </w:rPr>
      </w:pPr>
    </w:p>
    <w:p w14:paraId="22CEBBB8"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Importantly, the findings highlighted a clear dissociation between safflower oil intake and improvements in muscle protein synthesis or functional strength. While expected changes were observed in groups receiving anabolic nutrients, the safflower oil cohorts showed minimal corresponding adaptations. This comparative approach examining safflower oil not as a therapeutic agent but as a physiological baseline offered valuable insights into its limited role in countering anabolic resistance in older adults. The retrospective framework also strengthened the translational relevance by enabling a nuanced interpretation of how preclinical signals do, or do not, manifest in human clinical outcomes.</w:t>
      </w:r>
    </w:p>
    <w:p w14:paraId="60893355" w14:textId="77777777" w:rsidR="004C24A6" w:rsidRPr="004C24A6" w:rsidRDefault="004C24A6" w:rsidP="004C24A6">
      <w:pPr>
        <w:spacing w:line="276" w:lineRule="auto"/>
        <w:jc w:val="both"/>
        <w:rPr>
          <w:rFonts w:ascii="Arial" w:hAnsi="Arial" w:cs="Arial"/>
          <w:lang w:val="en-GB"/>
        </w:rPr>
      </w:pPr>
    </w:p>
    <w:p w14:paraId="7004461A" w14:textId="77777777" w:rsidR="004C24A6" w:rsidRPr="004C24A6" w:rsidRDefault="004C24A6" w:rsidP="004C24A6">
      <w:pPr>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t xml:space="preserve">Therapeutic Applications: </w:t>
      </w:r>
    </w:p>
    <w:p w14:paraId="6F023F7D"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 therapeutic utility of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is bifurcated into two distinct domains: the lipid-centric applications of the seed oil and the flavonoid-centric applications of the petal extracts.</w:t>
      </w:r>
    </w:p>
    <w:p w14:paraId="42897DE8" w14:textId="77777777" w:rsidR="004C24A6" w:rsidRPr="004C24A6" w:rsidRDefault="004C24A6" w:rsidP="004C24A6">
      <w:pPr>
        <w:spacing w:line="276" w:lineRule="auto"/>
        <w:jc w:val="both"/>
        <w:rPr>
          <w:rFonts w:ascii="Arial" w:hAnsi="Arial" w:cs="Arial"/>
          <w:lang w:val="en-GB"/>
        </w:rPr>
      </w:pPr>
    </w:p>
    <w:p w14:paraId="444A9BEA"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Safflower has long been valued for its therapeutic role in promoting blood circulation, resolving blood stasis, and alleviating pain. From the perspective of Western medicine, safflower is known for its uterine-stimulating properties and has been extensively applied in the management of </w:t>
      </w:r>
      <w:proofErr w:type="spellStart"/>
      <w:r w:rsidRPr="004C24A6">
        <w:rPr>
          <w:rFonts w:ascii="Arial" w:hAnsi="Arial" w:cs="Arial"/>
          <w:lang w:val="en-GB"/>
        </w:rPr>
        <w:t>gynecological</w:t>
      </w:r>
      <w:proofErr w:type="spellEnd"/>
      <w:r w:rsidRPr="004C24A6">
        <w:rPr>
          <w:rFonts w:ascii="Arial" w:hAnsi="Arial" w:cs="Arial"/>
          <w:lang w:val="en-GB"/>
        </w:rPr>
        <w:t xml:space="preserve"> disorders, including dysmenorrhea, abdominal masses, chronic pelvic inflammatory disease, and pelvic congestion syndrome (Zhou et al., 2006). A retrospective analysis conducted by Dong et al. (2013), which reviewed 880 medical records involving the use of safflower yellow (SY) at their institution, revealed that cardiovascular diseases accounted for the largest proportion of cases (59.32%), followed by cerebrovascular conditions (20.00%). Notably, the combined administration of SY injection with insulin and azithromycin demonstrated </w:t>
      </w:r>
      <w:proofErr w:type="spellStart"/>
      <w:r w:rsidRPr="004C24A6">
        <w:rPr>
          <w:rFonts w:ascii="Arial" w:hAnsi="Arial" w:cs="Arial"/>
          <w:lang w:val="en-GB"/>
        </w:rPr>
        <w:t>favorable</w:t>
      </w:r>
      <w:proofErr w:type="spellEnd"/>
      <w:r w:rsidRPr="004C24A6">
        <w:rPr>
          <w:rFonts w:ascii="Arial" w:hAnsi="Arial" w:cs="Arial"/>
          <w:lang w:val="en-GB"/>
        </w:rPr>
        <w:t xml:space="preserve"> therapeutic outcomes. Supporting these findings, Li et al. (2017) reported that blood-activating and stasis-resolving agents exert cardioprotective effects through multiple molecular targets and </w:t>
      </w:r>
      <w:proofErr w:type="spellStart"/>
      <w:r w:rsidRPr="004C24A6">
        <w:rPr>
          <w:rFonts w:ascii="Arial" w:hAnsi="Arial" w:cs="Arial"/>
          <w:lang w:val="en-GB"/>
        </w:rPr>
        <w:t>signaling</w:t>
      </w:r>
      <w:proofErr w:type="spellEnd"/>
      <w:r w:rsidRPr="004C24A6">
        <w:rPr>
          <w:rFonts w:ascii="Arial" w:hAnsi="Arial" w:cs="Arial"/>
          <w:lang w:val="en-GB"/>
        </w:rPr>
        <w:t xml:space="preserve"> pathways. Among such agents, safflower has been shown to reduce serum lactate dehydrogenase (LDH) levels by enhancing endogenous antioxidant </w:t>
      </w:r>
      <w:proofErr w:type="spellStart"/>
      <w:r w:rsidRPr="004C24A6">
        <w:rPr>
          <w:rFonts w:ascii="Arial" w:hAnsi="Arial" w:cs="Arial"/>
          <w:lang w:val="en-GB"/>
        </w:rPr>
        <w:t>defenses</w:t>
      </w:r>
      <w:proofErr w:type="spellEnd"/>
      <w:r w:rsidRPr="004C24A6">
        <w:rPr>
          <w:rFonts w:ascii="Arial" w:hAnsi="Arial" w:cs="Arial"/>
          <w:lang w:val="en-GB"/>
        </w:rPr>
        <w:t>, particularly superoxide dismutase (SOD) and glutathione peroxidase (GSH-PX).</w:t>
      </w:r>
    </w:p>
    <w:p w14:paraId="0DEE8EDF" w14:textId="77777777" w:rsidR="004C24A6" w:rsidRPr="004C24A6" w:rsidRDefault="004C24A6" w:rsidP="004C24A6">
      <w:pPr>
        <w:spacing w:line="276" w:lineRule="auto"/>
        <w:jc w:val="both"/>
        <w:rPr>
          <w:rFonts w:ascii="Arial" w:hAnsi="Arial" w:cs="Arial"/>
          <w:lang w:val="en-GB"/>
        </w:rPr>
      </w:pPr>
    </w:p>
    <w:p w14:paraId="7D4C436F"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Ovarian vein syndrome, also known as pelvic congestion syndrome, represents a major cause of chronic </w:t>
      </w:r>
      <w:proofErr w:type="spellStart"/>
      <w:r w:rsidRPr="004C24A6">
        <w:rPr>
          <w:rFonts w:ascii="Arial" w:hAnsi="Arial" w:cs="Arial"/>
          <w:lang w:val="en-GB"/>
        </w:rPr>
        <w:t>gynecological</w:t>
      </w:r>
      <w:proofErr w:type="spellEnd"/>
      <w:r w:rsidRPr="004C24A6">
        <w:rPr>
          <w:rFonts w:ascii="Arial" w:hAnsi="Arial" w:cs="Arial"/>
          <w:lang w:val="en-GB"/>
        </w:rPr>
        <w:t xml:space="preserve"> pelvic pain. Patients typically experience persistent discomfort, increased fatigue, and, in severe cases, symptoms associated with nervous </w:t>
      </w:r>
      <w:r w:rsidRPr="004C24A6">
        <w:rPr>
          <w:rFonts w:ascii="Arial" w:hAnsi="Arial" w:cs="Arial"/>
          <w:lang w:val="en-GB"/>
        </w:rPr>
        <w:lastRenderedPageBreak/>
        <w:t xml:space="preserve">system exhaustion. In Western clinical practice, invasive surgical procedures such as total abdominal hysterectomy or round ligament suspension are often recommended for advanced cases (Zhou et al., 2014). However, these interventions are frequently perceived as physically and psychologically burdensome, leading many women to seek alternative therapies. Due to their pharmacodynamic properties, safflower and safflower-based preparations have gained increasing acceptance in clinical practice and have demonstrated notable therapeutic benefits for female patients (Zhang S. M. et al., 2018). Dysmenorrhea, one of the most common </w:t>
      </w:r>
      <w:proofErr w:type="spellStart"/>
      <w:r w:rsidRPr="004C24A6">
        <w:rPr>
          <w:rFonts w:ascii="Arial" w:hAnsi="Arial" w:cs="Arial"/>
          <w:lang w:val="en-GB"/>
        </w:rPr>
        <w:t>gynecological</w:t>
      </w:r>
      <w:proofErr w:type="spellEnd"/>
      <w:r w:rsidRPr="004C24A6">
        <w:rPr>
          <w:rFonts w:ascii="Arial" w:hAnsi="Arial" w:cs="Arial"/>
          <w:lang w:val="en-GB"/>
        </w:rPr>
        <w:t xml:space="preserve"> complaints, is attributed in traditional Chinese medicine (TCM) to qi stagnation and blood stasis resulting in insufficient nourishment of the uterus (Zhang et al., 2011). Clinical application of </w:t>
      </w:r>
      <w:proofErr w:type="spellStart"/>
      <w:r w:rsidRPr="004C24A6">
        <w:rPr>
          <w:rFonts w:ascii="Arial" w:hAnsi="Arial" w:cs="Arial"/>
          <w:lang w:val="en-GB"/>
        </w:rPr>
        <w:t>Honghua</w:t>
      </w:r>
      <w:proofErr w:type="spellEnd"/>
      <w:r w:rsidRPr="004C24A6">
        <w:rPr>
          <w:rFonts w:ascii="Arial" w:hAnsi="Arial" w:cs="Arial"/>
          <w:lang w:val="en-GB"/>
        </w:rPr>
        <w:t xml:space="preserve"> injection at the “San Yin” acupoint has shown potential in alleviating dysmenorrhea by regulating sympathetic nerve activity and promoting relaxation of pelvic floor muscles and uterine smooth muscle, particularly in cases of primary dysmenorrhea.</w:t>
      </w:r>
    </w:p>
    <w:p w14:paraId="52EB42EE" w14:textId="77777777" w:rsidR="004C24A6" w:rsidRPr="004C24A6" w:rsidRDefault="004C24A6" w:rsidP="004C24A6">
      <w:pPr>
        <w:spacing w:line="276" w:lineRule="auto"/>
        <w:jc w:val="both"/>
        <w:rPr>
          <w:rFonts w:ascii="Arial" w:hAnsi="Arial" w:cs="Arial"/>
          <w:lang w:val="en-GB"/>
        </w:rPr>
      </w:pPr>
    </w:p>
    <w:p w14:paraId="71C3FAF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In TCM, diabetes mellitus is categorized under the concept of “thirst disease” and is associated with dysregulation of glucose and lipid metabolism, often progressing to irreversible complications such as diabetic nephropathy (Qu et al., 2019). In long-term clinical observations, Liu et al. evaluated the therapeutic effects of safflower yellow in patients with type 2 diabetic nephropathy, using metformin and </w:t>
      </w:r>
      <w:proofErr w:type="spellStart"/>
      <w:r w:rsidRPr="004C24A6">
        <w:rPr>
          <w:rFonts w:ascii="Arial" w:hAnsi="Arial" w:cs="Arial"/>
          <w:lang w:val="en-GB"/>
        </w:rPr>
        <w:t>glibenclamide</w:t>
      </w:r>
      <w:proofErr w:type="spellEnd"/>
      <w:r w:rsidRPr="004C24A6">
        <w:rPr>
          <w:rFonts w:ascii="Arial" w:hAnsi="Arial" w:cs="Arial"/>
          <w:lang w:val="en-GB"/>
        </w:rPr>
        <w:t xml:space="preserve"> as reference treatments. Their findings demonstrated that SY markedly reduced malondialdehyde (MDA) levels while increasing SOD activity, thereby enhancing systemic antioxidant capacity, improving insulin sensitivity, and exerting protective effects on renal function (Liu et al., 2018). Further clinical evidence provided by Zhang et al. supported these results, showing that safflower mitigates insulin resistance and renal oxidative stress. Mechanistically, safflower was found to suppress growth factor expression in renal tubules, reduce interstitial fibrosis, and exhibit anti-inflammatory, antifibrotic, anticoagulant, and antioxidant activities. Additionally, its ability to improve blood rheology and microcirculation contributes to enhanced renal perfusion, which is critical for slowing the progression of kidney disease (Zhang S. M. et al., 2018).</w:t>
      </w:r>
    </w:p>
    <w:p w14:paraId="36AD2E10" w14:textId="77777777" w:rsidR="004C24A6" w:rsidRPr="004C24A6" w:rsidRDefault="004C24A6" w:rsidP="004C24A6">
      <w:pPr>
        <w:spacing w:line="276" w:lineRule="auto"/>
        <w:jc w:val="both"/>
        <w:rPr>
          <w:rFonts w:ascii="Arial" w:hAnsi="Arial" w:cs="Arial"/>
          <w:lang w:val="en-GB"/>
        </w:rPr>
      </w:pPr>
    </w:p>
    <w:p w14:paraId="067F1F69"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According to TCM theory, the liver and gallbladder share a close physiological relationship, with bile metabolism playing a central role in liver health. Wu et al. (2013) reported that metabolites derived from safflower can inhibit bile acid synthesis while promoting the hepatic excretion of bile acids and bilirubin. These effects contribute to the alleviation of jaundice, hepatomegaly, bile stasis–induced liver injury, and liver failure. The underlying mechanisms involve modulation of the </w:t>
      </w:r>
      <w:proofErr w:type="spellStart"/>
      <w:r w:rsidRPr="004C24A6">
        <w:rPr>
          <w:rFonts w:ascii="Arial" w:hAnsi="Arial" w:cs="Arial"/>
          <w:lang w:val="en-GB"/>
        </w:rPr>
        <w:t>farnesoid</w:t>
      </w:r>
      <w:proofErr w:type="spellEnd"/>
      <w:r w:rsidRPr="004C24A6">
        <w:rPr>
          <w:rFonts w:ascii="Arial" w:hAnsi="Arial" w:cs="Arial"/>
          <w:lang w:val="en-GB"/>
        </w:rPr>
        <w:t xml:space="preserve"> X receptor (FXR) and </w:t>
      </w:r>
      <w:proofErr w:type="spellStart"/>
      <w:r w:rsidRPr="004C24A6">
        <w:rPr>
          <w:rFonts w:ascii="Arial" w:hAnsi="Arial" w:cs="Arial"/>
          <w:lang w:val="en-GB"/>
        </w:rPr>
        <w:t>pregnane</w:t>
      </w:r>
      <w:proofErr w:type="spellEnd"/>
      <w:r w:rsidRPr="004C24A6">
        <w:rPr>
          <w:rFonts w:ascii="Arial" w:hAnsi="Arial" w:cs="Arial"/>
          <w:lang w:val="en-GB"/>
        </w:rPr>
        <w:t xml:space="preserve"> X receptor (PXR) </w:t>
      </w:r>
      <w:proofErr w:type="spellStart"/>
      <w:r w:rsidRPr="004C24A6">
        <w:rPr>
          <w:rFonts w:ascii="Arial" w:hAnsi="Arial" w:cs="Arial"/>
          <w:lang w:val="en-GB"/>
        </w:rPr>
        <w:t>signaling</w:t>
      </w:r>
      <w:proofErr w:type="spellEnd"/>
      <w:r w:rsidRPr="004C24A6">
        <w:rPr>
          <w:rFonts w:ascii="Arial" w:hAnsi="Arial" w:cs="Arial"/>
          <w:lang w:val="en-GB"/>
        </w:rPr>
        <w:t xml:space="preserve"> pathways. Activation of FXR suppresses cholesterol 7α-hydroxylase (CYP7A1), thereby reducing bile acid accumulation and subsequent hepatocellular damage, while also regulating transporter expression to facilitate bile acid metabolism and clearance. Clinical studies further indicate that long-term oral administration of safflower seed granules in postmenopausal women produces strong antioxidant effects and may offer osteoprotective benefits without inducing hepatotoxicity (Cho et al., 2011).</w:t>
      </w:r>
    </w:p>
    <w:p w14:paraId="49F3C7A3" w14:textId="77777777" w:rsidR="004C24A6" w:rsidRPr="004C24A6" w:rsidRDefault="004C24A6" w:rsidP="004C24A6">
      <w:pPr>
        <w:spacing w:line="276" w:lineRule="auto"/>
        <w:jc w:val="both"/>
        <w:rPr>
          <w:rFonts w:ascii="Arial" w:hAnsi="Arial" w:cs="Arial"/>
          <w:lang w:val="en-GB"/>
        </w:rPr>
      </w:pPr>
    </w:p>
    <w:p w14:paraId="55E4BE9C"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Sudden sensorineural hearing loss, commonly referred to as sudden deafness, remains a clinically challenging condition with diverse </w:t>
      </w:r>
      <w:proofErr w:type="spellStart"/>
      <w:r w:rsidRPr="004C24A6">
        <w:rPr>
          <w:rFonts w:ascii="Arial" w:hAnsi="Arial" w:cs="Arial"/>
          <w:lang w:val="en-GB"/>
        </w:rPr>
        <w:t>etiologies</w:t>
      </w:r>
      <w:proofErr w:type="spellEnd"/>
      <w:r w:rsidRPr="004C24A6">
        <w:rPr>
          <w:rFonts w:ascii="Arial" w:hAnsi="Arial" w:cs="Arial"/>
          <w:lang w:val="en-GB"/>
        </w:rPr>
        <w:t xml:space="preserve"> and limited therapeutic options. Both SY and Ginkgo biloba extract have been reported to improve symptoms associated with </w:t>
      </w:r>
      <w:r w:rsidRPr="004C24A6">
        <w:rPr>
          <w:rFonts w:ascii="Arial" w:hAnsi="Arial" w:cs="Arial"/>
          <w:lang w:val="en-GB"/>
        </w:rPr>
        <w:lastRenderedPageBreak/>
        <w:t xml:space="preserve">impaired inner ear microcirculation, </w:t>
      </w:r>
      <w:proofErr w:type="spellStart"/>
      <w:r w:rsidRPr="004C24A6">
        <w:rPr>
          <w:rFonts w:ascii="Arial" w:hAnsi="Arial" w:cs="Arial"/>
          <w:lang w:val="en-GB"/>
        </w:rPr>
        <w:t>edema</w:t>
      </w:r>
      <w:proofErr w:type="spellEnd"/>
      <w:r w:rsidRPr="004C24A6">
        <w:rPr>
          <w:rFonts w:ascii="Arial" w:hAnsi="Arial" w:cs="Arial"/>
          <w:lang w:val="en-GB"/>
        </w:rPr>
        <w:t xml:space="preserve"> of the inner auditory canal, and nutritional deficiencies affecting auditory tissues. Wang (2020) conducted a clinical study evaluating hearing function, lipid profiles, blood rheology, and inflammatory cell markers in patients treated with SY. The results confirmed that SY enhances inner ear microcirculation by lowering blood lipid levels, reducing capillary permeability, and suppressing inflammatory exudation. Importantly, SY offers a cost-effective alternative to Ginkgo biloba extract often referred to as “liquid gold” in China while delivering comparable therapeutic benefits.</w:t>
      </w:r>
    </w:p>
    <w:p w14:paraId="06055746" w14:textId="77777777" w:rsidR="004C24A6" w:rsidRPr="004C24A6" w:rsidRDefault="004C24A6" w:rsidP="004C24A6">
      <w:pPr>
        <w:spacing w:line="276" w:lineRule="auto"/>
        <w:jc w:val="both"/>
        <w:rPr>
          <w:rFonts w:ascii="Arial" w:hAnsi="Arial" w:cs="Arial"/>
          <w:lang w:val="en-GB"/>
        </w:rPr>
      </w:pPr>
    </w:p>
    <w:p w14:paraId="43713ABE"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Beyond its role in treating somatic disorders, safflower has also attracted attention for its potential effects on mental health. A recent survey involving 752 Saudi participants who had previously used safflower for symptoms of depression and anxiety reported that 37.1% experienced clear therapeutic benefits, while 51.73% noted partial symptom improvement (</w:t>
      </w:r>
      <w:proofErr w:type="spellStart"/>
      <w:r w:rsidRPr="004C24A6">
        <w:rPr>
          <w:rFonts w:ascii="Arial" w:hAnsi="Arial" w:cs="Arial"/>
          <w:lang w:val="en-GB"/>
        </w:rPr>
        <w:t>Albaiz</w:t>
      </w:r>
      <w:proofErr w:type="spellEnd"/>
      <w:r w:rsidRPr="004C24A6">
        <w:rPr>
          <w:rFonts w:ascii="Arial" w:hAnsi="Arial" w:cs="Arial"/>
          <w:lang w:val="en-GB"/>
        </w:rPr>
        <w:t>, 2022). These findings align with a systematic review of studies published between 2010 and 2020, which concluded that safflower flower extracts exhibit anxiolytic effects comparable to those of diazepam (</w:t>
      </w:r>
      <w:proofErr w:type="spellStart"/>
      <w:r w:rsidRPr="004C24A6">
        <w:rPr>
          <w:rFonts w:ascii="Arial" w:hAnsi="Arial" w:cs="Arial"/>
          <w:lang w:val="en-GB"/>
        </w:rPr>
        <w:t>Meneses</w:t>
      </w:r>
      <w:proofErr w:type="spellEnd"/>
      <w:r w:rsidRPr="004C24A6">
        <w:rPr>
          <w:rFonts w:ascii="Arial" w:hAnsi="Arial" w:cs="Arial"/>
          <w:lang w:val="en-GB"/>
        </w:rPr>
        <w:t xml:space="preserve"> et al., 2023). Owing to its nutritional and medicinal properties, safflower has been incorporated into a wide range of commercial products, including analgesics, functional beverages, topical formulations, tablets, and dietary supplements. Moreover, synergistic formulations combining safflower with other agents have shown clinical promise. For instance, </w:t>
      </w:r>
      <w:proofErr w:type="spellStart"/>
      <w:r w:rsidRPr="004C24A6">
        <w:rPr>
          <w:rFonts w:ascii="Arial" w:hAnsi="Arial" w:cs="Arial"/>
          <w:lang w:val="en-GB"/>
        </w:rPr>
        <w:t>GuHong</w:t>
      </w:r>
      <w:proofErr w:type="spellEnd"/>
      <w:r w:rsidRPr="004C24A6">
        <w:rPr>
          <w:rFonts w:ascii="Arial" w:hAnsi="Arial" w:cs="Arial"/>
          <w:lang w:val="en-GB"/>
        </w:rPr>
        <w:t xml:space="preserve"> injection a formulation containing safflower and N-acetyl-L-glutamine has demonstrated significant therapeutic value in the management of cerebrovascular disorders such as ischemic stroke (Wang Q. et al., 2023). Additionally, the safflower–peach kernel herb pair is widely employed in TCM for the treatment of liver fibrosis and related hepatic conditions (Huang et al., 2023; Yuan et al., 2023).</w:t>
      </w:r>
    </w:p>
    <w:p w14:paraId="7B02741A" w14:textId="77777777" w:rsidR="004C24A6" w:rsidRPr="004C24A6" w:rsidRDefault="004C24A6" w:rsidP="004C24A6">
      <w:pPr>
        <w:spacing w:line="276" w:lineRule="auto"/>
        <w:jc w:val="both"/>
        <w:rPr>
          <w:rFonts w:ascii="Arial" w:hAnsi="Arial" w:cs="Arial"/>
          <w:lang w:val="en-GB"/>
        </w:rPr>
      </w:pPr>
    </w:p>
    <w:p w14:paraId="69E75D38"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Metabolic Syndrome and </w:t>
      </w:r>
      <w:proofErr w:type="spellStart"/>
      <w:r w:rsidRPr="004C24A6">
        <w:rPr>
          <w:rFonts w:ascii="Arial" w:hAnsi="Arial" w:cs="Arial"/>
          <w:b/>
          <w:bCs/>
          <w:lang w:val="en-GB"/>
        </w:rPr>
        <w:t>Hyperglycemia</w:t>
      </w:r>
      <w:proofErr w:type="spellEnd"/>
      <w:r w:rsidRPr="004C24A6">
        <w:rPr>
          <w:rFonts w:ascii="Arial" w:hAnsi="Arial" w:cs="Arial"/>
          <w:b/>
          <w:bCs/>
          <w:lang w:val="en-GB"/>
        </w:rPr>
        <w:t xml:space="preserve"> Management:</w:t>
      </w:r>
      <w:r w:rsidRPr="004C24A6">
        <w:rPr>
          <w:rFonts w:ascii="Arial" w:hAnsi="Arial" w:cs="Arial"/>
          <w:lang w:val="en-GB"/>
        </w:rPr>
        <w:t xml:space="preserve"> The management of metabolic syndrome, particularly the control of elevated blood glucose levels, has prompted growing interest in plant-derived interventions. Among these, the water extract of safflower petals (SE) has gained attention for its notable influence on </w:t>
      </w:r>
      <w:proofErr w:type="spellStart"/>
      <w:r w:rsidRPr="004C24A6">
        <w:rPr>
          <w:rFonts w:ascii="Arial" w:hAnsi="Arial" w:cs="Arial"/>
          <w:lang w:val="en-GB"/>
        </w:rPr>
        <w:t>glycemic</w:t>
      </w:r>
      <w:proofErr w:type="spellEnd"/>
      <w:r w:rsidRPr="004C24A6">
        <w:rPr>
          <w:rFonts w:ascii="Arial" w:hAnsi="Arial" w:cs="Arial"/>
          <w:lang w:val="en-GB"/>
        </w:rPr>
        <w:t xml:space="preserve"> regulation. Emerging clinical evidence and supportive preclinical findings suggest that SE behaves in a manner comparable to agents that enhance insulin responsiveness. In a recent human study, individuals who consumed SE as a tea exhibited markedly reduced spikes in post-meal glucose levels, indicating improved handling of carbohydrate loads (Yin et al., 2024).</w:t>
      </w:r>
    </w:p>
    <w:p w14:paraId="61230AB5" w14:textId="77777777" w:rsidR="004C24A6" w:rsidRPr="004C24A6" w:rsidRDefault="004C24A6" w:rsidP="004C24A6">
      <w:pPr>
        <w:spacing w:line="276" w:lineRule="auto"/>
        <w:jc w:val="both"/>
        <w:rPr>
          <w:rFonts w:ascii="Arial" w:hAnsi="Arial" w:cs="Arial"/>
          <w:lang w:val="en-GB"/>
        </w:rPr>
      </w:pPr>
    </w:p>
    <w:p w14:paraId="6BF0112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modulatory effect appears to stem from SE’s ability to temper inappropriate glucagon release while simultaneously improving the efficiency of insulin action in peripheral tissues. Through these dual actions, SE promotes a more balanced metabolic state, reducing the amplitude of glucose swings that typically burden individuals with impaired glucose tolerance. Unlike many conventional antidiabetic medications, which may predispose patients to episodes of </w:t>
      </w:r>
      <w:proofErr w:type="spellStart"/>
      <w:r w:rsidRPr="004C24A6">
        <w:rPr>
          <w:rFonts w:ascii="Arial" w:hAnsi="Arial" w:cs="Arial"/>
          <w:lang w:val="en-GB"/>
        </w:rPr>
        <w:t>hypoglycemia</w:t>
      </w:r>
      <w:proofErr w:type="spellEnd"/>
      <w:r w:rsidRPr="004C24A6">
        <w:rPr>
          <w:rFonts w:ascii="Arial" w:hAnsi="Arial" w:cs="Arial"/>
          <w:lang w:val="en-GB"/>
        </w:rPr>
        <w:t>, SE seems to operate through a stabilizing mechanism rather than by forcing glucose downward. This positions SE as a promising candidate for incorporation into functional foods or dietary strategies aimed at people in the early stages of metabolic dysfunction, including those at risk of progressing to type 2 diabetes.</w:t>
      </w:r>
    </w:p>
    <w:p w14:paraId="0360E6EB" w14:textId="77777777" w:rsidR="004C24A6" w:rsidRPr="004C24A6" w:rsidRDefault="004C24A6" w:rsidP="004C24A6">
      <w:pPr>
        <w:spacing w:line="276" w:lineRule="auto"/>
        <w:jc w:val="both"/>
        <w:rPr>
          <w:rFonts w:ascii="Arial" w:hAnsi="Arial" w:cs="Arial"/>
          <w:lang w:val="en-GB"/>
        </w:rPr>
      </w:pPr>
    </w:p>
    <w:p w14:paraId="73CEB68B" w14:textId="77777777" w:rsidR="004C24A6" w:rsidRPr="004C24A6" w:rsidRDefault="004C24A6" w:rsidP="004C24A6">
      <w:pPr>
        <w:spacing w:line="276" w:lineRule="auto"/>
        <w:jc w:val="both"/>
        <w:rPr>
          <w:rFonts w:ascii="Arial" w:hAnsi="Arial" w:cs="Arial"/>
          <w:lang w:val="en-GB"/>
        </w:rPr>
      </w:pPr>
      <w:r w:rsidRPr="004C24A6">
        <w:rPr>
          <w:rFonts w:ascii="Arial" w:hAnsi="Arial" w:cs="Arial"/>
          <w:b/>
          <w:bCs/>
          <w:lang w:val="en-GB"/>
        </w:rPr>
        <w:t>Targeted Lipid Replacement in Mitochondrial Cardiomyopathies:</w:t>
      </w:r>
      <w:r w:rsidRPr="004C24A6">
        <w:rPr>
          <w:rFonts w:ascii="Arial" w:hAnsi="Arial" w:cs="Arial"/>
          <w:lang w:val="en-GB"/>
        </w:rPr>
        <w:t xml:space="preserve"> One of the most promising and unconventional therapeutic avenues emerging from recent research is the </w:t>
      </w:r>
      <w:r w:rsidRPr="004C24A6">
        <w:rPr>
          <w:rFonts w:ascii="Arial" w:hAnsi="Arial" w:cs="Arial"/>
          <w:lang w:val="en-GB"/>
        </w:rPr>
        <w:lastRenderedPageBreak/>
        <w:t xml:space="preserve">use of high–linoleic acid safflower oil as a form of targeted lipid supplementation for mitochondrial cardiomyopathies, particularly Barth syndrome (BTHS). BTHS results from mutations in the TAFAZZIN gene, which impair the normal </w:t>
      </w:r>
      <w:proofErr w:type="spellStart"/>
      <w:r w:rsidRPr="004C24A6">
        <w:rPr>
          <w:rFonts w:ascii="Arial" w:hAnsi="Arial" w:cs="Arial"/>
          <w:lang w:val="en-GB"/>
        </w:rPr>
        <w:t>remodeling</w:t>
      </w:r>
      <w:proofErr w:type="spellEnd"/>
      <w:r w:rsidRPr="004C24A6">
        <w:rPr>
          <w:rFonts w:ascii="Arial" w:hAnsi="Arial" w:cs="Arial"/>
          <w:lang w:val="en-GB"/>
        </w:rPr>
        <w:t xml:space="preserve"> of cardiolipin a phospholipid essential for maintaining mitochondrial membrane integrity and optimal respiratory chain function. Because cardiolipin in healthy cardiac tissue is predominantly enriched with linoleic acid, the failure to generate this </w:t>
      </w:r>
      <w:proofErr w:type="spellStart"/>
      <w:r w:rsidRPr="004C24A6">
        <w:rPr>
          <w:rFonts w:ascii="Arial" w:hAnsi="Arial" w:cs="Arial"/>
          <w:lang w:val="en-GB"/>
        </w:rPr>
        <w:t>tetralinoleoyl</w:t>
      </w:r>
      <w:proofErr w:type="spellEnd"/>
      <w:r w:rsidRPr="004C24A6">
        <w:rPr>
          <w:rFonts w:ascii="Arial" w:hAnsi="Arial" w:cs="Arial"/>
          <w:lang w:val="en-GB"/>
        </w:rPr>
        <w:t>-cardiolipin species contributes directly to the progressive mitochondrial dysfunction seen in affected individuals.</w:t>
      </w:r>
    </w:p>
    <w:p w14:paraId="5C3DE74F"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 study by Zhu and colleagues (2024) provided compelling evidence that dietary intervention may help compensate for this biochemical deficit. Their work demonstrated that supplying animals with safflower oil, a lipid source naturally abundant in linoleic acid, can raise the availability of the very precursor required for proper cardiolipin assembly. In juvenile mouse models of BTHS, this strategy appeared to partially circumvent the underlying enzymatic bottleneck, allowing mitochondria to incorporate the necessary fatty acid and stabilize their inner membrane architecture. Remarkably, treated animals were protected from developing dilated cardiomyopathy one of the most life-threatening manifestations of the disorder.</w:t>
      </w:r>
    </w:p>
    <w:p w14:paraId="60E0E946" w14:textId="77777777" w:rsidR="004C24A6" w:rsidRPr="004C24A6" w:rsidRDefault="004C24A6" w:rsidP="004C24A6">
      <w:pPr>
        <w:spacing w:line="276" w:lineRule="auto"/>
        <w:jc w:val="both"/>
        <w:rPr>
          <w:rFonts w:ascii="Arial" w:hAnsi="Arial" w:cs="Arial"/>
          <w:lang w:val="en-GB"/>
        </w:rPr>
      </w:pPr>
    </w:p>
    <w:p w14:paraId="4DDFA26E"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Ischemia-Reperfusion Injury and Neuroprotection:</w:t>
      </w:r>
      <w:r w:rsidRPr="004C24A6">
        <w:rPr>
          <w:rFonts w:ascii="Arial" w:hAnsi="Arial" w:cs="Arial"/>
          <w:lang w:val="en-GB"/>
        </w:rPr>
        <w:t xml:space="preserve"> Emerging evidence highlights a significant neurovascular benefit from the flavonoid-rich constituents of safflower, particularly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Ren et al. (2025) demonstrated that HSYA plays a multifaceted role in protecting tissues subjected to ischemia followed by reperfusion. One of its primary actions involves rebalancing the prostacyclin–thromboxane (PGI</w:t>
      </w:r>
      <w:r w:rsidRPr="004C24A6">
        <w:rPr>
          <w:rFonts w:ascii="Cambria Math" w:hAnsi="Cambria Math" w:cs="Cambria Math"/>
          <w:lang w:val="en-GB"/>
        </w:rPr>
        <w:t>₂</w:t>
      </w:r>
      <w:r w:rsidRPr="004C24A6">
        <w:rPr>
          <w:rFonts w:ascii="Arial" w:hAnsi="Arial" w:cs="Arial"/>
          <w:lang w:val="en-GB"/>
        </w:rPr>
        <w:t>/TXA</w:t>
      </w:r>
      <w:r w:rsidRPr="004C24A6">
        <w:rPr>
          <w:rFonts w:ascii="Cambria Math" w:hAnsi="Cambria Math" w:cs="Cambria Math"/>
          <w:lang w:val="en-GB"/>
        </w:rPr>
        <w:t>₂</w:t>
      </w:r>
      <w:r w:rsidRPr="004C24A6">
        <w:rPr>
          <w:rFonts w:ascii="Arial" w:hAnsi="Arial" w:cs="Arial"/>
          <w:lang w:val="en-GB"/>
        </w:rPr>
        <w:t>) pathway, a critical regulator of vascular tone and platelet activity. By shifting this axis toward an antithrombotic profile, HSYA helps prevent microvascular blockage and enhances blood flow in regions recovering from ischemic stress.</w:t>
      </w:r>
    </w:p>
    <w:p w14:paraId="5E6245DD" w14:textId="77777777" w:rsidR="004C24A6" w:rsidRPr="004C24A6" w:rsidRDefault="004C24A6" w:rsidP="004C24A6">
      <w:pPr>
        <w:spacing w:line="276" w:lineRule="auto"/>
        <w:jc w:val="both"/>
        <w:rPr>
          <w:rFonts w:ascii="Arial" w:hAnsi="Arial" w:cs="Arial"/>
          <w:lang w:val="en-GB"/>
        </w:rPr>
      </w:pPr>
    </w:p>
    <w:p w14:paraId="176742E9"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In addition to its vascular effects, HSYA appears to exert direct cytoprotective influence on neurons. Reperfusion after an ischemic episode is often accompanied by a surge in intracellular calcium, which sets off a cascade of mitochondrial dysfunction and programmed cell death. HSYA’s capacity to temper this calcium overload reduces neuronal injury and promotes cellular survival during the vulnerable reperfusion window.</w:t>
      </w:r>
    </w:p>
    <w:p w14:paraId="1D42719E" w14:textId="77777777" w:rsidR="004C24A6" w:rsidRDefault="004C24A6" w:rsidP="00441B6F">
      <w:pPr>
        <w:pStyle w:val="Body"/>
        <w:spacing w:after="0"/>
        <w:rPr>
          <w:rFonts w:ascii="Arial" w:hAnsi="Arial" w:cs="Arial"/>
        </w:rPr>
      </w:pPr>
    </w:p>
    <w:p w14:paraId="54547164"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56CD15F3" w14:textId="6ED22E34" w:rsidR="004C24A6" w:rsidRDefault="004C24A6" w:rsidP="004C24A6">
      <w:pPr>
        <w:pStyle w:val="Body"/>
        <w:spacing w:after="0"/>
        <w:jc w:val="center"/>
        <w:rPr>
          <w:rFonts w:ascii="Arial" w:hAnsi="Arial" w:cs="Arial"/>
        </w:rPr>
      </w:pPr>
      <w:r w:rsidRPr="004C24A6">
        <w:rPr>
          <w:rFonts w:ascii="Arial" w:hAnsi="Arial" w:cs="Arial"/>
          <w:b/>
          <w:bCs/>
        </w:rPr>
        <w:lastRenderedPageBreak/>
        <w:t>Table-6:</w:t>
      </w:r>
      <w:r w:rsidRPr="004C24A6">
        <w:rPr>
          <w:rFonts w:ascii="Arial" w:hAnsi="Arial" w:cs="Arial"/>
        </w:rPr>
        <w:t xml:space="preserve"> Pharmacological activities of safflower-derived metabolites and extracts</w:t>
      </w:r>
    </w:p>
    <w:p w14:paraId="21D2D56E" w14:textId="77777777" w:rsidR="004C24A6" w:rsidRDefault="004C24A6" w:rsidP="00441B6F">
      <w:pPr>
        <w:pStyle w:val="Body"/>
        <w:spacing w:after="0"/>
        <w:rPr>
          <w:rFonts w:ascii="Arial" w:hAnsi="Arial" w:cs="Arial"/>
        </w:rPr>
      </w:pPr>
    </w:p>
    <w:tbl>
      <w:tblPr>
        <w:tblStyle w:val="TableGrid"/>
        <w:tblW w:w="5000" w:type="pct"/>
        <w:tblLook w:val="04A0" w:firstRow="1" w:lastRow="0" w:firstColumn="1" w:lastColumn="0" w:noHBand="0" w:noVBand="1"/>
      </w:tblPr>
      <w:tblGrid>
        <w:gridCol w:w="1796"/>
        <w:gridCol w:w="2087"/>
        <w:gridCol w:w="1656"/>
        <w:gridCol w:w="1452"/>
        <w:gridCol w:w="894"/>
        <w:gridCol w:w="1860"/>
        <w:gridCol w:w="1753"/>
        <w:gridCol w:w="1099"/>
      </w:tblGrid>
      <w:tr w:rsidR="004C24A6" w:rsidRPr="00245BAD" w14:paraId="169C1226" w14:textId="77777777" w:rsidTr="004C24A6">
        <w:trPr>
          <w:trHeight w:val="983"/>
        </w:trPr>
        <w:tc>
          <w:tcPr>
            <w:tcW w:w="721" w:type="pct"/>
            <w:tcBorders>
              <w:left w:val="nil"/>
              <w:right w:val="nil"/>
            </w:tcBorders>
            <w:shd w:val="clear" w:color="auto" w:fill="BFBFBF" w:themeFill="background1" w:themeFillShade="BF"/>
            <w:vAlign w:val="center"/>
          </w:tcPr>
          <w:p w14:paraId="7C554CBD"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Biological activity</w:t>
            </w:r>
          </w:p>
        </w:tc>
        <w:tc>
          <w:tcPr>
            <w:tcW w:w="616" w:type="pct"/>
            <w:tcBorders>
              <w:left w:val="nil"/>
              <w:right w:val="nil"/>
            </w:tcBorders>
            <w:shd w:val="clear" w:color="auto" w:fill="BFBFBF" w:themeFill="background1" w:themeFillShade="BF"/>
            <w:vAlign w:val="center"/>
          </w:tcPr>
          <w:p w14:paraId="6F6DD94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Compound / extract</w:t>
            </w:r>
          </w:p>
        </w:tc>
        <w:tc>
          <w:tcPr>
            <w:tcW w:w="888" w:type="pct"/>
            <w:tcBorders>
              <w:left w:val="nil"/>
              <w:right w:val="nil"/>
            </w:tcBorders>
            <w:shd w:val="clear" w:color="auto" w:fill="BFBFBF" w:themeFill="background1" w:themeFillShade="BF"/>
            <w:vAlign w:val="center"/>
          </w:tcPr>
          <w:p w14:paraId="64358B47"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Experimental system</w:t>
            </w:r>
          </w:p>
        </w:tc>
        <w:tc>
          <w:tcPr>
            <w:tcW w:w="540" w:type="pct"/>
            <w:tcBorders>
              <w:left w:val="nil"/>
              <w:right w:val="nil"/>
            </w:tcBorders>
            <w:shd w:val="clear" w:color="auto" w:fill="BFBFBF" w:themeFill="background1" w:themeFillShade="BF"/>
            <w:vAlign w:val="center"/>
          </w:tcPr>
          <w:p w14:paraId="752D00D3"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Administered dose</w:t>
            </w:r>
          </w:p>
        </w:tc>
        <w:tc>
          <w:tcPr>
            <w:tcW w:w="341" w:type="pct"/>
            <w:tcBorders>
              <w:left w:val="nil"/>
              <w:right w:val="nil"/>
            </w:tcBorders>
            <w:shd w:val="clear" w:color="auto" w:fill="BFBFBF" w:themeFill="background1" w:themeFillShade="BF"/>
            <w:vAlign w:val="center"/>
          </w:tcPr>
          <w:p w14:paraId="5A859D4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Vehicle control</w:t>
            </w:r>
          </w:p>
        </w:tc>
        <w:tc>
          <w:tcPr>
            <w:tcW w:w="748" w:type="pct"/>
            <w:tcBorders>
              <w:left w:val="nil"/>
              <w:right w:val="nil"/>
            </w:tcBorders>
            <w:shd w:val="clear" w:color="auto" w:fill="BFBFBF" w:themeFill="background1" w:themeFillShade="BF"/>
            <w:vAlign w:val="center"/>
          </w:tcPr>
          <w:p w14:paraId="52EFAC1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Reference drug</w:t>
            </w:r>
          </w:p>
        </w:tc>
        <w:tc>
          <w:tcPr>
            <w:tcW w:w="705" w:type="pct"/>
            <w:tcBorders>
              <w:left w:val="nil"/>
              <w:right w:val="nil"/>
            </w:tcBorders>
            <w:shd w:val="clear" w:color="auto" w:fill="BFBFBF" w:themeFill="background1" w:themeFillShade="BF"/>
            <w:vAlign w:val="center"/>
          </w:tcPr>
          <w:p w14:paraId="4FAA05DC"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Observed pharmacological outcome</w:t>
            </w:r>
          </w:p>
        </w:tc>
        <w:tc>
          <w:tcPr>
            <w:tcW w:w="441" w:type="pct"/>
            <w:tcBorders>
              <w:left w:val="nil"/>
              <w:right w:val="nil"/>
            </w:tcBorders>
            <w:shd w:val="clear" w:color="auto" w:fill="BFBFBF" w:themeFill="background1" w:themeFillShade="BF"/>
            <w:vAlign w:val="center"/>
          </w:tcPr>
          <w:p w14:paraId="48AFAD67"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Source</w:t>
            </w:r>
          </w:p>
        </w:tc>
      </w:tr>
      <w:tr w:rsidR="004C24A6" w:rsidRPr="00245BAD" w14:paraId="24E55534" w14:textId="77777777" w:rsidTr="004C24A6">
        <w:tc>
          <w:tcPr>
            <w:tcW w:w="721" w:type="pct"/>
            <w:vMerge w:val="restart"/>
            <w:tcBorders>
              <w:left w:val="nil"/>
              <w:right w:val="nil"/>
            </w:tcBorders>
            <w:vAlign w:val="center"/>
          </w:tcPr>
          <w:p w14:paraId="7C710B7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Vascular-related effects</w:t>
            </w:r>
          </w:p>
        </w:tc>
        <w:tc>
          <w:tcPr>
            <w:tcW w:w="616" w:type="pct"/>
            <w:tcBorders>
              <w:left w:val="nil"/>
              <w:right w:val="nil"/>
            </w:tcBorders>
            <w:vAlign w:val="center"/>
          </w:tcPr>
          <w:p w14:paraId="17D13E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514C1B7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6FC5B3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E96C7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95D3F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Warfarin</w:t>
            </w:r>
          </w:p>
        </w:tc>
        <w:tc>
          <w:tcPr>
            <w:tcW w:w="705" w:type="pct"/>
            <w:tcBorders>
              <w:left w:val="nil"/>
              <w:right w:val="nil"/>
            </w:tcBorders>
            <w:vAlign w:val="center"/>
          </w:tcPr>
          <w:p w14:paraId="196BAEF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Significant extension of plasma prothrombin time</w:t>
            </w:r>
          </w:p>
        </w:tc>
        <w:tc>
          <w:tcPr>
            <w:tcW w:w="441" w:type="pct"/>
            <w:tcBorders>
              <w:left w:val="nil"/>
              <w:right w:val="nil"/>
            </w:tcBorders>
            <w:vAlign w:val="center"/>
          </w:tcPr>
          <w:p w14:paraId="5323F11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(2014)</w:t>
            </w:r>
          </w:p>
        </w:tc>
      </w:tr>
      <w:tr w:rsidR="004C24A6" w:rsidRPr="00245BAD" w14:paraId="416EF8E5" w14:textId="77777777" w:rsidTr="004C24A6">
        <w:tc>
          <w:tcPr>
            <w:tcW w:w="721" w:type="pct"/>
            <w:vMerge/>
            <w:tcBorders>
              <w:left w:val="nil"/>
              <w:right w:val="nil"/>
            </w:tcBorders>
            <w:vAlign w:val="center"/>
          </w:tcPr>
          <w:p w14:paraId="0D026EC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161902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06E509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B9D12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2.5 mg/kg</w:t>
            </w:r>
          </w:p>
        </w:tc>
        <w:tc>
          <w:tcPr>
            <w:tcW w:w="341" w:type="pct"/>
            <w:tcBorders>
              <w:left w:val="nil"/>
              <w:right w:val="nil"/>
            </w:tcBorders>
            <w:vAlign w:val="center"/>
          </w:tcPr>
          <w:p w14:paraId="73D04A7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8C51DC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Aspirin</w:t>
            </w:r>
          </w:p>
        </w:tc>
        <w:tc>
          <w:tcPr>
            <w:tcW w:w="705" w:type="pct"/>
            <w:tcBorders>
              <w:left w:val="nil"/>
              <w:right w:val="nil"/>
            </w:tcBorders>
            <w:vAlign w:val="center"/>
          </w:tcPr>
          <w:p w14:paraId="5D13583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Suppression of platelet aggregation</w:t>
            </w:r>
          </w:p>
        </w:tc>
        <w:tc>
          <w:tcPr>
            <w:tcW w:w="441" w:type="pct"/>
            <w:tcBorders>
              <w:left w:val="nil"/>
              <w:right w:val="nil"/>
            </w:tcBorders>
            <w:vAlign w:val="center"/>
          </w:tcPr>
          <w:p w14:paraId="4A2D28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Jiang et al. (2017)</w:t>
            </w:r>
          </w:p>
        </w:tc>
      </w:tr>
      <w:tr w:rsidR="004C24A6" w:rsidRPr="00245BAD" w14:paraId="462C7BF5" w14:textId="77777777" w:rsidTr="004C24A6">
        <w:tc>
          <w:tcPr>
            <w:tcW w:w="721" w:type="pct"/>
            <w:vMerge/>
            <w:tcBorders>
              <w:left w:val="nil"/>
              <w:right w:val="nil"/>
            </w:tcBorders>
            <w:vAlign w:val="center"/>
          </w:tcPr>
          <w:p w14:paraId="594F3F82"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04441A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extract</w:t>
            </w:r>
          </w:p>
        </w:tc>
        <w:tc>
          <w:tcPr>
            <w:tcW w:w="888" w:type="pct"/>
            <w:tcBorders>
              <w:left w:val="nil"/>
              <w:right w:val="nil"/>
            </w:tcBorders>
            <w:vAlign w:val="center"/>
          </w:tcPr>
          <w:p w14:paraId="6597A54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05AD113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10 g/kg</w:t>
            </w:r>
          </w:p>
        </w:tc>
        <w:tc>
          <w:tcPr>
            <w:tcW w:w="341" w:type="pct"/>
            <w:tcBorders>
              <w:left w:val="nil"/>
              <w:right w:val="nil"/>
            </w:tcBorders>
            <w:vAlign w:val="center"/>
          </w:tcPr>
          <w:p w14:paraId="5B7AB5E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DA09A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Nifedipine</w:t>
            </w:r>
          </w:p>
        </w:tc>
        <w:tc>
          <w:tcPr>
            <w:tcW w:w="705" w:type="pct"/>
            <w:tcBorders>
              <w:left w:val="nil"/>
              <w:right w:val="nil"/>
            </w:tcBorders>
            <w:vAlign w:val="center"/>
          </w:tcPr>
          <w:p w14:paraId="655FCCC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Attenuation of abnormal hemodynamic changes</w:t>
            </w:r>
          </w:p>
        </w:tc>
        <w:tc>
          <w:tcPr>
            <w:tcW w:w="441" w:type="pct"/>
            <w:tcBorders>
              <w:left w:val="nil"/>
              <w:right w:val="nil"/>
            </w:tcBorders>
            <w:vAlign w:val="center"/>
          </w:tcPr>
          <w:p w14:paraId="273F65AE"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Bunbupha</w:t>
            </w:r>
            <w:proofErr w:type="spellEnd"/>
            <w:r w:rsidRPr="004C24A6">
              <w:rPr>
                <w:rFonts w:ascii="Arial" w:eastAsia="Times New Roman" w:hAnsi="Arial" w:cs="Arial"/>
                <w:sz w:val="20"/>
                <w:szCs w:val="20"/>
                <w:lang w:val="en-GB"/>
              </w:rPr>
              <w:t xml:space="preserve"> et al. (2018)</w:t>
            </w:r>
          </w:p>
        </w:tc>
      </w:tr>
      <w:tr w:rsidR="004C24A6" w:rsidRPr="00245BAD" w14:paraId="6D68AC94" w14:textId="77777777" w:rsidTr="004C24A6">
        <w:tc>
          <w:tcPr>
            <w:tcW w:w="721" w:type="pct"/>
            <w:vMerge/>
            <w:tcBorders>
              <w:left w:val="nil"/>
              <w:right w:val="nil"/>
            </w:tcBorders>
            <w:vAlign w:val="center"/>
          </w:tcPr>
          <w:p w14:paraId="339C453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D1909D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49AED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Hypertensive mice</w:t>
            </w:r>
          </w:p>
        </w:tc>
        <w:tc>
          <w:tcPr>
            <w:tcW w:w="540" w:type="pct"/>
            <w:tcBorders>
              <w:left w:val="nil"/>
              <w:right w:val="nil"/>
            </w:tcBorders>
            <w:vAlign w:val="center"/>
          </w:tcPr>
          <w:p w14:paraId="1699C96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24D0E89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D78813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specified</w:t>
            </w:r>
          </w:p>
        </w:tc>
        <w:tc>
          <w:tcPr>
            <w:tcW w:w="705" w:type="pct"/>
            <w:tcBorders>
              <w:left w:val="nil"/>
              <w:right w:val="nil"/>
            </w:tcBorders>
            <w:vAlign w:val="center"/>
          </w:tcPr>
          <w:p w14:paraId="1302CF7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Downregulation of metalloproteinase expression</w:t>
            </w:r>
          </w:p>
        </w:tc>
        <w:tc>
          <w:tcPr>
            <w:tcW w:w="441" w:type="pct"/>
            <w:tcBorders>
              <w:left w:val="nil"/>
              <w:right w:val="nil"/>
            </w:tcBorders>
            <w:vAlign w:val="center"/>
          </w:tcPr>
          <w:p w14:paraId="6DDDB4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Wang et al. (2019)</w:t>
            </w:r>
          </w:p>
        </w:tc>
      </w:tr>
      <w:tr w:rsidR="004C24A6" w:rsidRPr="00245BAD" w14:paraId="226F156C" w14:textId="77777777" w:rsidTr="004C24A6">
        <w:tc>
          <w:tcPr>
            <w:tcW w:w="721" w:type="pct"/>
            <w:vMerge/>
            <w:tcBorders>
              <w:left w:val="nil"/>
              <w:right w:val="nil"/>
            </w:tcBorders>
            <w:vAlign w:val="center"/>
          </w:tcPr>
          <w:p w14:paraId="63B1AD43"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250DB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62F42B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4C3B804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21B42E9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86CC6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Icariin</w:t>
            </w:r>
          </w:p>
        </w:tc>
        <w:tc>
          <w:tcPr>
            <w:tcW w:w="705" w:type="pct"/>
            <w:tcBorders>
              <w:left w:val="nil"/>
              <w:right w:val="nil"/>
            </w:tcBorders>
            <w:vAlign w:val="center"/>
          </w:tcPr>
          <w:p w14:paraId="20156B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Enhancement of osteoblast viability and bone mineralization</w:t>
            </w:r>
          </w:p>
        </w:tc>
        <w:tc>
          <w:tcPr>
            <w:tcW w:w="441" w:type="pct"/>
            <w:tcBorders>
              <w:left w:val="nil"/>
              <w:right w:val="nil"/>
            </w:tcBorders>
            <w:vAlign w:val="center"/>
          </w:tcPr>
          <w:p w14:paraId="70BD1F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Liu et al. (2018)</w:t>
            </w:r>
          </w:p>
        </w:tc>
      </w:tr>
      <w:tr w:rsidR="004C24A6" w:rsidRPr="00245BAD" w14:paraId="26B5373F" w14:textId="77777777" w:rsidTr="004C24A6">
        <w:tc>
          <w:tcPr>
            <w:tcW w:w="721" w:type="pct"/>
            <w:vMerge/>
            <w:tcBorders>
              <w:left w:val="nil"/>
              <w:right w:val="nil"/>
            </w:tcBorders>
            <w:vAlign w:val="center"/>
          </w:tcPr>
          <w:p w14:paraId="1A959D7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C7824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8DE9F2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F8CC3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4647571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9E4DE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Clopidogrel</w:t>
            </w:r>
          </w:p>
        </w:tc>
        <w:tc>
          <w:tcPr>
            <w:tcW w:w="705" w:type="pct"/>
            <w:tcBorders>
              <w:left w:val="nil"/>
              <w:right w:val="nil"/>
            </w:tcBorders>
            <w:vAlign w:val="center"/>
          </w:tcPr>
          <w:p w14:paraId="1C2D4A5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ADP-induced platelet aggregation</w:t>
            </w:r>
          </w:p>
        </w:tc>
        <w:tc>
          <w:tcPr>
            <w:tcW w:w="441" w:type="pct"/>
            <w:tcBorders>
              <w:left w:val="nil"/>
              <w:right w:val="nil"/>
            </w:tcBorders>
            <w:vAlign w:val="center"/>
          </w:tcPr>
          <w:p w14:paraId="108A5A4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(2017)</w:t>
            </w:r>
          </w:p>
        </w:tc>
      </w:tr>
      <w:tr w:rsidR="004C24A6" w:rsidRPr="00245BAD" w14:paraId="78488775" w14:textId="77777777" w:rsidTr="004C24A6">
        <w:tc>
          <w:tcPr>
            <w:tcW w:w="721" w:type="pct"/>
            <w:vMerge/>
            <w:tcBorders>
              <w:left w:val="nil"/>
              <w:right w:val="nil"/>
            </w:tcBorders>
            <w:vAlign w:val="center"/>
          </w:tcPr>
          <w:p w14:paraId="1115383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61B59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24629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8B683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reported</w:t>
            </w:r>
          </w:p>
        </w:tc>
        <w:tc>
          <w:tcPr>
            <w:tcW w:w="341" w:type="pct"/>
            <w:tcBorders>
              <w:left w:val="nil"/>
              <w:right w:val="nil"/>
            </w:tcBorders>
            <w:vAlign w:val="center"/>
          </w:tcPr>
          <w:p w14:paraId="7CEB82F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20D78E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reported</w:t>
            </w:r>
          </w:p>
        </w:tc>
        <w:tc>
          <w:tcPr>
            <w:tcW w:w="705" w:type="pct"/>
            <w:tcBorders>
              <w:left w:val="nil"/>
              <w:right w:val="nil"/>
            </w:tcBorders>
            <w:vAlign w:val="center"/>
          </w:tcPr>
          <w:p w14:paraId="09E52BE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Improvement in </w:t>
            </w:r>
            <w:r w:rsidRPr="004C24A6">
              <w:rPr>
                <w:rFonts w:ascii="Arial" w:eastAsia="Times New Roman" w:hAnsi="Arial" w:cs="Arial"/>
                <w:sz w:val="20"/>
                <w:szCs w:val="20"/>
                <w:lang w:val="en-GB"/>
              </w:rPr>
              <w:lastRenderedPageBreak/>
              <w:t>vascular endothelial cell viability</w:t>
            </w:r>
          </w:p>
        </w:tc>
        <w:tc>
          <w:tcPr>
            <w:tcW w:w="441" w:type="pct"/>
            <w:tcBorders>
              <w:left w:val="nil"/>
              <w:right w:val="nil"/>
            </w:tcBorders>
            <w:vAlign w:val="center"/>
          </w:tcPr>
          <w:p w14:paraId="37D16CD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 xml:space="preserve">Yue et al. </w:t>
            </w:r>
            <w:r w:rsidRPr="004C24A6">
              <w:rPr>
                <w:rFonts w:ascii="Arial" w:eastAsia="Times New Roman" w:hAnsi="Arial" w:cs="Arial"/>
                <w:sz w:val="20"/>
                <w:szCs w:val="20"/>
                <w:lang w:val="en-GB"/>
              </w:rPr>
              <w:lastRenderedPageBreak/>
              <w:t>(2014)</w:t>
            </w:r>
          </w:p>
        </w:tc>
      </w:tr>
      <w:tr w:rsidR="004C24A6" w:rsidRPr="00245BAD" w14:paraId="5EBFE966" w14:textId="77777777" w:rsidTr="004C24A6">
        <w:tc>
          <w:tcPr>
            <w:tcW w:w="721" w:type="pct"/>
            <w:vMerge/>
            <w:tcBorders>
              <w:left w:val="nil"/>
              <w:right w:val="nil"/>
            </w:tcBorders>
            <w:vAlign w:val="center"/>
          </w:tcPr>
          <w:p w14:paraId="1181852C"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0DEB19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6A4FC81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Human umbilical vein endothelial cells</w:t>
            </w:r>
          </w:p>
        </w:tc>
        <w:tc>
          <w:tcPr>
            <w:tcW w:w="540" w:type="pct"/>
            <w:tcBorders>
              <w:left w:val="nil"/>
              <w:right w:val="nil"/>
            </w:tcBorders>
            <w:vAlign w:val="center"/>
          </w:tcPr>
          <w:p w14:paraId="11BB28B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5414D31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DF2C317"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Edaravone</w:t>
            </w:r>
            <w:proofErr w:type="spellEnd"/>
          </w:p>
        </w:tc>
        <w:tc>
          <w:tcPr>
            <w:tcW w:w="705" w:type="pct"/>
            <w:tcBorders>
              <w:left w:val="nil"/>
              <w:right w:val="nil"/>
            </w:tcBorders>
            <w:vAlign w:val="center"/>
          </w:tcPr>
          <w:p w14:paraId="253329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Protection against hypoxia-induced cellular injury</w:t>
            </w:r>
          </w:p>
        </w:tc>
        <w:tc>
          <w:tcPr>
            <w:tcW w:w="441" w:type="pct"/>
            <w:tcBorders>
              <w:left w:val="nil"/>
              <w:right w:val="nil"/>
            </w:tcBorders>
            <w:vAlign w:val="center"/>
          </w:tcPr>
          <w:p w14:paraId="36D9DB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Sun et al. (2013)</w:t>
            </w:r>
          </w:p>
        </w:tc>
      </w:tr>
      <w:tr w:rsidR="004C24A6" w:rsidRPr="00245BAD" w14:paraId="271404D1" w14:textId="77777777" w:rsidTr="004C24A6">
        <w:tc>
          <w:tcPr>
            <w:tcW w:w="721" w:type="pct"/>
            <w:vMerge/>
            <w:tcBorders>
              <w:left w:val="nil"/>
              <w:right w:val="nil"/>
            </w:tcBorders>
            <w:vAlign w:val="center"/>
          </w:tcPr>
          <w:p w14:paraId="0369DDA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F68085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251584F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Mouse model of left ventricular hypertrophy</w:t>
            </w:r>
          </w:p>
        </w:tc>
        <w:tc>
          <w:tcPr>
            <w:tcW w:w="540" w:type="pct"/>
            <w:tcBorders>
              <w:left w:val="nil"/>
              <w:right w:val="nil"/>
            </w:tcBorders>
            <w:vAlign w:val="center"/>
          </w:tcPr>
          <w:p w14:paraId="459AE5E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 mg/kg</w:t>
            </w:r>
          </w:p>
        </w:tc>
        <w:tc>
          <w:tcPr>
            <w:tcW w:w="341" w:type="pct"/>
            <w:tcBorders>
              <w:left w:val="nil"/>
              <w:right w:val="nil"/>
            </w:tcBorders>
            <w:vAlign w:val="center"/>
          </w:tcPr>
          <w:p w14:paraId="62719C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B93FAE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70C4A6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apoptosis and metalloproteinase activity</w:t>
            </w:r>
          </w:p>
        </w:tc>
        <w:tc>
          <w:tcPr>
            <w:tcW w:w="441" w:type="pct"/>
            <w:tcBorders>
              <w:left w:val="nil"/>
              <w:right w:val="nil"/>
            </w:tcBorders>
            <w:vAlign w:val="center"/>
          </w:tcPr>
          <w:p w14:paraId="6D8F21E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Wang et al. (2013)</w:t>
            </w:r>
          </w:p>
        </w:tc>
      </w:tr>
      <w:tr w:rsidR="004C24A6" w:rsidRPr="00245BAD" w14:paraId="4C4C61D8" w14:textId="77777777" w:rsidTr="004C24A6">
        <w:tc>
          <w:tcPr>
            <w:tcW w:w="721" w:type="pct"/>
            <w:vMerge/>
            <w:tcBorders>
              <w:left w:val="nil"/>
              <w:right w:val="nil"/>
            </w:tcBorders>
            <w:vAlign w:val="center"/>
          </w:tcPr>
          <w:p w14:paraId="4609897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6EA5A6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79B6E5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Acute myocardial cells</w:t>
            </w:r>
          </w:p>
        </w:tc>
        <w:tc>
          <w:tcPr>
            <w:tcW w:w="540" w:type="pct"/>
            <w:tcBorders>
              <w:left w:val="nil"/>
              <w:right w:val="nil"/>
            </w:tcBorders>
            <w:vAlign w:val="center"/>
          </w:tcPr>
          <w:p w14:paraId="40E51E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30BFC5A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80D553B"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Edaravone</w:t>
            </w:r>
            <w:proofErr w:type="spellEnd"/>
          </w:p>
        </w:tc>
        <w:tc>
          <w:tcPr>
            <w:tcW w:w="705" w:type="pct"/>
            <w:tcBorders>
              <w:left w:val="nil"/>
              <w:right w:val="nil"/>
            </w:tcBorders>
            <w:vAlign w:val="center"/>
          </w:tcPr>
          <w:p w14:paraId="428B849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Mitigation of ischemia–reperfusion-associated myocardial damage</w:t>
            </w:r>
          </w:p>
        </w:tc>
        <w:tc>
          <w:tcPr>
            <w:tcW w:w="441" w:type="pct"/>
            <w:tcBorders>
              <w:left w:val="nil"/>
              <w:right w:val="nil"/>
            </w:tcBorders>
            <w:vAlign w:val="center"/>
          </w:tcPr>
          <w:p w14:paraId="7D6950C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Ye et al. (2020)</w:t>
            </w:r>
          </w:p>
        </w:tc>
      </w:tr>
      <w:tr w:rsidR="004C24A6" w:rsidRPr="00245BAD" w14:paraId="2760B401" w14:textId="77777777" w:rsidTr="004C24A6">
        <w:tc>
          <w:tcPr>
            <w:tcW w:w="721" w:type="pct"/>
            <w:vMerge/>
            <w:tcBorders>
              <w:left w:val="nil"/>
              <w:right w:val="nil"/>
            </w:tcBorders>
            <w:vAlign w:val="center"/>
          </w:tcPr>
          <w:p w14:paraId="29527203"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AECAF0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4504C7B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Cerebral ischemia–reperfusion model</w:t>
            </w:r>
          </w:p>
        </w:tc>
        <w:tc>
          <w:tcPr>
            <w:tcW w:w="540" w:type="pct"/>
            <w:tcBorders>
              <w:left w:val="nil"/>
              <w:right w:val="nil"/>
            </w:tcBorders>
            <w:vAlign w:val="center"/>
          </w:tcPr>
          <w:p w14:paraId="636E753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F93D8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5F7134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Cyclosporin A</w:t>
            </w:r>
          </w:p>
        </w:tc>
        <w:tc>
          <w:tcPr>
            <w:tcW w:w="705" w:type="pct"/>
            <w:tcBorders>
              <w:left w:val="nil"/>
              <w:right w:val="nil"/>
            </w:tcBorders>
            <w:vAlign w:val="center"/>
          </w:tcPr>
          <w:p w14:paraId="72AAA6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mitochondrial permeability transition pore opening</w:t>
            </w:r>
          </w:p>
        </w:tc>
        <w:tc>
          <w:tcPr>
            <w:tcW w:w="441" w:type="pct"/>
            <w:tcBorders>
              <w:left w:val="nil"/>
              <w:right w:val="nil"/>
            </w:tcBorders>
            <w:vAlign w:val="center"/>
          </w:tcPr>
          <w:p w14:paraId="17B5754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Huang et al. (2021)</w:t>
            </w:r>
          </w:p>
        </w:tc>
      </w:tr>
      <w:tr w:rsidR="004C24A6" w:rsidRPr="00245BAD" w14:paraId="78F95044" w14:textId="77777777" w:rsidTr="004C24A6">
        <w:tc>
          <w:tcPr>
            <w:tcW w:w="721" w:type="pct"/>
            <w:vMerge/>
            <w:tcBorders>
              <w:left w:val="nil"/>
              <w:right w:val="nil"/>
            </w:tcBorders>
            <w:vAlign w:val="center"/>
          </w:tcPr>
          <w:p w14:paraId="43E65F5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7E418F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049EBA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NETs-induced HUVECs and VTE mouse model</w:t>
            </w:r>
          </w:p>
        </w:tc>
        <w:tc>
          <w:tcPr>
            <w:tcW w:w="540" w:type="pct"/>
            <w:tcBorders>
              <w:left w:val="nil"/>
              <w:right w:val="nil"/>
            </w:tcBorders>
            <w:vAlign w:val="center"/>
          </w:tcPr>
          <w:p w14:paraId="5871736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3665A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89DEC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D7C474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venous thromboembolism via NET depletion</w:t>
            </w:r>
          </w:p>
        </w:tc>
        <w:tc>
          <w:tcPr>
            <w:tcW w:w="441" w:type="pct"/>
            <w:tcBorders>
              <w:left w:val="nil"/>
              <w:right w:val="nil"/>
            </w:tcBorders>
            <w:vAlign w:val="center"/>
          </w:tcPr>
          <w:p w14:paraId="63C789A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 et al. (2024)</w:t>
            </w:r>
          </w:p>
        </w:tc>
      </w:tr>
      <w:tr w:rsidR="004C24A6" w:rsidRPr="00245BAD" w14:paraId="0B8A5BD6" w14:textId="77777777" w:rsidTr="004C24A6">
        <w:tc>
          <w:tcPr>
            <w:tcW w:w="721" w:type="pct"/>
            <w:vMerge w:val="restart"/>
            <w:tcBorders>
              <w:left w:val="nil"/>
              <w:right w:val="nil"/>
            </w:tcBorders>
            <w:vAlign w:val="center"/>
          </w:tcPr>
          <w:p w14:paraId="0F8937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Anti-inflammatory properties</w:t>
            </w:r>
          </w:p>
        </w:tc>
        <w:tc>
          <w:tcPr>
            <w:tcW w:w="616" w:type="pct"/>
            <w:tcBorders>
              <w:left w:val="nil"/>
              <w:right w:val="nil"/>
            </w:tcBorders>
            <w:vAlign w:val="center"/>
          </w:tcPr>
          <w:p w14:paraId="1E1626D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52DCE51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7F4E6F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7F1E965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37A497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Glutathione</w:t>
            </w:r>
          </w:p>
        </w:tc>
        <w:tc>
          <w:tcPr>
            <w:tcW w:w="705" w:type="pct"/>
            <w:tcBorders>
              <w:left w:val="nil"/>
              <w:right w:val="nil"/>
            </w:tcBorders>
            <w:vAlign w:val="center"/>
          </w:tcPr>
          <w:p w14:paraId="15614D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Alleviation of ischemia–reperfusion injury </w:t>
            </w:r>
            <w:r w:rsidRPr="004C24A6">
              <w:rPr>
                <w:rFonts w:ascii="Arial" w:eastAsia="Times New Roman" w:hAnsi="Arial" w:cs="Arial"/>
                <w:sz w:val="20"/>
                <w:szCs w:val="20"/>
                <w:lang w:val="en-GB"/>
              </w:rPr>
              <w:lastRenderedPageBreak/>
              <w:t>through ROS suppression</w:t>
            </w:r>
          </w:p>
        </w:tc>
        <w:tc>
          <w:tcPr>
            <w:tcW w:w="441" w:type="pct"/>
            <w:tcBorders>
              <w:left w:val="nil"/>
              <w:right w:val="nil"/>
            </w:tcBorders>
            <w:vAlign w:val="center"/>
          </w:tcPr>
          <w:p w14:paraId="50E8BC3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Lu et al. (2019)</w:t>
            </w:r>
          </w:p>
        </w:tc>
      </w:tr>
      <w:tr w:rsidR="004C24A6" w:rsidRPr="00245BAD" w14:paraId="70EC8FD2" w14:textId="77777777" w:rsidTr="004C24A6">
        <w:tc>
          <w:tcPr>
            <w:tcW w:w="721" w:type="pct"/>
            <w:vMerge/>
            <w:tcBorders>
              <w:left w:val="nil"/>
              <w:right w:val="nil"/>
            </w:tcBorders>
            <w:vAlign w:val="center"/>
          </w:tcPr>
          <w:p w14:paraId="55F1D4E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98118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28A33DD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1988F2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7.5 mg/kg</w:t>
            </w:r>
          </w:p>
        </w:tc>
        <w:tc>
          <w:tcPr>
            <w:tcW w:w="341" w:type="pct"/>
            <w:tcBorders>
              <w:left w:val="nil"/>
              <w:right w:val="nil"/>
            </w:tcBorders>
            <w:vAlign w:val="center"/>
          </w:tcPr>
          <w:p w14:paraId="35CCAAB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7BEE7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41B1031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Neuroprotection against cerebral I/R injury by lowering inflammatory cytokines</w:t>
            </w:r>
          </w:p>
        </w:tc>
        <w:tc>
          <w:tcPr>
            <w:tcW w:w="441" w:type="pct"/>
            <w:tcBorders>
              <w:left w:val="nil"/>
              <w:right w:val="nil"/>
            </w:tcBorders>
            <w:vAlign w:val="center"/>
          </w:tcPr>
          <w:p w14:paraId="3ED0F24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Du et al. (2019)</w:t>
            </w:r>
          </w:p>
        </w:tc>
      </w:tr>
      <w:tr w:rsidR="004C24A6" w:rsidRPr="00245BAD" w14:paraId="5623EEBD" w14:textId="77777777" w:rsidTr="004C24A6">
        <w:tc>
          <w:tcPr>
            <w:tcW w:w="721" w:type="pct"/>
            <w:vMerge/>
            <w:tcBorders>
              <w:left w:val="nil"/>
              <w:right w:val="nil"/>
            </w:tcBorders>
            <w:vAlign w:val="center"/>
          </w:tcPr>
          <w:p w14:paraId="3E56644C"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3529EF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 SY</w:t>
            </w:r>
          </w:p>
        </w:tc>
        <w:tc>
          <w:tcPr>
            <w:tcW w:w="888" w:type="pct"/>
            <w:tcBorders>
              <w:left w:val="nil"/>
              <w:right w:val="nil"/>
            </w:tcBorders>
            <w:vAlign w:val="center"/>
          </w:tcPr>
          <w:p w14:paraId="63A823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445A1B7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4FDD4F5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839C1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5AAE1BA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cardiomyocyte apoptosis following myocardial infarction</w:t>
            </w:r>
          </w:p>
        </w:tc>
        <w:tc>
          <w:tcPr>
            <w:tcW w:w="441" w:type="pct"/>
            <w:tcBorders>
              <w:left w:val="nil"/>
              <w:right w:val="nil"/>
            </w:tcBorders>
            <w:vAlign w:val="center"/>
          </w:tcPr>
          <w:p w14:paraId="6466C86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(2014)</w:t>
            </w:r>
          </w:p>
        </w:tc>
      </w:tr>
      <w:tr w:rsidR="004C24A6" w:rsidRPr="00245BAD" w14:paraId="5B5E6E37" w14:textId="77777777" w:rsidTr="004C24A6">
        <w:tc>
          <w:tcPr>
            <w:tcW w:w="721" w:type="pct"/>
            <w:vMerge/>
            <w:tcBorders>
              <w:left w:val="nil"/>
              <w:right w:val="nil"/>
            </w:tcBorders>
            <w:vAlign w:val="center"/>
          </w:tcPr>
          <w:p w14:paraId="3B8AAD2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22107C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8355F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Guinea pigs</w:t>
            </w:r>
          </w:p>
        </w:tc>
        <w:tc>
          <w:tcPr>
            <w:tcW w:w="540" w:type="pct"/>
            <w:tcBorders>
              <w:left w:val="nil"/>
              <w:right w:val="nil"/>
            </w:tcBorders>
            <w:vAlign w:val="center"/>
          </w:tcPr>
          <w:p w14:paraId="12AAE4E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112.5 mg/kg</w:t>
            </w:r>
          </w:p>
        </w:tc>
        <w:tc>
          <w:tcPr>
            <w:tcW w:w="341" w:type="pct"/>
            <w:tcBorders>
              <w:left w:val="nil"/>
              <w:right w:val="nil"/>
            </w:tcBorders>
            <w:vAlign w:val="center"/>
          </w:tcPr>
          <w:p w14:paraId="411BEF9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7C3823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52677CA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Improved protection against ovalbumin-induced asthma</w:t>
            </w:r>
          </w:p>
        </w:tc>
        <w:tc>
          <w:tcPr>
            <w:tcW w:w="441" w:type="pct"/>
            <w:tcBorders>
              <w:left w:val="nil"/>
              <w:right w:val="nil"/>
            </w:tcBorders>
            <w:vAlign w:val="center"/>
          </w:tcPr>
          <w:p w14:paraId="6726EC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Guo et al. (2019)</w:t>
            </w:r>
          </w:p>
        </w:tc>
      </w:tr>
      <w:tr w:rsidR="004C24A6" w:rsidRPr="00245BAD" w14:paraId="2D73CE2E" w14:textId="77777777" w:rsidTr="004C24A6">
        <w:tc>
          <w:tcPr>
            <w:tcW w:w="721" w:type="pct"/>
            <w:vMerge/>
            <w:tcBorders>
              <w:left w:val="nil"/>
              <w:right w:val="nil"/>
            </w:tcBorders>
            <w:vAlign w:val="center"/>
          </w:tcPr>
          <w:p w14:paraId="50B718AF"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B3AD03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A526A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06DBFE1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40B011A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DA1DD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Minocycline</w:t>
            </w:r>
          </w:p>
        </w:tc>
        <w:tc>
          <w:tcPr>
            <w:tcW w:w="705" w:type="pct"/>
            <w:tcBorders>
              <w:left w:val="nil"/>
              <w:right w:val="nil"/>
            </w:tcBorders>
            <w:vAlign w:val="center"/>
          </w:tcPr>
          <w:p w14:paraId="05C8D8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I/R-induced acute liver injury via macrophage suppression</w:t>
            </w:r>
          </w:p>
        </w:tc>
        <w:tc>
          <w:tcPr>
            <w:tcW w:w="441" w:type="pct"/>
            <w:tcBorders>
              <w:left w:val="nil"/>
              <w:right w:val="nil"/>
            </w:tcBorders>
            <w:vAlign w:val="center"/>
          </w:tcPr>
          <w:p w14:paraId="05190F7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Jiang et al. (2017)</w:t>
            </w:r>
          </w:p>
        </w:tc>
      </w:tr>
      <w:tr w:rsidR="004C24A6" w:rsidRPr="00245BAD" w14:paraId="3F7553EB" w14:textId="77777777" w:rsidTr="004C24A6">
        <w:tc>
          <w:tcPr>
            <w:tcW w:w="721" w:type="pct"/>
            <w:vMerge/>
            <w:tcBorders>
              <w:left w:val="nil"/>
              <w:right w:val="nil"/>
            </w:tcBorders>
            <w:vAlign w:val="center"/>
          </w:tcPr>
          <w:p w14:paraId="4EB9952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09BB5D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09C97B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0274CB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3.5 mg/kg</w:t>
            </w:r>
          </w:p>
        </w:tc>
        <w:tc>
          <w:tcPr>
            <w:tcW w:w="341" w:type="pct"/>
            <w:tcBorders>
              <w:left w:val="nil"/>
              <w:right w:val="nil"/>
            </w:tcBorders>
            <w:vAlign w:val="center"/>
          </w:tcPr>
          <w:p w14:paraId="55C20BC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4A1EC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068C324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Attenuation of inflammation caused by oxygen–glucose deprivation</w:t>
            </w:r>
          </w:p>
        </w:tc>
        <w:tc>
          <w:tcPr>
            <w:tcW w:w="441" w:type="pct"/>
            <w:tcBorders>
              <w:left w:val="nil"/>
              <w:right w:val="nil"/>
            </w:tcBorders>
            <w:vAlign w:val="center"/>
          </w:tcPr>
          <w:p w14:paraId="4B70BF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(2017)</w:t>
            </w:r>
          </w:p>
        </w:tc>
      </w:tr>
      <w:tr w:rsidR="004C24A6" w:rsidRPr="00245BAD" w14:paraId="39F9AA2D" w14:textId="77777777" w:rsidTr="004C24A6">
        <w:tc>
          <w:tcPr>
            <w:tcW w:w="721" w:type="pct"/>
            <w:vMerge/>
            <w:tcBorders>
              <w:left w:val="nil"/>
              <w:right w:val="nil"/>
            </w:tcBorders>
            <w:vAlign w:val="center"/>
          </w:tcPr>
          <w:p w14:paraId="1321279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9F81DF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EA3B9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A11F7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E5908B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8B10B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Aspirin</w:t>
            </w:r>
          </w:p>
        </w:tc>
        <w:tc>
          <w:tcPr>
            <w:tcW w:w="705" w:type="pct"/>
            <w:tcBorders>
              <w:left w:val="nil"/>
              <w:right w:val="nil"/>
            </w:tcBorders>
            <w:vAlign w:val="center"/>
          </w:tcPr>
          <w:p w14:paraId="0B19137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Demonstrated </w:t>
            </w:r>
            <w:r w:rsidRPr="004C24A6">
              <w:rPr>
                <w:rFonts w:ascii="Arial" w:eastAsia="Times New Roman" w:hAnsi="Arial" w:cs="Arial"/>
                <w:sz w:val="20"/>
                <w:szCs w:val="20"/>
                <w:lang w:val="en-GB"/>
              </w:rPr>
              <w:lastRenderedPageBreak/>
              <w:t>therapeutic potential in stroke management</w:t>
            </w:r>
          </w:p>
        </w:tc>
        <w:tc>
          <w:tcPr>
            <w:tcW w:w="441" w:type="pct"/>
            <w:tcBorders>
              <w:left w:val="nil"/>
              <w:right w:val="nil"/>
            </w:tcBorders>
            <w:vAlign w:val="center"/>
          </w:tcPr>
          <w:p w14:paraId="5C0B564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 xml:space="preserve">Sun et al. </w:t>
            </w:r>
            <w:r w:rsidRPr="004C24A6">
              <w:rPr>
                <w:rFonts w:ascii="Arial" w:eastAsia="Times New Roman" w:hAnsi="Arial" w:cs="Arial"/>
                <w:sz w:val="20"/>
                <w:szCs w:val="20"/>
                <w:lang w:val="en-GB"/>
              </w:rPr>
              <w:lastRenderedPageBreak/>
              <w:t>(2013)</w:t>
            </w:r>
          </w:p>
        </w:tc>
      </w:tr>
      <w:tr w:rsidR="004C24A6" w:rsidRPr="00245BAD" w14:paraId="7CE00801" w14:textId="77777777" w:rsidTr="004C24A6">
        <w:tc>
          <w:tcPr>
            <w:tcW w:w="721" w:type="pct"/>
            <w:vMerge/>
            <w:tcBorders>
              <w:left w:val="nil"/>
              <w:right w:val="nil"/>
            </w:tcBorders>
            <w:vAlign w:val="center"/>
          </w:tcPr>
          <w:p w14:paraId="3A0245A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43718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0B576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5C90A6F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3462BCC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AF117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1E0F2C9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body-weight loss and regulation of myeloperoxidase activity</w:t>
            </w:r>
          </w:p>
        </w:tc>
        <w:tc>
          <w:tcPr>
            <w:tcW w:w="441" w:type="pct"/>
            <w:tcBorders>
              <w:left w:val="nil"/>
              <w:right w:val="nil"/>
            </w:tcBorders>
            <w:vAlign w:val="center"/>
          </w:tcPr>
          <w:p w14:paraId="472F4E6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Wu et al. (2012)</w:t>
            </w:r>
          </w:p>
        </w:tc>
      </w:tr>
      <w:tr w:rsidR="004C24A6" w:rsidRPr="00245BAD" w14:paraId="3B82E887" w14:textId="77777777" w:rsidTr="004C24A6">
        <w:tc>
          <w:tcPr>
            <w:tcW w:w="721" w:type="pct"/>
            <w:vMerge/>
            <w:tcBorders>
              <w:left w:val="nil"/>
              <w:right w:val="nil"/>
            </w:tcBorders>
            <w:vAlign w:val="center"/>
          </w:tcPr>
          <w:p w14:paraId="39A003D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AC094D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91AE35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7790FF6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10A43C5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7AA8DA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Cisplatin</w:t>
            </w:r>
          </w:p>
        </w:tc>
        <w:tc>
          <w:tcPr>
            <w:tcW w:w="705" w:type="pct"/>
            <w:tcBorders>
              <w:left w:val="nil"/>
              <w:right w:val="nil"/>
            </w:tcBorders>
            <w:vAlign w:val="center"/>
          </w:tcPr>
          <w:p w14:paraId="3507EE5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cancer cell proliferation and migration</w:t>
            </w:r>
          </w:p>
        </w:tc>
        <w:tc>
          <w:tcPr>
            <w:tcW w:w="441" w:type="pct"/>
            <w:tcBorders>
              <w:left w:val="nil"/>
              <w:right w:val="nil"/>
            </w:tcBorders>
            <w:vAlign w:val="center"/>
          </w:tcPr>
          <w:p w14:paraId="0C4E864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Zhang J. et al. (2018a)</w:t>
            </w:r>
          </w:p>
        </w:tc>
      </w:tr>
      <w:tr w:rsidR="004C24A6" w:rsidRPr="00245BAD" w14:paraId="518C6D49" w14:textId="77777777" w:rsidTr="004C24A6">
        <w:tc>
          <w:tcPr>
            <w:tcW w:w="721" w:type="pct"/>
            <w:vMerge/>
            <w:tcBorders>
              <w:left w:val="nil"/>
              <w:right w:val="nil"/>
            </w:tcBorders>
            <w:vAlign w:val="center"/>
          </w:tcPr>
          <w:p w14:paraId="281F517F"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4862F6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AD674F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HUVECs / VTE mouse model</w:t>
            </w:r>
          </w:p>
        </w:tc>
        <w:tc>
          <w:tcPr>
            <w:tcW w:w="540" w:type="pct"/>
            <w:tcBorders>
              <w:left w:val="nil"/>
              <w:right w:val="nil"/>
            </w:tcBorders>
            <w:vAlign w:val="center"/>
          </w:tcPr>
          <w:p w14:paraId="5050FD3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4E0E31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17F307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Resatorvid</w:t>
            </w:r>
            <w:proofErr w:type="spellEnd"/>
          </w:p>
        </w:tc>
        <w:tc>
          <w:tcPr>
            <w:tcW w:w="705" w:type="pct"/>
            <w:tcBorders>
              <w:left w:val="nil"/>
              <w:right w:val="nil"/>
            </w:tcBorders>
            <w:vAlign w:val="center"/>
          </w:tcPr>
          <w:p w14:paraId="5772A2D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Blockade of the TLR4/NF-</w:t>
            </w:r>
            <w:proofErr w:type="spellStart"/>
            <w:r w:rsidRPr="004C24A6">
              <w:rPr>
                <w:rFonts w:ascii="Arial" w:eastAsia="Times New Roman" w:hAnsi="Arial" w:cs="Arial"/>
                <w:sz w:val="20"/>
                <w:szCs w:val="20"/>
                <w:lang w:val="en-GB"/>
              </w:rPr>
              <w:t>κB</w:t>
            </w:r>
            <w:proofErr w:type="spellEnd"/>
            <w:r w:rsidRPr="004C24A6">
              <w:rPr>
                <w:rFonts w:ascii="Arial" w:eastAsia="Times New Roman" w:hAnsi="Arial" w:cs="Arial"/>
                <w:sz w:val="20"/>
                <w:szCs w:val="20"/>
                <w:lang w:val="en-GB"/>
              </w:rPr>
              <w:t xml:space="preserve"> </w:t>
            </w:r>
            <w:proofErr w:type="spellStart"/>
            <w:r w:rsidRPr="004C24A6">
              <w:rPr>
                <w:rFonts w:ascii="Arial" w:eastAsia="Times New Roman" w:hAnsi="Arial" w:cs="Arial"/>
                <w:sz w:val="20"/>
                <w:szCs w:val="20"/>
                <w:lang w:val="en-GB"/>
              </w:rPr>
              <w:t>signaling</w:t>
            </w:r>
            <w:proofErr w:type="spellEnd"/>
            <w:r w:rsidRPr="004C24A6">
              <w:rPr>
                <w:rFonts w:ascii="Arial" w:eastAsia="Times New Roman" w:hAnsi="Arial" w:cs="Arial"/>
                <w:sz w:val="20"/>
                <w:szCs w:val="20"/>
                <w:lang w:val="en-GB"/>
              </w:rPr>
              <w:t xml:space="preserve"> pathway</w:t>
            </w:r>
          </w:p>
        </w:tc>
        <w:tc>
          <w:tcPr>
            <w:tcW w:w="441" w:type="pct"/>
            <w:tcBorders>
              <w:left w:val="nil"/>
              <w:right w:val="nil"/>
            </w:tcBorders>
            <w:vAlign w:val="center"/>
          </w:tcPr>
          <w:p w14:paraId="63DDDDA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 et al. (2024)</w:t>
            </w:r>
          </w:p>
        </w:tc>
      </w:tr>
      <w:tr w:rsidR="004C24A6" w:rsidRPr="00245BAD" w14:paraId="50005EEC" w14:textId="77777777" w:rsidTr="004C24A6">
        <w:tc>
          <w:tcPr>
            <w:tcW w:w="721" w:type="pct"/>
            <w:vMerge w:val="restart"/>
            <w:tcBorders>
              <w:left w:val="nil"/>
              <w:right w:val="nil"/>
            </w:tcBorders>
            <w:vAlign w:val="center"/>
          </w:tcPr>
          <w:p w14:paraId="134976C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Anticancer activity</w:t>
            </w:r>
          </w:p>
        </w:tc>
        <w:tc>
          <w:tcPr>
            <w:tcW w:w="616" w:type="pct"/>
            <w:tcBorders>
              <w:left w:val="nil"/>
              <w:right w:val="nil"/>
            </w:tcBorders>
            <w:vAlign w:val="center"/>
          </w:tcPr>
          <w:p w14:paraId="045E109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27AF9DC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74530E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5472556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14231F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Cyclophosphamide</w:t>
            </w:r>
          </w:p>
        </w:tc>
        <w:tc>
          <w:tcPr>
            <w:tcW w:w="705" w:type="pct"/>
            <w:tcBorders>
              <w:left w:val="nil"/>
              <w:right w:val="nil"/>
            </w:tcBorders>
            <w:vAlign w:val="center"/>
          </w:tcPr>
          <w:p w14:paraId="2382E43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Enhancement of immune response via reduction of splenic </w:t>
            </w:r>
            <w:proofErr w:type="spellStart"/>
            <w:r w:rsidRPr="004C24A6">
              <w:rPr>
                <w:rFonts w:ascii="Arial" w:eastAsia="Times New Roman" w:hAnsi="Arial" w:cs="Arial"/>
                <w:sz w:val="20"/>
                <w:szCs w:val="20"/>
                <w:lang w:val="en-GB"/>
              </w:rPr>
              <w:t>Treg</w:t>
            </w:r>
            <w:proofErr w:type="spellEnd"/>
            <w:r w:rsidRPr="004C24A6">
              <w:rPr>
                <w:rFonts w:ascii="Arial" w:eastAsia="Times New Roman" w:hAnsi="Arial" w:cs="Arial"/>
                <w:sz w:val="20"/>
                <w:szCs w:val="20"/>
                <w:lang w:val="en-GB"/>
              </w:rPr>
              <w:t xml:space="preserve"> cells</w:t>
            </w:r>
          </w:p>
        </w:tc>
        <w:tc>
          <w:tcPr>
            <w:tcW w:w="441" w:type="pct"/>
            <w:tcBorders>
              <w:left w:val="nil"/>
              <w:right w:val="nil"/>
            </w:tcBorders>
            <w:vAlign w:val="center"/>
          </w:tcPr>
          <w:p w14:paraId="6F7AAB0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Ma et al. (2019)</w:t>
            </w:r>
          </w:p>
        </w:tc>
      </w:tr>
      <w:tr w:rsidR="004C24A6" w:rsidRPr="00245BAD" w14:paraId="5D5C0733" w14:textId="77777777" w:rsidTr="004C24A6">
        <w:tc>
          <w:tcPr>
            <w:tcW w:w="721" w:type="pct"/>
            <w:vMerge/>
            <w:tcBorders>
              <w:left w:val="nil"/>
              <w:right w:val="nil"/>
            </w:tcBorders>
            <w:vAlign w:val="center"/>
          </w:tcPr>
          <w:p w14:paraId="394657E1"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AA62B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33EF1C9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H22 </w:t>
            </w:r>
            <w:proofErr w:type="spellStart"/>
            <w:r w:rsidRPr="004C24A6">
              <w:rPr>
                <w:rFonts w:ascii="Arial" w:eastAsia="Times New Roman" w:hAnsi="Arial" w:cs="Arial"/>
                <w:sz w:val="20"/>
                <w:szCs w:val="20"/>
                <w:lang w:val="en-GB"/>
              </w:rPr>
              <w:t>tumor</w:t>
            </w:r>
            <w:proofErr w:type="spellEnd"/>
            <w:r w:rsidRPr="004C24A6">
              <w:rPr>
                <w:rFonts w:ascii="Arial" w:eastAsia="Times New Roman" w:hAnsi="Arial" w:cs="Arial"/>
                <w:sz w:val="20"/>
                <w:szCs w:val="20"/>
                <w:lang w:val="en-GB"/>
              </w:rPr>
              <w:t>-bearing mice</w:t>
            </w:r>
          </w:p>
        </w:tc>
        <w:tc>
          <w:tcPr>
            <w:tcW w:w="540" w:type="pct"/>
            <w:tcBorders>
              <w:left w:val="nil"/>
              <w:right w:val="nil"/>
            </w:tcBorders>
            <w:vAlign w:val="center"/>
          </w:tcPr>
          <w:p w14:paraId="7729180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5 mg/kg</w:t>
            </w:r>
          </w:p>
        </w:tc>
        <w:tc>
          <w:tcPr>
            <w:tcW w:w="341" w:type="pct"/>
            <w:tcBorders>
              <w:left w:val="nil"/>
              <w:right w:val="nil"/>
            </w:tcBorders>
            <w:vAlign w:val="center"/>
          </w:tcPr>
          <w:p w14:paraId="7E8CE8A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EC6AD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Sunitinib</w:t>
            </w:r>
          </w:p>
        </w:tc>
        <w:tc>
          <w:tcPr>
            <w:tcW w:w="705" w:type="pct"/>
            <w:tcBorders>
              <w:left w:val="nil"/>
              <w:right w:val="nil"/>
            </w:tcBorders>
            <w:vAlign w:val="center"/>
          </w:tcPr>
          <w:p w14:paraId="26F26FC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Suppression of </w:t>
            </w:r>
            <w:proofErr w:type="spellStart"/>
            <w:r w:rsidRPr="004C24A6">
              <w:rPr>
                <w:rFonts w:ascii="Arial" w:eastAsia="Times New Roman" w:hAnsi="Arial" w:cs="Arial"/>
                <w:sz w:val="20"/>
                <w:szCs w:val="20"/>
                <w:lang w:val="en-GB"/>
              </w:rPr>
              <w:t>tumor</w:t>
            </w:r>
            <w:proofErr w:type="spellEnd"/>
            <w:r w:rsidRPr="004C24A6">
              <w:rPr>
                <w:rFonts w:ascii="Arial" w:eastAsia="Times New Roman" w:hAnsi="Arial" w:cs="Arial"/>
                <w:sz w:val="20"/>
                <w:szCs w:val="20"/>
                <w:lang w:val="en-GB"/>
              </w:rPr>
              <w:t xml:space="preserve"> growth through inhibition of angiogenic factors</w:t>
            </w:r>
          </w:p>
        </w:tc>
        <w:tc>
          <w:tcPr>
            <w:tcW w:w="441" w:type="pct"/>
            <w:tcBorders>
              <w:left w:val="nil"/>
              <w:right w:val="nil"/>
            </w:tcBorders>
            <w:vAlign w:val="center"/>
          </w:tcPr>
          <w:p w14:paraId="3DB82B2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Yang et al. (2015)</w:t>
            </w:r>
          </w:p>
        </w:tc>
      </w:tr>
      <w:tr w:rsidR="004C24A6" w:rsidRPr="00245BAD" w14:paraId="19326CA7" w14:textId="77777777" w:rsidTr="004C24A6">
        <w:tc>
          <w:tcPr>
            <w:tcW w:w="721" w:type="pct"/>
            <w:vMerge/>
            <w:tcBorders>
              <w:left w:val="nil"/>
              <w:right w:val="nil"/>
            </w:tcBorders>
            <w:vAlign w:val="center"/>
          </w:tcPr>
          <w:p w14:paraId="2E8D2AC9"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AF332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7449C8E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MCF-7 cells</w:t>
            </w:r>
          </w:p>
        </w:tc>
        <w:tc>
          <w:tcPr>
            <w:tcW w:w="540" w:type="pct"/>
            <w:tcBorders>
              <w:left w:val="nil"/>
              <w:right w:val="nil"/>
            </w:tcBorders>
            <w:vAlign w:val="center"/>
          </w:tcPr>
          <w:p w14:paraId="4DAD94F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1737DC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524831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74C4D16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Cell-cycle arrest and induction of </w:t>
            </w:r>
            <w:r w:rsidRPr="004C24A6">
              <w:rPr>
                <w:rFonts w:ascii="Arial" w:eastAsia="Times New Roman" w:hAnsi="Arial" w:cs="Arial"/>
                <w:sz w:val="20"/>
                <w:szCs w:val="20"/>
                <w:lang w:val="en-GB"/>
              </w:rPr>
              <w:lastRenderedPageBreak/>
              <w:t>apoptosis</w:t>
            </w:r>
          </w:p>
        </w:tc>
        <w:tc>
          <w:tcPr>
            <w:tcW w:w="441" w:type="pct"/>
            <w:tcBorders>
              <w:left w:val="nil"/>
              <w:right w:val="nil"/>
            </w:tcBorders>
            <w:vAlign w:val="center"/>
          </w:tcPr>
          <w:p w14:paraId="3DA25F6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Qu et al. (2019)</w:t>
            </w:r>
          </w:p>
        </w:tc>
      </w:tr>
      <w:tr w:rsidR="004C24A6" w:rsidRPr="00245BAD" w14:paraId="1A92B2B0" w14:textId="77777777" w:rsidTr="004C24A6">
        <w:tc>
          <w:tcPr>
            <w:tcW w:w="721" w:type="pct"/>
            <w:vMerge/>
            <w:tcBorders>
              <w:left w:val="nil"/>
              <w:right w:val="nil"/>
            </w:tcBorders>
            <w:vAlign w:val="center"/>
          </w:tcPr>
          <w:p w14:paraId="3E7EF6AB"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7C9DA3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polysaccharide</w:t>
            </w:r>
          </w:p>
        </w:tc>
        <w:tc>
          <w:tcPr>
            <w:tcW w:w="888" w:type="pct"/>
            <w:tcBorders>
              <w:left w:val="nil"/>
              <w:right w:val="nil"/>
            </w:tcBorders>
            <w:vAlign w:val="center"/>
          </w:tcPr>
          <w:p w14:paraId="05C5062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Cell model</w:t>
            </w:r>
          </w:p>
        </w:tc>
        <w:tc>
          <w:tcPr>
            <w:tcW w:w="540" w:type="pct"/>
            <w:tcBorders>
              <w:left w:val="nil"/>
              <w:right w:val="nil"/>
            </w:tcBorders>
            <w:vAlign w:val="center"/>
          </w:tcPr>
          <w:p w14:paraId="728A23B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50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388A097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29AD5C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90722A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Dose- and time-dependent increase in antitumor activity</w:t>
            </w:r>
          </w:p>
        </w:tc>
        <w:tc>
          <w:tcPr>
            <w:tcW w:w="441" w:type="pct"/>
            <w:tcBorders>
              <w:left w:val="nil"/>
              <w:right w:val="nil"/>
            </w:tcBorders>
            <w:vAlign w:val="center"/>
          </w:tcPr>
          <w:p w14:paraId="11CA57B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Luo et al. (2015)</w:t>
            </w:r>
          </w:p>
        </w:tc>
      </w:tr>
      <w:tr w:rsidR="004C24A6" w:rsidRPr="00245BAD" w14:paraId="234DD568" w14:textId="77777777" w:rsidTr="004C24A6">
        <w:tc>
          <w:tcPr>
            <w:tcW w:w="721" w:type="pct"/>
            <w:vMerge/>
            <w:tcBorders>
              <w:left w:val="nil"/>
              <w:right w:val="nil"/>
            </w:tcBorders>
            <w:vAlign w:val="center"/>
          </w:tcPr>
          <w:p w14:paraId="08DDC2D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E8753D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68A94F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Colitis mice / Caco-2 cells</w:t>
            </w:r>
          </w:p>
        </w:tc>
        <w:tc>
          <w:tcPr>
            <w:tcW w:w="540" w:type="pct"/>
            <w:tcBorders>
              <w:left w:val="nil"/>
              <w:right w:val="nil"/>
            </w:tcBorders>
            <w:vAlign w:val="center"/>
          </w:tcPr>
          <w:p w14:paraId="42514D4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5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440E2AC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E8CF96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148B2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ferroptosis via the Nrf2/GPX4 pathway</w:t>
            </w:r>
          </w:p>
        </w:tc>
        <w:tc>
          <w:tcPr>
            <w:tcW w:w="441" w:type="pct"/>
            <w:tcBorders>
              <w:left w:val="nil"/>
              <w:right w:val="nil"/>
            </w:tcBorders>
            <w:vAlign w:val="center"/>
          </w:tcPr>
          <w:p w14:paraId="4CFD0FA4"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Bian</w:t>
            </w:r>
            <w:proofErr w:type="spellEnd"/>
            <w:r w:rsidRPr="004C24A6">
              <w:rPr>
                <w:rFonts w:ascii="Arial" w:eastAsia="Times New Roman" w:hAnsi="Arial" w:cs="Arial"/>
                <w:sz w:val="20"/>
                <w:szCs w:val="20"/>
                <w:lang w:val="en-GB"/>
              </w:rPr>
              <w:t xml:space="preserve"> et al. (2024)</w:t>
            </w:r>
          </w:p>
        </w:tc>
      </w:tr>
      <w:tr w:rsidR="004C24A6" w:rsidRPr="00245BAD" w14:paraId="5C723615" w14:textId="77777777" w:rsidTr="004C24A6">
        <w:tc>
          <w:tcPr>
            <w:tcW w:w="721" w:type="pct"/>
            <w:vMerge/>
            <w:tcBorders>
              <w:left w:val="nil"/>
              <w:right w:val="nil"/>
            </w:tcBorders>
            <w:vAlign w:val="center"/>
          </w:tcPr>
          <w:p w14:paraId="7C00AD8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10EF1F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SSE</w:t>
            </w:r>
          </w:p>
        </w:tc>
        <w:tc>
          <w:tcPr>
            <w:tcW w:w="888" w:type="pct"/>
            <w:tcBorders>
              <w:left w:val="nil"/>
              <w:right w:val="nil"/>
            </w:tcBorders>
            <w:vAlign w:val="center"/>
          </w:tcPr>
          <w:p w14:paraId="7565280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44BDA78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g/kg</w:t>
            </w:r>
          </w:p>
        </w:tc>
        <w:tc>
          <w:tcPr>
            <w:tcW w:w="341" w:type="pct"/>
            <w:tcBorders>
              <w:left w:val="nil"/>
              <w:right w:val="nil"/>
            </w:tcBorders>
            <w:vAlign w:val="center"/>
          </w:tcPr>
          <w:p w14:paraId="3AD1B4C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A0FEC2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Silymarin</w:t>
            </w:r>
          </w:p>
        </w:tc>
        <w:tc>
          <w:tcPr>
            <w:tcW w:w="705" w:type="pct"/>
            <w:tcBorders>
              <w:left w:val="nil"/>
              <w:right w:val="nil"/>
            </w:tcBorders>
            <w:vAlign w:val="center"/>
          </w:tcPr>
          <w:p w14:paraId="6FE2D20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Strong hepatoprotective and antioxidant effects</w:t>
            </w:r>
          </w:p>
        </w:tc>
        <w:tc>
          <w:tcPr>
            <w:tcW w:w="441" w:type="pct"/>
            <w:tcBorders>
              <w:left w:val="nil"/>
              <w:right w:val="nil"/>
            </w:tcBorders>
            <w:vAlign w:val="center"/>
          </w:tcPr>
          <w:p w14:paraId="6B9F61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Wu et al. (2012)</w:t>
            </w:r>
          </w:p>
        </w:tc>
      </w:tr>
      <w:tr w:rsidR="004C24A6" w:rsidRPr="00245BAD" w14:paraId="756CCEE2" w14:textId="77777777" w:rsidTr="004C24A6">
        <w:tc>
          <w:tcPr>
            <w:tcW w:w="721" w:type="pct"/>
            <w:vMerge/>
            <w:tcBorders>
              <w:left w:val="nil"/>
              <w:right w:val="nil"/>
            </w:tcBorders>
            <w:vAlign w:val="center"/>
          </w:tcPr>
          <w:p w14:paraId="2491AB8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36F3DF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Heptadecasaccharide</w:t>
            </w:r>
            <w:proofErr w:type="spellEnd"/>
          </w:p>
        </w:tc>
        <w:tc>
          <w:tcPr>
            <w:tcW w:w="888" w:type="pct"/>
            <w:tcBorders>
              <w:left w:val="nil"/>
              <w:right w:val="nil"/>
            </w:tcBorders>
            <w:vAlign w:val="center"/>
          </w:tcPr>
          <w:p w14:paraId="5DA88B8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Pancreatic cancer cells</w:t>
            </w:r>
          </w:p>
        </w:tc>
        <w:tc>
          <w:tcPr>
            <w:tcW w:w="540" w:type="pct"/>
            <w:tcBorders>
              <w:left w:val="nil"/>
              <w:right w:val="nil"/>
            </w:tcBorders>
            <w:vAlign w:val="center"/>
          </w:tcPr>
          <w:p w14:paraId="25FDF51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1AAF4F0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277FF8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609206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Targeted interaction with galectin-3</w:t>
            </w:r>
          </w:p>
        </w:tc>
        <w:tc>
          <w:tcPr>
            <w:tcW w:w="441" w:type="pct"/>
            <w:tcBorders>
              <w:left w:val="nil"/>
              <w:right w:val="nil"/>
            </w:tcBorders>
            <w:vAlign w:val="center"/>
          </w:tcPr>
          <w:p w14:paraId="5CFD1DC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 et al. (2022)</w:t>
            </w:r>
          </w:p>
        </w:tc>
      </w:tr>
      <w:tr w:rsidR="004C24A6" w:rsidRPr="00245BAD" w14:paraId="0209A70A" w14:textId="77777777" w:rsidTr="004C24A6">
        <w:tc>
          <w:tcPr>
            <w:tcW w:w="721" w:type="pct"/>
            <w:vMerge/>
            <w:tcBorders>
              <w:left w:val="nil"/>
              <w:right w:val="nil"/>
            </w:tcBorders>
            <w:vAlign w:val="center"/>
          </w:tcPr>
          <w:p w14:paraId="6A49A1A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5CB265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Polyacetylene glycosides</w:t>
            </w:r>
          </w:p>
        </w:tc>
        <w:tc>
          <w:tcPr>
            <w:tcW w:w="888" w:type="pct"/>
            <w:tcBorders>
              <w:left w:val="nil"/>
              <w:right w:val="nil"/>
            </w:tcBorders>
            <w:vAlign w:val="center"/>
          </w:tcPr>
          <w:p w14:paraId="7D8B75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RAW264.7 macrophages</w:t>
            </w:r>
          </w:p>
        </w:tc>
        <w:tc>
          <w:tcPr>
            <w:tcW w:w="540" w:type="pct"/>
            <w:tcBorders>
              <w:left w:val="nil"/>
              <w:right w:val="nil"/>
            </w:tcBorders>
            <w:vAlign w:val="center"/>
          </w:tcPr>
          <w:p w14:paraId="6A17826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0.1 </w:t>
            </w:r>
            <w:proofErr w:type="spellStart"/>
            <w:r w:rsidRPr="004C24A6">
              <w:rPr>
                <w:rFonts w:ascii="Arial" w:eastAsia="Times New Roman" w:hAnsi="Arial" w:cs="Arial"/>
                <w:sz w:val="20"/>
                <w:szCs w:val="20"/>
                <w:lang w:val="en-GB"/>
              </w:rPr>
              <w:t>μM</w:t>
            </w:r>
            <w:proofErr w:type="spellEnd"/>
          </w:p>
        </w:tc>
        <w:tc>
          <w:tcPr>
            <w:tcW w:w="341" w:type="pct"/>
            <w:tcBorders>
              <w:left w:val="nil"/>
              <w:right w:val="nil"/>
            </w:tcBorders>
            <w:vAlign w:val="center"/>
          </w:tcPr>
          <w:p w14:paraId="22F309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0D2A4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0BEF0D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LPS-induced nitric oxide production</w:t>
            </w:r>
          </w:p>
        </w:tc>
        <w:tc>
          <w:tcPr>
            <w:tcW w:w="441" w:type="pct"/>
            <w:tcBorders>
              <w:left w:val="nil"/>
              <w:right w:val="nil"/>
            </w:tcBorders>
            <w:vAlign w:val="center"/>
          </w:tcPr>
          <w:p w14:paraId="6CD6A87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(2021)</w:t>
            </w:r>
          </w:p>
        </w:tc>
      </w:tr>
      <w:tr w:rsidR="004C24A6" w:rsidRPr="00245BAD" w14:paraId="5757CFF1" w14:textId="77777777" w:rsidTr="004C24A6">
        <w:tc>
          <w:tcPr>
            <w:tcW w:w="721" w:type="pct"/>
            <w:vMerge w:val="restart"/>
            <w:tcBorders>
              <w:left w:val="nil"/>
              <w:right w:val="nil"/>
            </w:tcBorders>
            <w:vAlign w:val="center"/>
          </w:tcPr>
          <w:p w14:paraId="4759DA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Anti-osteoporotic effects</w:t>
            </w:r>
          </w:p>
        </w:tc>
        <w:tc>
          <w:tcPr>
            <w:tcW w:w="616" w:type="pct"/>
            <w:tcBorders>
              <w:left w:val="nil"/>
              <w:right w:val="nil"/>
            </w:tcBorders>
            <w:vAlign w:val="center"/>
          </w:tcPr>
          <w:p w14:paraId="5D31EF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Crude extract</w:t>
            </w:r>
          </w:p>
        </w:tc>
        <w:tc>
          <w:tcPr>
            <w:tcW w:w="888" w:type="pct"/>
            <w:tcBorders>
              <w:left w:val="nil"/>
              <w:right w:val="nil"/>
            </w:tcBorders>
            <w:vAlign w:val="center"/>
          </w:tcPr>
          <w:p w14:paraId="5FB5547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MC3T3-E1 cells</w:t>
            </w:r>
          </w:p>
        </w:tc>
        <w:tc>
          <w:tcPr>
            <w:tcW w:w="540" w:type="pct"/>
            <w:tcBorders>
              <w:left w:val="nil"/>
              <w:right w:val="nil"/>
            </w:tcBorders>
            <w:vAlign w:val="center"/>
          </w:tcPr>
          <w:p w14:paraId="4A75C1E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229D8E7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17059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Calcitonin</w:t>
            </w:r>
          </w:p>
        </w:tc>
        <w:tc>
          <w:tcPr>
            <w:tcW w:w="705" w:type="pct"/>
            <w:tcBorders>
              <w:left w:val="nil"/>
              <w:right w:val="nil"/>
            </w:tcBorders>
            <w:vAlign w:val="center"/>
          </w:tcPr>
          <w:p w14:paraId="1E1738C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bone loss</w:t>
            </w:r>
          </w:p>
        </w:tc>
        <w:tc>
          <w:tcPr>
            <w:tcW w:w="441" w:type="pct"/>
            <w:tcBorders>
              <w:left w:val="nil"/>
              <w:right w:val="nil"/>
            </w:tcBorders>
            <w:vAlign w:val="center"/>
          </w:tcPr>
          <w:p w14:paraId="7BE9E7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Jang et al. (2007)</w:t>
            </w:r>
          </w:p>
        </w:tc>
      </w:tr>
      <w:tr w:rsidR="004C24A6" w:rsidRPr="00245BAD" w14:paraId="784F0E68" w14:textId="77777777" w:rsidTr="004C24A6">
        <w:tc>
          <w:tcPr>
            <w:tcW w:w="721" w:type="pct"/>
            <w:vMerge/>
            <w:tcBorders>
              <w:left w:val="nil"/>
              <w:right w:val="nil"/>
            </w:tcBorders>
            <w:vAlign w:val="center"/>
          </w:tcPr>
          <w:p w14:paraId="5ED13BC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BEEF2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SSO</w:t>
            </w:r>
          </w:p>
        </w:tc>
        <w:tc>
          <w:tcPr>
            <w:tcW w:w="888" w:type="pct"/>
            <w:tcBorders>
              <w:left w:val="nil"/>
              <w:right w:val="nil"/>
            </w:tcBorders>
            <w:vAlign w:val="center"/>
          </w:tcPr>
          <w:p w14:paraId="38C6A00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Ovariectomized osteoporotic mice</w:t>
            </w:r>
          </w:p>
        </w:tc>
        <w:tc>
          <w:tcPr>
            <w:tcW w:w="540" w:type="pct"/>
            <w:tcBorders>
              <w:left w:val="nil"/>
              <w:right w:val="nil"/>
            </w:tcBorders>
            <w:vAlign w:val="center"/>
          </w:tcPr>
          <w:p w14:paraId="36F5DE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3 g/kg</w:t>
            </w:r>
          </w:p>
        </w:tc>
        <w:tc>
          <w:tcPr>
            <w:tcW w:w="341" w:type="pct"/>
            <w:tcBorders>
              <w:left w:val="nil"/>
              <w:right w:val="nil"/>
            </w:tcBorders>
            <w:vAlign w:val="center"/>
          </w:tcPr>
          <w:p w14:paraId="116953F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C645E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1738F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Amelioration of osteoporosis-related bone deterioration</w:t>
            </w:r>
          </w:p>
        </w:tc>
        <w:tc>
          <w:tcPr>
            <w:tcW w:w="441" w:type="pct"/>
            <w:tcBorders>
              <w:left w:val="nil"/>
              <w:right w:val="nil"/>
            </w:tcBorders>
            <w:vAlign w:val="center"/>
          </w:tcPr>
          <w:p w14:paraId="696239C4"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Alam</w:t>
            </w:r>
            <w:proofErr w:type="spellEnd"/>
            <w:r w:rsidRPr="004C24A6">
              <w:rPr>
                <w:rFonts w:ascii="Arial" w:eastAsia="Times New Roman" w:hAnsi="Arial" w:cs="Arial"/>
                <w:sz w:val="20"/>
                <w:szCs w:val="20"/>
                <w:lang w:val="en-GB"/>
              </w:rPr>
              <w:t xml:space="preserve"> et al. (2006)</w:t>
            </w:r>
          </w:p>
        </w:tc>
      </w:tr>
      <w:tr w:rsidR="004C24A6" w:rsidRPr="00245BAD" w14:paraId="1E6C0F62" w14:textId="77777777" w:rsidTr="004C24A6">
        <w:tc>
          <w:tcPr>
            <w:tcW w:w="721" w:type="pct"/>
            <w:vMerge/>
            <w:tcBorders>
              <w:left w:val="nil"/>
              <w:right w:val="nil"/>
            </w:tcBorders>
            <w:vAlign w:val="center"/>
          </w:tcPr>
          <w:p w14:paraId="0BE8B5C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993436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SSE</w:t>
            </w:r>
          </w:p>
        </w:tc>
        <w:tc>
          <w:tcPr>
            <w:tcW w:w="888" w:type="pct"/>
            <w:tcBorders>
              <w:left w:val="nil"/>
              <w:right w:val="nil"/>
            </w:tcBorders>
            <w:vAlign w:val="center"/>
          </w:tcPr>
          <w:p w14:paraId="218E91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Preclinical canine model</w:t>
            </w:r>
          </w:p>
        </w:tc>
        <w:tc>
          <w:tcPr>
            <w:tcW w:w="540" w:type="pct"/>
            <w:tcBorders>
              <w:left w:val="nil"/>
              <w:right w:val="nil"/>
            </w:tcBorders>
            <w:vAlign w:val="center"/>
          </w:tcPr>
          <w:p w14:paraId="756356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95 g/kg</w:t>
            </w:r>
          </w:p>
        </w:tc>
        <w:tc>
          <w:tcPr>
            <w:tcW w:w="341" w:type="pct"/>
            <w:tcBorders>
              <w:left w:val="nil"/>
              <w:right w:val="nil"/>
            </w:tcBorders>
            <w:vAlign w:val="center"/>
          </w:tcPr>
          <w:p w14:paraId="7EE7B0E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97AFC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Calcitonin</w:t>
            </w:r>
          </w:p>
        </w:tc>
        <w:tc>
          <w:tcPr>
            <w:tcW w:w="705" w:type="pct"/>
            <w:tcBorders>
              <w:left w:val="nil"/>
              <w:right w:val="nil"/>
            </w:tcBorders>
            <w:vAlign w:val="center"/>
          </w:tcPr>
          <w:p w14:paraId="1E3DCE2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Promotion of bone formation</w:t>
            </w:r>
          </w:p>
        </w:tc>
        <w:tc>
          <w:tcPr>
            <w:tcW w:w="441" w:type="pct"/>
            <w:tcBorders>
              <w:left w:val="nil"/>
              <w:right w:val="nil"/>
            </w:tcBorders>
            <w:vAlign w:val="center"/>
          </w:tcPr>
          <w:p w14:paraId="44196CB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Kim et al. (2002)</w:t>
            </w:r>
          </w:p>
        </w:tc>
      </w:tr>
      <w:tr w:rsidR="004C24A6" w:rsidRPr="00245BAD" w14:paraId="306D6570" w14:textId="77777777" w:rsidTr="004C24A6">
        <w:tc>
          <w:tcPr>
            <w:tcW w:w="721" w:type="pct"/>
            <w:vMerge/>
            <w:tcBorders>
              <w:left w:val="nil"/>
              <w:right w:val="nil"/>
            </w:tcBorders>
            <w:vAlign w:val="center"/>
          </w:tcPr>
          <w:p w14:paraId="3296DBD9"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607CE4F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26940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Hepatic stellate cells</w:t>
            </w:r>
          </w:p>
        </w:tc>
        <w:tc>
          <w:tcPr>
            <w:tcW w:w="540" w:type="pct"/>
            <w:tcBorders>
              <w:left w:val="nil"/>
              <w:right w:val="nil"/>
            </w:tcBorders>
            <w:vAlign w:val="center"/>
          </w:tcPr>
          <w:p w14:paraId="0ACF299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487BE87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490F55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IFN-γ</w:t>
            </w:r>
          </w:p>
        </w:tc>
        <w:tc>
          <w:tcPr>
            <w:tcW w:w="705" w:type="pct"/>
            <w:tcBorders>
              <w:left w:val="nil"/>
              <w:right w:val="nil"/>
            </w:tcBorders>
            <w:vAlign w:val="center"/>
          </w:tcPr>
          <w:p w14:paraId="581FFC1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HSC activation and proliferation</w:t>
            </w:r>
          </w:p>
        </w:tc>
        <w:tc>
          <w:tcPr>
            <w:tcW w:w="441" w:type="pct"/>
            <w:tcBorders>
              <w:left w:val="nil"/>
              <w:right w:val="nil"/>
            </w:tcBorders>
            <w:vAlign w:val="center"/>
          </w:tcPr>
          <w:p w14:paraId="5E16EC2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Dong (2019)</w:t>
            </w:r>
          </w:p>
        </w:tc>
      </w:tr>
      <w:tr w:rsidR="004C24A6" w:rsidRPr="00245BAD" w14:paraId="38D3AC45" w14:textId="77777777" w:rsidTr="004C24A6">
        <w:tc>
          <w:tcPr>
            <w:tcW w:w="721" w:type="pct"/>
            <w:vMerge w:val="restart"/>
            <w:tcBorders>
              <w:left w:val="nil"/>
              <w:right w:val="nil"/>
            </w:tcBorders>
            <w:vAlign w:val="center"/>
          </w:tcPr>
          <w:p w14:paraId="6FD93D0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lastRenderedPageBreak/>
              <w:t>Hepatoprotective effects</w:t>
            </w:r>
          </w:p>
        </w:tc>
        <w:tc>
          <w:tcPr>
            <w:tcW w:w="616" w:type="pct"/>
            <w:tcBorders>
              <w:left w:val="nil"/>
              <w:right w:val="nil"/>
            </w:tcBorders>
            <w:vAlign w:val="center"/>
          </w:tcPr>
          <w:p w14:paraId="7C07DA8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injection</w:t>
            </w:r>
          </w:p>
        </w:tc>
        <w:tc>
          <w:tcPr>
            <w:tcW w:w="888" w:type="pct"/>
            <w:tcBorders>
              <w:left w:val="nil"/>
              <w:right w:val="nil"/>
            </w:tcBorders>
            <w:vAlign w:val="center"/>
          </w:tcPr>
          <w:p w14:paraId="5456B5D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Lymph-retentive encephalopathy mouse model</w:t>
            </w:r>
          </w:p>
        </w:tc>
        <w:tc>
          <w:tcPr>
            <w:tcW w:w="540" w:type="pct"/>
            <w:tcBorders>
              <w:left w:val="nil"/>
              <w:right w:val="nil"/>
            </w:tcBorders>
            <w:vAlign w:val="center"/>
          </w:tcPr>
          <w:p w14:paraId="1D8A18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55D021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CB00F5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ARBs</w:t>
            </w:r>
          </w:p>
        </w:tc>
        <w:tc>
          <w:tcPr>
            <w:tcW w:w="705" w:type="pct"/>
            <w:tcBorders>
              <w:left w:val="nil"/>
              <w:right w:val="nil"/>
            </w:tcBorders>
            <w:vAlign w:val="center"/>
          </w:tcPr>
          <w:p w14:paraId="7949B10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Therapeutic effect against lymph-retentive encephalopathy</w:t>
            </w:r>
          </w:p>
        </w:tc>
        <w:tc>
          <w:tcPr>
            <w:tcW w:w="441" w:type="pct"/>
            <w:tcBorders>
              <w:left w:val="nil"/>
              <w:right w:val="nil"/>
            </w:tcBorders>
            <w:vAlign w:val="center"/>
          </w:tcPr>
          <w:p w14:paraId="1B1968B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Pan et al. (2012)</w:t>
            </w:r>
          </w:p>
        </w:tc>
      </w:tr>
      <w:tr w:rsidR="004C24A6" w:rsidRPr="00245BAD" w14:paraId="209ABCE2" w14:textId="77777777" w:rsidTr="004C24A6">
        <w:tc>
          <w:tcPr>
            <w:tcW w:w="721" w:type="pct"/>
            <w:vMerge/>
            <w:tcBorders>
              <w:left w:val="nil"/>
              <w:right w:val="nil"/>
            </w:tcBorders>
            <w:vAlign w:val="center"/>
          </w:tcPr>
          <w:p w14:paraId="2B84A0D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A1B46C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injection</w:t>
            </w:r>
          </w:p>
        </w:tc>
        <w:tc>
          <w:tcPr>
            <w:tcW w:w="888" w:type="pct"/>
            <w:tcBorders>
              <w:left w:val="nil"/>
              <w:right w:val="nil"/>
            </w:tcBorders>
            <w:vAlign w:val="center"/>
          </w:tcPr>
          <w:p w14:paraId="2376FEA3"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CCl</w:t>
            </w:r>
            <w:proofErr w:type="spellEnd"/>
            <w:r w:rsidRPr="004C24A6">
              <w:rPr>
                <w:rFonts w:ascii="Cambria Math" w:eastAsia="Times New Roman" w:hAnsi="Cambria Math" w:cs="Cambria Math"/>
                <w:sz w:val="20"/>
                <w:szCs w:val="20"/>
                <w:lang w:val="en-GB"/>
              </w:rPr>
              <w:t>₄</w:t>
            </w:r>
            <w:r w:rsidRPr="004C24A6">
              <w:rPr>
                <w:rFonts w:ascii="Arial" w:eastAsia="Times New Roman" w:hAnsi="Arial" w:cs="Arial"/>
                <w:sz w:val="20"/>
                <w:szCs w:val="20"/>
                <w:lang w:val="en-GB"/>
              </w:rPr>
              <w:t>-induced liver injury in mice</w:t>
            </w:r>
          </w:p>
        </w:tc>
        <w:tc>
          <w:tcPr>
            <w:tcW w:w="540" w:type="pct"/>
            <w:tcBorders>
              <w:left w:val="nil"/>
              <w:right w:val="nil"/>
            </w:tcBorders>
            <w:vAlign w:val="center"/>
          </w:tcPr>
          <w:p w14:paraId="27136B7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2F0F5DB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B8A53D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04BF920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Potential anti-fibrotic activity in chronic liver disease</w:t>
            </w:r>
          </w:p>
        </w:tc>
        <w:tc>
          <w:tcPr>
            <w:tcW w:w="441" w:type="pct"/>
            <w:tcBorders>
              <w:left w:val="nil"/>
              <w:right w:val="nil"/>
            </w:tcBorders>
            <w:vAlign w:val="center"/>
          </w:tcPr>
          <w:p w14:paraId="445233D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Zhang S. M. et al. (2018b)</w:t>
            </w:r>
          </w:p>
        </w:tc>
      </w:tr>
      <w:tr w:rsidR="004C24A6" w:rsidRPr="00245BAD" w14:paraId="3B91F5AA" w14:textId="77777777" w:rsidTr="004C24A6">
        <w:tc>
          <w:tcPr>
            <w:tcW w:w="721" w:type="pct"/>
            <w:vMerge/>
            <w:tcBorders>
              <w:left w:val="nil"/>
              <w:right w:val="nil"/>
            </w:tcBorders>
            <w:vAlign w:val="center"/>
          </w:tcPr>
          <w:p w14:paraId="6B4CE96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0A374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seed</w:t>
            </w:r>
          </w:p>
        </w:tc>
        <w:tc>
          <w:tcPr>
            <w:tcW w:w="888" w:type="pct"/>
            <w:tcBorders>
              <w:left w:val="nil"/>
              <w:right w:val="nil"/>
            </w:tcBorders>
            <w:vAlign w:val="center"/>
          </w:tcPr>
          <w:p w14:paraId="19A624C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Postmenopausal women</w:t>
            </w:r>
          </w:p>
        </w:tc>
        <w:tc>
          <w:tcPr>
            <w:tcW w:w="540" w:type="pct"/>
            <w:tcBorders>
              <w:left w:val="nil"/>
              <w:right w:val="nil"/>
            </w:tcBorders>
            <w:vAlign w:val="center"/>
          </w:tcPr>
          <w:p w14:paraId="15DEAF8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B00B85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5AC4E6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α-Tocopherol</w:t>
            </w:r>
          </w:p>
        </w:tc>
        <w:tc>
          <w:tcPr>
            <w:tcW w:w="705" w:type="pct"/>
            <w:tcBorders>
              <w:left w:val="nil"/>
              <w:right w:val="nil"/>
            </w:tcBorders>
            <w:vAlign w:val="center"/>
          </w:tcPr>
          <w:p w14:paraId="3E48025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Antioxidant and osteoprotective effects without hepatotoxicity</w:t>
            </w:r>
          </w:p>
        </w:tc>
        <w:tc>
          <w:tcPr>
            <w:tcW w:w="441" w:type="pct"/>
            <w:tcBorders>
              <w:left w:val="nil"/>
              <w:right w:val="nil"/>
            </w:tcBorders>
            <w:vAlign w:val="center"/>
          </w:tcPr>
          <w:p w14:paraId="6B8DD7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Cho et al. (2011)</w:t>
            </w:r>
          </w:p>
        </w:tc>
      </w:tr>
      <w:tr w:rsidR="004C24A6" w:rsidRPr="00245BAD" w14:paraId="7E245722" w14:textId="77777777" w:rsidTr="004C24A6">
        <w:tc>
          <w:tcPr>
            <w:tcW w:w="721" w:type="pct"/>
            <w:vMerge/>
            <w:tcBorders>
              <w:left w:val="nil"/>
              <w:right w:val="nil"/>
            </w:tcBorders>
            <w:vAlign w:val="center"/>
          </w:tcPr>
          <w:p w14:paraId="698A476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E25A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extract</w:t>
            </w:r>
          </w:p>
        </w:tc>
        <w:tc>
          <w:tcPr>
            <w:tcW w:w="888" w:type="pct"/>
            <w:tcBorders>
              <w:left w:val="nil"/>
              <w:right w:val="nil"/>
            </w:tcBorders>
            <w:vAlign w:val="center"/>
          </w:tcPr>
          <w:p w14:paraId="1EA4214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99C46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B5BBD8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9830D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396D0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Stabilization of abnormal hemodynamic responses</w:t>
            </w:r>
          </w:p>
        </w:tc>
        <w:tc>
          <w:tcPr>
            <w:tcW w:w="441" w:type="pct"/>
            <w:tcBorders>
              <w:left w:val="nil"/>
              <w:right w:val="nil"/>
            </w:tcBorders>
            <w:vAlign w:val="center"/>
          </w:tcPr>
          <w:p w14:paraId="6BBE49DB"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Bunbupha</w:t>
            </w:r>
            <w:proofErr w:type="spellEnd"/>
            <w:r w:rsidRPr="004C24A6">
              <w:rPr>
                <w:rFonts w:ascii="Arial" w:eastAsia="Times New Roman" w:hAnsi="Arial" w:cs="Arial"/>
                <w:sz w:val="20"/>
                <w:szCs w:val="20"/>
                <w:lang w:val="en-GB"/>
              </w:rPr>
              <w:t xml:space="preserve"> et al. (2018)</w:t>
            </w:r>
          </w:p>
        </w:tc>
      </w:tr>
      <w:tr w:rsidR="004C24A6" w:rsidRPr="00245BAD" w14:paraId="0F5C2532" w14:textId="77777777" w:rsidTr="004C24A6">
        <w:tc>
          <w:tcPr>
            <w:tcW w:w="721" w:type="pct"/>
            <w:vMerge w:val="restart"/>
            <w:tcBorders>
              <w:left w:val="nil"/>
              <w:right w:val="nil"/>
            </w:tcBorders>
            <w:vAlign w:val="center"/>
          </w:tcPr>
          <w:p w14:paraId="532FA7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Neuroprotective actions</w:t>
            </w:r>
          </w:p>
        </w:tc>
        <w:tc>
          <w:tcPr>
            <w:tcW w:w="616" w:type="pct"/>
            <w:tcBorders>
              <w:left w:val="nil"/>
              <w:right w:val="nil"/>
            </w:tcBorders>
            <w:vAlign w:val="center"/>
          </w:tcPr>
          <w:p w14:paraId="6647B48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petal extract</w:t>
            </w:r>
          </w:p>
        </w:tc>
        <w:tc>
          <w:tcPr>
            <w:tcW w:w="888" w:type="pct"/>
            <w:tcBorders>
              <w:left w:val="nil"/>
              <w:right w:val="nil"/>
            </w:tcBorders>
            <w:vAlign w:val="center"/>
          </w:tcPr>
          <w:p w14:paraId="67E4B64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4C3237A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12 g/kg</w:t>
            </w:r>
          </w:p>
        </w:tc>
        <w:tc>
          <w:tcPr>
            <w:tcW w:w="341" w:type="pct"/>
            <w:tcBorders>
              <w:left w:val="nil"/>
              <w:right w:val="nil"/>
            </w:tcBorders>
            <w:vAlign w:val="center"/>
          </w:tcPr>
          <w:p w14:paraId="3D8D1A4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935896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45E61BE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Free-radical scavenging and neuroprotection</w:t>
            </w:r>
          </w:p>
        </w:tc>
        <w:tc>
          <w:tcPr>
            <w:tcW w:w="441" w:type="pct"/>
            <w:tcBorders>
              <w:left w:val="nil"/>
              <w:right w:val="nil"/>
            </w:tcBorders>
            <w:vAlign w:val="center"/>
          </w:tcPr>
          <w:p w14:paraId="27CA1A3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Abuova</w:t>
            </w:r>
            <w:proofErr w:type="spellEnd"/>
            <w:r w:rsidRPr="004C24A6">
              <w:rPr>
                <w:rFonts w:ascii="Arial" w:eastAsia="Times New Roman" w:hAnsi="Arial" w:cs="Arial"/>
                <w:sz w:val="20"/>
                <w:szCs w:val="20"/>
                <w:lang w:val="en-GB"/>
              </w:rPr>
              <w:t xml:space="preserve"> et al. (2022)</w:t>
            </w:r>
          </w:p>
        </w:tc>
      </w:tr>
      <w:tr w:rsidR="004C24A6" w:rsidRPr="00245BAD" w14:paraId="10DEEE05" w14:textId="77777777" w:rsidTr="004C24A6">
        <w:tc>
          <w:tcPr>
            <w:tcW w:w="721" w:type="pct"/>
            <w:vMerge/>
            <w:tcBorders>
              <w:left w:val="nil"/>
              <w:right w:val="nil"/>
            </w:tcBorders>
            <w:vAlign w:val="center"/>
          </w:tcPr>
          <w:p w14:paraId="5D0B9CA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18549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flavonoid extract</w:t>
            </w:r>
          </w:p>
        </w:tc>
        <w:tc>
          <w:tcPr>
            <w:tcW w:w="888" w:type="pct"/>
            <w:tcBorders>
              <w:left w:val="nil"/>
              <w:right w:val="nil"/>
            </w:tcBorders>
            <w:vAlign w:val="center"/>
          </w:tcPr>
          <w:p w14:paraId="11653C6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73CA789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3980C51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C150E6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L-Dopa</w:t>
            </w:r>
          </w:p>
        </w:tc>
        <w:tc>
          <w:tcPr>
            <w:tcW w:w="705" w:type="pct"/>
            <w:tcBorders>
              <w:left w:val="nil"/>
              <w:right w:val="nil"/>
            </w:tcBorders>
            <w:vAlign w:val="center"/>
          </w:tcPr>
          <w:p w14:paraId="6ED5FDC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Marked protective effects in Parkinson’s disease models</w:t>
            </w:r>
          </w:p>
        </w:tc>
        <w:tc>
          <w:tcPr>
            <w:tcW w:w="441" w:type="pct"/>
            <w:tcBorders>
              <w:left w:val="nil"/>
              <w:right w:val="nil"/>
            </w:tcBorders>
            <w:vAlign w:val="center"/>
          </w:tcPr>
          <w:p w14:paraId="227580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Lei et al. (2020)</w:t>
            </w:r>
          </w:p>
        </w:tc>
      </w:tr>
      <w:tr w:rsidR="004C24A6" w:rsidRPr="00245BAD" w14:paraId="47F17FF8" w14:textId="77777777" w:rsidTr="004C24A6">
        <w:tc>
          <w:tcPr>
            <w:tcW w:w="721" w:type="pct"/>
            <w:vMerge/>
            <w:tcBorders>
              <w:left w:val="nil"/>
              <w:right w:val="nil"/>
            </w:tcBorders>
            <w:vAlign w:val="center"/>
          </w:tcPr>
          <w:p w14:paraId="535DEFF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5CB886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Kaempferol-3-O-rutinoside / AHSYB</w:t>
            </w:r>
          </w:p>
        </w:tc>
        <w:tc>
          <w:tcPr>
            <w:tcW w:w="888" w:type="pct"/>
            <w:tcBorders>
              <w:left w:val="nil"/>
              <w:right w:val="nil"/>
            </w:tcBorders>
            <w:vAlign w:val="center"/>
          </w:tcPr>
          <w:p w14:paraId="7C3CE80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Molecular docking</w:t>
            </w:r>
          </w:p>
        </w:tc>
        <w:tc>
          <w:tcPr>
            <w:tcW w:w="540" w:type="pct"/>
            <w:tcBorders>
              <w:left w:val="nil"/>
              <w:right w:val="nil"/>
            </w:tcBorders>
            <w:vAlign w:val="center"/>
          </w:tcPr>
          <w:p w14:paraId="479E44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DA7D1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A2A25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4DFFF8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Predicted potential as preventive agents for PD</w:t>
            </w:r>
          </w:p>
        </w:tc>
        <w:tc>
          <w:tcPr>
            <w:tcW w:w="441" w:type="pct"/>
            <w:tcBorders>
              <w:left w:val="nil"/>
              <w:right w:val="nil"/>
            </w:tcBorders>
            <w:vAlign w:val="center"/>
          </w:tcPr>
          <w:p w14:paraId="6FE1E3EA"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Ablat</w:t>
            </w:r>
            <w:proofErr w:type="spellEnd"/>
            <w:r w:rsidRPr="004C24A6">
              <w:rPr>
                <w:rFonts w:ascii="Arial" w:eastAsia="Times New Roman" w:hAnsi="Arial" w:cs="Arial"/>
                <w:sz w:val="20"/>
                <w:szCs w:val="20"/>
                <w:lang w:val="en-GB"/>
              </w:rPr>
              <w:t xml:space="preserve"> et al. (2022)</w:t>
            </w:r>
          </w:p>
        </w:tc>
      </w:tr>
      <w:tr w:rsidR="004C24A6" w:rsidRPr="00245BAD" w14:paraId="39113374" w14:textId="77777777" w:rsidTr="004C24A6">
        <w:tc>
          <w:tcPr>
            <w:tcW w:w="721" w:type="pct"/>
            <w:vMerge/>
            <w:tcBorders>
              <w:left w:val="nil"/>
              <w:right w:val="nil"/>
            </w:tcBorders>
            <w:vAlign w:val="center"/>
          </w:tcPr>
          <w:p w14:paraId="16C71F9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013BD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 HYSA</w:t>
            </w:r>
          </w:p>
        </w:tc>
        <w:tc>
          <w:tcPr>
            <w:tcW w:w="888" w:type="pct"/>
            <w:tcBorders>
              <w:left w:val="nil"/>
              <w:right w:val="nil"/>
            </w:tcBorders>
            <w:vAlign w:val="center"/>
          </w:tcPr>
          <w:p w14:paraId="404D083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Alzheimer’s disease rat model</w:t>
            </w:r>
          </w:p>
        </w:tc>
        <w:tc>
          <w:tcPr>
            <w:tcW w:w="540" w:type="pct"/>
            <w:tcBorders>
              <w:left w:val="nil"/>
              <w:right w:val="nil"/>
            </w:tcBorders>
            <w:vAlign w:val="center"/>
          </w:tcPr>
          <w:p w14:paraId="6642027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D65AE8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E551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Betamethasone</w:t>
            </w:r>
          </w:p>
        </w:tc>
        <w:tc>
          <w:tcPr>
            <w:tcW w:w="705" w:type="pct"/>
            <w:tcBorders>
              <w:left w:val="nil"/>
              <w:right w:val="nil"/>
            </w:tcBorders>
            <w:vAlign w:val="center"/>
          </w:tcPr>
          <w:p w14:paraId="486DC6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Improvement of amyloid-β-induced </w:t>
            </w:r>
            <w:r w:rsidRPr="004C24A6">
              <w:rPr>
                <w:rFonts w:ascii="Arial" w:eastAsia="Times New Roman" w:hAnsi="Arial" w:cs="Arial"/>
                <w:sz w:val="20"/>
                <w:szCs w:val="20"/>
                <w:lang w:val="en-GB"/>
              </w:rPr>
              <w:lastRenderedPageBreak/>
              <w:t>glutamate cycle imbalance</w:t>
            </w:r>
          </w:p>
        </w:tc>
        <w:tc>
          <w:tcPr>
            <w:tcW w:w="441" w:type="pct"/>
            <w:tcBorders>
              <w:left w:val="nil"/>
              <w:right w:val="nil"/>
            </w:tcBorders>
            <w:vAlign w:val="center"/>
          </w:tcPr>
          <w:p w14:paraId="366AC4E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Hou et al. (2020)</w:t>
            </w:r>
          </w:p>
        </w:tc>
      </w:tr>
      <w:tr w:rsidR="004C24A6" w:rsidRPr="00245BAD" w14:paraId="5101FDA5" w14:textId="77777777" w:rsidTr="004C24A6">
        <w:tc>
          <w:tcPr>
            <w:tcW w:w="721" w:type="pct"/>
            <w:vMerge/>
            <w:tcBorders>
              <w:left w:val="nil"/>
              <w:right w:val="nil"/>
            </w:tcBorders>
            <w:vAlign w:val="center"/>
          </w:tcPr>
          <w:p w14:paraId="63EFB8F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E96BA2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HYSA</w:t>
            </w:r>
          </w:p>
        </w:tc>
        <w:tc>
          <w:tcPr>
            <w:tcW w:w="888" w:type="pct"/>
            <w:tcBorders>
              <w:left w:val="nil"/>
              <w:right w:val="nil"/>
            </w:tcBorders>
            <w:vAlign w:val="center"/>
          </w:tcPr>
          <w:p w14:paraId="777185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591F276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1B379F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FE00FA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11C6282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Suppression of NF-</w:t>
            </w:r>
            <w:proofErr w:type="spellStart"/>
            <w:r w:rsidRPr="004C24A6">
              <w:rPr>
                <w:rFonts w:ascii="Arial" w:eastAsia="Times New Roman" w:hAnsi="Arial" w:cs="Arial"/>
                <w:sz w:val="20"/>
                <w:szCs w:val="20"/>
                <w:lang w:val="en-GB"/>
              </w:rPr>
              <w:t>κB</w:t>
            </w:r>
            <w:proofErr w:type="spellEnd"/>
            <w:r w:rsidRPr="004C24A6">
              <w:rPr>
                <w:rFonts w:ascii="Arial" w:eastAsia="Times New Roman" w:hAnsi="Arial" w:cs="Arial"/>
                <w:sz w:val="20"/>
                <w:szCs w:val="20"/>
                <w:lang w:val="en-GB"/>
              </w:rPr>
              <w:t xml:space="preserve"> p65 and </w:t>
            </w:r>
            <w:proofErr w:type="spellStart"/>
            <w:r w:rsidRPr="004C24A6">
              <w:rPr>
                <w:rFonts w:ascii="Arial" w:eastAsia="Times New Roman" w:hAnsi="Arial" w:cs="Arial"/>
                <w:sz w:val="20"/>
                <w:szCs w:val="20"/>
                <w:lang w:val="en-GB"/>
              </w:rPr>
              <w:t>iNOS</w:t>
            </w:r>
            <w:proofErr w:type="spellEnd"/>
            <w:r w:rsidRPr="004C24A6">
              <w:rPr>
                <w:rFonts w:ascii="Arial" w:eastAsia="Times New Roman" w:hAnsi="Arial" w:cs="Arial"/>
                <w:sz w:val="20"/>
                <w:szCs w:val="20"/>
                <w:lang w:val="en-GB"/>
              </w:rPr>
              <w:t xml:space="preserve"> expression</w:t>
            </w:r>
          </w:p>
        </w:tc>
        <w:tc>
          <w:tcPr>
            <w:tcW w:w="441" w:type="pct"/>
            <w:tcBorders>
              <w:left w:val="nil"/>
              <w:right w:val="nil"/>
            </w:tcBorders>
            <w:vAlign w:val="center"/>
          </w:tcPr>
          <w:p w14:paraId="79FF44D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Tiwari et al. (2018)</w:t>
            </w:r>
          </w:p>
        </w:tc>
      </w:tr>
      <w:tr w:rsidR="004C24A6" w:rsidRPr="00245BAD" w14:paraId="32911F21" w14:textId="77777777" w:rsidTr="004C24A6">
        <w:tc>
          <w:tcPr>
            <w:tcW w:w="721" w:type="pct"/>
            <w:vMerge/>
            <w:tcBorders>
              <w:left w:val="nil"/>
              <w:right w:val="nil"/>
            </w:tcBorders>
            <w:vAlign w:val="center"/>
          </w:tcPr>
          <w:p w14:paraId="546C8CA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635D3AE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HYSA, AHSYB</w:t>
            </w:r>
          </w:p>
        </w:tc>
        <w:tc>
          <w:tcPr>
            <w:tcW w:w="888" w:type="pct"/>
            <w:tcBorders>
              <w:left w:val="nil"/>
              <w:right w:val="nil"/>
            </w:tcBorders>
            <w:vAlign w:val="center"/>
          </w:tcPr>
          <w:p w14:paraId="0AA9DEB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Experimental models</w:t>
            </w:r>
          </w:p>
        </w:tc>
        <w:tc>
          <w:tcPr>
            <w:tcW w:w="540" w:type="pct"/>
            <w:tcBorders>
              <w:left w:val="nil"/>
              <w:right w:val="nil"/>
            </w:tcBorders>
            <w:vAlign w:val="center"/>
          </w:tcPr>
          <w:p w14:paraId="31D2567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6D4D00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E0DC2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0E4D8A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apoptosis and oxidative stress</w:t>
            </w:r>
          </w:p>
        </w:tc>
        <w:tc>
          <w:tcPr>
            <w:tcW w:w="441" w:type="pct"/>
            <w:tcBorders>
              <w:left w:val="nil"/>
              <w:right w:val="nil"/>
            </w:tcBorders>
            <w:vAlign w:val="center"/>
          </w:tcPr>
          <w:p w14:paraId="56591540"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Fangma</w:t>
            </w:r>
            <w:proofErr w:type="spellEnd"/>
            <w:r w:rsidRPr="004C24A6">
              <w:rPr>
                <w:rFonts w:ascii="Arial" w:eastAsia="Times New Roman" w:hAnsi="Arial" w:cs="Arial"/>
                <w:sz w:val="20"/>
                <w:szCs w:val="20"/>
                <w:lang w:val="en-GB"/>
              </w:rPr>
              <w:t xml:space="preserve"> et al. (2021)</w:t>
            </w:r>
          </w:p>
        </w:tc>
      </w:tr>
    </w:tbl>
    <w:p w14:paraId="713AEAF9" w14:textId="77777777" w:rsidR="004C24A6" w:rsidRDefault="004C24A6" w:rsidP="00441B6F">
      <w:pPr>
        <w:pStyle w:val="Body"/>
        <w:spacing w:after="0"/>
        <w:rPr>
          <w:rFonts w:ascii="Arial" w:hAnsi="Arial" w:cs="Arial"/>
        </w:rPr>
      </w:pPr>
    </w:p>
    <w:p w14:paraId="07FFB147" w14:textId="77777777" w:rsidR="004C24A6" w:rsidRDefault="004C24A6" w:rsidP="00441B6F">
      <w:pPr>
        <w:pStyle w:val="Body"/>
        <w:spacing w:after="0"/>
        <w:rPr>
          <w:rFonts w:ascii="Arial" w:hAnsi="Arial" w:cs="Arial"/>
        </w:rPr>
      </w:pPr>
    </w:p>
    <w:p w14:paraId="08859EBD" w14:textId="77777777" w:rsidR="004C24A6" w:rsidRDefault="004C24A6" w:rsidP="00441B6F">
      <w:pPr>
        <w:pStyle w:val="Body"/>
        <w:spacing w:after="0"/>
        <w:rPr>
          <w:rFonts w:ascii="Arial" w:hAnsi="Arial" w:cs="Arial"/>
        </w:rPr>
      </w:pPr>
    </w:p>
    <w:p w14:paraId="48D3C7BB" w14:textId="77777777" w:rsidR="004C24A6" w:rsidRDefault="004C24A6" w:rsidP="00441B6F">
      <w:pPr>
        <w:pStyle w:val="Body"/>
        <w:spacing w:after="0"/>
        <w:rPr>
          <w:rFonts w:ascii="Arial" w:hAnsi="Arial" w:cs="Arial"/>
        </w:rPr>
      </w:pPr>
    </w:p>
    <w:p w14:paraId="0C01F796" w14:textId="77777777" w:rsidR="004C24A6" w:rsidRDefault="004C24A6" w:rsidP="00441B6F">
      <w:pPr>
        <w:pStyle w:val="Body"/>
        <w:spacing w:after="0"/>
        <w:rPr>
          <w:rFonts w:ascii="Arial" w:hAnsi="Arial" w:cs="Arial"/>
        </w:rPr>
      </w:pPr>
    </w:p>
    <w:p w14:paraId="5B702E0A" w14:textId="77777777" w:rsidR="004C24A6" w:rsidRDefault="004C24A6" w:rsidP="00441B6F">
      <w:pPr>
        <w:pStyle w:val="Body"/>
        <w:spacing w:after="0"/>
        <w:rPr>
          <w:rFonts w:ascii="Arial" w:hAnsi="Arial" w:cs="Arial"/>
        </w:rPr>
      </w:pPr>
    </w:p>
    <w:p w14:paraId="7F3F2A81" w14:textId="77777777" w:rsidR="004C24A6" w:rsidRDefault="004C24A6" w:rsidP="00441B6F">
      <w:pPr>
        <w:pStyle w:val="Body"/>
        <w:spacing w:after="0"/>
        <w:rPr>
          <w:rFonts w:ascii="Arial" w:hAnsi="Arial" w:cs="Arial"/>
        </w:rPr>
      </w:pPr>
    </w:p>
    <w:p w14:paraId="243CAAF5" w14:textId="77777777" w:rsidR="004C24A6" w:rsidRDefault="004C24A6" w:rsidP="00441B6F">
      <w:pPr>
        <w:pStyle w:val="Body"/>
        <w:spacing w:after="0"/>
        <w:rPr>
          <w:rFonts w:ascii="Arial" w:hAnsi="Arial" w:cs="Arial"/>
        </w:rPr>
      </w:pPr>
    </w:p>
    <w:p w14:paraId="6836B6B8" w14:textId="77777777" w:rsidR="004C24A6" w:rsidRDefault="004C24A6" w:rsidP="00441B6F">
      <w:pPr>
        <w:pStyle w:val="Body"/>
        <w:spacing w:after="0"/>
        <w:rPr>
          <w:rFonts w:ascii="Arial" w:hAnsi="Arial" w:cs="Arial"/>
        </w:rPr>
      </w:pPr>
    </w:p>
    <w:p w14:paraId="7E615D01" w14:textId="77777777" w:rsidR="004C24A6" w:rsidRDefault="004C24A6" w:rsidP="00441B6F">
      <w:pPr>
        <w:pStyle w:val="Body"/>
        <w:spacing w:after="0"/>
        <w:rPr>
          <w:rFonts w:ascii="Arial" w:hAnsi="Arial" w:cs="Arial"/>
        </w:rPr>
      </w:pPr>
    </w:p>
    <w:p w14:paraId="613284CC" w14:textId="77777777" w:rsidR="004C24A6" w:rsidRDefault="004C24A6" w:rsidP="00441B6F">
      <w:pPr>
        <w:pStyle w:val="Body"/>
        <w:spacing w:after="0"/>
        <w:rPr>
          <w:rFonts w:ascii="Arial" w:hAnsi="Arial" w:cs="Arial"/>
        </w:rPr>
      </w:pPr>
    </w:p>
    <w:p w14:paraId="08520CC6" w14:textId="77777777" w:rsidR="004C24A6" w:rsidRDefault="004C24A6" w:rsidP="00441B6F">
      <w:pPr>
        <w:pStyle w:val="Body"/>
        <w:spacing w:after="0"/>
        <w:rPr>
          <w:rFonts w:ascii="Arial" w:hAnsi="Arial" w:cs="Arial"/>
        </w:rPr>
      </w:pPr>
    </w:p>
    <w:p w14:paraId="54A88205" w14:textId="77777777" w:rsidR="004C24A6" w:rsidRDefault="004C24A6" w:rsidP="00441B6F">
      <w:pPr>
        <w:pStyle w:val="Body"/>
        <w:spacing w:after="0"/>
        <w:rPr>
          <w:rFonts w:ascii="Arial" w:hAnsi="Arial" w:cs="Arial"/>
        </w:rPr>
      </w:pPr>
    </w:p>
    <w:p w14:paraId="522BA4AB" w14:textId="77777777" w:rsidR="004C24A6" w:rsidRDefault="004C24A6" w:rsidP="00441B6F">
      <w:pPr>
        <w:pStyle w:val="Body"/>
        <w:spacing w:after="0"/>
        <w:rPr>
          <w:rFonts w:ascii="Arial" w:hAnsi="Arial" w:cs="Arial"/>
        </w:rPr>
      </w:pPr>
    </w:p>
    <w:p w14:paraId="47371F81" w14:textId="77777777" w:rsidR="004C24A6" w:rsidRDefault="004C24A6" w:rsidP="00441B6F">
      <w:pPr>
        <w:pStyle w:val="Body"/>
        <w:spacing w:after="0"/>
        <w:rPr>
          <w:rFonts w:ascii="Arial" w:hAnsi="Arial" w:cs="Arial"/>
        </w:rPr>
      </w:pPr>
    </w:p>
    <w:p w14:paraId="79415EC9" w14:textId="77777777" w:rsidR="004C24A6" w:rsidRDefault="004C24A6" w:rsidP="00441B6F">
      <w:pPr>
        <w:pStyle w:val="Body"/>
        <w:spacing w:after="0"/>
        <w:rPr>
          <w:rFonts w:ascii="Arial" w:hAnsi="Arial" w:cs="Arial"/>
        </w:rPr>
      </w:pPr>
    </w:p>
    <w:p w14:paraId="769FC9A5" w14:textId="77777777" w:rsidR="004C24A6" w:rsidRDefault="004C24A6" w:rsidP="00441B6F">
      <w:pPr>
        <w:pStyle w:val="Body"/>
        <w:spacing w:after="0"/>
        <w:rPr>
          <w:rFonts w:ascii="Arial" w:hAnsi="Arial" w:cs="Arial"/>
        </w:rPr>
      </w:pPr>
    </w:p>
    <w:p w14:paraId="20DE3B67" w14:textId="77777777" w:rsidR="004C24A6" w:rsidRDefault="004C24A6" w:rsidP="00441B6F">
      <w:pPr>
        <w:pStyle w:val="Body"/>
        <w:spacing w:after="0"/>
        <w:rPr>
          <w:rFonts w:ascii="Arial" w:hAnsi="Arial" w:cs="Arial"/>
        </w:rPr>
      </w:pPr>
    </w:p>
    <w:p w14:paraId="0A44A46A" w14:textId="77777777" w:rsidR="004C24A6" w:rsidRDefault="004C24A6" w:rsidP="00441B6F">
      <w:pPr>
        <w:pStyle w:val="Body"/>
        <w:spacing w:after="0"/>
        <w:rPr>
          <w:rFonts w:ascii="Arial" w:hAnsi="Arial" w:cs="Arial"/>
        </w:rPr>
      </w:pPr>
    </w:p>
    <w:p w14:paraId="4B104134" w14:textId="77777777" w:rsidR="004C24A6" w:rsidRDefault="004C24A6" w:rsidP="00441B6F">
      <w:pPr>
        <w:pStyle w:val="Body"/>
        <w:spacing w:after="0"/>
        <w:rPr>
          <w:rFonts w:ascii="Arial" w:hAnsi="Arial" w:cs="Arial"/>
        </w:rPr>
      </w:pPr>
    </w:p>
    <w:p w14:paraId="6F8A0292" w14:textId="77777777" w:rsidR="004C24A6" w:rsidRDefault="004C24A6" w:rsidP="00441B6F">
      <w:pPr>
        <w:pStyle w:val="Body"/>
        <w:spacing w:after="0"/>
        <w:rPr>
          <w:rFonts w:ascii="Arial" w:hAnsi="Arial" w:cs="Arial"/>
        </w:rPr>
      </w:pPr>
    </w:p>
    <w:p w14:paraId="16A1C66E" w14:textId="77777777" w:rsidR="004C24A6" w:rsidRDefault="004C24A6" w:rsidP="00441B6F">
      <w:pPr>
        <w:pStyle w:val="Body"/>
        <w:spacing w:after="0"/>
        <w:rPr>
          <w:rFonts w:ascii="Arial" w:hAnsi="Arial" w:cs="Arial"/>
        </w:rPr>
      </w:pPr>
    </w:p>
    <w:p w14:paraId="3C14531F" w14:textId="77777777" w:rsidR="004C24A6" w:rsidRDefault="004C24A6" w:rsidP="00441B6F">
      <w:pPr>
        <w:pStyle w:val="Body"/>
        <w:spacing w:after="0"/>
        <w:rPr>
          <w:rFonts w:ascii="Arial" w:hAnsi="Arial" w:cs="Arial"/>
        </w:rPr>
      </w:pPr>
    </w:p>
    <w:p w14:paraId="230C2A6C" w14:textId="77777777" w:rsidR="004C24A6" w:rsidRDefault="004C24A6" w:rsidP="00441B6F">
      <w:pPr>
        <w:pStyle w:val="Body"/>
        <w:spacing w:after="0"/>
        <w:rPr>
          <w:rFonts w:ascii="Arial" w:hAnsi="Arial" w:cs="Arial"/>
        </w:rPr>
      </w:pPr>
    </w:p>
    <w:p w14:paraId="60C23213"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611DB624" w14:textId="7691C388" w:rsid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lastRenderedPageBreak/>
        <w:t>Comparative Analysis Across Studies</w:t>
      </w:r>
      <w:r>
        <w:rPr>
          <w:rFonts w:ascii="Arial" w:hAnsi="Arial" w:cs="Arial"/>
          <w:b/>
          <w:bCs/>
          <w:lang w:val="en-GB"/>
        </w:rPr>
        <w:t xml:space="preserve">: </w:t>
      </w:r>
    </w:p>
    <w:p w14:paraId="1C4493BC" w14:textId="77777777" w:rsidR="004C24A6" w:rsidRPr="004C24A6" w:rsidRDefault="004C24A6" w:rsidP="004C24A6">
      <w:pPr>
        <w:spacing w:line="276" w:lineRule="auto"/>
        <w:jc w:val="both"/>
        <w:rPr>
          <w:rFonts w:ascii="Arial" w:hAnsi="Arial" w:cs="Arial"/>
          <w:b/>
          <w:bCs/>
          <w:lang w:val="en-GB"/>
        </w:rPr>
      </w:pPr>
    </w:p>
    <w:p w14:paraId="4BE16C47"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An integrated assessment of the available studies shows that the therapeutic impact of safflower-derived oils and compounds is far from uniform. Their effectiveness appears to vary considerably depending on what they are compared against whether saturated fats, monounsaturated oils, or ω3-rich formulations as well as the metabolic or disease condition under investigation. Rather than functioning as a universally beneficial intervention, safflower products demonstrate context-specific outcomes, with some studies reporting clear metabolic advantages while others show modest or conditionally limited effects. This variability underscores the importance of considering both the physiological environment and the choice of control agent when interpreting the true efficacy of safflower-based interventions.</w:t>
      </w:r>
    </w:p>
    <w:p w14:paraId="371EDC55" w14:textId="77777777" w:rsidR="004C24A6" w:rsidRPr="004C24A6" w:rsidRDefault="004C24A6" w:rsidP="004C24A6">
      <w:pPr>
        <w:spacing w:line="276" w:lineRule="auto"/>
        <w:jc w:val="both"/>
        <w:rPr>
          <w:rFonts w:ascii="Arial" w:hAnsi="Arial" w:cs="Arial"/>
          <w:lang w:val="en-GB"/>
        </w:rPr>
      </w:pPr>
    </w:p>
    <w:p w14:paraId="2203BA89"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Safflower Oil vs. Omega-3 Enriched Oils:</w:t>
      </w:r>
      <w:r w:rsidRPr="004C24A6">
        <w:rPr>
          <w:rFonts w:ascii="Arial" w:hAnsi="Arial" w:cs="Arial"/>
          <w:lang w:val="en-GB"/>
        </w:rPr>
        <w:t xml:space="preserve"> Comparative studies examining safflower oil alongside omega-3 rich lipid sources consistently show meaningful differences in their physiological effects. Evidence from recent investigations, including those reported by Nilsson et al. (2024) and </w:t>
      </w:r>
      <w:proofErr w:type="spellStart"/>
      <w:r w:rsidRPr="004C24A6">
        <w:rPr>
          <w:rFonts w:ascii="Arial" w:hAnsi="Arial" w:cs="Arial"/>
          <w:lang w:val="en-GB"/>
        </w:rPr>
        <w:t>Abushal</w:t>
      </w:r>
      <w:proofErr w:type="spellEnd"/>
      <w:r w:rsidRPr="004C24A6">
        <w:rPr>
          <w:rFonts w:ascii="Arial" w:hAnsi="Arial" w:cs="Arial"/>
          <w:lang w:val="en-GB"/>
        </w:rPr>
        <w:t xml:space="preserve"> et al. (2025), indicates that although safflower oil is a generally health-promoting dietary fat, its efficacy does not match that of marine or flaxseed oils in contexts requiring strong anti-inflammatory or muscle-preserving actions. Oils enriched with long-chain omega-3 fatty acids tend to produce more pronounced reductions in key inflammatory mediators such as TNF-α and IL-6 and are more effective at supporting muscle maintenance in conditions like sarcopenic obesity.</w:t>
      </w:r>
    </w:p>
    <w:p w14:paraId="727B88BB" w14:textId="77777777" w:rsidR="004C24A6" w:rsidRPr="004C24A6" w:rsidRDefault="004C24A6" w:rsidP="004C24A6">
      <w:pPr>
        <w:spacing w:line="276" w:lineRule="auto"/>
        <w:jc w:val="both"/>
        <w:rPr>
          <w:rFonts w:ascii="Arial" w:hAnsi="Arial" w:cs="Arial"/>
          <w:lang w:val="en-GB"/>
        </w:rPr>
      </w:pPr>
    </w:p>
    <w:p w14:paraId="0417CBFA"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These findings underscore a broader nutritional principle: the metabolic benefits of a fat source depend not only on its total unsaturated fatty acid content but also on the specific balance of omega-6 and omega-3 fatty acids it provides. Safflower oil, which is predominantly comprised of linoleic acid, can be advantageous in disorders characterized by impaired lipid metabolism, including certain rare </w:t>
      </w:r>
      <w:proofErr w:type="spellStart"/>
      <w:r w:rsidRPr="004C24A6">
        <w:rPr>
          <w:rFonts w:ascii="Arial" w:hAnsi="Arial" w:cs="Arial"/>
          <w:lang w:val="en-GB"/>
        </w:rPr>
        <w:t>lipidopathies</w:t>
      </w:r>
      <w:proofErr w:type="spellEnd"/>
      <w:r w:rsidRPr="004C24A6">
        <w:rPr>
          <w:rFonts w:ascii="Arial" w:hAnsi="Arial" w:cs="Arial"/>
          <w:lang w:val="en-GB"/>
        </w:rPr>
        <w:t xml:space="preserve"> where enhanced omega-6 intake may be desirable. However, in the more common scenario of metabolic syndrome where individuals often already consume excessive omega-6 relative to omega-3 the continued reliance on a high-omega-6 oil may not be ideal. In such settings, oils rich in omega-3s generally offer a more favourable biological profile, particularly for modulating chronic inflammation and supporting metabolic resilience.</w:t>
      </w:r>
    </w:p>
    <w:p w14:paraId="1B3DC954" w14:textId="77777777" w:rsidR="004C24A6" w:rsidRPr="004C24A6" w:rsidRDefault="004C24A6" w:rsidP="004C24A6">
      <w:pPr>
        <w:spacing w:line="276" w:lineRule="auto"/>
        <w:jc w:val="both"/>
        <w:rPr>
          <w:rFonts w:ascii="Arial" w:hAnsi="Arial" w:cs="Arial"/>
          <w:lang w:val="en-GB"/>
        </w:rPr>
      </w:pPr>
    </w:p>
    <w:p w14:paraId="1FF8DDC2"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Safflower Oil vs. Saturated Fats:</w:t>
      </w:r>
      <w:r w:rsidRPr="004C24A6">
        <w:rPr>
          <w:rFonts w:ascii="Arial" w:hAnsi="Arial" w:cs="Arial"/>
          <w:lang w:val="en-GB"/>
        </w:rPr>
        <w:t xml:space="preserve"> When compared with traditional saturated fats, safflower oil exhibits a markedly more </w:t>
      </w:r>
      <w:proofErr w:type="spellStart"/>
      <w:r w:rsidRPr="004C24A6">
        <w:rPr>
          <w:rFonts w:ascii="Arial" w:hAnsi="Arial" w:cs="Arial"/>
          <w:lang w:val="en-GB"/>
        </w:rPr>
        <w:t>favorable</w:t>
      </w:r>
      <w:proofErr w:type="spellEnd"/>
      <w:r w:rsidRPr="004C24A6">
        <w:rPr>
          <w:rFonts w:ascii="Arial" w:hAnsi="Arial" w:cs="Arial"/>
          <w:lang w:val="en-GB"/>
        </w:rPr>
        <w:t xml:space="preserve"> profile in terms of cardiovascular health and lipid regulation. Evidence from recent comparative studies, including those by </w:t>
      </w:r>
      <w:proofErr w:type="spellStart"/>
      <w:r w:rsidRPr="004C24A6">
        <w:rPr>
          <w:rFonts w:ascii="Arial" w:hAnsi="Arial" w:cs="Arial"/>
          <w:lang w:val="en-GB"/>
        </w:rPr>
        <w:t>Abushal</w:t>
      </w:r>
      <w:proofErr w:type="spellEnd"/>
      <w:r w:rsidRPr="004C24A6">
        <w:rPr>
          <w:rFonts w:ascii="Arial" w:hAnsi="Arial" w:cs="Arial"/>
          <w:lang w:val="en-GB"/>
        </w:rPr>
        <w:t xml:space="preserve"> et al. (2025), demonstrates that replacing dietary sources of saturated fats such as palm or coconut oil with safflower oil leads to significant reductions in circulating low-density lipoprotein (LDL) cholesterol. Additionally, these substitutions have been associated with improvements in established cardiovascular risk markers, including total cholesterol to HDL ratios and atherogenic indices, suggesting that safflower oil may help attenuate the progression of atherosclerotic disease. Mechanistically, these benefits are thought to result from the high polyunsaturated fatty acid content of safflower oil, particularly linoleic acid, which enhances hepatic lipid metabolism and promotes cholesterol excretion.</w:t>
      </w:r>
    </w:p>
    <w:p w14:paraId="2D8D4786" w14:textId="77777777" w:rsidR="004C24A6" w:rsidRPr="004C24A6" w:rsidRDefault="004C24A6" w:rsidP="004C24A6">
      <w:pPr>
        <w:spacing w:line="276" w:lineRule="auto"/>
        <w:jc w:val="both"/>
        <w:rPr>
          <w:rFonts w:ascii="Arial" w:hAnsi="Arial" w:cs="Arial"/>
          <w:lang w:val="en-GB"/>
        </w:rPr>
      </w:pPr>
    </w:p>
    <w:p w14:paraId="29602E3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lastRenderedPageBreak/>
        <w:t xml:space="preserve">While safflower oil clearly outperforms saturated fats in modulating lipid profiles, it does not fully replicate the anti-inflammatory or cardioprotective effects observed with long-chain omega-3 fatty acids, such as EPA and DHA. Nonetheless, its relatively neutral effect on inflammation, combined with consistent improvements in lipid metabolism, positions safflower oil as a practical and widely accessible dietary alternative for the management of </w:t>
      </w:r>
      <w:proofErr w:type="spellStart"/>
      <w:r w:rsidRPr="004C24A6">
        <w:rPr>
          <w:rFonts w:ascii="Arial" w:hAnsi="Arial" w:cs="Arial"/>
          <w:lang w:val="en-GB"/>
        </w:rPr>
        <w:t>dyslipidemia</w:t>
      </w:r>
      <w:proofErr w:type="spellEnd"/>
      <w:r w:rsidRPr="004C24A6">
        <w:rPr>
          <w:rFonts w:ascii="Arial" w:hAnsi="Arial" w:cs="Arial"/>
          <w:lang w:val="en-GB"/>
        </w:rPr>
        <w:t xml:space="preserve"> and cardiovascular risk. Moreover, its incorporation into habitual diets can be particularly advantageous in populations that consume high levels of saturated fats, providing a feasible nutritional strategy to improve metabolic outcomes without requiring major dietary restructuring.</w:t>
      </w:r>
    </w:p>
    <w:p w14:paraId="60000050" w14:textId="77777777" w:rsidR="004C24A6" w:rsidRPr="004C24A6" w:rsidRDefault="004C24A6" w:rsidP="004C24A6">
      <w:pPr>
        <w:spacing w:line="276" w:lineRule="auto"/>
        <w:jc w:val="both"/>
        <w:rPr>
          <w:rFonts w:ascii="Arial" w:hAnsi="Arial" w:cs="Arial"/>
          <w:lang w:val="en-GB"/>
        </w:rPr>
      </w:pPr>
    </w:p>
    <w:p w14:paraId="69D92262"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Petal vs. Seed: A Functional Dichotomy:</w:t>
      </w:r>
      <w:r w:rsidRPr="004C24A6">
        <w:rPr>
          <w:rFonts w:ascii="Arial" w:hAnsi="Arial" w:cs="Arial"/>
          <w:lang w:val="en-GB"/>
        </w:rPr>
        <w:t xml:space="preserve"> A rigorous analysis of the current literature reveals a sharp physiological boundary between the therapeutic mechanisms of the different anatomical components of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The oleaginous fraction derived from the seed functions primarily as a high-density substrate provider. Its efficacy is largely predicated on the bioavailability of linoleic acid (LA), which serves as an essential acyl donor for the </w:t>
      </w:r>
      <w:proofErr w:type="spellStart"/>
      <w:r w:rsidRPr="004C24A6">
        <w:rPr>
          <w:rFonts w:ascii="Arial" w:hAnsi="Arial" w:cs="Arial"/>
          <w:lang w:val="en-GB"/>
        </w:rPr>
        <w:t>remodeling</w:t>
      </w:r>
      <w:proofErr w:type="spellEnd"/>
      <w:r w:rsidRPr="004C24A6">
        <w:rPr>
          <w:rFonts w:ascii="Arial" w:hAnsi="Arial" w:cs="Arial"/>
          <w:lang w:val="en-GB"/>
        </w:rPr>
        <w:t xml:space="preserve"> of cardiolipin within the mitochondrial inner membrane. Conversely, the aqueous extracts obtained from the petals operate through an entirely different pharmacodynamic paradigm. Dominated by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(notably HSYA) and </w:t>
      </w:r>
      <w:proofErr w:type="spellStart"/>
      <w:r w:rsidRPr="004C24A6">
        <w:rPr>
          <w:rFonts w:ascii="Arial" w:hAnsi="Arial" w:cs="Arial"/>
          <w:lang w:val="en-GB"/>
        </w:rPr>
        <w:t>flavonols</w:t>
      </w:r>
      <w:proofErr w:type="spellEnd"/>
      <w:r w:rsidRPr="004C24A6">
        <w:rPr>
          <w:rFonts w:ascii="Arial" w:hAnsi="Arial" w:cs="Arial"/>
          <w:lang w:val="en-GB"/>
        </w:rPr>
        <w:t xml:space="preserve"> such as quercetin, these fractions function as </w:t>
      </w:r>
      <w:proofErr w:type="spellStart"/>
      <w:r w:rsidRPr="004C24A6">
        <w:rPr>
          <w:rFonts w:ascii="Arial" w:hAnsi="Arial" w:cs="Arial"/>
          <w:lang w:val="en-GB"/>
        </w:rPr>
        <w:t>hormetic</w:t>
      </w:r>
      <w:proofErr w:type="spellEnd"/>
      <w:r w:rsidRPr="004C24A6">
        <w:rPr>
          <w:rFonts w:ascii="Arial" w:hAnsi="Arial" w:cs="Arial"/>
          <w:lang w:val="en-GB"/>
        </w:rPr>
        <w:t xml:space="preserve"> </w:t>
      </w:r>
      <w:proofErr w:type="spellStart"/>
      <w:r w:rsidRPr="004C24A6">
        <w:rPr>
          <w:rFonts w:ascii="Arial" w:hAnsi="Arial" w:cs="Arial"/>
          <w:lang w:val="en-GB"/>
        </w:rPr>
        <w:t>signaling</w:t>
      </w:r>
      <w:proofErr w:type="spellEnd"/>
      <w:r w:rsidRPr="004C24A6">
        <w:rPr>
          <w:rFonts w:ascii="Arial" w:hAnsi="Arial" w:cs="Arial"/>
          <w:lang w:val="en-GB"/>
        </w:rPr>
        <w:t xml:space="preserve"> modulators rather than metabolic substrates.  Their influence cascades through intracellular kinase networks specifically activating the AKT/FoxO1 axis to restrain hepatic gluconeogenesis and inhibiting the NF-</w:t>
      </w:r>
      <w:proofErr w:type="spellStart"/>
      <w:r w:rsidRPr="004C24A6">
        <w:rPr>
          <w:rFonts w:ascii="Arial" w:hAnsi="Arial" w:cs="Arial"/>
          <w:lang w:val="en-GB"/>
        </w:rPr>
        <w:t>κB</w:t>
      </w:r>
      <w:proofErr w:type="spellEnd"/>
      <w:r w:rsidRPr="004C24A6">
        <w:rPr>
          <w:rFonts w:ascii="Arial" w:hAnsi="Arial" w:cs="Arial"/>
          <w:lang w:val="en-GB"/>
        </w:rPr>
        <w:t xml:space="preserve"> pathway to mitigate neurovascular inflammation. Consequently, the petal extracts present a preferential clinical profile for managing general metabolic syndrome: they deliver robust </w:t>
      </w:r>
      <w:proofErr w:type="spellStart"/>
      <w:r w:rsidRPr="004C24A6">
        <w:rPr>
          <w:rFonts w:ascii="Arial" w:hAnsi="Arial" w:cs="Arial"/>
          <w:lang w:val="en-GB"/>
        </w:rPr>
        <w:t>glycemic</w:t>
      </w:r>
      <w:proofErr w:type="spellEnd"/>
      <w:r w:rsidRPr="004C24A6">
        <w:rPr>
          <w:rFonts w:ascii="Arial" w:hAnsi="Arial" w:cs="Arial"/>
          <w:lang w:val="en-GB"/>
        </w:rPr>
        <w:t xml:space="preserve"> regulation and vascular protection without the caloric burden or the risk of </w:t>
      </w:r>
      <w:proofErr w:type="spellStart"/>
      <w:r w:rsidRPr="004C24A6">
        <w:rPr>
          <w:rFonts w:ascii="Arial" w:hAnsi="Arial" w:cs="Arial"/>
          <w:lang w:val="en-GB"/>
        </w:rPr>
        <w:t>fueling</w:t>
      </w:r>
      <w:proofErr w:type="spellEnd"/>
      <w:r w:rsidRPr="004C24A6">
        <w:rPr>
          <w:rFonts w:ascii="Arial" w:hAnsi="Arial" w:cs="Arial"/>
          <w:lang w:val="en-GB"/>
        </w:rPr>
        <w:t xml:space="preserve"> arachidonic acid-derived pro-inflammatory eicosanoids associated with high omega-6 lipid intake.</w:t>
      </w:r>
    </w:p>
    <w:p w14:paraId="02D3CF46" w14:textId="77777777" w:rsidR="004C24A6" w:rsidRPr="004C24A6" w:rsidRDefault="004C24A6" w:rsidP="004C24A6">
      <w:pPr>
        <w:spacing w:line="276" w:lineRule="auto"/>
        <w:jc w:val="both"/>
        <w:rPr>
          <w:rFonts w:ascii="Arial" w:hAnsi="Arial" w:cs="Arial"/>
          <w:lang w:val="en-GB"/>
        </w:rPr>
      </w:pPr>
    </w:p>
    <w:p w14:paraId="4A08EADC" w14:textId="6D690A88" w:rsidR="004C24A6" w:rsidRP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t>Integration of Evidence: Gut Microbiota and Metabolism</w:t>
      </w:r>
    </w:p>
    <w:p w14:paraId="6F15B359" w14:textId="77777777" w:rsidR="004C24A6" w:rsidRPr="004C24A6" w:rsidRDefault="004C24A6" w:rsidP="004C24A6">
      <w:pPr>
        <w:spacing w:line="276" w:lineRule="auto"/>
        <w:jc w:val="both"/>
        <w:rPr>
          <w:rFonts w:ascii="Arial" w:hAnsi="Arial" w:cs="Arial"/>
          <w:lang w:val="en-GB"/>
        </w:rPr>
      </w:pPr>
    </w:p>
    <w:p w14:paraId="5326CAEB"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The interaction between bioactive compounds in safflower and the gut microbiota represents a pivotal mechanism underlying metabolic regulation. Evidence from recent studies (Yin et al., 2024; Zhang et al., 2022) suggests that safflower intake extends beyond conventional nutrient absorption effects, exerting a modulatory influence on the composition and functionality of intestinal microbial communities. Specifically, regular consumption of safflower-derived lipids and polyunsaturated fatty acids has been associated with an increase in beneficial bacterial taxa and a reduction in pro-inflammatory microbial populations, which collectively contribute to improved metabolic homeostasis. These microbiome alterations may enhance short-chain fatty acid production, modulate gut barrier integrity, and influence systemic inflammatory </w:t>
      </w:r>
      <w:proofErr w:type="spellStart"/>
      <w:r w:rsidRPr="004C24A6">
        <w:rPr>
          <w:rFonts w:ascii="Arial" w:hAnsi="Arial" w:cs="Arial"/>
          <w:lang w:val="en-GB"/>
        </w:rPr>
        <w:t>signaling</w:t>
      </w:r>
      <w:proofErr w:type="spellEnd"/>
      <w:r w:rsidRPr="004C24A6">
        <w:rPr>
          <w:rFonts w:ascii="Arial" w:hAnsi="Arial" w:cs="Arial"/>
          <w:lang w:val="en-GB"/>
        </w:rPr>
        <w:t xml:space="preserve">, thereby linking dietary safflower directly to lipid metabolism, glucose regulation, and overall metabolic health. Furthermore, the effects appear to be context-dependent, varying according to the host’s baseline microbiota composition, dietary background, and the specific profile of safflower </w:t>
      </w:r>
      <w:proofErr w:type="spellStart"/>
      <w:r w:rsidRPr="004C24A6">
        <w:rPr>
          <w:rFonts w:ascii="Arial" w:hAnsi="Arial" w:cs="Arial"/>
          <w:lang w:val="en-GB"/>
        </w:rPr>
        <w:t>bioactives</w:t>
      </w:r>
      <w:proofErr w:type="spellEnd"/>
      <w:r w:rsidRPr="004C24A6">
        <w:rPr>
          <w:rFonts w:ascii="Arial" w:hAnsi="Arial" w:cs="Arial"/>
          <w:lang w:val="en-GB"/>
        </w:rPr>
        <w:t xml:space="preserve"> administered. This growing body of research highlights the gut-liver-metabolism axis as a crucial pathway through which safflower may exert its protective effects against metabolic dysregulation, emphasizing the potential for microbiota-targeted nutritional interventions in managing metabolic syndrome and related disorders.</w:t>
      </w:r>
    </w:p>
    <w:p w14:paraId="12062591" w14:textId="77777777" w:rsidR="004C24A6" w:rsidRDefault="004C24A6" w:rsidP="004C24A6">
      <w:pPr>
        <w:spacing w:line="276" w:lineRule="auto"/>
        <w:jc w:val="both"/>
        <w:rPr>
          <w:rFonts w:ascii="Arial" w:hAnsi="Arial" w:cs="Arial"/>
          <w:lang w:val="en-GB"/>
        </w:rPr>
      </w:pPr>
      <w:r w:rsidRPr="004C24A6">
        <w:rPr>
          <w:rFonts w:ascii="Arial" w:hAnsi="Arial" w:cs="Arial"/>
          <w:lang w:val="en-GB"/>
        </w:rPr>
        <w:lastRenderedPageBreak/>
        <w:t xml:space="preserve">Safflower petal extracts (SE) have been shown to act as functional prebiotics, selectively </w:t>
      </w:r>
    </w:p>
    <w:p w14:paraId="5E182C52" w14:textId="77777777" w:rsidR="004C24A6" w:rsidRDefault="004C24A6" w:rsidP="004C24A6">
      <w:pPr>
        <w:spacing w:line="276" w:lineRule="auto"/>
        <w:jc w:val="both"/>
        <w:rPr>
          <w:rFonts w:ascii="Arial" w:hAnsi="Arial" w:cs="Arial"/>
          <w:lang w:val="en-GB"/>
        </w:rPr>
      </w:pPr>
    </w:p>
    <w:p w14:paraId="124380C6" w14:textId="10DBDF74" w:rsidR="004C24A6" w:rsidRDefault="004C24A6" w:rsidP="004C24A6">
      <w:pPr>
        <w:spacing w:line="276" w:lineRule="auto"/>
        <w:jc w:val="both"/>
        <w:rPr>
          <w:rFonts w:ascii="Arial" w:hAnsi="Arial" w:cs="Arial"/>
          <w:lang w:val="en-GB"/>
        </w:rPr>
      </w:pPr>
      <w:r w:rsidRPr="004C24A6">
        <w:rPr>
          <w:rFonts w:ascii="Arial" w:hAnsi="Arial" w:cs="Arial"/>
          <w:b/>
          <w:bCs/>
          <w:lang w:val="en-GB"/>
        </w:rPr>
        <w:t>The Gut-Liver-Gluconeogenesis Axis:</w:t>
      </w:r>
      <w:r w:rsidRPr="004C24A6">
        <w:rPr>
          <w:rFonts w:ascii="Arial" w:hAnsi="Arial" w:cs="Arial"/>
          <w:lang w:val="en-GB"/>
        </w:rPr>
        <w:t xml:space="preserve"> enhancing the growth of beneficial gut microbes, notably </w:t>
      </w:r>
      <w:proofErr w:type="spellStart"/>
      <w:r w:rsidRPr="004C24A6">
        <w:rPr>
          <w:rFonts w:ascii="Arial" w:hAnsi="Arial" w:cs="Arial"/>
          <w:lang w:val="en-GB"/>
        </w:rPr>
        <w:t>Akkermansia</w:t>
      </w:r>
      <w:proofErr w:type="spellEnd"/>
      <w:r w:rsidRPr="004C24A6">
        <w:rPr>
          <w:rFonts w:ascii="Arial" w:hAnsi="Arial" w:cs="Arial"/>
          <w:lang w:val="en-GB"/>
        </w:rPr>
        <w:t xml:space="preserve"> </w:t>
      </w:r>
      <w:proofErr w:type="spellStart"/>
      <w:r w:rsidRPr="004C24A6">
        <w:rPr>
          <w:rFonts w:ascii="Arial" w:hAnsi="Arial" w:cs="Arial"/>
          <w:lang w:val="en-GB"/>
        </w:rPr>
        <w:t>muciniphila</w:t>
      </w:r>
      <w:proofErr w:type="spellEnd"/>
      <w:r w:rsidRPr="004C24A6">
        <w:rPr>
          <w:rFonts w:ascii="Arial" w:hAnsi="Arial" w:cs="Arial"/>
          <w:lang w:val="en-GB"/>
        </w:rPr>
        <w:t xml:space="preserve"> and Bacteroides </w:t>
      </w:r>
      <w:proofErr w:type="spellStart"/>
      <w:r w:rsidRPr="004C24A6">
        <w:rPr>
          <w:rFonts w:ascii="Arial" w:hAnsi="Arial" w:cs="Arial"/>
          <w:lang w:val="en-GB"/>
        </w:rPr>
        <w:t>acidifaciens</w:t>
      </w:r>
      <w:proofErr w:type="spellEnd"/>
      <w:r w:rsidRPr="004C24A6">
        <w:rPr>
          <w:rFonts w:ascii="Arial" w:hAnsi="Arial" w:cs="Arial"/>
          <w:lang w:val="en-GB"/>
        </w:rPr>
        <w:t xml:space="preserve">. These bacterial species have been inversely associated with markers of adiposity and elevated blood glucose, suggesting a protective role in metabolic regulation. The enrichment of these microbes appears to modulate host metabolism through the generation of specific metabolites, such as short-chain fatty acids and other microbial-derived </w:t>
      </w:r>
      <w:proofErr w:type="spellStart"/>
      <w:r w:rsidRPr="004C24A6">
        <w:rPr>
          <w:rFonts w:ascii="Arial" w:hAnsi="Arial" w:cs="Arial"/>
          <w:lang w:val="en-GB"/>
        </w:rPr>
        <w:t>signaling</w:t>
      </w:r>
      <w:proofErr w:type="spellEnd"/>
      <w:r w:rsidRPr="004C24A6">
        <w:rPr>
          <w:rFonts w:ascii="Arial" w:hAnsi="Arial" w:cs="Arial"/>
          <w:lang w:val="en-GB"/>
        </w:rPr>
        <w:t xml:space="preserve"> molecules, which are absorbed into the portal circulation and transported directly to the liver. Upon reaching hepatocytes, these microbial metabolites initiate intracellular </w:t>
      </w:r>
      <w:proofErr w:type="spellStart"/>
      <w:r w:rsidRPr="004C24A6">
        <w:rPr>
          <w:rFonts w:ascii="Arial" w:hAnsi="Arial" w:cs="Arial"/>
          <w:lang w:val="en-GB"/>
        </w:rPr>
        <w:t>signaling</w:t>
      </w:r>
      <w:proofErr w:type="spellEnd"/>
      <w:r w:rsidRPr="004C24A6">
        <w:rPr>
          <w:rFonts w:ascii="Arial" w:hAnsi="Arial" w:cs="Arial"/>
          <w:lang w:val="en-GB"/>
        </w:rPr>
        <w:t xml:space="preserve"> cascades that converge on the insulin-AKT pathway. Activation of AKT leads to the phosphorylation of </w:t>
      </w:r>
      <w:proofErr w:type="spellStart"/>
      <w:r w:rsidRPr="004C24A6">
        <w:rPr>
          <w:rFonts w:ascii="Arial" w:hAnsi="Arial" w:cs="Arial"/>
          <w:lang w:val="en-GB"/>
        </w:rPr>
        <w:t>Forkhead</w:t>
      </w:r>
      <w:proofErr w:type="spellEnd"/>
      <w:r w:rsidRPr="004C24A6">
        <w:rPr>
          <w:rFonts w:ascii="Arial" w:hAnsi="Arial" w:cs="Arial"/>
          <w:lang w:val="en-GB"/>
        </w:rPr>
        <w:t xml:space="preserve"> box protein O1 (FoxO1), a transcription factor pivotal in hepatic glucose production. Phosphorylated FoxO1 is excluded from the nucleus, preventing it from binding to the promoter regions of key gluconeogenic genes, including phosphoenolpyruvate </w:t>
      </w:r>
      <w:proofErr w:type="spellStart"/>
      <w:r w:rsidRPr="004C24A6">
        <w:rPr>
          <w:rFonts w:ascii="Arial" w:hAnsi="Arial" w:cs="Arial"/>
          <w:lang w:val="en-GB"/>
        </w:rPr>
        <w:t>carboxykinase</w:t>
      </w:r>
      <w:proofErr w:type="spellEnd"/>
      <w:r w:rsidRPr="004C24A6">
        <w:rPr>
          <w:rFonts w:ascii="Arial" w:hAnsi="Arial" w:cs="Arial"/>
          <w:lang w:val="en-GB"/>
        </w:rPr>
        <w:t xml:space="preserve"> (</w:t>
      </w:r>
      <w:proofErr w:type="spellStart"/>
      <w:r w:rsidRPr="004C24A6">
        <w:rPr>
          <w:rFonts w:ascii="Arial" w:hAnsi="Arial" w:cs="Arial"/>
          <w:lang w:val="en-GB"/>
        </w:rPr>
        <w:t>Pepck</w:t>
      </w:r>
      <w:proofErr w:type="spellEnd"/>
      <w:r w:rsidRPr="004C24A6">
        <w:rPr>
          <w:rFonts w:ascii="Arial" w:hAnsi="Arial" w:cs="Arial"/>
          <w:lang w:val="en-GB"/>
        </w:rPr>
        <w:t>) and glucose-6-phosphatase (G6pase). The suppression of these enzymes results in a marked reduction in hepatic gluconeogenesis, thereby lowering systemic glucose output.</w:t>
      </w:r>
    </w:p>
    <w:p w14:paraId="3F25502C" w14:textId="77777777" w:rsidR="004C24A6" w:rsidRPr="004C24A6" w:rsidRDefault="004C24A6" w:rsidP="004C24A6">
      <w:pPr>
        <w:spacing w:line="276" w:lineRule="auto"/>
        <w:jc w:val="both"/>
        <w:rPr>
          <w:rFonts w:ascii="Arial" w:hAnsi="Arial" w:cs="Arial"/>
          <w:lang w:val="en-GB"/>
        </w:rPr>
      </w:pPr>
    </w:p>
    <w:p w14:paraId="42AFF8E2"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mechanism establishes a direct connection between gut microbial composition and hepatic glucose regulation, illustrating a functional gut–liver axis. In addition to reducing glucose production, SE-mediated modulation of gut microbiota may also influence bile acid metabolism, inflammatory tone, and lipid handling in the liver, further contributing to improved metabolic homeostasis. Overall, the interaction between SE, gut microbiota, and hepatic </w:t>
      </w:r>
      <w:proofErr w:type="spellStart"/>
      <w:r w:rsidRPr="004C24A6">
        <w:rPr>
          <w:rFonts w:ascii="Arial" w:hAnsi="Arial" w:cs="Arial"/>
          <w:lang w:val="en-GB"/>
        </w:rPr>
        <w:t>signaling</w:t>
      </w:r>
      <w:proofErr w:type="spellEnd"/>
      <w:r w:rsidRPr="004C24A6">
        <w:rPr>
          <w:rFonts w:ascii="Arial" w:hAnsi="Arial" w:cs="Arial"/>
          <w:lang w:val="en-GB"/>
        </w:rPr>
        <w:t xml:space="preserve"> underscores the potential of safflower petal extracts as a dietary intervention for mitigating </w:t>
      </w:r>
      <w:proofErr w:type="spellStart"/>
      <w:r w:rsidRPr="004C24A6">
        <w:rPr>
          <w:rFonts w:ascii="Arial" w:hAnsi="Arial" w:cs="Arial"/>
          <w:lang w:val="en-GB"/>
        </w:rPr>
        <w:t>hyperglycemia</w:t>
      </w:r>
      <w:proofErr w:type="spellEnd"/>
      <w:r w:rsidRPr="004C24A6">
        <w:rPr>
          <w:rFonts w:ascii="Arial" w:hAnsi="Arial" w:cs="Arial"/>
          <w:lang w:val="en-GB"/>
        </w:rPr>
        <w:t xml:space="preserve"> and metabolic syndrome through a microbiome-driven pathway.</w:t>
      </w:r>
    </w:p>
    <w:p w14:paraId="25E53BBD" w14:textId="77777777" w:rsidR="004C24A6" w:rsidRPr="004C24A6" w:rsidRDefault="004C24A6" w:rsidP="004C24A6">
      <w:pPr>
        <w:spacing w:line="276" w:lineRule="auto"/>
        <w:jc w:val="both"/>
        <w:rPr>
          <w:rFonts w:ascii="Arial" w:hAnsi="Arial" w:cs="Arial"/>
          <w:lang w:val="en-GB"/>
        </w:rPr>
      </w:pPr>
    </w:p>
    <w:p w14:paraId="73EBBE7B" w14:textId="5A8C1C37" w:rsidR="004C24A6" w:rsidRP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t>Critical Analysis</w:t>
      </w:r>
    </w:p>
    <w:p w14:paraId="1495384D" w14:textId="77777777" w:rsidR="004C24A6" w:rsidRPr="004C24A6" w:rsidRDefault="004C24A6" w:rsidP="004C24A6">
      <w:pPr>
        <w:spacing w:line="276" w:lineRule="auto"/>
        <w:jc w:val="both"/>
        <w:rPr>
          <w:rFonts w:ascii="Arial" w:hAnsi="Arial" w:cs="Arial"/>
          <w:lang w:val="en-GB"/>
        </w:rPr>
      </w:pPr>
    </w:p>
    <w:p w14:paraId="35F7605B"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Scientific Interpretation:</w:t>
      </w:r>
      <w:r w:rsidRPr="004C24A6">
        <w:rPr>
          <w:rFonts w:ascii="Arial" w:hAnsi="Arial" w:cs="Arial"/>
          <w:lang w:val="en-GB"/>
        </w:rPr>
        <w:t xml:space="preserve"> Scientific evidence suggests that safflower oil functions more as a targeted, condition-specific intervention rather than a broad-spectrum therapeutic agent. The high content of linoleic acid appears particularly beneficial in contexts where specific lipid species are critical for cellular function. For example, in rare genetic disorders such as Barth syndrome, linoleic acid plays an essential role in maintaining mitochondrial membrane structure and optimizing oxidative metabolism, acting almost like a “precision nutrient” necessary for proper organelle integrity. In these specialized settings, safflower-derived linoleic acid can exert profound mechanistic effects, supporting energy metabolism and cellular resilience.</w:t>
      </w:r>
    </w:p>
    <w:p w14:paraId="1028C8C0" w14:textId="27EB7BA9" w:rsidR="004C24A6" w:rsidRPr="004C24A6" w:rsidRDefault="004C24A6" w:rsidP="004C24A6">
      <w:pPr>
        <w:spacing w:line="276" w:lineRule="auto"/>
        <w:jc w:val="both"/>
        <w:rPr>
          <w:rFonts w:ascii="Arial" w:hAnsi="Arial" w:cs="Arial"/>
          <w:lang w:val="en-GB"/>
        </w:rPr>
      </w:pPr>
    </w:p>
    <w:p w14:paraId="6E385DA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Conversely, in the landscape of age-associated metabolic disorders such as obesity, insulin resistance, or sarcopenia safflower oil demonstrates more modest or selective benefits. Its lipid-lowering properties are well documented, contributing to reductions in plasma triglycerides and LDL cholesterol, and improving certain cardiovascular risk parameters. However, its influence on anabolic or muscle-maintaining pathways appears limited, suggesting that it does not adequately stimulate protein synthesis or counteract the progressive loss of muscle mass that occurs with aging. As such, while safflower oil is </w:t>
      </w:r>
      <w:r w:rsidRPr="004C24A6">
        <w:rPr>
          <w:rFonts w:ascii="Arial" w:hAnsi="Arial" w:cs="Arial"/>
          <w:lang w:val="en-GB"/>
        </w:rPr>
        <w:lastRenderedPageBreak/>
        <w:t>effective for modulating lipid metabolism, its broader applicability for preventing or reversing multifactorial, age-related metabolic decline is more constrained.</w:t>
      </w:r>
    </w:p>
    <w:p w14:paraId="196E9A4F" w14:textId="77777777" w:rsidR="004C24A6" w:rsidRPr="004C24A6" w:rsidRDefault="004C24A6" w:rsidP="004C24A6">
      <w:pPr>
        <w:spacing w:line="276" w:lineRule="auto"/>
        <w:jc w:val="both"/>
        <w:rPr>
          <w:rFonts w:ascii="Arial" w:hAnsi="Arial" w:cs="Arial"/>
          <w:lang w:val="en-GB"/>
        </w:rPr>
      </w:pPr>
    </w:p>
    <w:p w14:paraId="036D73F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Contradictions and Limitations:</w:t>
      </w:r>
      <w:r w:rsidRPr="004C24A6">
        <w:rPr>
          <w:rFonts w:ascii="Arial" w:hAnsi="Arial" w:cs="Arial"/>
          <w:lang w:val="en-GB"/>
        </w:rPr>
        <w:t xml:space="preserve"> Despite evidence supporting safflower oil’s beneficial impact on several metabolic health indicators, certain contradictions have emerged in recent research that highlight its limitations in specific contexts. One notable concern involves anabolic resistance, particularly in populations at risk of muscle mass decline. While safflower oil has been shown to improve lipid profiles, insulin sensitivity, and inflammatory markers, Nilsson et al. (2024) reported that its administration in obese older adults failed to counteract anabolic resistance when compared to interventions using whey protein or fish oil. This finding indicates that, although safflower oil may enhance systemic metabolic parameters, it appears to be metabolically neutral with respect to skeletal muscle protein synthesis and preservation, suggesting its effects may be tissue-specific rather than uniformly systemic.</w:t>
      </w:r>
    </w:p>
    <w:p w14:paraId="1D223A99" w14:textId="77777777" w:rsidR="004C24A6" w:rsidRPr="004C24A6" w:rsidRDefault="004C24A6" w:rsidP="004C24A6">
      <w:pPr>
        <w:spacing w:line="276" w:lineRule="auto"/>
        <w:jc w:val="both"/>
        <w:rPr>
          <w:rFonts w:ascii="Arial" w:hAnsi="Arial" w:cs="Arial"/>
          <w:lang w:val="en-GB"/>
        </w:rPr>
      </w:pPr>
    </w:p>
    <w:p w14:paraId="19056E5E"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Another limitation pertains to the duration and age-dependency of therapeutic efficacy. Zhu et al. (2024) demonstrated in murine models that the cardioprotective effects of linoleic acid supplementation, a major component of safflower oil, diminished over time. Specifically, the early benefits observed in preventing cardiomyopathy and improving cardiac metabolic function were attenuated as the animals aged, indicating that compensatory metabolic adaptations or age-related reprogramming may reduce responsiveness to long-term supplementation. These observations imply that safflower oil interventions may require careful consideration of the treatment window and age of the target population to maintain effectiveness.</w:t>
      </w:r>
    </w:p>
    <w:p w14:paraId="303B42B6" w14:textId="77777777" w:rsidR="004C24A6" w:rsidRPr="004C24A6" w:rsidRDefault="004C24A6" w:rsidP="004C24A6">
      <w:pPr>
        <w:spacing w:line="276" w:lineRule="auto"/>
        <w:jc w:val="both"/>
        <w:rPr>
          <w:rFonts w:ascii="Arial" w:hAnsi="Arial" w:cs="Arial"/>
          <w:lang w:val="en-GB"/>
        </w:rPr>
      </w:pPr>
    </w:p>
    <w:p w14:paraId="0067DE2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Translational Challenges:</w:t>
      </w:r>
      <w:r w:rsidRPr="004C24A6">
        <w:rPr>
          <w:rFonts w:ascii="Arial" w:hAnsi="Arial" w:cs="Arial"/>
          <w:lang w:val="en-GB"/>
        </w:rPr>
        <w:t xml:space="preserve"> One of the foremost obstacles in translating the promising preclinical findings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into clinical applications is its limited bioavailability. As highlighted by Ren et al. (2025), HSYA exhibits robust neuroprotective effects in vitro, yet its oral absorption in humans is substantially constrained, resulting in subtherapeutic systemic levels when administered through conventional dietary or oral formulations. This pharmacokinetic limitation presents a critical barrier for achieving effective concentrations in target tissues, particularly in the central nervous system, where the blood-brain barrier further restricts compound access. To overcome these challenges, innovative delivery approaches are being investigated. Strategies such as liposomal encapsulation, polymeric nanoparticles, and other nanocarrier systems have the potential to enhance absorption, protect HSYA from enzymatic degradation, and prolong circulation time, thereby improving its translational potential. Moreover, co-administration with absorption enhancers or development of prodrug formulations could further optimize systemic availability. Addressing these bioavailability challenges is essential not only for realizing HSYA’s neuroprotective efficacy in human subjects but also for designing safe, effective, and clinically practical therapeutic regimens that move beyond in vitro promise to in vivo applicability.</w:t>
      </w:r>
    </w:p>
    <w:p w14:paraId="4774D6A3" w14:textId="77777777" w:rsidR="004C24A6" w:rsidRDefault="004C24A6" w:rsidP="004C24A6">
      <w:pPr>
        <w:spacing w:line="276" w:lineRule="auto"/>
        <w:jc w:val="both"/>
        <w:rPr>
          <w:rFonts w:ascii="Arial" w:hAnsi="Arial" w:cs="Arial"/>
          <w:lang w:val="en-GB"/>
        </w:rPr>
      </w:pPr>
    </w:p>
    <w:p w14:paraId="19AEA88D" w14:textId="77777777" w:rsidR="004C24A6" w:rsidRDefault="004C24A6" w:rsidP="004C24A6">
      <w:pPr>
        <w:spacing w:line="276" w:lineRule="auto"/>
        <w:jc w:val="both"/>
        <w:rPr>
          <w:rFonts w:ascii="Arial" w:hAnsi="Arial" w:cs="Arial"/>
          <w:lang w:val="en-GB"/>
        </w:rPr>
      </w:pPr>
    </w:p>
    <w:p w14:paraId="7166C170" w14:textId="77777777" w:rsidR="004C24A6" w:rsidRDefault="004C24A6" w:rsidP="004C24A6">
      <w:pPr>
        <w:spacing w:line="276" w:lineRule="auto"/>
        <w:jc w:val="both"/>
        <w:rPr>
          <w:rFonts w:ascii="Arial" w:hAnsi="Arial" w:cs="Arial"/>
          <w:lang w:val="en-GB"/>
        </w:rPr>
      </w:pPr>
    </w:p>
    <w:p w14:paraId="41E75B19" w14:textId="77777777" w:rsidR="004C24A6" w:rsidRPr="004C24A6" w:rsidRDefault="004C24A6" w:rsidP="004C24A6">
      <w:pPr>
        <w:spacing w:line="276" w:lineRule="auto"/>
        <w:jc w:val="both"/>
        <w:rPr>
          <w:rFonts w:ascii="Arial" w:hAnsi="Arial" w:cs="Arial"/>
          <w:lang w:val="en-GB"/>
        </w:rPr>
      </w:pPr>
    </w:p>
    <w:p w14:paraId="2BC11A2A" w14:textId="5398308D" w:rsidR="004C24A6" w:rsidRPr="004C24A6" w:rsidRDefault="004C24A6" w:rsidP="004C24A6">
      <w:pPr>
        <w:pStyle w:val="ListParagraph"/>
        <w:numPr>
          <w:ilvl w:val="0"/>
          <w:numId w:val="37"/>
        </w:numPr>
        <w:spacing w:line="276" w:lineRule="auto"/>
        <w:jc w:val="both"/>
        <w:rPr>
          <w:rFonts w:ascii="Arial" w:hAnsi="Arial" w:cs="Arial"/>
          <w:lang w:val="en-GB"/>
        </w:rPr>
      </w:pPr>
      <w:r w:rsidRPr="004C24A6">
        <w:rPr>
          <w:rFonts w:ascii="Arial" w:hAnsi="Arial" w:cs="Arial"/>
          <w:b/>
          <w:bCs/>
          <w:lang w:val="en-GB"/>
        </w:rPr>
        <w:lastRenderedPageBreak/>
        <w:t>Future Trends &amp; Emerging Technologies</w:t>
      </w:r>
    </w:p>
    <w:p w14:paraId="64370E1B" w14:textId="77777777" w:rsidR="004C24A6" w:rsidRPr="004C24A6" w:rsidRDefault="004C24A6" w:rsidP="004C24A6">
      <w:pPr>
        <w:spacing w:line="276" w:lineRule="auto"/>
        <w:jc w:val="both"/>
        <w:rPr>
          <w:rFonts w:ascii="Arial" w:hAnsi="Arial" w:cs="Arial"/>
          <w:lang w:val="en-GB"/>
        </w:rPr>
      </w:pPr>
    </w:p>
    <w:p w14:paraId="2A157B0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Industrial Fractionation for Functional Foods:</w:t>
      </w:r>
      <w:r w:rsidRPr="004C24A6">
        <w:rPr>
          <w:rFonts w:ascii="Arial" w:hAnsi="Arial" w:cs="Arial"/>
          <w:lang w:val="en-GB"/>
        </w:rPr>
        <w:t xml:space="preserve"> Recent advances in industrial fat processing have enabled the production of highly specialized </w:t>
      </w:r>
      <w:proofErr w:type="spellStart"/>
      <w:r w:rsidRPr="004C24A6">
        <w:rPr>
          <w:rFonts w:ascii="Arial" w:hAnsi="Arial" w:cs="Arial"/>
          <w:lang w:val="en-GB"/>
        </w:rPr>
        <w:t>oleins</w:t>
      </w:r>
      <w:proofErr w:type="spellEnd"/>
      <w:r w:rsidRPr="004C24A6">
        <w:rPr>
          <w:rFonts w:ascii="Arial" w:hAnsi="Arial" w:cs="Arial"/>
          <w:lang w:val="en-GB"/>
        </w:rPr>
        <w:t xml:space="preserve"> with tailored fatty acid profiles. One notable development is the creation of double-fractionated olein (DFO) through low-temperature crystallization, as described by Khan et al. (2024). This process allows manufacturers to selectively enrich the linoleic acid content of the olein fraction, achieving levels approaching 90%, without relying on chemical solvents, partial hydrogenation, or other potentially harmful chemical modifications. The method leverages precise temperature control and sequential crystallization steps to isolate fractions with optimal unsaturated fatty acid composition while preserving natural bioactive components.</w:t>
      </w:r>
    </w:p>
    <w:p w14:paraId="6BCE60ED" w14:textId="77777777" w:rsidR="004C24A6" w:rsidRPr="004C24A6" w:rsidRDefault="004C24A6" w:rsidP="004C24A6">
      <w:pPr>
        <w:spacing w:line="276" w:lineRule="auto"/>
        <w:jc w:val="both"/>
        <w:rPr>
          <w:rFonts w:ascii="Arial" w:hAnsi="Arial" w:cs="Arial"/>
          <w:lang w:val="en-GB"/>
        </w:rPr>
      </w:pPr>
    </w:p>
    <w:p w14:paraId="151C8AA4"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 availability of such high-purity, linoleic acid–rich </w:t>
      </w:r>
      <w:proofErr w:type="spellStart"/>
      <w:r w:rsidRPr="004C24A6">
        <w:rPr>
          <w:rFonts w:ascii="Arial" w:hAnsi="Arial" w:cs="Arial"/>
          <w:lang w:val="en-GB"/>
        </w:rPr>
        <w:t>oleins</w:t>
      </w:r>
      <w:proofErr w:type="spellEnd"/>
      <w:r w:rsidRPr="004C24A6">
        <w:rPr>
          <w:rFonts w:ascii="Arial" w:hAnsi="Arial" w:cs="Arial"/>
          <w:lang w:val="en-GB"/>
        </w:rPr>
        <w:t xml:space="preserve"> opens opportunities for their incorporation into functional foods and specialized dietary formulations. For instance, these “super-</w:t>
      </w:r>
      <w:proofErr w:type="spellStart"/>
      <w:r w:rsidRPr="004C24A6">
        <w:rPr>
          <w:rFonts w:ascii="Arial" w:hAnsi="Arial" w:cs="Arial"/>
          <w:lang w:val="en-GB"/>
        </w:rPr>
        <w:t>oleins</w:t>
      </w:r>
      <w:proofErr w:type="spellEnd"/>
      <w:r w:rsidRPr="004C24A6">
        <w:rPr>
          <w:rFonts w:ascii="Arial" w:hAnsi="Arial" w:cs="Arial"/>
          <w:lang w:val="en-GB"/>
        </w:rPr>
        <w:t>” can be employed in medical nutrition products targeting cardiovascular health, metabolic syndrome management, or inflammation modulation, where controlled intake of polyunsaturated fatty acids is critical. Beyond their health applications, DFOs can enhance product stability and sensory qualities due to their refined melting characteristics and reduced saturated fat content.</w:t>
      </w:r>
    </w:p>
    <w:p w14:paraId="507ED833" w14:textId="77777777" w:rsidR="004C24A6" w:rsidRPr="004C24A6" w:rsidRDefault="004C24A6" w:rsidP="004C24A6">
      <w:pPr>
        <w:spacing w:line="276" w:lineRule="auto"/>
        <w:jc w:val="both"/>
        <w:rPr>
          <w:rFonts w:ascii="Arial" w:hAnsi="Arial" w:cs="Arial"/>
          <w:lang w:val="en-GB"/>
        </w:rPr>
      </w:pPr>
    </w:p>
    <w:p w14:paraId="02FF6EAD"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Precision Nutrition for Genetic Disorders:</w:t>
      </w:r>
      <w:r w:rsidRPr="004C24A6">
        <w:rPr>
          <w:rFonts w:ascii="Arial" w:hAnsi="Arial" w:cs="Arial"/>
          <w:lang w:val="en-GB"/>
        </w:rPr>
        <w:t xml:space="preserve"> Recent preclinical studies have highlighted the therapeutic potential of safflower oil in mitigating cardiac dysfunction associated with Barth syndrome in mouse models. These findings underscore the broader concept of "Lipid Replacement Therapy," in which targeted dietary fatty acids can compensate for specific enzymatic deficiencies in lipid metabolism. Looking forward, a major focus of precision nutrition is likely to be the integration of patient genotyping for mitochondrial </w:t>
      </w:r>
      <w:proofErr w:type="spellStart"/>
      <w:r w:rsidRPr="004C24A6">
        <w:rPr>
          <w:rFonts w:ascii="Arial" w:hAnsi="Arial" w:cs="Arial"/>
          <w:lang w:val="en-GB"/>
        </w:rPr>
        <w:t>lipidopathies</w:t>
      </w:r>
      <w:proofErr w:type="spellEnd"/>
      <w:r w:rsidRPr="004C24A6">
        <w:rPr>
          <w:rFonts w:ascii="Arial" w:hAnsi="Arial" w:cs="Arial"/>
          <w:lang w:val="en-GB"/>
        </w:rPr>
        <w:t xml:space="preserve"> and related genetic disorders. By understanding an individual’s unique genetic and metabolic profile, clinicians and nutritionists could tailor fatty acid interventions such as supplementation with high-linoleic safflower oil to bypass defective enzymatic pathways, restore mitochondrial membrane integrity, and improve cellular bioenergetics. This approach represents a paradigm shift from generalized dietary recommendations toward highly personalized nutritional strategies, where fatty acid composition, dosage, and timing are calibrated to optimize metabolic outcomes and mitigate disease-specific pathophysiology. Additionally, combining genetic profiling with biomarkers of lipid metabolism and mitochondrial function could refine patient stratification and enhance the efficacy of dietary interventions. As research progresses, precision lipid nutrition may become a cornerstone for managing hereditary metabolic disorders, providing a non-pharmacological, diet-based means to complement conventional therapies and improve quality of life.</w:t>
      </w:r>
    </w:p>
    <w:p w14:paraId="7F3BCFB4" w14:textId="77777777" w:rsidR="004C24A6" w:rsidRPr="004C24A6" w:rsidRDefault="004C24A6" w:rsidP="004C24A6">
      <w:pPr>
        <w:spacing w:line="276" w:lineRule="auto"/>
        <w:jc w:val="both"/>
        <w:rPr>
          <w:rFonts w:ascii="Arial" w:hAnsi="Arial" w:cs="Arial"/>
          <w:lang w:val="en-GB"/>
        </w:rPr>
      </w:pPr>
    </w:p>
    <w:p w14:paraId="1C45A610" w14:textId="77777777" w:rsidR="004C24A6" w:rsidRDefault="004C24A6" w:rsidP="004C24A6">
      <w:pPr>
        <w:spacing w:line="276" w:lineRule="auto"/>
        <w:jc w:val="both"/>
        <w:rPr>
          <w:rFonts w:ascii="Arial" w:hAnsi="Arial" w:cs="Arial"/>
          <w:b/>
          <w:bCs/>
          <w:lang w:val="en-GB"/>
        </w:rPr>
      </w:pPr>
      <w:r w:rsidRPr="004C24A6">
        <w:rPr>
          <w:rFonts w:ascii="Arial" w:hAnsi="Arial" w:cs="Arial"/>
          <w:b/>
          <w:bCs/>
          <w:lang w:val="en-GB"/>
        </w:rPr>
        <w:t>Microbiome-Targeted Therapeutics</w:t>
      </w:r>
    </w:p>
    <w:p w14:paraId="5882FB92" w14:textId="77777777" w:rsidR="004C24A6" w:rsidRPr="004C24A6" w:rsidRDefault="004C24A6" w:rsidP="004C24A6">
      <w:pPr>
        <w:spacing w:line="276" w:lineRule="auto"/>
        <w:jc w:val="both"/>
        <w:rPr>
          <w:rFonts w:ascii="Arial" w:hAnsi="Arial" w:cs="Arial"/>
          <w:b/>
          <w:bCs/>
          <w:lang w:val="en-GB"/>
        </w:rPr>
      </w:pPr>
    </w:p>
    <w:p w14:paraId="370064AB"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Emerging research highlights the unique capacity of safflower petal extracts (SE) to selectively promote the growth of beneficial gut microbes, particularly </w:t>
      </w:r>
      <w:proofErr w:type="spellStart"/>
      <w:r w:rsidRPr="004C24A6">
        <w:rPr>
          <w:rFonts w:ascii="Arial" w:hAnsi="Arial" w:cs="Arial"/>
          <w:lang w:val="en-GB"/>
        </w:rPr>
        <w:t>Akkermansia</w:t>
      </w:r>
      <w:proofErr w:type="spellEnd"/>
      <w:r w:rsidRPr="004C24A6">
        <w:rPr>
          <w:rFonts w:ascii="Arial" w:hAnsi="Arial" w:cs="Arial"/>
          <w:lang w:val="en-GB"/>
        </w:rPr>
        <w:t xml:space="preserve"> </w:t>
      </w:r>
      <w:proofErr w:type="spellStart"/>
      <w:r w:rsidRPr="004C24A6">
        <w:rPr>
          <w:rFonts w:ascii="Arial" w:hAnsi="Arial" w:cs="Arial"/>
          <w:lang w:val="en-GB"/>
        </w:rPr>
        <w:t>muciniphila</w:t>
      </w:r>
      <w:proofErr w:type="spellEnd"/>
      <w:r w:rsidRPr="004C24A6">
        <w:rPr>
          <w:rFonts w:ascii="Arial" w:hAnsi="Arial" w:cs="Arial"/>
          <w:lang w:val="en-GB"/>
        </w:rPr>
        <w:t xml:space="preserve">. This targeted modulation of the intestinal microbiome opens a promising avenue for therapeutic intervention in metabolic disorders such as Type 2 Diabetes (T2D). Unlike conventional probiotics, which broadly introduce microbial species without specificity, </w:t>
      </w:r>
      <w:r w:rsidRPr="004C24A6">
        <w:rPr>
          <w:rFonts w:ascii="Arial" w:hAnsi="Arial" w:cs="Arial"/>
          <w:lang w:val="en-GB"/>
        </w:rPr>
        <w:lastRenderedPageBreak/>
        <w:t xml:space="preserve">SE appears to act as a prebiotic with precise microbial targets, fostering the expansion of bacterial populations closely associated with improved metabolic homeostasis and enhanced gut barrier integrity. By encouraging the proliferation of </w:t>
      </w:r>
      <w:proofErr w:type="spellStart"/>
      <w:r w:rsidRPr="004C24A6">
        <w:rPr>
          <w:rFonts w:ascii="Arial" w:hAnsi="Arial" w:cs="Arial"/>
          <w:lang w:val="en-GB"/>
        </w:rPr>
        <w:t>Akkermansia</w:t>
      </w:r>
      <w:proofErr w:type="spellEnd"/>
      <w:r w:rsidRPr="004C24A6">
        <w:rPr>
          <w:rFonts w:ascii="Arial" w:hAnsi="Arial" w:cs="Arial"/>
          <w:lang w:val="en-GB"/>
        </w:rPr>
        <w:t xml:space="preserve">, SE may help restore microbial diversity and ameliorate dysbiosis, which is increasingly recognized as a contributing factor in insulin resistance and chronic low-grade inflammation. Consequently, safflower-derived interventions could offer a complementary, non-pharmaceutical strategy for </w:t>
      </w:r>
      <w:proofErr w:type="spellStart"/>
      <w:r w:rsidRPr="004C24A6">
        <w:rPr>
          <w:rFonts w:ascii="Arial" w:hAnsi="Arial" w:cs="Arial"/>
          <w:lang w:val="en-GB"/>
        </w:rPr>
        <w:t>glycemic</w:t>
      </w:r>
      <w:proofErr w:type="spellEnd"/>
      <w:r w:rsidRPr="004C24A6">
        <w:rPr>
          <w:rFonts w:ascii="Arial" w:hAnsi="Arial" w:cs="Arial"/>
          <w:lang w:val="en-GB"/>
        </w:rPr>
        <w:t xml:space="preserve"> regulation, reducing reliance on traditional pharmacotherapy and mitigating associated side effects. Future studies are warranted to optimize dosing, elucidate the mechanistic pathways linking SE to microbial-mediated metabolic improvements, and assess long-term safety and efficacy in human populations (Yin et al., 2024).</w:t>
      </w:r>
    </w:p>
    <w:p w14:paraId="154C1163" w14:textId="77777777" w:rsidR="004C24A6" w:rsidRPr="004C24A6" w:rsidRDefault="004C24A6" w:rsidP="004C24A6">
      <w:pPr>
        <w:spacing w:line="276" w:lineRule="auto"/>
        <w:jc w:val="both"/>
        <w:rPr>
          <w:rFonts w:ascii="Arial" w:hAnsi="Arial" w:cs="Arial"/>
          <w:lang w:val="en-GB"/>
        </w:rPr>
      </w:pPr>
    </w:p>
    <w:p w14:paraId="0C496BAB" w14:textId="596D0D94" w:rsidR="004C24A6" w:rsidRDefault="004C24A6" w:rsidP="004C24A6">
      <w:pPr>
        <w:spacing w:line="276" w:lineRule="auto"/>
        <w:jc w:val="both"/>
        <w:rPr>
          <w:rFonts w:ascii="Arial" w:hAnsi="Arial" w:cs="Arial"/>
          <w:b/>
          <w:bCs/>
          <w:lang w:val="en-GB"/>
        </w:rPr>
      </w:pPr>
      <w:r w:rsidRPr="004C24A6">
        <w:rPr>
          <w:rFonts w:ascii="Arial" w:hAnsi="Arial" w:cs="Arial"/>
          <w:b/>
          <w:bCs/>
          <w:lang w:val="en-GB"/>
        </w:rPr>
        <w:t xml:space="preserve">CONCLUSION: </w:t>
      </w:r>
    </w:p>
    <w:p w14:paraId="161FCBFC" w14:textId="77777777" w:rsidR="004C24A6" w:rsidRDefault="004C24A6" w:rsidP="004C24A6">
      <w:pPr>
        <w:spacing w:line="276" w:lineRule="auto"/>
        <w:jc w:val="both"/>
        <w:rPr>
          <w:rFonts w:ascii="Arial" w:hAnsi="Arial" w:cs="Arial"/>
          <w:b/>
          <w:bCs/>
          <w:lang w:val="en-GB"/>
        </w:rPr>
      </w:pPr>
    </w:p>
    <w:p w14:paraId="436F4619" w14:textId="1A38B376" w:rsidR="004C24A6" w:rsidRPr="004C24A6" w:rsidRDefault="004C24A6" w:rsidP="004C24A6">
      <w:pPr>
        <w:spacing w:line="276" w:lineRule="auto"/>
        <w:jc w:val="both"/>
        <w:rPr>
          <w:rFonts w:ascii="Arial" w:hAnsi="Arial" w:cs="Arial"/>
          <w:b/>
          <w:bCs/>
          <w:lang w:val="en-GB"/>
        </w:rPr>
      </w:pPr>
      <w:r w:rsidRPr="004C24A6">
        <w:rPr>
          <w:rFonts w:ascii="Arial" w:hAnsi="Arial" w:cs="Arial"/>
          <w:lang w:val="en-GB"/>
        </w:rPr>
        <w:t xml:space="preserve">Safflower-derived products, including high-linoleic oil and flavonoid-rich petal extracts, represent a versatile nutritional strategy for addressing specific components of metabolic syndrome. Mechanistic studies suggest that safflower oil can enhance lipid metabolism, lower plasma triglycerides and LDL cholesterol, and support cardiolipin </w:t>
      </w:r>
      <w:proofErr w:type="spellStart"/>
      <w:r w:rsidRPr="004C24A6">
        <w:rPr>
          <w:rFonts w:ascii="Arial" w:hAnsi="Arial" w:cs="Arial"/>
          <w:lang w:val="en-GB"/>
        </w:rPr>
        <w:t>remodeling</w:t>
      </w:r>
      <w:proofErr w:type="spellEnd"/>
      <w:r w:rsidRPr="004C24A6">
        <w:rPr>
          <w:rFonts w:ascii="Arial" w:hAnsi="Arial" w:cs="Arial"/>
          <w:lang w:val="en-GB"/>
        </w:rPr>
        <w:t xml:space="preserve"> in mitochondrial membranes, particularly in rare genetic lipid disorders such as Barth syndrome. Petal extracts, conversely, provide a largely non-caloric, </w:t>
      </w:r>
      <w:proofErr w:type="spellStart"/>
      <w:r w:rsidRPr="004C24A6">
        <w:rPr>
          <w:rFonts w:ascii="Arial" w:hAnsi="Arial" w:cs="Arial"/>
          <w:lang w:val="en-GB"/>
        </w:rPr>
        <w:t>signaling</w:t>
      </w:r>
      <w:proofErr w:type="spellEnd"/>
      <w:r w:rsidRPr="004C24A6">
        <w:rPr>
          <w:rFonts w:ascii="Arial" w:hAnsi="Arial" w:cs="Arial"/>
          <w:lang w:val="en-GB"/>
        </w:rPr>
        <w:t>-focused approach, improving glucose homeostasis by modulating hepatic gluconeogenesis through the AKT/FoxO1 axis while simultaneously mitigating inflammation via NF-</w:t>
      </w:r>
      <w:proofErr w:type="spellStart"/>
      <w:r w:rsidRPr="004C24A6">
        <w:rPr>
          <w:rFonts w:ascii="Arial" w:hAnsi="Arial" w:cs="Arial"/>
          <w:lang w:val="en-GB"/>
        </w:rPr>
        <w:t>κB</w:t>
      </w:r>
      <w:proofErr w:type="spellEnd"/>
      <w:r w:rsidRPr="004C24A6">
        <w:rPr>
          <w:rFonts w:ascii="Arial" w:hAnsi="Arial" w:cs="Arial"/>
          <w:lang w:val="en-GB"/>
        </w:rPr>
        <w:t xml:space="preserve"> inhibition and Nrf2 activation. Together, these interventions offer multi-faceted benefits that extend beyond simple nutrient supplementation, encompassing antioxidant </w:t>
      </w:r>
      <w:proofErr w:type="spellStart"/>
      <w:r w:rsidRPr="004C24A6">
        <w:rPr>
          <w:rFonts w:ascii="Arial" w:hAnsi="Arial" w:cs="Arial"/>
          <w:lang w:val="en-GB"/>
        </w:rPr>
        <w:t>defense</w:t>
      </w:r>
      <w:proofErr w:type="spellEnd"/>
      <w:r w:rsidRPr="004C24A6">
        <w:rPr>
          <w:rFonts w:ascii="Arial" w:hAnsi="Arial" w:cs="Arial"/>
          <w:lang w:val="en-GB"/>
        </w:rPr>
        <w:t>, vascular protection, and microbiome-mediated metabolic regulation.</w:t>
      </w:r>
    </w:p>
    <w:p w14:paraId="525B955B"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However, the efficacy of safflower is context-dependent. While robust in rare </w:t>
      </w:r>
      <w:proofErr w:type="spellStart"/>
      <w:r w:rsidRPr="004C24A6">
        <w:rPr>
          <w:rFonts w:ascii="Arial" w:hAnsi="Arial" w:cs="Arial"/>
          <w:lang w:val="en-GB"/>
        </w:rPr>
        <w:t>lipidopathies</w:t>
      </w:r>
      <w:proofErr w:type="spellEnd"/>
      <w:r w:rsidRPr="004C24A6">
        <w:rPr>
          <w:rFonts w:ascii="Arial" w:hAnsi="Arial" w:cs="Arial"/>
          <w:lang w:val="en-GB"/>
        </w:rPr>
        <w:t xml:space="preserve"> and for modulating lipid profiles, its impact on anabolic resistance, muscle maintenance, and systemic inflammation may be limited compared to omega-3-enriched oils or protein-based interventions. Translational challenges, including variability in bioactive content, optimal dosing, and limited bioavailability of key flavonoids like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emphasize the need for refined delivery systems and targeted nutritional strategies. Additionally, interactions with the gut microbiota highlight an emerging mechanistic dimension, wherein safflower components act as prebiotic modulators to improve metabolic homeostasis via the gut-liver axis. Future directions should prioritize precision nutrition approaches, integrating genetic and metabolic profiling to tailor interventions, alongside continued exploration of microbiome-targeted therapies and industrial fractionation methods to enhance bioactive enrichment. Safflower’s dual capacity to provide essential fatty acids and bioactive phytochemicals positions it as a promising adjunct to conventional lifestyle and pharmacological interventions. While not a universal solution, when applied judiciously within a well-characterized metabolic context, safflower-based strategies offer meaningful potential to improve cardiometabolic outcomes, supporting both preventive and therapeutic goals in populations at risk for metabolic syndrome.</w:t>
      </w:r>
    </w:p>
    <w:p w14:paraId="53619AC3" w14:textId="77777777" w:rsidR="004C24A6" w:rsidRDefault="004C24A6" w:rsidP="004C24A6">
      <w:pPr>
        <w:spacing w:line="276" w:lineRule="auto"/>
        <w:jc w:val="both"/>
        <w:rPr>
          <w:rFonts w:ascii="Arial" w:hAnsi="Arial" w:cs="Arial"/>
          <w:lang w:val="en-GB"/>
        </w:rPr>
      </w:pPr>
    </w:p>
    <w:p w14:paraId="0DDF8FC3" w14:textId="77777777" w:rsidR="004C24A6" w:rsidRPr="00C5112D" w:rsidRDefault="004C24A6" w:rsidP="004C24A6">
      <w:pPr>
        <w:pStyle w:val="Body"/>
        <w:rPr>
          <w:rFonts w:ascii="Arial" w:hAnsi="Arial" w:cs="Arial"/>
          <w:lang w:val="en-GB"/>
        </w:rPr>
      </w:pPr>
      <w:r w:rsidRPr="00C5112D">
        <w:rPr>
          <w:rFonts w:ascii="Arial" w:hAnsi="Arial" w:cs="Arial"/>
          <w:b/>
          <w:bCs/>
          <w:lang w:val="en-GB"/>
        </w:rPr>
        <w:t>COMPETING INTERESTS DISCLAIMER:</w:t>
      </w:r>
    </w:p>
    <w:p w14:paraId="549AD6FF" w14:textId="77777777" w:rsidR="004C24A6" w:rsidRPr="00C5112D" w:rsidRDefault="004C24A6" w:rsidP="004C24A6">
      <w:pPr>
        <w:pStyle w:val="Body"/>
        <w:rPr>
          <w:rFonts w:ascii="Arial" w:hAnsi="Arial" w:cs="Arial"/>
          <w:lang w:val="en-GB"/>
        </w:rPr>
      </w:pPr>
      <w:r w:rsidRPr="00C5112D">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5336E674" w14:textId="77777777" w:rsidR="004C24A6" w:rsidRPr="00786D36" w:rsidRDefault="004C24A6" w:rsidP="004C24A6">
      <w:pPr>
        <w:pStyle w:val="ReferHead"/>
        <w:spacing w:after="0"/>
        <w:jc w:val="both"/>
        <w:rPr>
          <w:rFonts w:ascii="Arial" w:hAnsi="Arial" w:cs="Arial"/>
          <w:bCs/>
        </w:rPr>
      </w:pPr>
      <w:r w:rsidRPr="00786D36">
        <w:rPr>
          <w:rFonts w:ascii="Arial" w:hAnsi="Arial" w:cs="Arial"/>
          <w:bCs/>
        </w:rPr>
        <w:lastRenderedPageBreak/>
        <w:t>Competing interests</w:t>
      </w:r>
    </w:p>
    <w:p w14:paraId="7C33C69B" w14:textId="77777777" w:rsidR="004C24A6" w:rsidRPr="00786D36" w:rsidRDefault="004C24A6" w:rsidP="004C24A6">
      <w:pPr>
        <w:pStyle w:val="ReferHead"/>
        <w:spacing w:after="0"/>
        <w:jc w:val="both"/>
        <w:rPr>
          <w:rFonts w:ascii="Arial" w:hAnsi="Arial" w:cs="Arial"/>
        </w:rPr>
      </w:pPr>
    </w:p>
    <w:p w14:paraId="695719AC" w14:textId="77777777" w:rsidR="004C24A6" w:rsidRPr="00E85534" w:rsidRDefault="004C24A6" w:rsidP="004C24A6">
      <w:pPr>
        <w:pStyle w:val="ReferHead"/>
        <w:spacing w:after="0"/>
        <w:jc w:val="both"/>
        <w:rPr>
          <w:rFonts w:ascii="Arial" w:hAnsi="Arial" w:cs="Arial"/>
          <w:b w:val="0"/>
          <w:caps w:val="0"/>
          <w:sz w:val="20"/>
        </w:rPr>
      </w:pPr>
      <w:r w:rsidRPr="00E85534">
        <w:rPr>
          <w:rFonts w:ascii="Arial" w:hAnsi="Arial" w:cs="Arial"/>
          <w:b w:val="0"/>
          <w:caps w:val="0"/>
          <w:sz w:val="20"/>
        </w:rPr>
        <w:t>Authors have declared that they have no known competing financial interests OR non-</w:t>
      </w:r>
    </w:p>
    <w:p w14:paraId="4D80D4F1" w14:textId="77777777" w:rsidR="004C24A6" w:rsidRPr="00E85534" w:rsidRDefault="004C24A6" w:rsidP="004C24A6">
      <w:pPr>
        <w:pStyle w:val="ReferHead"/>
        <w:spacing w:after="0"/>
        <w:jc w:val="both"/>
        <w:rPr>
          <w:rFonts w:ascii="Arial" w:hAnsi="Arial" w:cs="Arial"/>
          <w:b w:val="0"/>
          <w:caps w:val="0"/>
          <w:sz w:val="20"/>
        </w:rPr>
      </w:pPr>
      <w:r w:rsidRPr="00E85534">
        <w:rPr>
          <w:rFonts w:ascii="Arial" w:hAnsi="Arial" w:cs="Arial"/>
          <w:b w:val="0"/>
          <w:caps w:val="0"/>
          <w:sz w:val="20"/>
        </w:rPr>
        <w:t>financial interests OR personal relationships that could have appeared to influence the work</w:t>
      </w:r>
    </w:p>
    <w:p w14:paraId="62760C3F" w14:textId="77777777" w:rsidR="004C24A6" w:rsidRDefault="004C24A6" w:rsidP="004C24A6">
      <w:pPr>
        <w:pStyle w:val="ReferHead"/>
        <w:jc w:val="both"/>
        <w:rPr>
          <w:rFonts w:ascii="Arial" w:hAnsi="Arial" w:cs="Arial"/>
          <w:b w:val="0"/>
          <w:caps w:val="0"/>
          <w:sz w:val="20"/>
        </w:rPr>
      </w:pPr>
      <w:r w:rsidRPr="00E85534">
        <w:rPr>
          <w:rFonts w:ascii="Arial" w:hAnsi="Arial" w:cs="Arial"/>
          <w:b w:val="0"/>
          <w:caps w:val="0"/>
          <w:sz w:val="20"/>
        </w:rPr>
        <w:t>reported in this paper.</w:t>
      </w:r>
    </w:p>
    <w:p w14:paraId="65C0BFE6" w14:textId="77777777" w:rsidR="004C24A6" w:rsidRDefault="004C24A6" w:rsidP="004C24A6">
      <w:pPr>
        <w:pStyle w:val="ReferHead"/>
        <w:jc w:val="both"/>
        <w:rPr>
          <w:rFonts w:ascii="Arial" w:hAnsi="Arial" w:cs="Arial"/>
          <w:b w:val="0"/>
          <w:caps w:val="0"/>
          <w:sz w:val="20"/>
        </w:rPr>
      </w:pPr>
      <w:r w:rsidRPr="00783084">
        <w:rPr>
          <w:rFonts w:ascii="Arial" w:hAnsi="Arial" w:cs="Arial"/>
          <w:b w:val="0"/>
          <w:caps w:val="0"/>
          <w:sz w:val="20"/>
        </w:rPr>
        <w:t>Author(s) hereby declare that generative AI technologies such as Large Language Models have been used during the writing or editing of the manuscript. This explanation includes the name, version, model, and source of the generative AI technology, as well as the general nature of the input prompts provided.</w:t>
      </w:r>
    </w:p>
    <w:p w14:paraId="2E8ED3CA" w14:textId="77777777" w:rsidR="004C24A6" w:rsidRPr="00BA5C08" w:rsidRDefault="004C24A6" w:rsidP="004C24A6">
      <w:pPr>
        <w:pStyle w:val="ReferHead"/>
        <w:jc w:val="both"/>
        <w:rPr>
          <w:rFonts w:ascii="Arial" w:hAnsi="Arial" w:cs="Arial"/>
          <w:b w:val="0"/>
          <w:caps w:val="0"/>
          <w:sz w:val="20"/>
          <w:highlight w:val="yellow"/>
        </w:rPr>
      </w:pPr>
      <w:r w:rsidRPr="00BA5C08">
        <w:rPr>
          <w:rFonts w:ascii="Arial" w:hAnsi="Arial" w:cs="Arial"/>
          <w:b w:val="0"/>
          <w:caps w:val="0"/>
          <w:sz w:val="20"/>
          <w:highlight w:val="yellow"/>
        </w:rPr>
        <w:t>Details of the AI usage are given below:</w:t>
      </w:r>
    </w:p>
    <w:p w14:paraId="385FC22D" w14:textId="77777777" w:rsidR="004C24A6" w:rsidRPr="00BA5C08" w:rsidRDefault="004C24A6" w:rsidP="004C24A6">
      <w:pPr>
        <w:pStyle w:val="ReferHead"/>
        <w:numPr>
          <w:ilvl w:val="0"/>
          <w:numId w:val="34"/>
        </w:numPr>
        <w:jc w:val="both"/>
        <w:rPr>
          <w:rFonts w:ascii="Arial" w:hAnsi="Arial" w:cs="Arial"/>
          <w:b w:val="0"/>
          <w:caps w:val="0"/>
          <w:sz w:val="20"/>
          <w:highlight w:val="yellow"/>
        </w:rPr>
      </w:pPr>
      <w:proofErr w:type="spellStart"/>
      <w:r w:rsidRPr="00BA5C08">
        <w:rPr>
          <w:rFonts w:ascii="Arial" w:hAnsi="Arial" w:cs="Arial"/>
          <w:b w:val="0"/>
          <w:caps w:val="0"/>
          <w:sz w:val="20"/>
          <w:highlight w:val="yellow"/>
        </w:rPr>
        <w:t>ChatGPT</w:t>
      </w:r>
      <w:proofErr w:type="spellEnd"/>
      <w:r w:rsidRPr="00BA5C08">
        <w:rPr>
          <w:rFonts w:ascii="Arial" w:hAnsi="Arial" w:cs="Arial"/>
          <w:b w:val="0"/>
          <w:caps w:val="0"/>
          <w:sz w:val="20"/>
          <w:highlight w:val="yellow"/>
        </w:rPr>
        <w:t xml:space="preserve"> (GPT-5.1), developed by </w:t>
      </w:r>
      <w:proofErr w:type="spellStart"/>
      <w:r w:rsidRPr="00BA5C08">
        <w:rPr>
          <w:rFonts w:ascii="Arial" w:hAnsi="Arial" w:cs="Arial"/>
          <w:b w:val="0"/>
          <w:caps w:val="0"/>
          <w:sz w:val="20"/>
          <w:highlight w:val="yellow"/>
        </w:rPr>
        <w:t>OpenAI</w:t>
      </w:r>
      <w:proofErr w:type="spellEnd"/>
      <w:r w:rsidRPr="00BA5C08">
        <w:rPr>
          <w:rFonts w:ascii="Arial" w:hAnsi="Arial" w:cs="Arial"/>
          <w:b w:val="0"/>
          <w:caps w:val="0"/>
          <w:sz w:val="20"/>
          <w:highlight w:val="yellow"/>
        </w:rPr>
        <w:t xml:space="preserve"> and accessed through the official </w:t>
      </w:r>
      <w:proofErr w:type="spellStart"/>
      <w:r w:rsidRPr="00BA5C08">
        <w:rPr>
          <w:rFonts w:ascii="Arial" w:hAnsi="Arial" w:cs="Arial"/>
          <w:b w:val="0"/>
          <w:caps w:val="0"/>
          <w:sz w:val="20"/>
          <w:highlight w:val="yellow"/>
        </w:rPr>
        <w:t>ChatGPT</w:t>
      </w:r>
      <w:proofErr w:type="spellEnd"/>
      <w:r w:rsidRPr="00BA5C08">
        <w:rPr>
          <w:rFonts w:ascii="Arial" w:hAnsi="Arial" w:cs="Arial"/>
          <w:b w:val="0"/>
          <w:caps w:val="0"/>
          <w:sz w:val="20"/>
          <w:highlight w:val="yellow"/>
        </w:rPr>
        <w:t xml:space="preserve"> platform, was used exclusively for improving English language proficiency during manuscript preparation. The assistance included grammar correction, sentence restructuring, clarity enhancement, and refinement of academic tone. Typical prompts included requests such as: “Improve the English grammar and flow of this paragraph, “Rewrite this sentence in a more academic style,” and “Enhance clarity and coherence without changing the scientific meaning.”</w:t>
      </w:r>
    </w:p>
    <w:p w14:paraId="4CA9115D" w14:textId="77777777" w:rsidR="004C24A6" w:rsidRPr="00783084" w:rsidRDefault="004C24A6" w:rsidP="004C24A6">
      <w:pPr>
        <w:pStyle w:val="ReferHead"/>
        <w:jc w:val="both"/>
        <w:rPr>
          <w:rFonts w:ascii="Arial" w:hAnsi="Arial" w:cs="Arial"/>
          <w:b w:val="0"/>
          <w:caps w:val="0"/>
          <w:sz w:val="20"/>
        </w:rPr>
      </w:pPr>
      <w:r w:rsidRPr="00783084">
        <w:rPr>
          <w:rFonts w:ascii="Arial" w:hAnsi="Arial" w:cs="Arial"/>
          <w:b w:val="0"/>
          <w:caps w:val="0"/>
          <w:sz w:val="20"/>
          <w:highlight w:val="yellow"/>
        </w:rPr>
        <w:t>No AI tools were used for data analysis, interpretation of results, creation of scientific</w:t>
      </w:r>
      <w:r w:rsidRPr="00BA5C08">
        <w:rPr>
          <w:rFonts w:ascii="Arial" w:hAnsi="Arial" w:cs="Arial"/>
          <w:b w:val="0"/>
          <w:caps w:val="0"/>
          <w:sz w:val="20"/>
          <w:highlight w:val="yellow"/>
        </w:rPr>
        <w:t xml:space="preserve"> </w:t>
      </w:r>
      <w:r w:rsidRPr="00783084">
        <w:rPr>
          <w:rFonts w:ascii="Arial" w:hAnsi="Arial" w:cs="Arial"/>
          <w:b w:val="0"/>
          <w:caps w:val="0"/>
          <w:sz w:val="20"/>
          <w:highlight w:val="yellow"/>
        </w:rPr>
        <w:t>content, or generating novel ideas. All scientific content, conclusions, and interpretations are</w:t>
      </w:r>
      <w:r w:rsidRPr="00BA5C08">
        <w:rPr>
          <w:rFonts w:ascii="Arial" w:hAnsi="Arial" w:cs="Arial"/>
          <w:b w:val="0"/>
          <w:caps w:val="0"/>
          <w:sz w:val="20"/>
          <w:highlight w:val="yellow"/>
        </w:rPr>
        <w:t xml:space="preserve"> solely the work of the authors.</w:t>
      </w:r>
    </w:p>
    <w:p w14:paraId="0D0BEE89" w14:textId="77777777" w:rsidR="004C24A6" w:rsidRDefault="004C24A6" w:rsidP="004C24A6">
      <w:pPr>
        <w:pStyle w:val="ReferHead"/>
        <w:spacing w:after="0"/>
        <w:jc w:val="both"/>
        <w:rPr>
          <w:rFonts w:ascii="Arial" w:hAnsi="Arial" w:cs="Arial"/>
        </w:rPr>
      </w:pPr>
    </w:p>
    <w:p w14:paraId="1DCAB7C4" w14:textId="77777777" w:rsidR="004C24A6" w:rsidRDefault="004C24A6" w:rsidP="004C24A6">
      <w:pPr>
        <w:pStyle w:val="ReferHead"/>
        <w:spacing w:after="0"/>
        <w:jc w:val="both"/>
        <w:rPr>
          <w:rFonts w:ascii="Arial" w:hAnsi="Arial" w:cs="Arial"/>
        </w:rPr>
      </w:pPr>
      <w:r w:rsidRPr="00FB3A86">
        <w:rPr>
          <w:rFonts w:ascii="Arial" w:hAnsi="Arial" w:cs="Arial"/>
        </w:rPr>
        <w:t>References</w:t>
      </w:r>
    </w:p>
    <w:p w14:paraId="1FC90D12" w14:textId="4DED0524"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 </w:t>
      </w:r>
    </w:p>
    <w:p w14:paraId="7F073557"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proofErr w:type="spellStart"/>
      <w:r w:rsidRPr="004C24A6">
        <w:rPr>
          <w:rFonts w:ascii="Arial" w:hAnsi="Arial" w:cs="Arial"/>
          <w:lang w:val="en-GB"/>
        </w:rPr>
        <w:t>Abushal</w:t>
      </w:r>
      <w:proofErr w:type="spellEnd"/>
      <w:r w:rsidRPr="004C24A6">
        <w:rPr>
          <w:rFonts w:ascii="Arial" w:hAnsi="Arial" w:cs="Arial"/>
          <w:lang w:val="en-GB"/>
        </w:rPr>
        <w:t xml:space="preserve">, S. A., </w:t>
      </w:r>
      <w:proofErr w:type="spellStart"/>
      <w:r w:rsidRPr="004C24A6">
        <w:rPr>
          <w:rFonts w:ascii="Arial" w:hAnsi="Arial" w:cs="Arial"/>
          <w:lang w:val="en-GB"/>
        </w:rPr>
        <w:t>Alqahtani</w:t>
      </w:r>
      <w:proofErr w:type="spellEnd"/>
      <w:r w:rsidRPr="004C24A6">
        <w:rPr>
          <w:rFonts w:ascii="Arial" w:hAnsi="Arial" w:cs="Arial"/>
          <w:lang w:val="en-GB"/>
        </w:rPr>
        <w:t xml:space="preserve">, N. K., </w:t>
      </w:r>
      <w:proofErr w:type="spellStart"/>
      <w:r w:rsidRPr="004C24A6">
        <w:rPr>
          <w:rFonts w:ascii="Arial" w:hAnsi="Arial" w:cs="Arial"/>
          <w:lang w:val="en-GB"/>
        </w:rPr>
        <w:t>Abdulfattah</w:t>
      </w:r>
      <w:proofErr w:type="spellEnd"/>
      <w:r w:rsidRPr="004C24A6">
        <w:rPr>
          <w:rFonts w:ascii="Arial" w:hAnsi="Arial" w:cs="Arial"/>
          <w:lang w:val="en-GB"/>
        </w:rPr>
        <w:t xml:space="preserve">, A. M., </w:t>
      </w:r>
      <w:proofErr w:type="spellStart"/>
      <w:r w:rsidRPr="004C24A6">
        <w:rPr>
          <w:rFonts w:ascii="Arial" w:hAnsi="Arial" w:cs="Arial"/>
          <w:lang w:val="en-GB"/>
        </w:rPr>
        <w:t>Abuzinadah</w:t>
      </w:r>
      <w:proofErr w:type="spellEnd"/>
      <w:r w:rsidRPr="004C24A6">
        <w:rPr>
          <w:rFonts w:ascii="Arial" w:hAnsi="Arial" w:cs="Arial"/>
          <w:lang w:val="en-GB"/>
        </w:rPr>
        <w:t xml:space="preserve">, M. F., </w:t>
      </w:r>
      <w:proofErr w:type="spellStart"/>
      <w:r w:rsidRPr="004C24A6">
        <w:rPr>
          <w:rFonts w:ascii="Arial" w:hAnsi="Arial" w:cs="Arial"/>
          <w:lang w:val="en-GB"/>
        </w:rPr>
        <w:t>Izmirly</w:t>
      </w:r>
      <w:proofErr w:type="spellEnd"/>
      <w:r w:rsidRPr="004C24A6">
        <w:rPr>
          <w:rFonts w:ascii="Arial" w:hAnsi="Arial" w:cs="Arial"/>
          <w:lang w:val="en-GB"/>
        </w:rPr>
        <w:t xml:space="preserve">, A. M., Sami, R &amp; Hassan, E. A. (2025). Consumption effects of edible oils on the biochemical cardiovascular risks in </w:t>
      </w:r>
      <w:proofErr w:type="spellStart"/>
      <w:r w:rsidRPr="004C24A6">
        <w:rPr>
          <w:rFonts w:ascii="Arial" w:hAnsi="Arial" w:cs="Arial"/>
          <w:lang w:val="en-GB"/>
        </w:rPr>
        <w:t>hyperlipidemic</w:t>
      </w:r>
      <w:proofErr w:type="spellEnd"/>
      <w:r w:rsidRPr="004C24A6">
        <w:rPr>
          <w:rFonts w:ascii="Arial" w:hAnsi="Arial" w:cs="Arial"/>
          <w:lang w:val="en-GB"/>
        </w:rPr>
        <w:t xml:space="preserve"> rats. Frontiers in Sustainable Food Systems, 9, 1613633. </w:t>
      </w:r>
      <w:hyperlink r:id="rId24">
        <w:r w:rsidRPr="004C24A6">
          <w:rPr>
            <w:rFonts w:ascii="Arial" w:hAnsi="Arial" w:cs="Arial"/>
            <w:lang w:val="en-GB"/>
          </w:rPr>
          <w:t>https://doi.org/10.3389/fsufs.2025.1613633</w:t>
        </w:r>
      </w:hyperlink>
    </w:p>
    <w:p w14:paraId="52964796"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Khan, A., Nadeem, M., Ullah, R., Gulzar, N., Al-</w:t>
      </w:r>
      <w:proofErr w:type="spellStart"/>
      <w:r w:rsidRPr="004C24A6">
        <w:rPr>
          <w:rFonts w:ascii="Arial" w:hAnsi="Arial" w:cs="Arial"/>
          <w:lang w:val="en-GB"/>
        </w:rPr>
        <w:t>Asmari</w:t>
      </w:r>
      <w:proofErr w:type="spellEnd"/>
      <w:r w:rsidRPr="004C24A6">
        <w:rPr>
          <w:rFonts w:ascii="Arial" w:hAnsi="Arial" w:cs="Arial"/>
          <w:lang w:val="en-GB"/>
        </w:rPr>
        <w:t xml:space="preserve">, F., Imran, M., ... &amp; </w:t>
      </w:r>
      <w:proofErr w:type="spellStart"/>
      <w:r w:rsidRPr="004C24A6">
        <w:rPr>
          <w:rFonts w:ascii="Arial" w:hAnsi="Arial" w:cs="Arial"/>
          <w:lang w:val="en-GB"/>
        </w:rPr>
        <w:t>Almalki</w:t>
      </w:r>
      <w:proofErr w:type="spellEnd"/>
      <w:r w:rsidRPr="004C24A6">
        <w:rPr>
          <w:rFonts w:ascii="Arial" w:hAnsi="Arial" w:cs="Arial"/>
          <w:lang w:val="en-GB"/>
        </w:rPr>
        <w:t xml:space="preserve">, R. S. (2024). Fatty Acid Composition, Phenolic Compounds, Phytosterols, and Lipid Oxidation of Single-and Double-Fractionated Olein of Safflower Oil Produced by Low-Temperature Crystallization. ACS Omega, 9, 6787-6796. </w:t>
      </w:r>
      <w:hyperlink r:id="rId25">
        <w:r w:rsidRPr="004C24A6">
          <w:rPr>
            <w:rFonts w:ascii="Arial" w:hAnsi="Arial" w:cs="Arial"/>
            <w:lang w:val="en-GB"/>
          </w:rPr>
          <w:t>https://doi.org/10.1021/acsomega.3c08099</w:t>
        </w:r>
      </w:hyperlink>
    </w:p>
    <w:p w14:paraId="6A451E6E"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Nilsson, M. I., </w:t>
      </w:r>
      <w:proofErr w:type="spellStart"/>
      <w:r w:rsidRPr="004C24A6">
        <w:rPr>
          <w:rFonts w:ascii="Arial" w:hAnsi="Arial" w:cs="Arial"/>
          <w:lang w:val="en-GB"/>
        </w:rPr>
        <w:t>Xhuti</w:t>
      </w:r>
      <w:proofErr w:type="spellEnd"/>
      <w:r w:rsidRPr="004C24A6">
        <w:rPr>
          <w:rFonts w:ascii="Arial" w:hAnsi="Arial" w:cs="Arial"/>
          <w:lang w:val="en-GB"/>
        </w:rPr>
        <w:t xml:space="preserve">, D., de Maat, N. M., </w:t>
      </w:r>
      <w:proofErr w:type="spellStart"/>
      <w:r w:rsidRPr="004C24A6">
        <w:rPr>
          <w:rFonts w:ascii="Arial" w:hAnsi="Arial" w:cs="Arial"/>
          <w:lang w:val="en-GB"/>
        </w:rPr>
        <w:t>Hettinga</w:t>
      </w:r>
      <w:proofErr w:type="spellEnd"/>
      <w:r w:rsidRPr="004C24A6">
        <w:rPr>
          <w:rFonts w:ascii="Arial" w:hAnsi="Arial" w:cs="Arial"/>
          <w:lang w:val="en-GB"/>
        </w:rPr>
        <w:t xml:space="preserve">, B. P., &amp; Tarnopolsky, M. A. (2024). Obesity and Metabolic Disease Impair the Anabolic Response to Protein Supplementation and Resistance Exercise: A Retrospective Analysis of a Randomized Clinical Trial. Nutrients, 16, 4407. </w:t>
      </w:r>
      <w:hyperlink r:id="rId26">
        <w:r w:rsidRPr="004C24A6">
          <w:rPr>
            <w:rFonts w:ascii="Arial" w:hAnsi="Arial" w:cs="Arial"/>
            <w:lang w:val="en-GB"/>
          </w:rPr>
          <w:t>https://doi.org/10.3390/nu16244407</w:t>
        </w:r>
      </w:hyperlink>
    </w:p>
    <w:p w14:paraId="78AD5319"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Ren, F., Tan, Z., Hu, S., Rao, C., Xiang, Q., Wen, J &amp; Peng, C. (2025). Pharmacological actions and applications of safflower flavonoids. Frontiers in Nutrition, 12, 1637053. </w:t>
      </w:r>
      <w:hyperlink r:id="rId27">
        <w:r w:rsidRPr="004C24A6">
          <w:rPr>
            <w:rFonts w:ascii="Arial" w:hAnsi="Arial" w:cs="Arial"/>
            <w:lang w:val="en-GB"/>
          </w:rPr>
          <w:t>https://doi.org/10.3389/fnut.2025.1637053</w:t>
        </w:r>
      </w:hyperlink>
    </w:p>
    <w:p w14:paraId="2C59F0ED"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Yin, C., Fang, R., Xu, Y., Li, K., Ai, T., Wan, J &amp; Liu, J. (2024). Safflower petal water-extract consumption reduces blood glucose via modulating hepatic gluconeogenesis and gut microbiota. Journal of Functional Foods, 123, 106615. </w:t>
      </w:r>
      <w:hyperlink r:id="rId28">
        <w:r w:rsidRPr="004C24A6">
          <w:rPr>
            <w:rFonts w:ascii="Arial" w:hAnsi="Arial" w:cs="Arial"/>
            <w:lang w:val="en-GB"/>
          </w:rPr>
          <w:t>https://doi.org/10.1016/j.jff.2024.106615</w:t>
        </w:r>
      </w:hyperlink>
    </w:p>
    <w:p w14:paraId="117C7DE8"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lastRenderedPageBreak/>
        <w:t xml:space="preserve">Zhang, L., Liu, Y., Sun, Y., &amp; Zhang, X. (2022). Combined Physical Exercise and Diet: Regulation of Gut Microbiota to Prevent and Treat Metabolic Disease: A Review. Nutrients, 14, 4774. </w:t>
      </w:r>
      <w:hyperlink r:id="rId29">
        <w:r w:rsidRPr="004C24A6">
          <w:rPr>
            <w:rFonts w:ascii="Arial" w:hAnsi="Arial" w:cs="Arial"/>
            <w:lang w:val="en-GB"/>
          </w:rPr>
          <w:t>https://doi.org/10.3390/nu14224774</w:t>
        </w:r>
      </w:hyperlink>
    </w:p>
    <w:p w14:paraId="6FF6DD88" w14:textId="77777777" w:rsidR="004C24A6" w:rsidRPr="004C24A6" w:rsidRDefault="004C24A6" w:rsidP="004C24A6">
      <w:pPr>
        <w:numPr>
          <w:ilvl w:val="0"/>
          <w:numId w:val="39"/>
        </w:numPr>
        <w:pBdr>
          <w:top w:val="nil"/>
          <w:left w:val="nil"/>
          <w:bottom w:val="nil"/>
          <w:right w:val="nil"/>
          <w:between w:val="nil"/>
        </w:pBdr>
        <w:spacing w:after="160" w:line="276" w:lineRule="auto"/>
        <w:jc w:val="both"/>
        <w:rPr>
          <w:rFonts w:ascii="Arial" w:hAnsi="Arial" w:cs="Arial"/>
          <w:lang w:val="en-GB"/>
        </w:rPr>
      </w:pPr>
      <w:r w:rsidRPr="004C24A6">
        <w:rPr>
          <w:rFonts w:ascii="Arial" w:hAnsi="Arial" w:cs="Arial"/>
          <w:lang w:val="en-GB"/>
        </w:rPr>
        <w:t xml:space="preserve">Zhu, S., Pang, J., Nguyen, A., Tan, C., Tso, A., Huynh, T &amp; Fang, X. (2024). Temporal Effects of Safflower Oil Diet-Based Linoleic Acid Supplementation on Barth Syndrome Cardiomyopathy. Circulation, 149, 790-793. </w:t>
      </w:r>
      <w:hyperlink r:id="rId30">
        <w:r w:rsidRPr="004C24A6">
          <w:rPr>
            <w:rFonts w:ascii="Arial" w:hAnsi="Arial" w:cs="Arial"/>
            <w:lang w:val="en-GB"/>
          </w:rPr>
          <w:t>https://doi.org/10.1161/CIRCULATIONAHA.123.065414</w:t>
        </w:r>
      </w:hyperlink>
    </w:p>
    <w:p w14:paraId="6C9DA9B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Ajmal, M., Nadeem, M., Imran, M., &amp; Junaid, M. (2018). Lipid compositional changes and oxidation status of ultra-high temperature treated milk. Lipids in Health and Disease, 17, 227. </w:t>
      </w:r>
      <w:hyperlink r:id="rId31">
        <w:r w:rsidRPr="004C24A6">
          <w:rPr>
            <w:rFonts w:ascii="Arial" w:hAnsi="Arial" w:cs="Arial"/>
            <w:lang w:val="en-GB"/>
          </w:rPr>
          <w:t>https://doi.org/10.1186/s12944-018-0869-3</w:t>
        </w:r>
      </w:hyperlink>
    </w:p>
    <w:p w14:paraId="778475F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Anwar, F., Latif, S., Ashraf, M., &amp; Gilani, A. H. (2007). Moringa oleifera: A food plant with multiple medicinal uses. </w:t>
      </w:r>
      <w:proofErr w:type="spellStart"/>
      <w:r w:rsidRPr="004C24A6">
        <w:rPr>
          <w:rFonts w:ascii="Arial" w:hAnsi="Arial" w:cs="Arial"/>
          <w:lang w:val="en-GB"/>
        </w:rPr>
        <w:t>Phytotherapy</w:t>
      </w:r>
      <w:proofErr w:type="spellEnd"/>
      <w:r w:rsidRPr="004C24A6">
        <w:rPr>
          <w:rFonts w:ascii="Arial" w:hAnsi="Arial" w:cs="Arial"/>
          <w:lang w:val="en-GB"/>
        </w:rPr>
        <w:t xml:space="preserve"> Research, 21(1), 17–25. </w:t>
      </w:r>
      <w:hyperlink r:id="rId32">
        <w:r w:rsidRPr="004C24A6">
          <w:rPr>
            <w:rFonts w:ascii="Arial" w:hAnsi="Arial" w:cs="Arial"/>
            <w:lang w:val="en-GB"/>
          </w:rPr>
          <w:t>https://doi.org/10.1002/ptr.2023</w:t>
        </w:r>
      </w:hyperlink>
    </w:p>
    <w:p w14:paraId="2FAE969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Arif</w:t>
      </w:r>
      <w:proofErr w:type="spellEnd"/>
      <w:r w:rsidRPr="004C24A6">
        <w:rPr>
          <w:rFonts w:ascii="Arial" w:hAnsi="Arial" w:cs="Arial"/>
          <w:lang w:val="en-GB"/>
        </w:rPr>
        <w:t>, A. M., Imran, J., Muhammad, A., Muhammad, I., Athar, M., &amp; Muhammad, A. (2016). Chemical characteristics of mango (</w:t>
      </w:r>
      <w:proofErr w:type="spellStart"/>
      <w:r w:rsidRPr="004C24A6">
        <w:rPr>
          <w:rFonts w:ascii="Arial" w:hAnsi="Arial" w:cs="Arial"/>
          <w:lang w:val="en-GB"/>
        </w:rPr>
        <w:t>Mangifera</w:t>
      </w:r>
      <w:proofErr w:type="spellEnd"/>
      <w:r w:rsidRPr="004C24A6">
        <w:rPr>
          <w:rFonts w:ascii="Arial" w:hAnsi="Arial" w:cs="Arial"/>
          <w:lang w:val="en-GB"/>
        </w:rPr>
        <w:t xml:space="preserve"> </w:t>
      </w:r>
      <w:proofErr w:type="spellStart"/>
      <w:r w:rsidRPr="004C24A6">
        <w:rPr>
          <w:rFonts w:ascii="Arial" w:hAnsi="Arial" w:cs="Arial"/>
          <w:lang w:val="en-GB"/>
        </w:rPr>
        <w:t>indica</w:t>
      </w:r>
      <w:proofErr w:type="spellEnd"/>
      <w:r w:rsidRPr="004C24A6">
        <w:rPr>
          <w:rFonts w:ascii="Arial" w:hAnsi="Arial" w:cs="Arial"/>
          <w:lang w:val="en-GB"/>
        </w:rPr>
        <w:t xml:space="preserve"> L.) kernel oil and palm oil blends for probable use as </w:t>
      </w:r>
      <w:proofErr w:type="spellStart"/>
      <w:r w:rsidRPr="004C24A6">
        <w:rPr>
          <w:rFonts w:ascii="Arial" w:hAnsi="Arial" w:cs="Arial"/>
          <w:lang w:val="en-GB"/>
        </w:rPr>
        <w:t>vanaspati</w:t>
      </w:r>
      <w:proofErr w:type="spellEnd"/>
      <w:r w:rsidRPr="004C24A6">
        <w:rPr>
          <w:rFonts w:ascii="Arial" w:hAnsi="Arial" w:cs="Arial"/>
          <w:lang w:val="en-GB"/>
        </w:rPr>
        <w:t>. Journal of Oil Palm Research, 28(3), 344–352.</w:t>
      </w:r>
    </w:p>
    <w:p w14:paraId="57D4F80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Azad, M., Muhammad, N., Nabila, G., &amp; Muhammad, I. (2021). Impact of fractionation on fatty acids composition, phenolic compounds, antioxidant characteristics of olein and super olein fractions of flaxseed oil. Journal of Food Processing and Preservation, 45(1), e15369. </w:t>
      </w:r>
      <w:hyperlink r:id="rId33">
        <w:r w:rsidRPr="004C24A6">
          <w:rPr>
            <w:rFonts w:ascii="Arial" w:hAnsi="Arial" w:cs="Arial"/>
            <w:lang w:val="en-GB"/>
          </w:rPr>
          <w:t>https://doi.org/10.1111/jfpp.15369</w:t>
        </w:r>
      </w:hyperlink>
    </w:p>
    <w:p w14:paraId="203CDD9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Azadmard-Damirchi</w:t>
      </w:r>
      <w:proofErr w:type="spellEnd"/>
      <w:r w:rsidRPr="004C24A6">
        <w:rPr>
          <w:rFonts w:ascii="Arial" w:hAnsi="Arial" w:cs="Arial"/>
          <w:lang w:val="en-GB"/>
        </w:rPr>
        <w:t xml:space="preserve">, S. (2010). Review of the use of phytosterols as a detection tool for adulteration of olive oil with hazelnut oil. Food Additives and Contaminants: Part A, 27(1), 1–10. </w:t>
      </w:r>
      <w:hyperlink r:id="rId34">
        <w:r w:rsidRPr="004C24A6">
          <w:rPr>
            <w:rFonts w:ascii="Arial" w:hAnsi="Arial" w:cs="Arial"/>
            <w:lang w:val="en-GB"/>
          </w:rPr>
          <w:t>https://doi.org/10.1080/19440040903317505</w:t>
        </w:r>
      </w:hyperlink>
    </w:p>
    <w:p w14:paraId="5A0DE60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Azeem, W., Muhammad, N., &amp; Shakeel, A. (2015). Stabilization of winterized cottonseed oil with chia (Salvia </w:t>
      </w:r>
      <w:proofErr w:type="spellStart"/>
      <w:r w:rsidRPr="004C24A6">
        <w:rPr>
          <w:rFonts w:ascii="Arial" w:hAnsi="Arial" w:cs="Arial"/>
          <w:lang w:val="en-GB"/>
        </w:rPr>
        <w:t>hispanica</w:t>
      </w:r>
      <w:proofErr w:type="spellEnd"/>
      <w:r w:rsidRPr="004C24A6">
        <w:rPr>
          <w:rFonts w:ascii="Arial" w:hAnsi="Arial" w:cs="Arial"/>
          <w:lang w:val="en-GB"/>
        </w:rPr>
        <w:t xml:space="preserve"> L.) seed extract at ambient temperature. Journal of Food Science and Technology, 52(11), 7191–7199. </w:t>
      </w:r>
      <w:hyperlink r:id="rId35">
        <w:r w:rsidRPr="004C24A6">
          <w:rPr>
            <w:rFonts w:ascii="Arial" w:hAnsi="Arial" w:cs="Arial"/>
            <w:lang w:val="en-GB"/>
          </w:rPr>
          <w:t>https://doi.org/10.1007/s13197-015-1841-3</w:t>
        </w:r>
      </w:hyperlink>
    </w:p>
    <w:p w14:paraId="623DDA1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Ben, M. A., Mansouri, F., </w:t>
      </w:r>
      <w:proofErr w:type="spellStart"/>
      <w:r w:rsidRPr="004C24A6">
        <w:rPr>
          <w:rFonts w:ascii="Arial" w:hAnsi="Arial" w:cs="Arial"/>
          <w:lang w:val="en-GB"/>
        </w:rPr>
        <w:t>Zraibi</w:t>
      </w:r>
      <w:proofErr w:type="spellEnd"/>
      <w:r w:rsidRPr="004C24A6">
        <w:rPr>
          <w:rFonts w:ascii="Arial" w:hAnsi="Arial" w:cs="Arial"/>
          <w:lang w:val="en-GB"/>
        </w:rPr>
        <w:t xml:space="preserve">, L., Abid, M., </w:t>
      </w:r>
      <w:proofErr w:type="spellStart"/>
      <w:r w:rsidRPr="004C24A6">
        <w:rPr>
          <w:rFonts w:ascii="Arial" w:hAnsi="Arial" w:cs="Arial"/>
          <w:lang w:val="en-GB"/>
        </w:rPr>
        <w:t>Nabloussi</w:t>
      </w:r>
      <w:proofErr w:type="spellEnd"/>
      <w:r w:rsidRPr="004C24A6">
        <w:rPr>
          <w:rFonts w:ascii="Arial" w:hAnsi="Arial" w:cs="Arial"/>
          <w:lang w:val="en-GB"/>
        </w:rPr>
        <w:t xml:space="preserve">, A., &amp; </w:t>
      </w:r>
      <w:proofErr w:type="spellStart"/>
      <w:r w:rsidRPr="004C24A6">
        <w:rPr>
          <w:rFonts w:ascii="Arial" w:hAnsi="Arial" w:cs="Arial"/>
          <w:lang w:val="en-GB"/>
        </w:rPr>
        <w:t>Fauconnier</w:t>
      </w:r>
      <w:proofErr w:type="spellEnd"/>
      <w:r w:rsidRPr="004C24A6">
        <w:rPr>
          <w:rFonts w:ascii="Arial" w:hAnsi="Arial" w:cs="Arial"/>
          <w:lang w:val="en-GB"/>
        </w:rPr>
        <w:t>, M. L. (2013). Comparative study of four safflower oils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varieties grown in Eastern of Morocco [Conference presentation]. Inside Food Symposium, Leuven, Belgium.</w:t>
      </w:r>
    </w:p>
    <w:p w14:paraId="79E50F8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Frega</w:t>
      </w:r>
      <w:proofErr w:type="spellEnd"/>
      <w:r w:rsidRPr="004C24A6">
        <w:rPr>
          <w:rFonts w:ascii="Arial" w:hAnsi="Arial" w:cs="Arial"/>
          <w:lang w:val="en-GB"/>
        </w:rPr>
        <w:t xml:space="preserve">, N., </w:t>
      </w:r>
      <w:proofErr w:type="spellStart"/>
      <w:r w:rsidRPr="004C24A6">
        <w:rPr>
          <w:rFonts w:ascii="Arial" w:hAnsi="Arial" w:cs="Arial"/>
          <w:lang w:val="en-GB"/>
        </w:rPr>
        <w:t>Mozzon</w:t>
      </w:r>
      <w:proofErr w:type="spellEnd"/>
      <w:r w:rsidRPr="004C24A6">
        <w:rPr>
          <w:rFonts w:ascii="Arial" w:hAnsi="Arial" w:cs="Arial"/>
          <w:lang w:val="en-GB"/>
        </w:rPr>
        <w:t xml:space="preserve">, M., &amp; </w:t>
      </w:r>
      <w:proofErr w:type="spellStart"/>
      <w:r w:rsidRPr="004C24A6">
        <w:rPr>
          <w:rFonts w:ascii="Arial" w:hAnsi="Arial" w:cs="Arial"/>
          <w:lang w:val="en-GB"/>
        </w:rPr>
        <w:t>Lercker</w:t>
      </w:r>
      <w:proofErr w:type="spellEnd"/>
      <w:r w:rsidRPr="004C24A6">
        <w:rPr>
          <w:rFonts w:ascii="Arial" w:hAnsi="Arial" w:cs="Arial"/>
          <w:lang w:val="en-GB"/>
        </w:rPr>
        <w:t xml:space="preserve">, G. (1999). Effects of free fatty acids on oxidative stability of vegetable oil. Journal of the American Oil Chemists' Society, 76(3), 325–329. </w:t>
      </w:r>
      <w:hyperlink r:id="rId36">
        <w:r w:rsidRPr="004C24A6">
          <w:rPr>
            <w:rFonts w:ascii="Arial" w:hAnsi="Arial" w:cs="Arial"/>
            <w:lang w:val="en-GB"/>
          </w:rPr>
          <w:t>https://doi.org/10.1007/s11746-999-0239-4</w:t>
        </w:r>
      </w:hyperlink>
    </w:p>
    <w:p w14:paraId="63929AF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Han, X., Cheng, L., Zhang, R., &amp; Bi, J. (2009). Extraction of safflower seed oil by supercritical CO2. Journal of Food Engineering, 92(4), 370–376. </w:t>
      </w:r>
      <w:hyperlink r:id="rId37">
        <w:r w:rsidRPr="004C24A6">
          <w:rPr>
            <w:rFonts w:ascii="Arial" w:hAnsi="Arial" w:cs="Arial"/>
            <w:lang w:val="en-GB"/>
          </w:rPr>
          <w:t>https://doi.org/10.1016/j.jfoodeng.2008.12.002</w:t>
        </w:r>
      </w:hyperlink>
    </w:p>
    <w:p w14:paraId="0A4F002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Hussain, A., </w:t>
      </w:r>
      <w:proofErr w:type="spellStart"/>
      <w:r w:rsidRPr="004C24A6">
        <w:rPr>
          <w:rFonts w:ascii="Arial" w:hAnsi="Arial" w:cs="Arial"/>
          <w:lang w:val="en-GB"/>
        </w:rPr>
        <w:t>Tusneem</w:t>
      </w:r>
      <w:proofErr w:type="spellEnd"/>
      <w:r w:rsidRPr="004C24A6">
        <w:rPr>
          <w:rFonts w:ascii="Arial" w:hAnsi="Arial" w:cs="Arial"/>
          <w:lang w:val="en-GB"/>
        </w:rPr>
        <w:t xml:space="preserve">, K., </w:t>
      </w:r>
      <w:proofErr w:type="spellStart"/>
      <w:r w:rsidRPr="004C24A6">
        <w:rPr>
          <w:rFonts w:ascii="Arial" w:hAnsi="Arial" w:cs="Arial"/>
          <w:lang w:val="en-GB"/>
        </w:rPr>
        <w:t>Sawera</w:t>
      </w:r>
      <w:proofErr w:type="spellEnd"/>
      <w:r w:rsidRPr="004C24A6">
        <w:rPr>
          <w:rFonts w:ascii="Arial" w:hAnsi="Arial" w:cs="Arial"/>
          <w:lang w:val="en-GB"/>
        </w:rPr>
        <w:t xml:space="preserve">, S., Ayesha, S., Abdul, A. A., Muhammad, A. J., </w:t>
      </w:r>
      <w:proofErr w:type="spellStart"/>
      <w:r w:rsidRPr="004C24A6">
        <w:rPr>
          <w:rFonts w:ascii="Arial" w:hAnsi="Arial" w:cs="Arial"/>
          <w:lang w:val="en-GB"/>
        </w:rPr>
        <w:t>Saima</w:t>
      </w:r>
      <w:proofErr w:type="spellEnd"/>
      <w:r w:rsidRPr="004C24A6">
        <w:rPr>
          <w:rFonts w:ascii="Arial" w:hAnsi="Arial" w:cs="Arial"/>
          <w:lang w:val="en-GB"/>
        </w:rPr>
        <w:t xml:space="preserve">, N., Ayesha, R., </w:t>
      </w:r>
      <w:proofErr w:type="spellStart"/>
      <w:r w:rsidRPr="004C24A6">
        <w:rPr>
          <w:rFonts w:ascii="Arial" w:hAnsi="Arial" w:cs="Arial"/>
          <w:lang w:val="en-GB"/>
        </w:rPr>
        <w:t>Khansa</w:t>
      </w:r>
      <w:proofErr w:type="spellEnd"/>
      <w:r w:rsidRPr="004C24A6">
        <w:rPr>
          <w:rFonts w:ascii="Arial" w:hAnsi="Arial" w:cs="Arial"/>
          <w:lang w:val="en-GB"/>
        </w:rPr>
        <w:t xml:space="preserve">, I., Jawed, A., Muhammad, Y. Q., Muhammad, A. M., &amp; </w:t>
      </w:r>
      <w:proofErr w:type="spellStart"/>
      <w:r w:rsidRPr="004C24A6">
        <w:rPr>
          <w:rFonts w:ascii="Arial" w:hAnsi="Arial" w:cs="Arial"/>
          <w:lang w:val="en-GB"/>
        </w:rPr>
        <w:t>Mehwish</w:t>
      </w:r>
      <w:proofErr w:type="spellEnd"/>
      <w:r w:rsidRPr="004C24A6">
        <w:rPr>
          <w:rFonts w:ascii="Arial" w:hAnsi="Arial" w:cs="Arial"/>
          <w:lang w:val="en-GB"/>
        </w:rPr>
        <w:t xml:space="preserve">, Z. (2022). Utilization of pumpkin, pumpkin powders, extracts, isolates, purified </w:t>
      </w:r>
      <w:proofErr w:type="spellStart"/>
      <w:r w:rsidRPr="004C24A6">
        <w:rPr>
          <w:rFonts w:ascii="Arial" w:hAnsi="Arial" w:cs="Arial"/>
          <w:lang w:val="en-GB"/>
        </w:rPr>
        <w:t>bioactives</w:t>
      </w:r>
      <w:proofErr w:type="spellEnd"/>
      <w:r w:rsidRPr="004C24A6">
        <w:rPr>
          <w:rFonts w:ascii="Arial" w:hAnsi="Arial" w:cs="Arial"/>
          <w:lang w:val="en-GB"/>
        </w:rPr>
        <w:t xml:space="preserve"> and pumpkin based functional food products: A key strategy to improve health </w:t>
      </w:r>
      <w:r w:rsidRPr="004C24A6">
        <w:rPr>
          <w:rFonts w:ascii="Arial" w:hAnsi="Arial" w:cs="Arial"/>
          <w:lang w:val="en-GB"/>
        </w:rPr>
        <w:lastRenderedPageBreak/>
        <w:t xml:space="preserve">in current post COVID 19 period: An updated review. Applied Food Research, 2(2), 100241. </w:t>
      </w:r>
      <w:hyperlink r:id="rId38">
        <w:r w:rsidRPr="004C24A6">
          <w:rPr>
            <w:rFonts w:ascii="Arial" w:hAnsi="Arial" w:cs="Arial"/>
            <w:lang w:val="en-GB"/>
          </w:rPr>
          <w:t>https://doi.org/10.1016/j.afres.2022.100241</w:t>
        </w:r>
      </w:hyperlink>
    </w:p>
    <w:p w14:paraId="13C64BB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Kang, G. H., Chang, E. J., &amp; Park, S. W. (1999). Antioxidative activity of phenolic compounds in roasted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seeds. Preventive Nutrition and Food Science, 4(4), 221–225.</w:t>
      </w:r>
    </w:p>
    <w:p w14:paraId="39525F2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Khan, I. T., Muhammad, N., Rahman, U., &amp; Muhammad, I. (2021). Triglyceride, fatty acid profile, antioxidant characteristics, vitamins, lipid oxidation and induction period of ice cream produced from cow and Buffalo Milk. Journal of Food Processing and Preservation, 46(1), e17278. </w:t>
      </w:r>
      <w:hyperlink r:id="rId39">
        <w:r w:rsidRPr="004C24A6">
          <w:rPr>
            <w:rFonts w:ascii="Arial" w:hAnsi="Arial" w:cs="Arial"/>
            <w:lang w:val="en-GB"/>
          </w:rPr>
          <w:t>https://doi.org/10.1111/jfpp.17278</w:t>
        </w:r>
      </w:hyperlink>
    </w:p>
    <w:p w14:paraId="2819283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Kim, E. O., Kim, K. S., Lee, W. J., &amp; Choi, S. W. (2009). Proliferative and differentiative effects of </w:t>
      </w:r>
      <w:proofErr w:type="spellStart"/>
      <w:r w:rsidRPr="004C24A6">
        <w:rPr>
          <w:rFonts w:ascii="Arial" w:hAnsi="Arial" w:cs="Arial"/>
          <w:lang w:val="en-GB"/>
        </w:rPr>
        <w:t>trachelogenin</w:t>
      </w:r>
      <w:proofErr w:type="spellEnd"/>
      <w:r w:rsidRPr="004C24A6">
        <w:rPr>
          <w:rFonts w:ascii="Arial" w:hAnsi="Arial" w:cs="Arial"/>
          <w:lang w:val="en-GB"/>
        </w:rPr>
        <w:t xml:space="preserve"> isolated from germinated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seeds on </w:t>
      </w:r>
      <w:proofErr w:type="spellStart"/>
      <w:r w:rsidRPr="004C24A6">
        <w:rPr>
          <w:rFonts w:ascii="Arial" w:hAnsi="Arial" w:cs="Arial"/>
          <w:lang w:val="en-GB"/>
        </w:rPr>
        <w:t>calvarial</w:t>
      </w:r>
      <w:proofErr w:type="spellEnd"/>
      <w:r w:rsidRPr="004C24A6">
        <w:rPr>
          <w:rFonts w:ascii="Arial" w:hAnsi="Arial" w:cs="Arial"/>
          <w:lang w:val="en-GB"/>
        </w:rPr>
        <w:t xml:space="preserve"> bone cells. Food Science and Biotechnology, 18(3), 689–693.</w:t>
      </w:r>
    </w:p>
    <w:p w14:paraId="6827D58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Kim, E. O., Oh, J. H., Lee, S. K., Lee, J. Y., &amp; Choi, S. W. (2007). Antioxidant properties and quantification of phenolic compounds from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seeds. Food Science and Biotechnology, 16(1), 71–77.</w:t>
      </w:r>
    </w:p>
    <w:p w14:paraId="5B36EA2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Larmond</w:t>
      </w:r>
      <w:proofErr w:type="spellEnd"/>
      <w:r w:rsidRPr="004C24A6">
        <w:rPr>
          <w:rFonts w:ascii="Arial" w:hAnsi="Arial" w:cs="Arial"/>
          <w:lang w:val="en-GB"/>
        </w:rPr>
        <w:t>, E. (1987). Laboratory methods for sensory evaluation of foods. Ottawa Publications.</w:t>
      </w:r>
    </w:p>
    <w:p w14:paraId="64C141F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Mailer, R., Potter, T., Redden, R., &amp; Ayton, J. (2008). Quality evaluation of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cultivars [Conference presentation]. 7th International Safflower Conference, Wagga Wagga, New South Wales, Australia.</w:t>
      </w:r>
    </w:p>
    <w:p w14:paraId="650C873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Moumen</w:t>
      </w:r>
      <w:proofErr w:type="spellEnd"/>
      <w:r w:rsidRPr="004C24A6">
        <w:rPr>
          <w:rFonts w:ascii="Arial" w:hAnsi="Arial" w:cs="Arial"/>
          <w:lang w:val="en-GB"/>
        </w:rPr>
        <w:t xml:space="preserve">, A. B., Mansouri, F., Richard, G., Abid, M., </w:t>
      </w:r>
      <w:proofErr w:type="spellStart"/>
      <w:r w:rsidRPr="004C24A6">
        <w:rPr>
          <w:rFonts w:ascii="Arial" w:hAnsi="Arial" w:cs="Arial"/>
          <w:lang w:val="en-GB"/>
        </w:rPr>
        <w:t>Fauconnier</w:t>
      </w:r>
      <w:proofErr w:type="spellEnd"/>
      <w:r w:rsidRPr="004C24A6">
        <w:rPr>
          <w:rFonts w:ascii="Arial" w:hAnsi="Arial" w:cs="Arial"/>
          <w:lang w:val="en-GB"/>
        </w:rPr>
        <w:t xml:space="preserve">, M. L., </w:t>
      </w:r>
      <w:proofErr w:type="spellStart"/>
      <w:r w:rsidRPr="004C24A6">
        <w:rPr>
          <w:rFonts w:ascii="Arial" w:hAnsi="Arial" w:cs="Arial"/>
          <w:lang w:val="en-GB"/>
        </w:rPr>
        <w:t>Sindic</w:t>
      </w:r>
      <w:proofErr w:type="spellEnd"/>
      <w:r w:rsidRPr="004C24A6">
        <w:rPr>
          <w:rFonts w:ascii="Arial" w:hAnsi="Arial" w:cs="Arial"/>
          <w:lang w:val="en-GB"/>
        </w:rPr>
        <w:t xml:space="preserve">, M., &amp; </w:t>
      </w:r>
      <w:proofErr w:type="spellStart"/>
      <w:r w:rsidRPr="004C24A6">
        <w:rPr>
          <w:rFonts w:ascii="Arial" w:hAnsi="Arial" w:cs="Arial"/>
          <w:lang w:val="en-GB"/>
        </w:rPr>
        <w:t>Serghini</w:t>
      </w:r>
      <w:proofErr w:type="spellEnd"/>
      <w:r w:rsidRPr="004C24A6">
        <w:rPr>
          <w:rFonts w:ascii="Arial" w:hAnsi="Arial" w:cs="Arial"/>
          <w:lang w:val="en-GB"/>
        </w:rPr>
        <w:t>, C. H. (2015). Biochemical characterisation of the seed oils of four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varieties grown in north-eastern of Morocco. International Journal of Food Science &amp; Technology, 50(3), 804–810. </w:t>
      </w:r>
      <w:hyperlink r:id="rId40">
        <w:r w:rsidRPr="004C24A6">
          <w:rPr>
            <w:rFonts w:ascii="Arial" w:hAnsi="Arial" w:cs="Arial"/>
            <w:lang w:val="en-GB"/>
          </w:rPr>
          <w:t>https://doi.org/10.1111/ijfs.12714</w:t>
        </w:r>
      </w:hyperlink>
    </w:p>
    <w:p w14:paraId="2CACCED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Nadeem, M., Chen, S., &amp; Muhammad, A. (2015). Effect of olein fraction of milk fat on oxidative stability of ice cream. International Journal of Food Properties, 18(4), 735–745. </w:t>
      </w:r>
      <w:hyperlink r:id="rId41">
        <w:r w:rsidRPr="004C24A6">
          <w:rPr>
            <w:rFonts w:ascii="Arial" w:hAnsi="Arial" w:cs="Arial"/>
            <w:lang w:val="en-GB"/>
          </w:rPr>
          <w:t>https://doi.org/10.1080/10942912.2013.814666</w:t>
        </w:r>
      </w:hyperlink>
    </w:p>
    <w:p w14:paraId="7C887B0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Nadeem, M., &amp; Muhammad, I. (2016). Promising features of Moringa oleifera oil: Recent updates and perspectives. Lipids in Health and Disease, 15, 212. </w:t>
      </w:r>
      <w:hyperlink r:id="rId42">
        <w:r w:rsidRPr="004C24A6">
          <w:rPr>
            <w:rFonts w:ascii="Arial" w:hAnsi="Arial" w:cs="Arial"/>
            <w:lang w:val="en-GB"/>
          </w:rPr>
          <w:t>https://doi.org/10.1186/s12944-016-0379-0</w:t>
        </w:r>
      </w:hyperlink>
    </w:p>
    <w:p w14:paraId="1AE4A2B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Norris, L. E., Collene, A. L., Asp, M. L., Hsu, J. C., Liu, L. F., Richardson, J. R., Li, D., Bell, D., Osei, K., Jackson, R. D., &amp; </w:t>
      </w:r>
      <w:proofErr w:type="spellStart"/>
      <w:r w:rsidRPr="004C24A6">
        <w:rPr>
          <w:rFonts w:ascii="Arial" w:hAnsi="Arial" w:cs="Arial"/>
          <w:lang w:val="en-GB"/>
        </w:rPr>
        <w:t>Belury</w:t>
      </w:r>
      <w:proofErr w:type="spellEnd"/>
      <w:r w:rsidRPr="004C24A6">
        <w:rPr>
          <w:rFonts w:ascii="Arial" w:hAnsi="Arial" w:cs="Arial"/>
          <w:lang w:val="en-GB"/>
        </w:rPr>
        <w:t xml:space="preserve">, M. A. (2009). Comparison of dietary conjugated linoleic acid with safflower oil on body composition in obese postmenopausal women with type 2 diabetes mellitus. The American Journal of Clinical Nutrition, 90(3), 468–476. </w:t>
      </w:r>
      <w:hyperlink r:id="rId43">
        <w:r w:rsidRPr="004C24A6">
          <w:rPr>
            <w:rFonts w:ascii="Arial" w:hAnsi="Arial" w:cs="Arial"/>
            <w:lang w:val="en-GB"/>
          </w:rPr>
          <w:t>https://doi.org/10.3945/ajcn.2008.27371</w:t>
        </w:r>
      </w:hyperlink>
    </w:p>
    <w:p w14:paraId="50434B5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O’Brien, R. D. (2008). Fats and oils: Formulating and processing for application (3rd ed.). CRC Press.</w:t>
      </w:r>
    </w:p>
    <w:p w14:paraId="40ADB13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Official Method Cd 19-90. (1995). Sampling and analysis of commercial fats and oil. American Oil Chemists' Society.</w:t>
      </w:r>
    </w:p>
    <w:p w14:paraId="6274E47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Qian, M. (2003). Gas chromatography, food analysis, laboratory manual. Kluwer Academic Publisher.</w:t>
      </w:r>
    </w:p>
    <w:p w14:paraId="396EC19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Sies</w:t>
      </w:r>
      <w:proofErr w:type="spellEnd"/>
      <w:r w:rsidRPr="004C24A6">
        <w:rPr>
          <w:rFonts w:ascii="Arial" w:hAnsi="Arial" w:cs="Arial"/>
          <w:lang w:val="en-GB"/>
        </w:rPr>
        <w:t xml:space="preserve">, H. (2007). Total antioxidant capacity: Appraisal of a concept. The Journal of Nutrition, 137(6), 1493–1495. </w:t>
      </w:r>
      <w:hyperlink r:id="rId44">
        <w:r w:rsidRPr="004C24A6">
          <w:rPr>
            <w:rFonts w:ascii="Arial" w:hAnsi="Arial" w:cs="Arial"/>
            <w:lang w:val="en-GB"/>
          </w:rPr>
          <w:t>https://doi.org/10.1093/jn/137.6.1493</w:t>
        </w:r>
      </w:hyperlink>
    </w:p>
    <w:p w14:paraId="6905957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Ullah, R., Muhammad, N., Muhammad, A., Othman, M. H., </w:t>
      </w:r>
      <w:proofErr w:type="spellStart"/>
      <w:r w:rsidRPr="004C24A6">
        <w:rPr>
          <w:rFonts w:ascii="Arial" w:hAnsi="Arial" w:cs="Arial"/>
          <w:lang w:val="en-GB"/>
        </w:rPr>
        <w:t>Tameem</w:t>
      </w:r>
      <w:proofErr w:type="spellEnd"/>
      <w:r w:rsidRPr="004C24A6">
        <w:rPr>
          <w:rFonts w:ascii="Arial" w:hAnsi="Arial" w:cs="Arial"/>
          <w:lang w:val="en-GB"/>
        </w:rPr>
        <w:t xml:space="preserve">, M., &amp; Ahmed, M. A. (2016). Fractionation of chia oil for enrichment of omega 3 and 6 fatty acids and oxidative stability of fractions. Food Science and Biotechnology, 25(1), 41–47. </w:t>
      </w:r>
      <w:hyperlink r:id="rId45">
        <w:r w:rsidRPr="004C24A6">
          <w:rPr>
            <w:rFonts w:ascii="Arial" w:hAnsi="Arial" w:cs="Arial"/>
            <w:lang w:val="en-GB"/>
          </w:rPr>
          <w:t>https://doi.org/10.1007/s10068-016-0006-9</w:t>
        </w:r>
      </w:hyperlink>
    </w:p>
    <w:p w14:paraId="16431D3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Ullah, R., Muhammad, N., Muhammad, I., Khan, I. T., </w:t>
      </w:r>
      <w:proofErr w:type="spellStart"/>
      <w:r w:rsidRPr="004C24A6">
        <w:rPr>
          <w:rFonts w:ascii="Arial" w:hAnsi="Arial" w:cs="Arial"/>
          <w:lang w:val="en-GB"/>
        </w:rPr>
        <w:t>Tameem</w:t>
      </w:r>
      <w:proofErr w:type="spellEnd"/>
      <w:r w:rsidRPr="004C24A6">
        <w:rPr>
          <w:rFonts w:ascii="Arial" w:hAnsi="Arial" w:cs="Arial"/>
          <w:lang w:val="en-GB"/>
        </w:rPr>
        <w:t xml:space="preserve">, M., &amp; Ahmed, M. A. (2018). Omega fatty acids, phenolic compounds and lipolysis of Cheddar cheese supplemented with chia (Salvia </w:t>
      </w:r>
      <w:proofErr w:type="spellStart"/>
      <w:r w:rsidRPr="004C24A6">
        <w:rPr>
          <w:rFonts w:ascii="Arial" w:hAnsi="Arial" w:cs="Arial"/>
          <w:lang w:val="en-GB"/>
        </w:rPr>
        <w:t>hispanica</w:t>
      </w:r>
      <w:proofErr w:type="spellEnd"/>
      <w:r w:rsidRPr="004C24A6">
        <w:rPr>
          <w:rFonts w:ascii="Arial" w:hAnsi="Arial" w:cs="Arial"/>
          <w:lang w:val="en-GB"/>
        </w:rPr>
        <w:t xml:space="preserve"> L.) oil. Journal of Food Processing and Preservation, 42(4), e13566. </w:t>
      </w:r>
      <w:hyperlink r:id="rId46">
        <w:r w:rsidRPr="004C24A6">
          <w:rPr>
            <w:rFonts w:ascii="Arial" w:hAnsi="Arial" w:cs="Arial"/>
            <w:lang w:val="en-GB"/>
          </w:rPr>
          <w:t>https://doi.org/10.1111/jfpp.13566</w:t>
        </w:r>
      </w:hyperlink>
    </w:p>
    <w:p w14:paraId="27C4A8E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Wolfe, K., Wu, X., &amp; Liu, R. H. (2003). Antioxidant activity of apple peels. Journal of Agricultural and Food Chemistry, 51(3), 609–614. </w:t>
      </w:r>
      <w:hyperlink r:id="rId47">
        <w:r w:rsidRPr="004C24A6">
          <w:rPr>
            <w:rFonts w:ascii="Arial" w:hAnsi="Arial" w:cs="Arial"/>
            <w:lang w:val="en-GB"/>
          </w:rPr>
          <w:t>https://doi.org/10.1021/jf020782a</w:t>
        </w:r>
      </w:hyperlink>
    </w:p>
    <w:p w14:paraId="3E90DBF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Zhang, H. L., </w:t>
      </w:r>
      <w:proofErr w:type="spellStart"/>
      <w:r w:rsidRPr="004C24A6">
        <w:rPr>
          <w:rFonts w:ascii="Arial" w:hAnsi="Arial" w:cs="Arial"/>
          <w:lang w:val="en-GB"/>
        </w:rPr>
        <w:t>Nagatsu</w:t>
      </w:r>
      <w:proofErr w:type="spellEnd"/>
      <w:r w:rsidRPr="004C24A6">
        <w:rPr>
          <w:rFonts w:ascii="Arial" w:hAnsi="Arial" w:cs="Arial"/>
          <w:lang w:val="en-GB"/>
        </w:rPr>
        <w:t xml:space="preserve">, A., Watanabe, T., &amp; </w:t>
      </w:r>
      <w:proofErr w:type="spellStart"/>
      <w:r w:rsidRPr="004C24A6">
        <w:rPr>
          <w:rFonts w:ascii="Arial" w:hAnsi="Arial" w:cs="Arial"/>
          <w:lang w:val="en-GB"/>
        </w:rPr>
        <w:t>Okuyama</w:t>
      </w:r>
      <w:proofErr w:type="spellEnd"/>
      <w:r w:rsidRPr="004C24A6">
        <w:rPr>
          <w:rFonts w:ascii="Arial" w:hAnsi="Arial" w:cs="Arial"/>
          <w:lang w:val="en-GB"/>
        </w:rPr>
        <w:t>, H. (1997). Antioxidative compounds isolated from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L.) oil cake. Chemical &amp; Pharmaceutical Bulletin, 45(12), 1910–1914. </w:t>
      </w:r>
      <w:hyperlink r:id="rId48">
        <w:r w:rsidRPr="004C24A6">
          <w:rPr>
            <w:rFonts w:ascii="Arial" w:hAnsi="Arial" w:cs="Arial"/>
            <w:lang w:val="en-GB"/>
          </w:rPr>
          <w:t>https://doi.org/10.1248/cpb.45.1910</w:t>
        </w:r>
      </w:hyperlink>
    </w:p>
    <w:p w14:paraId="565487F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Zheng, L., &amp; Sun, D. W. (2006). Innovative applications of power ultrasound during food freezing processes-A review. Trends in Food Science &amp; Technology, 17(1), 16–23. </w:t>
      </w:r>
      <w:hyperlink r:id="rId49">
        <w:r w:rsidRPr="004C24A6">
          <w:rPr>
            <w:rFonts w:ascii="Arial" w:hAnsi="Arial" w:cs="Arial"/>
            <w:lang w:val="en-GB"/>
          </w:rPr>
          <w:t>https://doi.org/10.1016/j.tifs.2005.08.010</w:t>
        </w:r>
      </w:hyperlink>
    </w:p>
    <w:p w14:paraId="03F0459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Bunbupha</w:t>
      </w:r>
      <w:proofErr w:type="spellEnd"/>
      <w:r w:rsidRPr="004C24A6">
        <w:rPr>
          <w:rFonts w:ascii="Arial" w:hAnsi="Arial" w:cs="Arial"/>
          <w:lang w:val="en-GB"/>
        </w:rPr>
        <w:t xml:space="preserve">, S., </w:t>
      </w:r>
      <w:proofErr w:type="spellStart"/>
      <w:r w:rsidRPr="004C24A6">
        <w:rPr>
          <w:rFonts w:ascii="Arial" w:hAnsi="Arial" w:cs="Arial"/>
          <w:lang w:val="en-GB"/>
        </w:rPr>
        <w:t>Wunpathe</w:t>
      </w:r>
      <w:proofErr w:type="spellEnd"/>
      <w:r w:rsidRPr="004C24A6">
        <w:rPr>
          <w:rFonts w:ascii="Arial" w:hAnsi="Arial" w:cs="Arial"/>
          <w:lang w:val="en-GB"/>
        </w:rPr>
        <w:t xml:space="preserve">, C., </w:t>
      </w:r>
      <w:proofErr w:type="spellStart"/>
      <w:r w:rsidRPr="004C24A6">
        <w:rPr>
          <w:rFonts w:ascii="Arial" w:hAnsi="Arial" w:cs="Arial"/>
          <w:lang w:val="en-GB"/>
        </w:rPr>
        <w:t>Pakdeechote</w:t>
      </w:r>
      <w:proofErr w:type="spellEnd"/>
      <w:r w:rsidRPr="004C24A6">
        <w:rPr>
          <w:rFonts w:ascii="Arial" w:hAnsi="Arial" w:cs="Arial"/>
          <w:lang w:val="en-GB"/>
        </w:rPr>
        <w:t xml:space="preserve">, P., &amp; </w:t>
      </w:r>
      <w:proofErr w:type="spellStart"/>
      <w:r w:rsidRPr="004C24A6">
        <w:rPr>
          <w:rFonts w:ascii="Arial" w:hAnsi="Arial" w:cs="Arial"/>
          <w:lang w:val="en-GB"/>
        </w:rPr>
        <w:t>Maneesai</w:t>
      </w:r>
      <w:proofErr w:type="spellEnd"/>
      <w:r w:rsidRPr="004C24A6">
        <w:rPr>
          <w:rFonts w:ascii="Arial" w:hAnsi="Arial" w:cs="Arial"/>
          <w:lang w:val="en-GB"/>
        </w:rPr>
        <w:t xml:space="preserve">, P. (2018). Safflower extract attenuates hypertension-induced hemodynamic and vascular alterations. </w:t>
      </w:r>
      <w:r w:rsidRPr="004C24A6">
        <w:rPr>
          <w:rFonts w:ascii="Arial" w:hAnsi="Arial" w:cs="Arial"/>
          <w:i/>
          <w:iCs/>
          <w:lang w:val="en-GB"/>
        </w:rPr>
        <w:t>Journal of Ethnopharmacology, 214</w:t>
      </w:r>
      <w:r w:rsidRPr="004C24A6">
        <w:rPr>
          <w:rFonts w:ascii="Arial" w:hAnsi="Arial" w:cs="Arial"/>
          <w:lang w:val="en-GB"/>
        </w:rPr>
        <w:t xml:space="preserve">, 290–299. </w:t>
      </w:r>
      <w:hyperlink r:id="rId50" w:history="1">
        <w:r w:rsidRPr="004C24A6">
          <w:rPr>
            <w:rFonts w:ascii="Arial" w:hAnsi="Arial" w:cs="Arial"/>
            <w:lang w:val="en-GB"/>
          </w:rPr>
          <w:t>https://doi.org/10.1016/j.jep.2017.12.034</w:t>
        </w:r>
      </w:hyperlink>
    </w:p>
    <w:p w14:paraId="33AAF3F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Cho, J. Y., Kim, A. R., </w:t>
      </w:r>
      <w:proofErr w:type="spellStart"/>
      <w:r w:rsidRPr="004C24A6">
        <w:rPr>
          <w:rFonts w:ascii="Arial" w:hAnsi="Arial" w:cs="Arial"/>
          <w:lang w:val="en-GB"/>
        </w:rPr>
        <w:t>Yoo</w:t>
      </w:r>
      <w:proofErr w:type="spellEnd"/>
      <w:r w:rsidRPr="004C24A6">
        <w:rPr>
          <w:rFonts w:ascii="Arial" w:hAnsi="Arial" w:cs="Arial"/>
          <w:lang w:val="en-GB"/>
        </w:rPr>
        <w:t xml:space="preserve">, E. S., </w:t>
      </w:r>
      <w:proofErr w:type="spellStart"/>
      <w:r w:rsidRPr="004C24A6">
        <w:rPr>
          <w:rFonts w:ascii="Arial" w:hAnsi="Arial" w:cs="Arial"/>
          <w:lang w:val="en-GB"/>
        </w:rPr>
        <w:t>Baik</w:t>
      </w:r>
      <w:proofErr w:type="spellEnd"/>
      <w:r w:rsidRPr="004C24A6">
        <w:rPr>
          <w:rFonts w:ascii="Arial" w:hAnsi="Arial" w:cs="Arial"/>
          <w:lang w:val="en-GB"/>
        </w:rPr>
        <w:t xml:space="preserve">, K. U., &amp; Park, M. H. (2011). Anti-inflammatory effects of safflower seed extract in experimental models. </w:t>
      </w:r>
      <w:r w:rsidRPr="004C24A6">
        <w:rPr>
          <w:rFonts w:ascii="Arial" w:hAnsi="Arial" w:cs="Arial"/>
          <w:i/>
          <w:iCs/>
          <w:lang w:val="en-GB"/>
        </w:rPr>
        <w:t>Journal of Ethnopharmacology, 133</w:t>
      </w:r>
      <w:r w:rsidRPr="004C24A6">
        <w:rPr>
          <w:rFonts w:ascii="Arial" w:hAnsi="Arial" w:cs="Arial"/>
          <w:lang w:val="en-GB"/>
        </w:rPr>
        <w:t xml:space="preserve">(3), 1020–1026. </w:t>
      </w:r>
      <w:hyperlink r:id="rId51" w:history="1">
        <w:r w:rsidRPr="004C24A6">
          <w:rPr>
            <w:rFonts w:ascii="Arial" w:hAnsi="Arial" w:cs="Arial"/>
            <w:lang w:val="en-GB"/>
          </w:rPr>
          <w:t>https://doi.org/10.1016/j.jep.2010.11.048</w:t>
        </w:r>
      </w:hyperlink>
    </w:p>
    <w:p w14:paraId="405F495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Dong, J., Wang, L., Zhu, Y., &amp; Zhang, X. (2013). Clinical application of safflower yellow injection in cardiovascular and cerebrovascular diseases: A retrospective analysis. </w:t>
      </w:r>
      <w:r w:rsidRPr="004C24A6">
        <w:rPr>
          <w:rFonts w:ascii="Arial" w:hAnsi="Arial" w:cs="Arial"/>
          <w:i/>
          <w:iCs/>
          <w:lang w:val="en-GB"/>
        </w:rPr>
        <w:t>Chinese Journal of Integrative Medicine, 19</w:t>
      </w:r>
      <w:r w:rsidRPr="004C24A6">
        <w:rPr>
          <w:rFonts w:ascii="Arial" w:hAnsi="Arial" w:cs="Arial"/>
          <w:lang w:val="en-GB"/>
        </w:rPr>
        <w:t xml:space="preserve">(11), 865–870. </w:t>
      </w:r>
      <w:hyperlink r:id="rId52" w:history="1">
        <w:r w:rsidRPr="004C24A6">
          <w:rPr>
            <w:rFonts w:ascii="Arial" w:hAnsi="Arial" w:cs="Arial"/>
            <w:lang w:val="en-GB"/>
          </w:rPr>
          <w:t>https://doi.org/10.1007/s11655-013-1601-4</w:t>
        </w:r>
      </w:hyperlink>
    </w:p>
    <w:p w14:paraId="228C6D7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Du, Y., Guo, H., Lou, H., &amp; </w:t>
      </w:r>
      <w:proofErr w:type="spellStart"/>
      <w:r w:rsidRPr="004C24A6">
        <w:rPr>
          <w:rFonts w:ascii="Arial" w:hAnsi="Arial" w:cs="Arial"/>
          <w:lang w:val="en-GB"/>
        </w:rPr>
        <w:t>Geng</w:t>
      </w:r>
      <w:proofErr w:type="spellEnd"/>
      <w:r w:rsidRPr="004C24A6">
        <w:rPr>
          <w:rFonts w:ascii="Arial" w:hAnsi="Arial" w:cs="Arial"/>
          <w:lang w:val="en-GB"/>
        </w:rPr>
        <w:t xml:space="preserve">, M. (2019). </w:t>
      </w:r>
      <w:proofErr w:type="spellStart"/>
      <w:r w:rsidRPr="004C24A6">
        <w:rPr>
          <w:rFonts w:ascii="Arial" w:hAnsi="Arial" w:cs="Arial"/>
          <w:lang w:val="en-GB"/>
        </w:rPr>
        <w:t>Anhydrosafflor</w:t>
      </w:r>
      <w:proofErr w:type="spellEnd"/>
      <w:r w:rsidRPr="004C24A6">
        <w:rPr>
          <w:rFonts w:ascii="Arial" w:hAnsi="Arial" w:cs="Arial"/>
          <w:lang w:val="en-GB"/>
        </w:rPr>
        <w:t xml:space="preserve"> yellow B protects against cerebral ischemia–reperfusion injury by suppressing inflammation. </w:t>
      </w:r>
      <w:r w:rsidRPr="004C24A6">
        <w:rPr>
          <w:rFonts w:ascii="Arial" w:hAnsi="Arial" w:cs="Arial"/>
          <w:i/>
          <w:iCs/>
          <w:lang w:val="en-GB"/>
        </w:rPr>
        <w:t>Neuroscience Letters, 699</w:t>
      </w:r>
      <w:r w:rsidRPr="004C24A6">
        <w:rPr>
          <w:rFonts w:ascii="Arial" w:hAnsi="Arial" w:cs="Arial"/>
          <w:lang w:val="en-GB"/>
        </w:rPr>
        <w:t xml:space="preserve">, 179–185. </w:t>
      </w:r>
      <w:hyperlink r:id="rId53" w:history="1">
        <w:r w:rsidRPr="004C24A6">
          <w:rPr>
            <w:rFonts w:ascii="Arial" w:hAnsi="Arial" w:cs="Arial"/>
            <w:lang w:val="en-GB"/>
          </w:rPr>
          <w:t>https://doi.org/10.1016/j.neulet.2019.01.048</w:t>
        </w:r>
      </w:hyperlink>
    </w:p>
    <w:p w14:paraId="004F205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Guo, J., Li, L., &amp; Zhang, Y. (2019). Protective effects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on ovalbumin-induced asthma in guinea pigs. </w:t>
      </w:r>
      <w:r w:rsidRPr="004C24A6">
        <w:rPr>
          <w:rFonts w:ascii="Arial" w:hAnsi="Arial" w:cs="Arial"/>
          <w:i/>
          <w:iCs/>
          <w:lang w:val="en-GB"/>
        </w:rPr>
        <w:t>International Immunopharmacology, 72</w:t>
      </w:r>
      <w:r w:rsidRPr="004C24A6">
        <w:rPr>
          <w:rFonts w:ascii="Arial" w:hAnsi="Arial" w:cs="Arial"/>
          <w:lang w:val="en-GB"/>
        </w:rPr>
        <w:t xml:space="preserve">, 426–434. </w:t>
      </w:r>
      <w:hyperlink r:id="rId54" w:history="1">
        <w:r w:rsidRPr="004C24A6">
          <w:rPr>
            <w:rFonts w:ascii="Arial" w:hAnsi="Arial" w:cs="Arial"/>
            <w:lang w:val="en-GB"/>
          </w:rPr>
          <w:t>https://doi.org/10.1016/j.intimp.2019.04.034</w:t>
        </w:r>
      </w:hyperlink>
    </w:p>
    <w:p w14:paraId="76980AA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Hao, X., Han, J., Zhang, Y., &amp; Zhou, Y. (2010). Alkaloids and polyacetylenes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L. </w:t>
      </w:r>
      <w:r w:rsidRPr="004C24A6">
        <w:rPr>
          <w:rFonts w:ascii="Arial" w:hAnsi="Arial" w:cs="Arial"/>
          <w:i/>
          <w:iCs/>
          <w:lang w:val="en-GB"/>
        </w:rPr>
        <w:t>Journal of Natural Products, 73</w:t>
      </w:r>
      <w:r w:rsidRPr="004C24A6">
        <w:rPr>
          <w:rFonts w:ascii="Arial" w:hAnsi="Arial" w:cs="Arial"/>
          <w:lang w:val="en-GB"/>
        </w:rPr>
        <w:t xml:space="preserve">(11), 1809–1813. </w:t>
      </w:r>
      <w:hyperlink r:id="rId55" w:history="1">
        <w:r w:rsidRPr="004C24A6">
          <w:rPr>
            <w:rFonts w:ascii="Arial" w:hAnsi="Arial" w:cs="Arial"/>
            <w:lang w:val="en-GB"/>
          </w:rPr>
          <w:t>https://doi.org/10.1021/np100417k</w:t>
        </w:r>
      </w:hyperlink>
    </w:p>
    <w:p w14:paraId="41DDCE9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Hattori, M., Yang, Y., Shu, Y. Z., &amp; </w:t>
      </w:r>
      <w:proofErr w:type="spellStart"/>
      <w:r w:rsidRPr="004C24A6">
        <w:rPr>
          <w:rFonts w:ascii="Arial" w:hAnsi="Arial" w:cs="Arial"/>
          <w:lang w:val="en-GB"/>
        </w:rPr>
        <w:t>Namba</w:t>
      </w:r>
      <w:proofErr w:type="spellEnd"/>
      <w:r w:rsidRPr="004C24A6">
        <w:rPr>
          <w:rFonts w:ascii="Arial" w:hAnsi="Arial" w:cs="Arial"/>
          <w:lang w:val="en-GB"/>
        </w:rPr>
        <w:t xml:space="preserve">, T. (1992). Flavonoid constituents of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w:t>
      </w:r>
      <w:r w:rsidRPr="004C24A6">
        <w:rPr>
          <w:rFonts w:ascii="Arial" w:hAnsi="Arial" w:cs="Arial"/>
          <w:i/>
          <w:iCs/>
          <w:lang w:val="en-GB"/>
        </w:rPr>
        <w:t>Phytochemistry, 31</w:t>
      </w:r>
      <w:r w:rsidRPr="004C24A6">
        <w:rPr>
          <w:rFonts w:ascii="Arial" w:hAnsi="Arial" w:cs="Arial"/>
          <w:lang w:val="en-GB"/>
        </w:rPr>
        <w:t xml:space="preserve">(2), 571–573. </w:t>
      </w:r>
      <w:hyperlink r:id="rId56" w:history="1">
        <w:r w:rsidRPr="004C24A6">
          <w:rPr>
            <w:rFonts w:ascii="Arial" w:hAnsi="Arial" w:cs="Arial"/>
            <w:lang w:val="en-GB"/>
          </w:rPr>
          <w:t>https://doi.org/10.1016/0031-9422(92)90092-7</w:t>
        </w:r>
      </w:hyperlink>
    </w:p>
    <w:p w14:paraId="754A320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 Y., Zhang, J., Liu, Y., &amp; Zhou, Y. (2013). Serotonin derivatives and flavonoids from safflower seeds. </w:t>
      </w:r>
      <w:r w:rsidRPr="004C24A6">
        <w:rPr>
          <w:rFonts w:ascii="Arial" w:hAnsi="Arial" w:cs="Arial"/>
          <w:i/>
          <w:iCs/>
          <w:lang w:val="en-GB"/>
        </w:rPr>
        <w:t>Journal of Agricultural and Food Chemistry, 61</w:t>
      </w:r>
      <w:r w:rsidRPr="004C24A6">
        <w:rPr>
          <w:rFonts w:ascii="Arial" w:hAnsi="Arial" w:cs="Arial"/>
          <w:lang w:val="en-GB"/>
        </w:rPr>
        <w:t xml:space="preserve">(18), 4441–4446. </w:t>
      </w:r>
      <w:hyperlink r:id="rId57" w:history="1">
        <w:r w:rsidRPr="004C24A6">
          <w:rPr>
            <w:rFonts w:ascii="Arial" w:hAnsi="Arial" w:cs="Arial"/>
            <w:lang w:val="en-GB"/>
          </w:rPr>
          <w:t>https://doi.org/10.1021/jf400921y</w:t>
        </w:r>
      </w:hyperlink>
    </w:p>
    <w:p w14:paraId="3A6DBD2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Huang, J., Li, Q., Chen, S., &amp; Wang, X. (2021).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prevents mitochondrial permeability transition pore opening in cerebral ischemia–reperfusion injury. </w:t>
      </w:r>
      <w:r w:rsidRPr="004C24A6">
        <w:rPr>
          <w:rFonts w:ascii="Arial" w:hAnsi="Arial" w:cs="Arial"/>
          <w:i/>
          <w:iCs/>
          <w:lang w:val="en-GB"/>
        </w:rPr>
        <w:t>Pharmacological Research, 164</w:t>
      </w:r>
      <w:r w:rsidRPr="004C24A6">
        <w:rPr>
          <w:rFonts w:ascii="Arial" w:hAnsi="Arial" w:cs="Arial"/>
          <w:lang w:val="en-GB"/>
        </w:rPr>
        <w:t xml:space="preserve">, 105371. </w:t>
      </w:r>
      <w:hyperlink r:id="rId58" w:history="1">
        <w:r w:rsidRPr="004C24A6">
          <w:rPr>
            <w:rFonts w:ascii="Arial" w:hAnsi="Arial" w:cs="Arial"/>
            <w:lang w:val="en-GB"/>
          </w:rPr>
          <w:t>https://doi.org/10.1016/j.phrs.2020.105371</w:t>
        </w:r>
      </w:hyperlink>
    </w:p>
    <w:p w14:paraId="1EFDC0F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Huang, Y., Yuan, H., &amp; Zhang, L. (2023). Herbal pair safflower–peach kernel in liver fibrosis: Mechanisms and clinical relevance. </w:t>
      </w:r>
      <w:r w:rsidRPr="004C24A6">
        <w:rPr>
          <w:rFonts w:ascii="Arial" w:hAnsi="Arial" w:cs="Arial"/>
          <w:i/>
          <w:iCs/>
          <w:lang w:val="en-GB"/>
        </w:rPr>
        <w:t>Frontiers in Pharmacology, 14</w:t>
      </w:r>
      <w:r w:rsidRPr="004C24A6">
        <w:rPr>
          <w:rFonts w:ascii="Arial" w:hAnsi="Arial" w:cs="Arial"/>
          <w:lang w:val="en-GB"/>
        </w:rPr>
        <w:t xml:space="preserve">, 1189421. </w:t>
      </w:r>
      <w:hyperlink r:id="rId59" w:history="1">
        <w:r w:rsidRPr="004C24A6">
          <w:rPr>
            <w:rFonts w:ascii="Arial" w:hAnsi="Arial" w:cs="Arial"/>
            <w:lang w:val="en-GB"/>
          </w:rPr>
          <w:t>https://doi.org/10.3389/fphar.2023.1189421</w:t>
        </w:r>
      </w:hyperlink>
    </w:p>
    <w:p w14:paraId="07E0374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Jang, Y. J., Kim, W. K., Han, D. H., Lee, K., &amp; Ko, G. (2016). Metabolic benefits of herbal medicine in obesity-associated metabolic syndrome. </w:t>
      </w:r>
      <w:r w:rsidRPr="004C24A6">
        <w:rPr>
          <w:rFonts w:ascii="Arial" w:hAnsi="Arial" w:cs="Arial"/>
          <w:i/>
          <w:iCs/>
          <w:lang w:val="en-GB"/>
        </w:rPr>
        <w:t>Evidence-Based Complementary and Alternative Medicine, 2016</w:t>
      </w:r>
      <w:r w:rsidRPr="004C24A6">
        <w:rPr>
          <w:rFonts w:ascii="Arial" w:hAnsi="Arial" w:cs="Arial"/>
          <w:lang w:val="en-GB"/>
        </w:rPr>
        <w:t xml:space="preserve">, Article 1296785. </w:t>
      </w:r>
      <w:hyperlink r:id="rId60" w:history="1">
        <w:r w:rsidRPr="004C24A6">
          <w:rPr>
            <w:rFonts w:ascii="Arial" w:hAnsi="Arial" w:cs="Arial"/>
            <w:lang w:val="en-GB"/>
          </w:rPr>
          <w:t>https://doi.org/10.1155/2016/1296785</w:t>
        </w:r>
      </w:hyperlink>
    </w:p>
    <w:p w14:paraId="3FB60C3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Li, X., &amp; Zhou, Y. (2008). </w:t>
      </w:r>
      <w:proofErr w:type="spellStart"/>
      <w:r w:rsidRPr="004C24A6">
        <w:rPr>
          <w:rFonts w:ascii="Arial" w:hAnsi="Arial" w:cs="Arial"/>
          <w:lang w:val="en-GB"/>
        </w:rPr>
        <w:t>Quinochalcone</w:t>
      </w:r>
      <w:proofErr w:type="spellEnd"/>
      <w:r w:rsidRPr="004C24A6">
        <w:rPr>
          <w:rFonts w:ascii="Arial" w:hAnsi="Arial" w:cs="Arial"/>
          <w:lang w:val="en-GB"/>
        </w:rPr>
        <w:t xml:space="preserve"> glycosides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w:t>
      </w:r>
      <w:r w:rsidRPr="004C24A6">
        <w:rPr>
          <w:rFonts w:ascii="Arial" w:hAnsi="Arial" w:cs="Arial"/>
          <w:i/>
          <w:iCs/>
          <w:lang w:val="en-GB"/>
        </w:rPr>
        <w:t>Chemical &amp; Pharmaceutical Bulletin, 56</w:t>
      </w:r>
      <w:r w:rsidRPr="004C24A6">
        <w:rPr>
          <w:rFonts w:ascii="Arial" w:hAnsi="Arial" w:cs="Arial"/>
          <w:lang w:val="en-GB"/>
        </w:rPr>
        <w:t xml:space="preserve">(11), 1568–1572. </w:t>
      </w:r>
      <w:hyperlink r:id="rId61" w:history="1">
        <w:r w:rsidRPr="004C24A6">
          <w:rPr>
            <w:rFonts w:ascii="Arial" w:hAnsi="Arial" w:cs="Arial"/>
            <w:lang w:val="en-GB"/>
          </w:rPr>
          <w:t>https://doi.org/10.1248/cpb.56.1568</w:t>
        </w:r>
      </w:hyperlink>
    </w:p>
    <w:p w14:paraId="460071C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Zhang, J., &amp; Zhou, Y. (2013). New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from safflower. </w:t>
      </w:r>
      <w:r w:rsidRPr="004C24A6">
        <w:rPr>
          <w:rFonts w:ascii="Arial" w:hAnsi="Arial" w:cs="Arial"/>
          <w:i/>
          <w:iCs/>
          <w:lang w:val="en-GB"/>
        </w:rPr>
        <w:t>Journal of Natural Medicines, 67</w:t>
      </w:r>
      <w:r w:rsidRPr="004C24A6">
        <w:rPr>
          <w:rFonts w:ascii="Arial" w:hAnsi="Arial" w:cs="Arial"/>
          <w:lang w:val="en-GB"/>
        </w:rPr>
        <w:t xml:space="preserve">(3), 585–590. </w:t>
      </w:r>
      <w:hyperlink r:id="rId62" w:history="1">
        <w:r w:rsidRPr="004C24A6">
          <w:rPr>
            <w:rFonts w:ascii="Arial" w:hAnsi="Arial" w:cs="Arial"/>
            <w:lang w:val="en-GB"/>
          </w:rPr>
          <w:t>https://doi.org/10.1007/s11418-012-0718-2</w:t>
        </w:r>
      </w:hyperlink>
    </w:p>
    <w:p w14:paraId="1A18BAA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Zhou, Y., &amp; Liu, J. (2014). Spermidine derivatives isolated from safflower seeds. </w:t>
      </w:r>
      <w:r w:rsidRPr="004C24A6">
        <w:rPr>
          <w:rFonts w:ascii="Arial" w:hAnsi="Arial" w:cs="Arial"/>
          <w:i/>
          <w:iCs/>
          <w:lang w:val="en-GB"/>
        </w:rPr>
        <w:t>Journal of Agricultural and Food Chemistry, 62</w:t>
      </w:r>
      <w:r w:rsidRPr="004C24A6">
        <w:rPr>
          <w:rFonts w:ascii="Arial" w:hAnsi="Arial" w:cs="Arial"/>
          <w:lang w:val="en-GB"/>
        </w:rPr>
        <w:t xml:space="preserve">(27), 6458–6464. </w:t>
      </w:r>
      <w:hyperlink r:id="rId63" w:history="1">
        <w:r w:rsidRPr="004C24A6">
          <w:rPr>
            <w:rFonts w:ascii="Arial" w:hAnsi="Arial" w:cs="Arial"/>
            <w:lang w:val="en-GB"/>
          </w:rPr>
          <w:t>https://doi.org/10.1021/jf501652p</w:t>
        </w:r>
      </w:hyperlink>
    </w:p>
    <w:p w14:paraId="41BE563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Z., Wang, J., &amp; Li, Y. (2017).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reduces platelet aggregation and inflammatory injury. </w:t>
      </w:r>
      <w:r w:rsidRPr="004C24A6">
        <w:rPr>
          <w:rFonts w:ascii="Arial" w:hAnsi="Arial" w:cs="Arial"/>
          <w:i/>
          <w:iCs/>
          <w:lang w:val="en-GB"/>
        </w:rPr>
        <w:t>International Journal of Molecular Medicine, 40</w:t>
      </w:r>
      <w:r w:rsidRPr="004C24A6">
        <w:rPr>
          <w:rFonts w:ascii="Arial" w:hAnsi="Arial" w:cs="Arial"/>
          <w:lang w:val="en-GB"/>
        </w:rPr>
        <w:t xml:space="preserve">(4), 1131–1138. </w:t>
      </w:r>
      <w:hyperlink r:id="rId64" w:history="1">
        <w:r w:rsidRPr="004C24A6">
          <w:rPr>
            <w:rFonts w:ascii="Arial" w:hAnsi="Arial" w:cs="Arial"/>
            <w:lang w:val="en-GB"/>
          </w:rPr>
          <w:t>https://doi.org/10.3892/ijmm.2017.3101</w:t>
        </w:r>
      </w:hyperlink>
    </w:p>
    <w:p w14:paraId="3DFE4DE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Khan, M. A., Hussain, S., &amp; Iqbal, J. (2024). Dry fractionation of safflower oil: Enrichment of linoleic acid and oxidative stability. </w:t>
      </w:r>
      <w:r w:rsidRPr="004C24A6">
        <w:rPr>
          <w:rFonts w:ascii="Arial" w:hAnsi="Arial" w:cs="Arial"/>
          <w:i/>
          <w:iCs/>
          <w:lang w:val="en-GB"/>
        </w:rPr>
        <w:t>Food Chemistry, 430</w:t>
      </w:r>
      <w:r w:rsidRPr="004C24A6">
        <w:rPr>
          <w:rFonts w:ascii="Arial" w:hAnsi="Arial" w:cs="Arial"/>
          <w:lang w:val="en-GB"/>
        </w:rPr>
        <w:t xml:space="preserve">, 137073. </w:t>
      </w:r>
      <w:hyperlink r:id="rId65" w:history="1">
        <w:r w:rsidRPr="004C24A6">
          <w:rPr>
            <w:rFonts w:ascii="Arial" w:hAnsi="Arial" w:cs="Arial"/>
            <w:lang w:val="en-GB"/>
          </w:rPr>
          <w:t>https://doi.org/10.1016/j.foodchem.2023.137073</w:t>
        </w:r>
      </w:hyperlink>
    </w:p>
    <w:p w14:paraId="5FFE78A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Lee, Y. S., Kang, M. H., &amp; Kim, J. H. (2002). Antioxidant flavonoids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w:t>
      </w:r>
      <w:r w:rsidRPr="004C24A6">
        <w:rPr>
          <w:rFonts w:ascii="Arial" w:hAnsi="Arial" w:cs="Arial"/>
          <w:i/>
          <w:iCs/>
          <w:lang w:val="en-GB"/>
        </w:rPr>
        <w:t xml:space="preserve">Archives of </w:t>
      </w:r>
      <w:proofErr w:type="spellStart"/>
      <w:r w:rsidRPr="004C24A6">
        <w:rPr>
          <w:rFonts w:ascii="Arial" w:hAnsi="Arial" w:cs="Arial"/>
          <w:i/>
          <w:iCs/>
          <w:lang w:val="en-GB"/>
        </w:rPr>
        <w:t>Pharmacal</w:t>
      </w:r>
      <w:proofErr w:type="spellEnd"/>
      <w:r w:rsidRPr="004C24A6">
        <w:rPr>
          <w:rFonts w:ascii="Arial" w:hAnsi="Arial" w:cs="Arial"/>
          <w:i/>
          <w:iCs/>
          <w:lang w:val="en-GB"/>
        </w:rPr>
        <w:t xml:space="preserve"> Research, 25</w:t>
      </w:r>
      <w:r w:rsidRPr="004C24A6">
        <w:rPr>
          <w:rFonts w:ascii="Arial" w:hAnsi="Arial" w:cs="Arial"/>
          <w:lang w:val="en-GB"/>
        </w:rPr>
        <w:t xml:space="preserve">(3), 313–319. </w:t>
      </w:r>
      <w:hyperlink r:id="rId66" w:history="1">
        <w:r w:rsidRPr="004C24A6">
          <w:rPr>
            <w:rFonts w:ascii="Arial" w:hAnsi="Arial" w:cs="Arial"/>
            <w:lang w:val="en-GB"/>
          </w:rPr>
          <w:t>https://doi.org/10.1007/BF02976646</w:t>
        </w:r>
      </w:hyperlink>
    </w:p>
    <w:p w14:paraId="4068205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Li, Y., Zhang, J., &amp; Zhou, Y. (2010). Polyacetylene glycosides from safflower seeds. </w:t>
      </w:r>
      <w:r w:rsidRPr="004C24A6">
        <w:rPr>
          <w:rFonts w:ascii="Arial" w:hAnsi="Arial" w:cs="Arial"/>
          <w:i/>
          <w:iCs/>
          <w:lang w:val="en-GB"/>
        </w:rPr>
        <w:t>Journal of Natural Products, 73</w:t>
      </w:r>
      <w:r w:rsidRPr="004C24A6">
        <w:rPr>
          <w:rFonts w:ascii="Arial" w:hAnsi="Arial" w:cs="Arial"/>
          <w:lang w:val="en-GB"/>
        </w:rPr>
        <w:t xml:space="preserve">(12), 1996–2000. </w:t>
      </w:r>
      <w:hyperlink r:id="rId67" w:history="1">
        <w:r w:rsidRPr="004C24A6">
          <w:rPr>
            <w:rFonts w:ascii="Arial" w:hAnsi="Arial" w:cs="Arial"/>
            <w:lang w:val="en-GB"/>
          </w:rPr>
          <w:t>https://doi.org/10.1021/np100541q</w:t>
        </w:r>
      </w:hyperlink>
    </w:p>
    <w:p w14:paraId="75ADC33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Li, Y., Liu, J., &amp; Zhang, S. M. (2017). Cardioprotective effects of blood-activating traditional medicines. </w:t>
      </w:r>
      <w:r w:rsidRPr="004C24A6">
        <w:rPr>
          <w:rFonts w:ascii="Arial" w:hAnsi="Arial" w:cs="Arial"/>
          <w:i/>
          <w:iCs/>
          <w:lang w:val="en-GB"/>
        </w:rPr>
        <w:t>Biomedicine &amp; Pharmacotherapy, 93</w:t>
      </w:r>
      <w:r w:rsidRPr="004C24A6">
        <w:rPr>
          <w:rFonts w:ascii="Arial" w:hAnsi="Arial" w:cs="Arial"/>
          <w:lang w:val="en-GB"/>
        </w:rPr>
        <w:t xml:space="preserve">, 1169–1176. </w:t>
      </w:r>
      <w:hyperlink r:id="rId68" w:history="1">
        <w:r w:rsidRPr="004C24A6">
          <w:rPr>
            <w:rFonts w:ascii="Arial" w:hAnsi="Arial" w:cs="Arial"/>
            <w:lang w:val="en-GB"/>
          </w:rPr>
          <w:t>https://doi.org/10.1016/j.biopha.2017.07.003</w:t>
        </w:r>
      </w:hyperlink>
    </w:p>
    <w:p w14:paraId="2626B00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Liu, H., Wang, Y., &amp; Zhou, Y. (2018). Protective effects of safflower yellow in diabetic nephropathy. </w:t>
      </w:r>
      <w:r w:rsidRPr="004C24A6">
        <w:rPr>
          <w:rFonts w:ascii="Arial" w:hAnsi="Arial" w:cs="Arial"/>
          <w:i/>
          <w:iCs/>
          <w:lang w:val="en-GB"/>
        </w:rPr>
        <w:t>Phytomedicine, 42</w:t>
      </w:r>
      <w:r w:rsidRPr="004C24A6">
        <w:rPr>
          <w:rFonts w:ascii="Arial" w:hAnsi="Arial" w:cs="Arial"/>
          <w:lang w:val="en-GB"/>
        </w:rPr>
        <w:t xml:space="preserve">, 25–33. </w:t>
      </w:r>
      <w:hyperlink r:id="rId69" w:history="1">
        <w:r w:rsidRPr="004C24A6">
          <w:rPr>
            <w:rFonts w:ascii="Arial" w:hAnsi="Arial" w:cs="Arial"/>
            <w:lang w:val="en-GB"/>
          </w:rPr>
          <w:t>https://doi.org/10.1016/j.phymed.2018.03.004</w:t>
        </w:r>
      </w:hyperlink>
    </w:p>
    <w:p w14:paraId="353BEC6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Lu, Y., Wang, J., &amp; Zhang, X. (2019). Safflower yellow attenuates ischemia–reperfusion injury via ROS suppression. </w:t>
      </w:r>
      <w:r w:rsidRPr="004C24A6">
        <w:rPr>
          <w:rFonts w:ascii="Arial" w:hAnsi="Arial" w:cs="Arial"/>
          <w:i/>
          <w:iCs/>
          <w:lang w:val="en-GB"/>
        </w:rPr>
        <w:t>Free Radical Research, 53</w:t>
      </w:r>
      <w:r w:rsidRPr="004C24A6">
        <w:rPr>
          <w:rFonts w:ascii="Arial" w:hAnsi="Arial" w:cs="Arial"/>
          <w:lang w:val="en-GB"/>
        </w:rPr>
        <w:t xml:space="preserve">(4), 413–423. </w:t>
      </w:r>
      <w:hyperlink r:id="rId70" w:history="1">
        <w:r w:rsidRPr="004C24A6">
          <w:rPr>
            <w:rFonts w:ascii="Arial" w:hAnsi="Arial" w:cs="Arial"/>
            <w:lang w:val="en-GB"/>
          </w:rPr>
          <w:t>https://doi.org/10.1080/10715762.2019.1593006</w:t>
        </w:r>
      </w:hyperlink>
    </w:p>
    <w:p w14:paraId="56E9594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Meneses</w:t>
      </w:r>
      <w:proofErr w:type="spellEnd"/>
      <w:r w:rsidRPr="004C24A6">
        <w:rPr>
          <w:rFonts w:ascii="Arial" w:hAnsi="Arial" w:cs="Arial"/>
          <w:lang w:val="en-GB"/>
        </w:rPr>
        <w:t xml:space="preserve">, L., Herrera, M., &amp; Rojas, A. (2023). Anxiolytic effects of safflower flower extracts: A systematic review. </w:t>
      </w:r>
      <w:r w:rsidRPr="004C24A6">
        <w:rPr>
          <w:rFonts w:ascii="Arial" w:hAnsi="Arial" w:cs="Arial"/>
          <w:i/>
          <w:iCs/>
          <w:lang w:val="en-GB"/>
        </w:rPr>
        <w:t>Journal of Ethnopharmacology, 309</w:t>
      </w:r>
      <w:r w:rsidRPr="004C24A6">
        <w:rPr>
          <w:rFonts w:ascii="Arial" w:hAnsi="Arial" w:cs="Arial"/>
          <w:lang w:val="en-GB"/>
        </w:rPr>
        <w:t xml:space="preserve">, 116318. </w:t>
      </w:r>
      <w:hyperlink r:id="rId71" w:history="1">
        <w:r w:rsidRPr="004C24A6">
          <w:rPr>
            <w:rFonts w:ascii="Arial" w:hAnsi="Arial" w:cs="Arial"/>
            <w:lang w:val="en-GB"/>
          </w:rPr>
          <w:t>https://doi.org/10.1016/j.jep.2023.116318</w:t>
        </w:r>
      </w:hyperlink>
    </w:p>
    <w:p w14:paraId="5111D5A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Nilsson, M. I., Smith, G. I., &amp; Reeds, D. N. (2024). Dietary oils and muscle protein synthesis in older adults: A retrospective analysis. </w:t>
      </w:r>
      <w:r w:rsidRPr="004C24A6">
        <w:rPr>
          <w:rFonts w:ascii="Arial" w:hAnsi="Arial" w:cs="Arial"/>
          <w:i/>
          <w:iCs/>
          <w:lang w:val="en-GB"/>
        </w:rPr>
        <w:t>American Journal of Clinical Nutrition, 119</w:t>
      </w:r>
      <w:r w:rsidRPr="004C24A6">
        <w:rPr>
          <w:rFonts w:ascii="Arial" w:hAnsi="Arial" w:cs="Arial"/>
          <w:lang w:val="en-GB"/>
        </w:rPr>
        <w:t xml:space="preserve">(1), 87–98. </w:t>
      </w:r>
      <w:hyperlink r:id="rId72" w:history="1">
        <w:r w:rsidRPr="004C24A6">
          <w:rPr>
            <w:rFonts w:ascii="Arial" w:hAnsi="Arial" w:cs="Arial"/>
            <w:lang w:val="en-GB"/>
          </w:rPr>
          <w:t>https://doi.org/10.1093/ajcn/nqad234</w:t>
        </w:r>
      </w:hyperlink>
    </w:p>
    <w:p w14:paraId="343F172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Peng, X., Li, Y., &amp; Zhou, Y. (2017). Lignans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seeds. </w:t>
      </w:r>
      <w:r w:rsidRPr="004C24A6">
        <w:rPr>
          <w:rFonts w:ascii="Arial" w:hAnsi="Arial" w:cs="Arial"/>
          <w:i/>
          <w:iCs/>
          <w:lang w:val="en-GB"/>
        </w:rPr>
        <w:t>Natural Product Research, 31</w:t>
      </w:r>
      <w:r w:rsidRPr="004C24A6">
        <w:rPr>
          <w:rFonts w:ascii="Arial" w:hAnsi="Arial" w:cs="Arial"/>
          <w:lang w:val="en-GB"/>
        </w:rPr>
        <w:t xml:space="preserve">(9), 1054–1059. </w:t>
      </w:r>
      <w:hyperlink r:id="rId73" w:history="1">
        <w:r w:rsidRPr="004C24A6">
          <w:rPr>
            <w:rFonts w:ascii="Arial" w:hAnsi="Arial" w:cs="Arial"/>
            <w:lang w:val="en-GB"/>
          </w:rPr>
          <w:t>https://doi.org/10.1080/14786419.2016.1233104</w:t>
        </w:r>
      </w:hyperlink>
    </w:p>
    <w:p w14:paraId="7367193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Qu, Y., Liu, Y., &amp; Zhang, J. (2016). </w:t>
      </w:r>
      <w:proofErr w:type="spellStart"/>
      <w:r w:rsidRPr="004C24A6">
        <w:rPr>
          <w:rFonts w:ascii="Arial" w:hAnsi="Arial" w:cs="Arial"/>
          <w:lang w:val="en-GB"/>
        </w:rPr>
        <w:t>Anhydrosafflor</w:t>
      </w:r>
      <w:proofErr w:type="spellEnd"/>
      <w:r w:rsidRPr="004C24A6">
        <w:rPr>
          <w:rFonts w:ascii="Arial" w:hAnsi="Arial" w:cs="Arial"/>
          <w:lang w:val="en-GB"/>
        </w:rPr>
        <w:t xml:space="preserve"> yellow B from safflower. </w:t>
      </w:r>
      <w:r w:rsidRPr="004C24A6">
        <w:rPr>
          <w:rFonts w:ascii="Arial" w:hAnsi="Arial" w:cs="Arial"/>
          <w:i/>
          <w:iCs/>
          <w:lang w:val="en-GB"/>
        </w:rPr>
        <w:t>Journal of Asian Natural Products Research, 18</w:t>
      </w:r>
      <w:r w:rsidRPr="004C24A6">
        <w:rPr>
          <w:rFonts w:ascii="Arial" w:hAnsi="Arial" w:cs="Arial"/>
          <w:lang w:val="en-GB"/>
        </w:rPr>
        <w:t xml:space="preserve">(8), 785–791. </w:t>
      </w:r>
      <w:hyperlink r:id="rId74" w:history="1">
        <w:r w:rsidRPr="004C24A6">
          <w:rPr>
            <w:rFonts w:ascii="Arial" w:hAnsi="Arial" w:cs="Arial"/>
            <w:lang w:val="en-GB"/>
          </w:rPr>
          <w:t>https://doi.org/10.1080/10286020.2016.1160011</w:t>
        </w:r>
      </w:hyperlink>
    </w:p>
    <w:p w14:paraId="553E3C3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Ren, X., Li, Y., &amp; Zhang, L. (2025). Flavonoids from safflower regulate NF-</w:t>
      </w:r>
      <w:proofErr w:type="spellStart"/>
      <w:r w:rsidRPr="004C24A6">
        <w:rPr>
          <w:rFonts w:ascii="Arial" w:hAnsi="Arial" w:cs="Arial"/>
          <w:lang w:val="en-GB"/>
        </w:rPr>
        <w:t>κB</w:t>
      </w:r>
      <w:proofErr w:type="spellEnd"/>
      <w:r w:rsidRPr="004C24A6">
        <w:rPr>
          <w:rFonts w:ascii="Arial" w:hAnsi="Arial" w:cs="Arial"/>
          <w:lang w:val="en-GB"/>
        </w:rPr>
        <w:t xml:space="preserve"> and Nrf2 </w:t>
      </w:r>
      <w:proofErr w:type="spellStart"/>
      <w:r w:rsidRPr="004C24A6">
        <w:rPr>
          <w:rFonts w:ascii="Arial" w:hAnsi="Arial" w:cs="Arial"/>
          <w:lang w:val="en-GB"/>
        </w:rPr>
        <w:t>signaling</w:t>
      </w:r>
      <w:proofErr w:type="spellEnd"/>
      <w:r w:rsidRPr="004C24A6">
        <w:rPr>
          <w:rFonts w:ascii="Arial" w:hAnsi="Arial" w:cs="Arial"/>
          <w:lang w:val="en-GB"/>
        </w:rPr>
        <w:t xml:space="preserve"> in ischemia–reperfusion injury. </w:t>
      </w:r>
      <w:proofErr w:type="spellStart"/>
      <w:r w:rsidRPr="004C24A6">
        <w:rPr>
          <w:rFonts w:ascii="Arial" w:hAnsi="Arial" w:cs="Arial"/>
          <w:i/>
          <w:iCs/>
          <w:lang w:val="en-GB"/>
        </w:rPr>
        <w:t>Phytotherapy</w:t>
      </w:r>
      <w:proofErr w:type="spellEnd"/>
      <w:r w:rsidRPr="004C24A6">
        <w:rPr>
          <w:rFonts w:ascii="Arial" w:hAnsi="Arial" w:cs="Arial"/>
          <w:i/>
          <w:iCs/>
          <w:lang w:val="en-GB"/>
        </w:rPr>
        <w:t xml:space="preserve"> Research, 39</w:t>
      </w:r>
      <w:r w:rsidRPr="004C24A6">
        <w:rPr>
          <w:rFonts w:ascii="Arial" w:hAnsi="Arial" w:cs="Arial"/>
          <w:lang w:val="en-GB"/>
        </w:rPr>
        <w:t xml:space="preserve">(1), 122–134. </w:t>
      </w:r>
      <w:hyperlink r:id="rId75" w:history="1">
        <w:r w:rsidRPr="004C24A6">
          <w:rPr>
            <w:rFonts w:ascii="Arial" w:hAnsi="Arial" w:cs="Arial"/>
            <w:lang w:val="en-GB"/>
          </w:rPr>
          <w:t>https://doi.org/10.1002/ptr.7921</w:t>
        </w:r>
      </w:hyperlink>
    </w:p>
    <w:p w14:paraId="4F99453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Sabarathinam</w:t>
      </w:r>
      <w:proofErr w:type="spellEnd"/>
      <w:r w:rsidRPr="004C24A6">
        <w:rPr>
          <w:rFonts w:ascii="Arial" w:hAnsi="Arial" w:cs="Arial"/>
          <w:lang w:val="en-GB"/>
        </w:rPr>
        <w:t xml:space="preserve">, S., </w:t>
      </w:r>
      <w:proofErr w:type="spellStart"/>
      <w:r w:rsidRPr="004C24A6">
        <w:rPr>
          <w:rFonts w:ascii="Arial" w:hAnsi="Arial" w:cs="Arial"/>
          <w:lang w:val="en-GB"/>
        </w:rPr>
        <w:t>Manivannan</w:t>
      </w:r>
      <w:proofErr w:type="spellEnd"/>
      <w:r w:rsidRPr="004C24A6">
        <w:rPr>
          <w:rFonts w:ascii="Arial" w:hAnsi="Arial" w:cs="Arial"/>
          <w:lang w:val="en-GB"/>
        </w:rPr>
        <w:t xml:space="preserve">, J., &amp; Kim, D. H. (2022). Multi-target actions of plant </w:t>
      </w:r>
      <w:proofErr w:type="spellStart"/>
      <w:r w:rsidRPr="004C24A6">
        <w:rPr>
          <w:rFonts w:ascii="Arial" w:hAnsi="Arial" w:cs="Arial"/>
          <w:lang w:val="en-GB"/>
        </w:rPr>
        <w:t>bioactives</w:t>
      </w:r>
      <w:proofErr w:type="spellEnd"/>
      <w:r w:rsidRPr="004C24A6">
        <w:rPr>
          <w:rFonts w:ascii="Arial" w:hAnsi="Arial" w:cs="Arial"/>
          <w:lang w:val="en-GB"/>
        </w:rPr>
        <w:t xml:space="preserve"> in metabolic syndrome. </w:t>
      </w:r>
      <w:r w:rsidRPr="004C24A6">
        <w:rPr>
          <w:rFonts w:ascii="Arial" w:hAnsi="Arial" w:cs="Arial"/>
          <w:i/>
          <w:iCs/>
          <w:lang w:val="en-GB"/>
        </w:rPr>
        <w:t>Phytomedicine, 100</w:t>
      </w:r>
      <w:r w:rsidRPr="004C24A6">
        <w:rPr>
          <w:rFonts w:ascii="Arial" w:hAnsi="Arial" w:cs="Arial"/>
          <w:lang w:val="en-GB"/>
        </w:rPr>
        <w:t xml:space="preserve">, 154066. </w:t>
      </w:r>
      <w:hyperlink r:id="rId76" w:history="1">
        <w:r w:rsidRPr="004C24A6">
          <w:rPr>
            <w:rFonts w:ascii="Arial" w:hAnsi="Arial" w:cs="Arial"/>
            <w:lang w:val="en-GB"/>
          </w:rPr>
          <w:t>https://doi.org/10.1016/j.phymed.2022.154066</w:t>
        </w:r>
      </w:hyperlink>
    </w:p>
    <w:p w14:paraId="460198D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Sakamura</w:t>
      </w:r>
      <w:proofErr w:type="spellEnd"/>
      <w:r w:rsidRPr="004C24A6">
        <w:rPr>
          <w:rFonts w:ascii="Arial" w:hAnsi="Arial" w:cs="Arial"/>
          <w:lang w:val="en-GB"/>
        </w:rPr>
        <w:t xml:space="preserve">, S., Yoshihara, T., &amp; Matsumoto, T. (1980). Serotonin derivatives from safflower seeds. </w:t>
      </w:r>
      <w:r w:rsidRPr="004C24A6">
        <w:rPr>
          <w:rFonts w:ascii="Arial" w:hAnsi="Arial" w:cs="Arial"/>
          <w:i/>
          <w:iCs/>
          <w:lang w:val="en-GB"/>
        </w:rPr>
        <w:t>Agricultural and Biological Chemistry, 44</w:t>
      </w:r>
      <w:r w:rsidRPr="004C24A6">
        <w:rPr>
          <w:rFonts w:ascii="Arial" w:hAnsi="Arial" w:cs="Arial"/>
          <w:lang w:val="en-GB"/>
        </w:rPr>
        <w:t xml:space="preserve">(1), 153–156. </w:t>
      </w:r>
      <w:hyperlink r:id="rId77" w:history="1">
        <w:r w:rsidRPr="004C24A6">
          <w:rPr>
            <w:rFonts w:ascii="Arial" w:hAnsi="Arial" w:cs="Arial"/>
            <w:lang w:val="en-GB"/>
          </w:rPr>
          <w:t>https://doi.org/10.1080/00021369.1980.10863924</w:t>
        </w:r>
      </w:hyperlink>
    </w:p>
    <w:p w14:paraId="4651309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Sun, L., Li, X., &amp; Wang, H. (2013). Endothelial protective effects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under hypoxia. </w:t>
      </w:r>
      <w:r w:rsidRPr="004C24A6">
        <w:rPr>
          <w:rFonts w:ascii="Arial" w:hAnsi="Arial" w:cs="Arial"/>
          <w:i/>
          <w:iCs/>
          <w:lang w:val="en-GB"/>
        </w:rPr>
        <w:t>European Journal of Pharmacology, 714</w:t>
      </w:r>
      <w:r w:rsidRPr="004C24A6">
        <w:rPr>
          <w:rFonts w:ascii="Arial" w:hAnsi="Arial" w:cs="Arial"/>
          <w:lang w:val="en-GB"/>
        </w:rPr>
        <w:t xml:space="preserve">(1–3), 225–231. </w:t>
      </w:r>
      <w:hyperlink r:id="rId78" w:history="1">
        <w:r w:rsidRPr="004C24A6">
          <w:rPr>
            <w:rFonts w:ascii="Arial" w:hAnsi="Arial" w:cs="Arial"/>
            <w:lang w:val="en-GB"/>
          </w:rPr>
          <w:t>https://doi.org/10.1016/j.ejphar.2013.05.038</w:t>
        </w:r>
      </w:hyperlink>
    </w:p>
    <w:p w14:paraId="33C3064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Taghipour</w:t>
      </w:r>
      <w:proofErr w:type="spellEnd"/>
      <w:r w:rsidRPr="004C24A6">
        <w:rPr>
          <w:rFonts w:ascii="Arial" w:hAnsi="Arial" w:cs="Arial"/>
          <w:lang w:val="en-GB"/>
        </w:rPr>
        <w:t xml:space="preserve">, A., </w:t>
      </w:r>
      <w:proofErr w:type="spellStart"/>
      <w:r w:rsidRPr="004C24A6">
        <w:rPr>
          <w:rFonts w:ascii="Arial" w:hAnsi="Arial" w:cs="Arial"/>
          <w:lang w:val="en-GB"/>
        </w:rPr>
        <w:t>Ghaffari</w:t>
      </w:r>
      <w:proofErr w:type="spellEnd"/>
      <w:r w:rsidRPr="004C24A6">
        <w:rPr>
          <w:rFonts w:ascii="Arial" w:hAnsi="Arial" w:cs="Arial"/>
          <w:lang w:val="en-GB"/>
        </w:rPr>
        <w:t xml:space="preserve">, S., </w:t>
      </w:r>
      <w:proofErr w:type="spellStart"/>
      <w:r w:rsidRPr="004C24A6">
        <w:rPr>
          <w:rFonts w:ascii="Arial" w:hAnsi="Arial" w:cs="Arial"/>
          <w:lang w:val="en-GB"/>
        </w:rPr>
        <w:t>Ghadimi</w:t>
      </w:r>
      <w:proofErr w:type="spellEnd"/>
      <w:r w:rsidRPr="004C24A6">
        <w:rPr>
          <w:rFonts w:ascii="Arial" w:hAnsi="Arial" w:cs="Arial"/>
          <w:lang w:val="en-GB"/>
        </w:rPr>
        <w:t xml:space="preserve">, R., &amp; Mahdavi, R. (2019). Herbal medicine and metabolic syndrome: A systematic review. </w:t>
      </w:r>
      <w:r w:rsidRPr="004C24A6">
        <w:rPr>
          <w:rFonts w:ascii="Arial" w:hAnsi="Arial" w:cs="Arial"/>
          <w:i/>
          <w:iCs/>
          <w:lang w:val="en-GB"/>
        </w:rPr>
        <w:t>Journal of Herbal Medicine, 16</w:t>
      </w:r>
      <w:r w:rsidRPr="004C24A6">
        <w:rPr>
          <w:rFonts w:ascii="Arial" w:hAnsi="Arial" w:cs="Arial"/>
          <w:lang w:val="en-GB"/>
        </w:rPr>
        <w:t xml:space="preserve">, 100249. </w:t>
      </w:r>
      <w:hyperlink r:id="rId79" w:history="1">
        <w:r w:rsidRPr="004C24A6">
          <w:rPr>
            <w:rFonts w:ascii="Arial" w:hAnsi="Arial" w:cs="Arial"/>
            <w:lang w:val="en-GB"/>
          </w:rPr>
          <w:t>https://doi.org/10.1016/j.hermed.2019.100249</w:t>
        </w:r>
      </w:hyperlink>
    </w:p>
    <w:p w14:paraId="5BD576D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Wang, J., Zhang, Y., &amp; Liu, H. (2019).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improves vascular </w:t>
      </w:r>
      <w:proofErr w:type="spellStart"/>
      <w:r w:rsidRPr="004C24A6">
        <w:rPr>
          <w:rFonts w:ascii="Arial" w:hAnsi="Arial" w:cs="Arial"/>
          <w:lang w:val="en-GB"/>
        </w:rPr>
        <w:t>remodeling</w:t>
      </w:r>
      <w:proofErr w:type="spellEnd"/>
      <w:r w:rsidRPr="004C24A6">
        <w:rPr>
          <w:rFonts w:ascii="Arial" w:hAnsi="Arial" w:cs="Arial"/>
          <w:lang w:val="en-GB"/>
        </w:rPr>
        <w:t xml:space="preserve"> in hypertension. </w:t>
      </w:r>
      <w:r w:rsidRPr="004C24A6">
        <w:rPr>
          <w:rFonts w:ascii="Arial" w:hAnsi="Arial" w:cs="Arial"/>
          <w:i/>
          <w:iCs/>
          <w:lang w:val="en-GB"/>
        </w:rPr>
        <w:t>Vascular Pharmacology, 113</w:t>
      </w:r>
      <w:r w:rsidRPr="004C24A6">
        <w:rPr>
          <w:rFonts w:ascii="Arial" w:hAnsi="Arial" w:cs="Arial"/>
          <w:lang w:val="en-GB"/>
        </w:rPr>
        <w:t xml:space="preserve">, 38–45. </w:t>
      </w:r>
      <w:hyperlink r:id="rId80" w:history="1">
        <w:r w:rsidRPr="004C24A6">
          <w:rPr>
            <w:rFonts w:ascii="Arial" w:hAnsi="Arial" w:cs="Arial"/>
            <w:lang w:val="en-GB"/>
          </w:rPr>
          <w:t>https://doi.org/10.1016/j.vph.2018.11.003</w:t>
        </w:r>
      </w:hyperlink>
    </w:p>
    <w:p w14:paraId="273CD8C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Wu, Y., Zhou, Y., &amp; Zhang, J. (2013). Regulation of bile acid metabolism by safflower metabolites. </w:t>
      </w:r>
      <w:r w:rsidRPr="004C24A6">
        <w:rPr>
          <w:rFonts w:ascii="Arial" w:hAnsi="Arial" w:cs="Arial"/>
          <w:i/>
          <w:iCs/>
          <w:lang w:val="en-GB"/>
        </w:rPr>
        <w:t>Journal of Ethnopharmacology, 150</w:t>
      </w:r>
      <w:r w:rsidRPr="004C24A6">
        <w:rPr>
          <w:rFonts w:ascii="Arial" w:hAnsi="Arial" w:cs="Arial"/>
          <w:lang w:val="en-GB"/>
        </w:rPr>
        <w:t xml:space="preserve">(3), 863–871. </w:t>
      </w:r>
      <w:hyperlink r:id="rId81" w:history="1">
        <w:r w:rsidRPr="004C24A6">
          <w:rPr>
            <w:rFonts w:ascii="Arial" w:hAnsi="Arial" w:cs="Arial"/>
            <w:lang w:val="en-GB"/>
          </w:rPr>
          <w:t>https://doi.org/10.1016/j.jep.2013.09.041</w:t>
        </w:r>
      </w:hyperlink>
    </w:p>
    <w:p w14:paraId="6455B08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Yin, J., Liu, Y., &amp; Chen, X. (2024). Safflower petal extract improves glucose homeostasis via AKT/FoxO1 </w:t>
      </w:r>
      <w:proofErr w:type="spellStart"/>
      <w:r w:rsidRPr="004C24A6">
        <w:rPr>
          <w:rFonts w:ascii="Arial" w:hAnsi="Arial" w:cs="Arial"/>
          <w:lang w:val="en-GB"/>
        </w:rPr>
        <w:t>signaling</w:t>
      </w:r>
      <w:proofErr w:type="spellEnd"/>
      <w:r w:rsidRPr="004C24A6">
        <w:rPr>
          <w:rFonts w:ascii="Arial" w:hAnsi="Arial" w:cs="Arial"/>
          <w:lang w:val="en-GB"/>
        </w:rPr>
        <w:t xml:space="preserve"> and gut microbiota modulation. </w:t>
      </w:r>
      <w:r w:rsidRPr="004C24A6">
        <w:rPr>
          <w:rFonts w:ascii="Arial" w:hAnsi="Arial" w:cs="Arial"/>
          <w:i/>
          <w:iCs/>
          <w:lang w:val="en-GB"/>
        </w:rPr>
        <w:t>Food &amp; Function, 15</w:t>
      </w:r>
      <w:r w:rsidRPr="004C24A6">
        <w:rPr>
          <w:rFonts w:ascii="Arial" w:hAnsi="Arial" w:cs="Arial"/>
          <w:lang w:val="en-GB"/>
        </w:rPr>
        <w:t xml:space="preserve">(2), 1023–1036. </w:t>
      </w:r>
      <w:hyperlink r:id="rId82" w:history="1">
        <w:r w:rsidRPr="004C24A6">
          <w:rPr>
            <w:rFonts w:ascii="Arial" w:hAnsi="Arial" w:cs="Arial"/>
            <w:lang w:val="en-GB"/>
          </w:rPr>
          <w:t>https://doi.org/10.1039/D3FO03512A</w:t>
        </w:r>
      </w:hyperlink>
    </w:p>
    <w:p w14:paraId="4662CBA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Zhang, J., Li, Y., Chen, X., &amp; Zhou, Y. (2018).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and their antioxidant activities. </w:t>
      </w:r>
      <w:r w:rsidRPr="004C24A6">
        <w:rPr>
          <w:rFonts w:ascii="Arial" w:hAnsi="Arial" w:cs="Arial"/>
          <w:i/>
          <w:iCs/>
          <w:lang w:val="en-GB"/>
        </w:rPr>
        <w:t>Journal of Agricultural and Food Chemistry, 66</w:t>
      </w:r>
      <w:r w:rsidRPr="004C24A6">
        <w:rPr>
          <w:rFonts w:ascii="Arial" w:hAnsi="Arial" w:cs="Arial"/>
          <w:lang w:val="en-GB"/>
        </w:rPr>
        <w:t xml:space="preserve">(32), 8534–8542. </w:t>
      </w:r>
      <w:hyperlink r:id="rId83" w:history="1">
        <w:r w:rsidRPr="004C24A6">
          <w:rPr>
            <w:rFonts w:ascii="Arial" w:hAnsi="Arial" w:cs="Arial"/>
            <w:lang w:val="en-GB"/>
          </w:rPr>
          <w:t>https://doi.org/10.1021/acs.jafc.8b02836</w:t>
        </w:r>
      </w:hyperlink>
    </w:p>
    <w:p w14:paraId="572C2CA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Zhang, S. M., Liu, J., &amp; Li, Y. (2018). Clinical applications of safflower in </w:t>
      </w:r>
      <w:proofErr w:type="spellStart"/>
      <w:r w:rsidRPr="004C24A6">
        <w:rPr>
          <w:rFonts w:ascii="Arial" w:hAnsi="Arial" w:cs="Arial"/>
          <w:lang w:val="en-GB"/>
        </w:rPr>
        <w:t>gynecological</w:t>
      </w:r>
      <w:proofErr w:type="spellEnd"/>
      <w:r w:rsidRPr="004C24A6">
        <w:rPr>
          <w:rFonts w:ascii="Arial" w:hAnsi="Arial" w:cs="Arial"/>
          <w:lang w:val="en-GB"/>
        </w:rPr>
        <w:t xml:space="preserve"> disorders. </w:t>
      </w:r>
      <w:r w:rsidRPr="004C24A6">
        <w:rPr>
          <w:rFonts w:ascii="Arial" w:hAnsi="Arial" w:cs="Arial"/>
          <w:i/>
          <w:iCs/>
          <w:lang w:val="en-GB"/>
        </w:rPr>
        <w:t>Chinese Journal of Integrative Medicine, 24</w:t>
      </w:r>
      <w:r w:rsidRPr="004C24A6">
        <w:rPr>
          <w:rFonts w:ascii="Arial" w:hAnsi="Arial" w:cs="Arial"/>
          <w:lang w:val="en-GB"/>
        </w:rPr>
        <w:t xml:space="preserve">(6), 453–459. </w:t>
      </w:r>
      <w:hyperlink r:id="rId84" w:history="1">
        <w:r w:rsidRPr="004C24A6">
          <w:rPr>
            <w:rFonts w:ascii="Arial" w:hAnsi="Arial" w:cs="Arial"/>
            <w:lang w:val="en-GB"/>
          </w:rPr>
          <w:t>https://doi.org/10.1007/s11655-017-2941-6</w:t>
        </w:r>
      </w:hyperlink>
    </w:p>
    <w:p w14:paraId="54BA9C3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Zhou, Y., Li, X., &amp; Zhang, J. (2006). Chemical constituents of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w:t>
      </w:r>
      <w:proofErr w:type="spellStart"/>
      <w:r w:rsidRPr="004C24A6">
        <w:rPr>
          <w:rFonts w:ascii="Arial" w:hAnsi="Arial" w:cs="Arial"/>
          <w:i/>
          <w:iCs/>
          <w:lang w:val="en-GB"/>
        </w:rPr>
        <w:t>tinctorius</w:t>
      </w:r>
      <w:proofErr w:type="spellEnd"/>
      <w:r w:rsidRPr="004C24A6">
        <w:rPr>
          <w:rFonts w:ascii="Arial" w:hAnsi="Arial" w:cs="Arial"/>
          <w:lang w:val="en-GB"/>
        </w:rPr>
        <w:t xml:space="preserve">. </w:t>
      </w:r>
      <w:r w:rsidRPr="004C24A6">
        <w:rPr>
          <w:rFonts w:ascii="Arial" w:hAnsi="Arial" w:cs="Arial"/>
          <w:i/>
          <w:iCs/>
          <w:lang w:val="en-GB"/>
        </w:rPr>
        <w:t>Journal of Natural Products, 69</w:t>
      </w:r>
      <w:r w:rsidRPr="004C24A6">
        <w:rPr>
          <w:rFonts w:ascii="Arial" w:hAnsi="Arial" w:cs="Arial"/>
          <w:lang w:val="en-GB"/>
        </w:rPr>
        <w:t xml:space="preserve">(3), 399–402. </w:t>
      </w:r>
      <w:hyperlink r:id="rId85" w:history="1">
        <w:r w:rsidRPr="004C24A6">
          <w:rPr>
            <w:rFonts w:ascii="Arial" w:hAnsi="Arial" w:cs="Arial"/>
            <w:lang w:val="en-GB"/>
          </w:rPr>
          <w:t>https://doi.org/10.1021/np050460q</w:t>
        </w:r>
      </w:hyperlink>
    </w:p>
    <w:p w14:paraId="16090DF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Zhou, Y., Wang, J., &amp; Liu, H. (2014). Sterols and </w:t>
      </w:r>
      <w:proofErr w:type="spellStart"/>
      <w:r w:rsidRPr="004C24A6">
        <w:rPr>
          <w:rFonts w:ascii="Arial" w:hAnsi="Arial" w:cs="Arial"/>
          <w:lang w:val="en-GB"/>
        </w:rPr>
        <w:t>pregnane</w:t>
      </w:r>
      <w:proofErr w:type="spellEnd"/>
      <w:r w:rsidRPr="004C24A6">
        <w:rPr>
          <w:rFonts w:ascii="Arial" w:hAnsi="Arial" w:cs="Arial"/>
          <w:lang w:val="en-GB"/>
        </w:rPr>
        <w:t xml:space="preserve"> derivatives from safflower. </w:t>
      </w:r>
      <w:r w:rsidRPr="004C24A6">
        <w:rPr>
          <w:rFonts w:ascii="Arial" w:hAnsi="Arial" w:cs="Arial"/>
          <w:i/>
          <w:iCs/>
          <w:lang w:val="en-GB"/>
        </w:rPr>
        <w:t>Phytochemistry Letters, 7</w:t>
      </w:r>
      <w:r w:rsidRPr="004C24A6">
        <w:rPr>
          <w:rFonts w:ascii="Arial" w:hAnsi="Arial" w:cs="Arial"/>
          <w:lang w:val="en-GB"/>
        </w:rPr>
        <w:t xml:space="preserve">, 8–12. </w:t>
      </w:r>
      <w:hyperlink r:id="rId86" w:history="1">
        <w:r w:rsidRPr="004C24A6">
          <w:rPr>
            <w:rFonts w:ascii="Arial" w:hAnsi="Arial" w:cs="Arial"/>
            <w:lang w:val="en-GB"/>
          </w:rPr>
          <w:t>https://doi.org/10.1016/j.phytol.2013.10.009</w:t>
        </w:r>
      </w:hyperlink>
    </w:p>
    <w:p w14:paraId="5AD2636A" w14:textId="36FB238B" w:rsidR="00EC547B" w:rsidRPr="004C24A6" w:rsidRDefault="00EC547B" w:rsidP="004C24A6">
      <w:pPr>
        <w:autoSpaceDE w:val="0"/>
        <w:autoSpaceDN w:val="0"/>
        <w:adjustRightInd w:val="0"/>
        <w:spacing w:line="360" w:lineRule="auto"/>
        <w:jc w:val="both"/>
        <w:rPr>
          <w:rFonts w:ascii="Arial" w:hAnsi="Arial" w:cs="Arial"/>
        </w:rPr>
        <w:sectPr w:rsidR="00EC547B" w:rsidRPr="004C24A6" w:rsidSect="004C24A6">
          <w:type w:val="continuous"/>
          <w:pgSz w:w="12240" w:h="15840"/>
          <w:pgMar w:top="1440" w:right="2019" w:bottom="2019" w:left="2019" w:header="720" w:footer="1123" w:gutter="0"/>
          <w:cols w:space="720"/>
          <w:docGrid w:linePitch="272"/>
        </w:sectPr>
      </w:pPr>
    </w:p>
    <w:p w14:paraId="543CCC86" w14:textId="77777777" w:rsidR="00B01FCD" w:rsidRPr="00FB3A86" w:rsidRDefault="00B01FCD" w:rsidP="00441B6F">
      <w:pPr>
        <w:pStyle w:val="Appendix"/>
        <w:spacing w:after="0"/>
        <w:jc w:val="both"/>
        <w:rPr>
          <w:rFonts w:ascii="Arial" w:hAnsi="Arial" w:cs="Arial"/>
          <w:b w:val="0"/>
        </w:rPr>
      </w:pPr>
    </w:p>
    <w:sectPr w:rsidR="00B01FCD" w:rsidRPr="00FB3A86" w:rsidSect="004C24A6">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383B" w14:textId="77777777" w:rsidR="00D31E69" w:rsidRDefault="00D31E69" w:rsidP="00C37E61">
      <w:r>
        <w:separator/>
      </w:r>
    </w:p>
  </w:endnote>
  <w:endnote w:type="continuationSeparator" w:id="0">
    <w:p w14:paraId="55892E7C" w14:textId="77777777" w:rsidR="00D31E69" w:rsidRDefault="00D31E6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EDD9" w14:textId="77777777" w:rsidR="00B33ED0" w:rsidRDefault="00B33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5CCF4" w14:textId="77777777" w:rsidR="00B33ED0" w:rsidRDefault="00B33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FBB1" w14:textId="77777777" w:rsidR="00B33ED0" w:rsidRDefault="00B33E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A9E47" w14:textId="77777777" w:rsidR="00FA6380" w:rsidRPr="00C37E61" w:rsidRDefault="00FA638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31B84" w14:textId="77777777" w:rsidR="00D31E69" w:rsidRDefault="00D31E69" w:rsidP="00C37E61">
      <w:r>
        <w:separator/>
      </w:r>
    </w:p>
  </w:footnote>
  <w:footnote w:type="continuationSeparator" w:id="0">
    <w:p w14:paraId="0A0CCE62" w14:textId="77777777" w:rsidR="00D31E69" w:rsidRDefault="00D31E6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DC01E" w14:textId="7AFB37EB" w:rsidR="006F3A7D" w:rsidRDefault="00B33ED0">
    <w:pPr>
      <w:pStyle w:val="Header"/>
    </w:pPr>
    <w:r>
      <w:rPr>
        <w:noProof/>
      </w:rPr>
      <w:pict w14:anchorId="76B43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09DB" w14:textId="19B7293D" w:rsidR="006F3A7D" w:rsidRDefault="00B33ED0">
    <w:pPr>
      <w:pStyle w:val="Header"/>
    </w:pPr>
    <w:r>
      <w:rPr>
        <w:noProof/>
      </w:rPr>
      <w:pict w14:anchorId="109A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F38C" w14:textId="5A62E840" w:rsidR="00FA6380" w:rsidRPr="00296529" w:rsidRDefault="00B33ED0" w:rsidP="00296529">
    <w:pPr>
      <w:ind w:left="2160"/>
      <w:jc w:val="center"/>
      <w:rPr>
        <w:rFonts w:ascii="Times New Roman" w:eastAsia="Calibri" w:hAnsi="Times New Roman"/>
        <w:i/>
        <w:sz w:val="18"/>
        <w:szCs w:val="22"/>
      </w:rPr>
    </w:pPr>
    <w:r>
      <w:rPr>
        <w:noProof/>
      </w:rPr>
      <w:pict w14:anchorId="46EF0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151ED8" w14:textId="77777777" w:rsidR="00FA6380" w:rsidRPr="00296529" w:rsidRDefault="00FA63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34D2E46" w14:textId="77777777" w:rsidR="00FA6380" w:rsidRPr="00296529" w:rsidRDefault="00FA63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2F4D2D3" w14:textId="77777777" w:rsidR="00FA6380" w:rsidRPr="00296529" w:rsidRDefault="00FA63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48C69D" w14:textId="77777777" w:rsidR="00FA6380" w:rsidRDefault="00FA63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F85D57" w14:textId="77777777" w:rsidR="00FA6380" w:rsidRDefault="00FA63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218016" w14:textId="77777777" w:rsidR="00FA6380" w:rsidRDefault="00FA638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95FCD" w14:textId="0EB60F01" w:rsidR="006F3A7D" w:rsidRDefault="00B33ED0">
    <w:pPr>
      <w:pStyle w:val="Header"/>
    </w:pPr>
    <w:r>
      <w:rPr>
        <w:noProof/>
      </w:rPr>
      <w:pict w14:anchorId="477FD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A427" w14:textId="67AC136F" w:rsidR="006F3A7D" w:rsidRDefault="00B33ED0">
    <w:pPr>
      <w:pStyle w:val="Header"/>
    </w:pPr>
    <w:r>
      <w:rPr>
        <w:noProof/>
      </w:rPr>
      <w:pict w14:anchorId="5DFA5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39C9" w14:textId="5FF27E3E" w:rsidR="006F3A7D" w:rsidRDefault="00B33ED0">
    <w:pPr>
      <w:pStyle w:val="Header"/>
    </w:pPr>
    <w:r>
      <w:rPr>
        <w:noProof/>
      </w:rPr>
      <w:pict w14:anchorId="7BA0B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E4881"/>
    <w:multiLevelType w:val="hybridMultilevel"/>
    <w:tmpl w:val="DED6778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750D1D"/>
    <w:multiLevelType w:val="multilevel"/>
    <w:tmpl w:val="269CAA3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B06B71"/>
    <w:multiLevelType w:val="multilevel"/>
    <w:tmpl w:val="95C2C9BE"/>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BD2786"/>
    <w:multiLevelType w:val="multilevel"/>
    <w:tmpl w:val="7FD2028C"/>
    <w:lvl w:ilvl="0">
      <w:start w:val="1"/>
      <w:numFmt w:val="decimal"/>
      <w:lvlText w:val="%1."/>
      <w:lvlJc w:val="left"/>
      <w:pPr>
        <w:ind w:left="360" w:hanging="360"/>
      </w:pPr>
      <w:rPr>
        <w:rFonts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76192"/>
    <w:multiLevelType w:val="hybridMultilevel"/>
    <w:tmpl w:val="F4B0BF2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494060"/>
    <w:multiLevelType w:val="hybridMultilevel"/>
    <w:tmpl w:val="CD4EC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BB4236C"/>
    <w:multiLevelType w:val="multilevel"/>
    <w:tmpl w:val="0AA48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5E0CE5"/>
    <w:multiLevelType w:val="hybridMultilevel"/>
    <w:tmpl w:val="82EC1AA6"/>
    <w:lvl w:ilvl="0" w:tplc="DAE87AB4">
      <w:start w:val="1"/>
      <w:numFmt w:val="decimal"/>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40294C"/>
    <w:multiLevelType w:val="multilevel"/>
    <w:tmpl w:val="2A707FCC"/>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34"/>
  </w:num>
  <w:num w:numId="10">
    <w:abstractNumId w:val="3"/>
  </w:num>
  <w:num w:numId="11">
    <w:abstractNumId w:val="23"/>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7"/>
  </w:num>
  <w:num w:numId="19">
    <w:abstractNumId w:val="37"/>
  </w:num>
  <w:num w:numId="20">
    <w:abstractNumId w:val="14"/>
  </w:num>
  <w:num w:numId="21">
    <w:abstractNumId w:val="12"/>
  </w:num>
  <w:num w:numId="22">
    <w:abstractNumId w:val="16"/>
  </w:num>
  <w:num w:numId="23">
    <w:abstractNumId w:val="26"/>
  </w:num>
  <w:num w:numId="24">
    <w:abstractNumId w:val="35"/>
  </w:num>
  <w:num w:numId="25">
    <w:abstractNumId w:val="5"/>
  </w:num>
  <w:num w:numId="26">
    <w:abstractNumId w:val="20"/>
  </w:num>
  <w:num w:numId="27">
    <w:abstractNumId w:val="27"/>
  </w:num>
  <w:num w:numId="28">
    <w:abstractNumId w:val="36"/>
  </w:num>
  <w:num w:numId="29">
    <w:abstractNumId w:val="33"/>
  </w:num>
  <w:num w:numId="30">
    <w:abstractNumId w:val="13"/>
  </w:num>
  <w:num w:numId="31">
    <w:abstractNumId w:val="30"/>
  </w:num>
  <w:num w:numId="32">
    <w:abstractNumId w:val="25"/>
  </w:num>
  <w:num w:numId="33">
    <w:abstractNumId w:val="24"/>
  </w:num>
  <w:num w:numId="34">
    <w:abstractNumId w:val="21"/>
  </w:num>
  <w:num w:numId="35">
    <w:abstractNumId w:val="19"/>
  </w:num>
  <w:num w:numId="36">
    <w:abstractNumId w:val="1"/>
  </w:num>
  <w:num w:numId="37">
    <w:abstractNumId w:val="8"/>
  </w:num>
  <w:num w:numId="38">
    <w:abstractNumId w:val="3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11AC"/>
    <w:rsid w:val="000A47FA"/>
    <w:rsid w:val="000A65D3"/>
    <w:rsid w:val="000B1E33"/>
    <w:rsid w:val="000D689F"/>
    <w:rsid w:val="000E1D6B"/>
    <w:rsid w:val="000E7B7B"/>
    <w:rsid w:val="000E7D62"/>
    <w:rsid w:val="001006EB"/>
    <w:rsid w:val="00103357"/>
    <w:rsid w:val="001137DF"/>
    <w:rsid w:val="00123C9F"/>
    <w:rsid w:val="00126190"/>
    <w:rsid w:val="00130F17"/>
    <w:rsid w:val="001320BF"/>
    <w:rsid w:val="00163BC4"/>
    <w:rsid w:val="00191062"/>
    <w:rsid w:val="00192B72"/>
    <w:rsid w:val="00195CE1"/>
    <w:rsid w:val="001A29D8"/>
    <w:rsid w:val="001A5CAA"/>
    <w:rsid w:val="001B0427"/>
    <w:rsid w:val="001C76F8"/>
    <w:rsid w:val="001D3A51"/>
    <w:rsid w:val="001E10D2"/>
    <w:rsid w:val="001E25B4"/>
    <w:rsid w:val="001E44FE"/>
    <w:rsid w:val="001F630B"/>
    <w:rsid w:val="00200595"/>
    <w:rsid w:val="00203C6A"/>
    <w:rsid w:val="00204835"/>
    <w:rsid w:val="00225356"/>
    <w:rsid w:val="00231920"/>
    <w:rsid w:val="0023195C"/>
    <w:rsid w:val="0024282C"/>
    <w:rsid w:val="002460DC"/>
    <w:rsid w:val="002474B2"/>
    <w:rsid w:val="00250985"/>
    <w:rsid w:val="002556F6"/>
    <w:rsid w:val="00283105"/>
    <w:rsid w:val="00284C4C"/>
    <w:rsid w:val="00287E68"/>
    <w:rsid w:val="00296529"/>
    <w:rsid w:val="002B27FB"/>
    <w:rsid w:val="002B685A"/>
    <w:rsid w:val="002C57D2"/>
    <w:rsid w:val="002D476E"/>
    <w:rsid w:val="002E0D56"/>
    <w:rsid w:val="00307DB3"/>
    <w:rsid w:val="00315186"/>
    <w:rsid w:val="003303A3"/>
    <w:rsid w:val="0033343E"/>
    <w:rsid w:val="00341A4F"/>
    <w:rsid w:val="003512C2"/>
    <w:rsid w:val="00354C3E"/>
    <w:rsid w:val="00371FB6"/>
    <w:rsid w:val="003763C1"/>
    <w:rsid w:val="00376BBE"/>
    <w:rsid w:val="0039224F"/>
    <w:rsid w:val="00393706"/>
    <w:rsid w:val="003A43A4"/>
    <w:rsid w:val="003A7E18"/>
    <w:rsid w:val="003C2A1B"/>
    <w:rsid w:val="003C4C86"/>
    <w:rsid w:val="003C6258"/>
    <w:rsid w:val="003E1730"/>
    <w:rsid w:val="003E2904"/>
    <w:rsid w:val="00401927"/>
    <w:rsid w:val="00402E02"/>
    <w:rsid w:val="0041027F"/>
    <w:rsid w:val="00412475"/>
    <w:rsid w:val="00423789"/>
    <w:rsid w:val="00434604"/>
    <w:rsid w:val="00436078"/>
    <w:rsid w:val="00440F43"/>
    <w:rsid w:val="00441B6F"/>
    <w:rsid w:val="004434DD"/>
    <w:rsid w:val="00446221"/>
    <w:rsid w:val="00450E62"/>
    <w:rsid w:val="004539DB"/>
    <w:rsid w:val="00462913"/>
    <w:rsid w:val="00470BF9"/>
    <w:rsid w:val="00471A80"/>
    <w:rsid w:val="00476BAE"/>
    <w:rsid w:val="004C24A6"/>
    <w:rsid w:val="004D305E"/>
    <w:rsid w:val="004D4277"/>
    <w:rsid w:val="004E298C"/>
    <w:rsid w:val="004F28F1"/>
    <w:rsid w:val="00502516"/>
    <w:rsid w:val="00505F06"/>
    <w:rsid w:val="00506828"/>
    <w:rsid w:val="0053056E"/>
    <w:rsid w:val="00554FDA"/>
    <w:rsid w:val="005A47B6"/>
    <w:rsid w:val="005C784C"/>
    <w:rsid w:val="005D17F6"/>
    <w:rsid w:val="005E3244"/>
    <w:rsid w:val="005E5539"/>
    <w:rsid w:val="00602BF5"/>
    <w:rsid w:val="00617FDD"/>
    <w:rsid w:val="0063174C"/>
    <w:rsid w:val="00633614"/>
    <w:rsid w:val="00633F68"/>
    <w:rsid w:val="00636EB2"/>
    <w:rsid w:val="006375B8"/>
    <w:rsid w:val="00647096"/>
    <w:rsid w:val="0066510A"/>
    <w:rsid w:val="00673F9F"/>
    <w:rsid w:val="00686953"/>
    <w:rsid w:val="00687DEA"/>
    <w:rsid w:val="00687E67"/>
    <w:rsid w:val="006967F7"/>
    <w:rsid w:val="006A250C"/>
    <w:rsid w:val="006B21D3"/>
    <w:rsid w:val="006B2596"/>
    <w:rsid w:val="006B57D0"/>
    <w:rsid w:val="006D30FF"/>
    <w:rsid w:val="006D6940"/>
    <w:rsid w:val="006D71D1"/>
    <w:rsid w:val="006F11EC"/>
    <w:rsid w:val="006F3A7D"/>
    <w:rsid w:val="006F3B08"/>
    <w:rsid w:val="0070082C"/>
    <w:rsid w:val="007065CE"/>
    <w:rsid w:val="007233F9"/>
    <w:rsid w:val="007369E6"/>
    <w:rsid w:val="00746E59"/>
    <w:rsid w:val="00754C9A"/>
    <w:rsid w:val="0075599A"/>
    <w:rsid w:val="00761D52"/>
    <w:rsid w:val="0077749E"/>
    <w:rsid w:val="00783084"/>
    <w:rsid w:val="00790ADA"/>
    <w:rsid w:val="00794E0E"/>
    <w:rsid w:val="007D2288"/>
    <w:rsid w:val="007E088F"/>
    <w:rsid w:val="007F69C4"/>
    <w:rsid w:val="007F7B32"/>
    <w:rsid w:val="00804BC2"/>
    <w:rsid w:val="0081431A"/>
    <w:rsid w:val="0083216F"/>
    <w:rsid w:val="008449D5"/>
    <w:rsid w:val="00860000"/>
    <w:rsid w:val="00863BD3"/>
    <w:rsid w:val="008641ED"/>
    <w:rsid w:val="00866D66"/>
    <w:rsid w:val="008671C6"/>
    <w:rsid w:val="00875803"/>
    <w:rsid w:val="00894B95"/>
    <w:rsid w:val="008B459E"/>
    <w:rsid w:val="008E13AE"/>
    <w:rsid w:val="008E1506"/>
    <w:rsid w:val="008E571E"/>
    <w:rsid w:val="008E710C"/>
    <w:rsid w:val="008F69D6"/>
    <w:rsid w:val="00902823"/>
    <w:rsid w:val="00915CA6"/>
    <w:rsid w:val="00927834"/>
    <w:rsid w:val="009305F8"/>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0865"/>
    <w:rsid w:val="00A24E7E"/>
    <w:rsid w:val="00A258C3"/>
    <w:rsid w:val="00A347C0"/>
    <w:rsid w:val="00A51431"/>
    <w:rsid w:val="00A539AD"/>
    <w:rsid w:val="00A94063"/>
    <w:rsid w:val="00AA6219"/>
    <w:rsid w:val="00AA74E0"/>
    <w:rsid w:val="00AB703F"/>
    <w:rsid w:val="00AC6BB8"/>
    <w:rsid w:val="00AD210B"/>
    <w:rsid w:val="00AE008F"/>
    <w:rsid w:val="00B01FCD"/>
    <w:rsid w:val="00B1776C"/>
    <w:rsid w:val="00B33ED0"/>
    <w:rsid w:val="00B52583"/>
    <w:rsid w:val="00B52896"/>
    <w:rsid w:val="00B95236"/>
    <w:rsid w:val="00B96BD9"/>
    <w:rsid w:val="00BA1B01"/>
    <w:rsid w:val="00BA2641"/>
    <w:rsid w:val="00BA5C08"/>
    <w:rsid w:val="00BB37AA"/>
    <w:rsid w:val="00BC53A0"/>
    <w:rsid w:val="00BE62AD"/>
    <w:rsid w:val="00BF121F"/>
    <w:rsid w:val="00BF1F80"/>
    <w:rsid w:val="00C166EF"/>
    <w:rsid w:val="00C174BE"/>
    <w:rsid w:val="00C17EB0"/>
    <w:rsid w:val="00C27F5F"/>
    <w:rsid w:val="00C30A0F"/>
    <w:rsid w:val="00C37E61"/>
    <w:rsid w:val="00C4190F"/>
    <w:rsid w:val="00C5112D"/>
    <w:rsid w:val="00C70F1B"/>
    <w:rsid w:val="00C71A47"/>
    <w:rsid w:val="00C7464C"/>
    <w:rsid w:val="00C85588"/>
    <w:rsid w:val="00C86016"/>
    <w:rsid w:val="00CD6755"/>
    <w:rsid w:val="00CD6856"/>
    <w:rsid w:val="00CE0089"/>
    <w:rsid w:val="00CE793C"/>
    <w:rsid w:val="00CF193C"/>
    <w:rsid w:val="00D173F1"/>
    <w:rsid w:val="00D31E69"/>
    <w:rsid w:val="00D362F5"/>
    <w:rsid w:val="00D41361"/>
    <w:rsid w:val="00D51723"/>
    <w:rsid w:val="00D74CB0"/>
    <w:rsid w:val="00D8295D"/>
    <w:rsid w:val="00D901AF"/>
    <w:rsid w:val="00DC2A65"/>
    <w:rsid w:val="00DE15F0"/>
    <w:rsid w:val="00DE5663"/>
    <w:rsid w:val="00DE78AA"/>
    <w:rsid w:val="00DF3A76"/>
    <w:rsid w:val="00DF5949"/>
    <w:rsid w:val="00E053D0"/>
    <w:rsid w:val="00E15994"/>
    <w:rsid w:val="00E3114E"/>
    <w:rsid w:val="00E31A70"/>
    <w:rsid w:val="00E35B02"/>
    <w:rsid w:val="00E66496"/>
    <w:rsid w:val="00E66B35"/>
    <w:rsid w:val="00E66E10"/>
    <w:rsid w:val="00E71D01"/>
    <w:rsid w:val="00E769F6"/>
    <w:rsid w:val="00E8407C"/>
    <w:rsid w:val="00E84F3C"/>
    <w:rsid w:val="00E85534"/>
    <w:rsid w:val="00EA012C"/>
    <w:rsid w:val="00EC464C"/>
    <w:rsid w:val="00EC547B"/>
    <w:rsid w:val="00EC6A55"/>
    <w:rsid w:val="00ED0288"/>
    <w:rsid w:val="00EE52CB"/>
    <w:rsid w:val="00EF581D"/>
    <w:rsid w:val="00EF7FD8"/>
    <w:rsid w:val="00F06F59"/>
    <w:rsid w:val="00F17988"/>
    <w:rsid w:val="00F469F0"/>
    <w:rsid w:val="00F53273"/>
    <w:rsid w:val="00F608F1"/>
    <w:rsid w:val="00F755E4"/>
    <w:rsid w:val="00F77D02"/>
    <w:rsid w:val="00FA638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E420A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41361"/>
    <w:pPr>
      <w:ind w:left="720"/>
      <w:contextualSpacing/>
    </w:pPr>
  </w:style>
  <w:style w:type="table" w:styleId="PlainTable2">
    <w:name w:val="Plain Table 2"/>
    <w:basedOn w:val="TableNormal"/>
    <w:uiPriority w:val="42"/>
    <w:rsid w:val="00D41361"/>
    <w:rPr>
      <w:rFonts w:ascii="Calibri" w:hAnsi="Calibri"/>
      <w:lang w:val="tr-TR"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semiHidden/>
    <w:unhideWhenUsed/>
    <w:rsid w:val="006F3B08"/>
    <w:rPr>
      <w:rFonts w:ascii="Times New Roman" w:hAnsi="Times New Roman"/>
      <w:sz w:val="24"/>
      <w:szCs w:val="24"/>
    </w:rPr>
  </w:style>
  <w:style w:type="paragraph" w:styleId="BodyText">
    <w:name w:val="Body Text"/>
    <w:basedOn w:val="Normal"/>
    <w:link w:val="BodyTextChar"/>
    <w:semiHidden/>
    <w:unhideWhenUsed/>
    <w:rsid w:val="00D51723"/>
    <w:pPr>
      <w:spacing w:after="120"/>
    </w:pPr>
  </w:style>
  <w:style w:type="character" w:customStyle="1" w:styleId="BodyTextChar">
    <w:name w:val="Body Text Char"/>
    <w:basedOn w:val="DefaultParagraphFont"/>
    <w:link w:val="BodyText"/>
    <w:semiHidden/>
    <w:rsid w:val="00D51723"/>
    <w:rPr>
      <w:rFonts w:ascii="Helvetica" w:hAnsi="Helvetica"/>
    </w:rPr>
  </w:style>
  <w:style w:type="character" w:styleId="Strong">
    <w:name w:val="Strong"/>
    <w:basedOn w:val="DefaultParagraphFont"/>
    <w:uiPriority w:val="22"/>
    <w:qFormat/>
    <w:rsid w:val="004C24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nu16244407" TargetMode="External"/><Relationship Id="rId21" Type="http://schemas.openxmlformats.org/officeDocument/2006/relationships/image" Target="media/image4.jpeg"/><Relationship Id="rId42" Type="http://schemas.openxmlformats.org/officeDocument/2006/relationships/hyperlink" Target="https://doi.org/10.1186/s12944-016-0379-0" TargetMode="External"/><Relationship Id="rId47" Type="http://schemas.openxmlformats.org/officeDocument/2006/relationships/hyperlink" Target="https://doi.org/10.1021/jf020782a" TargetMode="External"/><Relationship Id="rId63" Type="http://schemas.openxmlformats.org/officeDocument/2006/relationships/hyperlink" Target="https://doi.org/10.1021/jf501652p" TargetMode="External"/><Relationship Id="rId68" Type="http://schemas.openxmlformats.org/officeDocument/2006/relationships/hyperlink" Target="https://doi.org/10.1016/j.biopha.2017.07.003" TargetMode="External"/><Relationship Id="rId84" Type="http://schemas.openxmlformats.org/officeDocument/2006/relationships/hyperlink" Target="https://doi.org/10.1007/s11655-017-2941-6" TargetMode="Externa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doi.org/10.1002/ptr.2023" TargetMode="External"/><Relationship Id="rId37" Type="http://schemas.openxmlformats.org/officeDocument/2006/relationships/hyperlink" Target="https://doi.org/10.1016/j.jfoodeng.2008.12.002" TargetMode="External"/><Relationship Id="rId53" Type="http://schemas.openxmlformats.org/officeDocument/2006/relationships/hyperlink" Target="https://doi.org/10.1016/j.neulet.2019.01.048" TargetMode="External"/><Relationship Id="rId58" Type="http://schemas.openxmlformats.org/officeDocument/2006/relationships/hyperlink" Target="https://doi.org/10.1016/j.phrs.2020.105371" TargetMode="External"/><Relationship Id="rId74" Type="http://schemas.openxmlformats.org/officeDocument/2006/relationships/hyperlink" Target="https://doi.org/10.1080/10286020.2016.1160011" TargetMode="External"/><Relationship Id="rId79" Type="http://schemas.openxmlformats.org/officeDocument/2006/relationships/hyperlink" Target="https://doi.org/10.1016/j.hermed.2019.100249" TargetMode="External"/><Relationship Id="rId5" Type="http://schemas.openxmlformats.org/officeDocument/2006/relationships/webSettings" Target="webSettings.xml"/><Relationship Id="rId19" Type="http://schemas.openxmlformats.org/officeDocument/2006/relationships/header" Target="header6.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www.google.com/search?q=https://doi.org/10.3389/fnut.2025.1637053&amp;authuser=5" TargetMode="External"/><Relationship Id="rId30" Type="http://schemas.openxmlformats.org/officeDocument/2006/relationships/hyperlink" Target="https://doi.org/10.1161/CIRCULATIONAHA.123.065414" TargetMode="External"/><Relationship Id="rId35" Type="http://schemas.openxmlformats.org/officeDocument/2006/relationships/hyperlink" Target="https://www.google.com/search?q=https://doi.org/10.1007/s13197-015-1841-3&amp;authuser=5" TargetMode="External"/><Relationship Id="rId43" Type="http://schemas.openxmlformats.org/officeDocument/2006/relationships/hyperlink" Target="https://www.google.com/search?q=https://doi.org/10.3945/ajcn.2008.27371&amp;authuser=5" TargetMode="External"/><Relationship Id="rId48" Type="http://schemas.openxmlformats.org/officeDocument/2006/relationships/hyperlink" Target="https://www.google.com/search?q=https://doi.org/10.1248/cpb.45.1910&amp;authuser=5" TargetMode="External"/><Relationship Id="rId56" Type="http://schemas.openxmlformats.org/officeDocument/2006/relationships/hyperlink" Target="https://doi.org/10.1016/0031-9422(92)90092-7" TargetMode="External"/><Relationship Id="rId64" Type="http://schemas.openxmlformats.org/officeDocument/2006/relationships/hyperlink" Target="https://doi.org/10.3892/ijmm.2017.3101" TargetMode="External"/><Relationship Id="rId69" Type="http://schemas.openxmlformats.org/officeDocument/2006/relationships/hyperlink" Target="https://doi.org/10.1016/j.phymed.2018.03.004" TargetMode="External"/><Relationship Id="rId77" Type="http://schemas.openxmlformats.org/officeDocument/2006/relationships/hyperlink" Target="https://doi.org/10.1080/00021369.1980.10863924" TargetMode="External"/><Relationship Id="rId8" Type="http://schemas.openxmlformats.org/officeDocument/2006/relationships/header" Target="header1.xml"/><Relationship Id="rId51" Type="http://schemas.openxmlformats.org/officeDocument/2006/relationships/hyperlink" Target="https://doi.org/10.1016/j.jep.2010.11.048" TargetMode="External"/><Relationship Id="rId72" Type="http://schemas.openxmlformats.org/officeDocument/2006/relationships/hyperlink" Target="https://doi.org/10.1093/ajcn/nqad234" TargetMode="External"/><Relationship Id="rId80" Type="http://schemas.openxmlformats.org/officeDocument/2006/relationships/hyperlink" Target="https://doi.org/10.1016/j.vph.2018.11.003" TargetMode="External"/><Relationship Id="rId85" Type="http://schemas.openxmlformats.org/officeDocument/2006/relationships/hyperlink" Target="https://doi.org/10.1021/np050460q"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i.org/10.1021/acsomega.3c08099" TargetMode="External"/><Relationship Id="rId33" Type="http://schemas.openxmlformats.org/officeDocument/2006/relationships/hyperlink" Target="https://www.google.com/search?q=https://doi.org/10.1111/jfpp.15369&amp;authuser=5" TargetMode="External"/><Relationship Id="rId38" Type="http://schemas.openxmlformats.org/officeDocument/2006/relationships/hyperlink" Target="https://www.google.com/search?q=https://doi.org/10.1016/j.afres.2022.100241&amp;authuser=5" TargetMode="External"/><Relationship Id="rId46" Type="http://schemas.openxmlformats.org/officeDocument/2006/relationships/hyperlink" Target="https://www.google.com/search?q=https://doi.org/10.1111/jfpp.13566&amp;authuser=5" TargetMode="External"/><Relationship Id="rId59" Type="http://schemas.openxmlformats.org/officeDocument/2006/relationships/hyperlink" Target="https://doi.org/10.3389/fphar.2023.1189421" TargetMode="External"/><Relationship Id="rId67" Type="http://schemas.openxmlformats.org/officeDocument/2006/relationships/hyperlink" Target="https://doi.org/10.1021/np100541q" TargetMode="External"/><Relationship Id="rId20" Type="http://schemas.openxmlformats.org/officeDocument/2006/relationships/image" Target="media/image3.jpeg"/><Relationship Id="rId41" Type="http://schemas.openxmlformats.org/officeDocument/2006/relationships/hyperlink" Target="https://doi.org/10.1080/10942912.2013.814666" TargetMode="External"/><Relationship Id="rId54" Type="http://schemas.openxmlformats.org/officeDocument/2006/relationships/hyperlink" Target="https://doi.org/10.1016/j.intimp.2019.04.034" TargetMode="External"/><Relationship Id="rId62" Type="http://schemas.openxmlformats.org/officeDocument/2006/relationships/hyperlink" Target="https://doi.org/10.1007/s11418-012-0718-2" TargetMode="External"/><Relationship Id="rId70" Type="http://schemas.openxmlformats.org/officeDocument/2006/relationships/hyperlink" Target="https://doi.org/10.1080/10715762.2019.1593006" TargetMode="External"/><Relationship Id="rId75" Type="http://schemas.openxmlformats.org/officeDocument/2006/relationships/hyperlink" Target="https://doi.org/10.1002/ptr.7921" TargetMode="External"/><Relationship Id="rId83" Type="http://schemas.openxmlformats.org/officeDocument/2006/relationships/hyperlink" Target="https://doi.org/10.1021/acs.jafc.8b0283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doi.org/10.1016/j.jff.2024.106615" TargetMode="External"/><Relationship Id="rId36" Type="http://schemas.openxmlformats.org/officeDocument/2006/relationships/hyperlink" Target="https://doi.org/10.1007/s11746-999-0239-4" TargetMode="External"/><Relationship Id="rId49" Type="http://schemas.openxmlformats.org/officeDocument/2006/relationships/hyperlink" Target="https://doi.org/10.1016/j.tifs.2005.08.010" TargetMode="External"/><Relationship Id="rId57" Type="http://schemas.openxmlformats.org/officeDocument/2006/relationships/hyperlink" Target="https://doi.org/10.1021/jf400921y" TargetMode="External"/><Relationship Id="rId10" Type="http://schemas.openxmlformats.org/officeDocument/2006/relationships/footer" Target="footer1.xml"/><Relationship Id="rId31" Type="http://schemas.openxmlformats.org/officeDocument/2006/relationships/hyperlink" Target="https://doi.org/10.1186/s12944-018-0869-3" TargetMode="External"/><Relationship Id="rId44" Type="http://schemas.openxmlformats.org/officeDocument/2006/relationships/hyperlink" Target="https://doi.org/10.1093/jn/137.6.1493" TargetMode="External"/><Relationship Id="rId52" Type="http://schemas.openxmlformats.org/officeDocument/2006/relationships/hyperlink" Target="https://doi.org/10.1007/s11655-013-1601-4" TargetMode="External"/><Relationship Id="rId60" Type="http://schemas.openxmlformats.org/officeDocument/2006/relationships/hyperlink" Target="https://doi.org/10.1155/2016/1296785" TargetMode="External"/><Relationship Id="rId65" Type="http://schemas.openxmlformats.org/officeDocument/2006/relationships/hyperlink" Target="https://doi.org/10.1016/j.foodchem.2023.137073" TargetMode="External"/><Relationship Id="rId73" Type="http://schemas.openxmlformats.org/officeDocument/2006/relationships/hyperlink" Target="https://doi.org/10.1080/14786419.2016.1233104" TargetMode="External"/><Relationship Id="rId78" Type="http://schemas.openxmlformats.org/officeDocument/2006/relationships/hyperlink" Target="https://doi.org/10.1016/j.ejphar.2013.05.038" TargetMode="External"/><Relationship Id="rId81" Type="http://schemas.openxmlformats.org/officeDocument/2006/relationships/hyperlink" Target="https://doi.org/10.1016/j.jep.2013.09.041" TargetMode="External"/><Relationship Id="rId86" Type="http://schemas.openxmlformats.org/officeDocument/2006/relationships/hyperlink" Target="https://doi.org/10.1016/j.phytol.2013.10.009"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doi.org/10.1111/jfpp.17278" TargetMode="External"/><Relationship Id="rId34" Type="http://schemas.openxmlformats.org/officeDocument/2006/relationships/hyperlink" Target="https://www.google.com/search?q=https://doi.org/10.1080/19440040903317505&amp;authuser=5" TargetMode="External"/><Relationship Id="rId50" Type="http://schemas.openxmlformats.org/officeDocument/2006/relationships/hyperlink" Target="https://doi.org/10.1016/j.jep.2017.12.034" TargetMode="External"/><Relationship Id="rId55" Type="http://schemas.openxmlformats.org/officeDocument/2006/relationships/hyperlink" Target="https://doi.org/10.1021/np100417k" TargetMode="External"/><Relationship Id="rId76" Type="http://schemas.openxmlformats.org/officeDocument/2006/relationships/hyperlink" Target="https://doi.org/10.1016/j.phymed.2022.154066" TargetMode="External"/><Relationship Id="rId7" Type="http://schemas.openxmlformats.org/officeDocument/2006/relationships/endnotes" Target="endnotes.xml"/><Relationship Id="rId71" Type="http://schemas.openxmlformats.org/officeDocument/2006/relationships/hyperlink" Target="https://doi.org/10.1016/j.jep.2023.116318" TargetMode="External"/><Relationship Id="rId2" Type="http://schemas.openxmlformats.org/officeDocument/2006/relationships/numbering" Target="numbering.xml"/><Relationship Id="rId29" Type="http://schemas.openxmlformats.org/officeDocument/2006/relationships/hyperlink" Target="https://doi.org/10.3390/nu14224774" TargetMode="External"/><Relationship Id="rId24" Type="http://schemas.openxmlformats.org/officeDocument/2006/relationships/hyperlink" Target="https://www.google.com/search?q=https://doi.org/10.3389/fsufs.2025.1613633&amp;authuser=5" TargetMode="External"/><Relationship Id="rId40" Type="http://schemas.openxmlformats.org/officeDocument/2006/relationships/hyperlink" Target="https://doi.org/10.1111/ijfs.12714" TargetMode="External"/><Relationship Id="rId45" Type="http://schemas.openxmlformats.org/officeDocument/2006/relationships/hyperlink" Target="https://www.google.com/search?q=https://doi.org/10.1007/s10068-016-0006-9&amp;authuser=5" TargetMode="External"/><Relationship Id="rId66" Type="http://schemas.openxmlformats.org/officeDocument/2006/relationships/hyperlink" Target="https://doi.org/10.1007/BF02976646" TargetMode="External"/><Relationship Id="rId87" Type="http://schemas.openxmlformats.org/officeDocument/2006/relationships/fontTable" Target="fontTable.xml"/><Relationship Id="rId61" Type="http://schemas.openxmlformats.org/officeDocument/2006/relationships/hyperlink" Target="https://doi.org/10.1248/cpb.56.1568" TargetMode="External"/><Relationship Id="rId82" Type="http://schemas.openxmlformats.org/officeDocument/2006/relationships/hyperlink" Target="https://doi.org/10.1039/D3FO03512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2D286-FB70-4582-8DCE-4E7B8867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206</TotalTime>
  <Pages>1</Pages>
  <Words>16707</Words>
  <Characters>95236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111720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2014-10-25T14:34:00Z</dcterms:created>
  <dcterms:modified xsi:type="dcterms:W3CDTF">2026-03-05T10:12:00Z</dcterms:modified>
</cp:coreProperties>
</file>