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EB806D" w14:textId="79CD617B" w:rsidR="000A408B" w:rsidRDefault="000A408B" w:rsidP="00507EF8">
      <w:pPr>
        <w:jc w:val="center"/>
        <w:rPr>
          <w:rFonts w:ascii="Times New Roman" w:hAnsi="Times New Roman" w:cs="Times New Roman"/>
          <w:b/>
          <w:bCs/>
        </w:rPr>
      </w:pPr>
      <w:r w:rsidRPr="00F675E6">
        <w:rPr>
          <w:rFonts w:ascii="Times New Roman" w:hAnsi="Times New Roman" w:cs="Times New Roman"/>
          <w:b/>
          <w:bCs/>
        </w:rPr>
        <w:t>Balancing Tax Burden and Financial Stability: Evidence from the Nigerian Oil and Gas Sector</w:t>
      </w:r>
    </w:p>
    <w:p w14:paraId="093BA6DB" w14:textId="45D1C1B6" w:rsidR="0086122E" w:rsidRDefault="0086122E" w:rsidP="00875AFA">
      <w:pPr>
        <w:spacing w:line="240" w:lineRule="auto"/>
        <w:jc w:val="center"/>
        <w:rPr>
          <w:rFonts w:ascii="Times New Roman" w:hAnsi="Times New Roman" w:cs="Times New Roman"/>
          <w:b/>
          <w:bCs/>
        </w:rPr>
      </w:pPr>
    </w:p>
    <w:p w14:paraId="1B01431A" w14:textId="77777777" w:rsidR="00FE6476" w:rsidRPr="00266FB4" w:rsidRDefault="00FE6476" w:rsidP="00875AFA">
      <w:pPr>
        <w:spacing w:line="240" w:lineRule="auto"/>
        <w:jc w:val="center"/>
        <w:rPr>
          <w:rFonts w:ascii="Times New Roman" w:hAnsi="Times New Roman" w:cs="Times New Roman"/>
          <w:b/>
          <w:bCs/>
        </w:rPr>
      </w:pPr>
      <w:bookmarkStart w:id="0" w:name="_GoBack"/>
      <w:bookmarkEnd w:id="0"/>
    </w:p>
    <w:p w14:paraId="1F628B22" w14:textId="77777777" w:rsidR="001650EE" w:rsidRPr="00F675E6" w:rsidRDefault="001650EE" w:rsidP="00507EF8">
      <w:pPr>
        <w:jc w:val="center"/>
        <w:rPr>
          <w:rFonts w:ascii="Times New Roman" w:hAnsi="Times New Roman" w:cs="Times New Roman"/>
          <w:b/>
          <w:bCs/>
        </w:rPr>
      </w:pPr>
    </w:p>
    <w:p w14:paraId="504769D4" w14:textId="77777777" w:rsidR="005807F3" w:rsidRPr="005807F3" w:rsidRDefault="005807F3" w:rsidP="005807F3">
      <w:pPr>
        <w:jc w:val="both"/>
        <w:rPr>
          <w:rFonts w:ascii="Times New Roman" w:hAnsi="Times New Roman" w:cs="Times New Roman"/>
          <w:b/>
          <w:bCs/>
        </w:rPr>
      </w:pPr>
      <w:r w:rsidRPr="005807F3">
        <w:rPr>
          <w:rFonts w:ascii="Times New Roman" w:hAnsi="Times New Roman" w:cs="Times New Roman"/>
          <w:b/>
          <w:bCs/>
        </w:rPr>
        <w:t>Abstract</w:t>
      </w:r>
    </w:p>
    <w:p w14:paraId="5EB3C820" w14:textId="77777777" w:rsidR="005807F3" w:rsidRPr="005807F3" w:rsidRDefault="005807F3" w:rsidP="005807F3">
      <w:pPr>
        <w:jc w:val="both"/>
        <w:rPr>
          <w:rFonts w:ascii="Times New Roman" w:hAnsi="Times New Roman" w:cs="Times New Roman"/>
        </w:rPr>
      </w:pPr>
      <w:r w:rsidRPr="005807F3">
        <w:rPr>
          <w:rFonts w:ascii="Times New Roman" w:hAnsi="Times New Roman" w:cs="Times New Roman"/>
        </w:rPr>
        <w:t>This study investigates the impact of tax burden on the financial stability of Nigerian oil and gas firms, a sector critical to national revenue and economic development. Despite its importance, the sector faces persistent challenges from complex tax regimes, frequent regulatory reforms, and volatile global oil prices. Using panel data from all listed oil and gas firms on the Nigerian Exchange Group between 2012 and 2024, this research employs an ex-post facto design and fixed effects regression to examine how effective tax rate (ETR) and cash effective tax rate (CETR) influence financial stability, proxied by the interest coverage ratio (ICR), while controlling for firm age. Descriptive statistics reveal a moderate average tax burden (ETR: 0.2850; CETR: 0.2527) and an average ICR of 4.12, indicating reasonable debt-servicing capacity. Correlation analysis shows that both ETR and CETR are negatively associated with ICR. Regression results confirm that higher ETR and CETR significantly reduce ICR (ETR coefficient = -4.32, p = 0.008; CETR coefficient = -3.11, p = 0.012), while firm age positively affects financial stability (coefficient = 0.045, p = 0.015). Diagnostic tests affirm the robustness of the model. These findings highlight that excessive tax burdens undermine the ability of oil and gas firms to service debt, threatening sectoral stability. The study recommends that policymakers moderate tax rates and enhance targeted incentives to support financial resilience, while firms should prioritize effective tax planning. This research contributes sector-specific empirical evidence, informing balanced tax policy and sustainable growth in Nigeria’s oil and gas industry.</w:t>
      </w:r>
    </w:p>
    <w:p w14:paraId="2DB9BC9D" w14:textId="10C87E71" w:rsidR="005807F3" w:rsidRPr="00F675E6" w:rsidRDefault="005807F3" w:rsidP="00D3740E">
      <w:pPr>
        <w:jc w:val="both"/>
        <w:rPr>
          <w:rFonts w:ascii="Times New Roman" w:hAnsi="Times New Roman" w:cs="Times New Roman"/>
        </w:rPr>
      </w:pPr>
      <w:r w:rsidRPr="00F675E6">
        <w:rPr>
          <w:rFonts w:ascii="Times New Roman" w:hAnsi="Times New Roman" w:cs="Times New Roman"/>
          <w:b/>
          <w:bCs/>
        </w:rPr>
        <w:t xml:space="preserve">Keywords: </w:t>
      </w:r>
      <w:r w:rsidRPr="00F675E6">
        <w:rPr>
          <w:rFonts w:ascii="Times New Roman" w:hAnsi="Times New Roman" w:cs="Times New Roman"/>
        </w:rPr>
        <w:t>Tax burden, Effective tax rate, Cash effective tax rate, Financial stability, Interest coverage ratio, Tax policy, Corporate finance.</w:t>
      </w:r>
    </w:p>
    <w:p w14:paraId="320CB948" w14:textId="51290536" w:rsidR="00056F88" w:rsidRPr="00F675E6" w:rsidRDefault="00056F88" w:rsidP="00D3740E">
      <w:pPr>
        <w:jc w:val="both"/>
        <w:rPr>
          <w:rFonts w:ascii="Times New Roman" w:hAnsi="Times New Roman" w:cs="Times New Roman"/>
          <w:b/>
          <w:bCs/>
        </w:rPr>
      </w:pPr>
      <w:r w:rsidRPr="00F675E6">
        <w:rPr>
          <w:rFonts w:ascii="Times New Roman" w:hAnsi="Times New Roman" w:cs="Times New Roman"/>
          <w:b/>
          <w:bCs/>
        </w:rPr>
        <w:t>Introduction</w:t>
      </w:r>
    </w:p>
    <w:p w14:paraId="2D2CC5F7" w14:textId="77777777" w:rsidR="00056F88" w:rsidRPr="00F675E6" w:rsidRDefault="00056F88" w:rsidP="00D3740E">
      <w:pPr>
        <w:jc w:val="both"/>
        <w:rPr>
          <w:rFonts w:ascii="Times New Roman" w:hAnsi="Times New Roman" w:cs="Times New Roman"/>
        </w:rPr>
      </w:pPr>
      <w:r w:rsidRPr="00F675E6">
        <w:rPr>
          <w:rFonts w:ascii="Times New Roman" w:hAnsi="Times New Roman" w:cs="Times New Roman"/>
        </w:rPr>
        <w:t xml:space="preserve">The oil and gas sector remains a cornerstone of Nigeria’s economy, contributing significantly to government revenue, foreign exchange earnings, and national development (NNPC, 2023). However, the sector operates within a complex fiscal environment characterized by multiple layers of taxation, regulatory reforms, and fluctuating global oil prices. Taxation, particularly the effective tax rate (ETR) and cash effective tax rate (CETR), plays a pivotal role in shaping the financial health and operational sustainability of oil and gas firms. While taxes are essential for national development, an excessive tax burden can erode corporate profitability, constrain cash flows, and threaten the financial stability of firms (Salaudeen &amp; </w:t>
      </w:r>
      <w:proofErr w:type="spellStart"/>
      <w:r w:rsidRPr="00F675E6">
        <w:rPr>
          <w:rFonts w:ascii="Times New Roman" w:hAnsi="Times New Roman" w:cs="Times New Roman"/>
        </w:rPr>
        <w:t>Atoyebi</w:t>
      </w:r>
      <w:proofErr w:type="spellEnd"/>
      <w:r w:rsidRPr="00F675E6">
        <w:rPr>
          <w:rFonts w:ascii="Times New Roman" w:hAnsi="Times New Roman" w:cs="Times New Roman"/>
        </w:rPr>
        <w:t xml:space="preserve">, 2018; </w:t>
      </w:r>
      <w:proofErr w:type="spellStart"/>
      <w:r w:rsidRPr="00F675E6">
        <w:rPr>
          <w:rFonts w:ascii="Times New Roman" w:hAnsi="Times New Roman" w:cs="Times New Roman"/>
        </w:rPr>
        <w:t>Oyewobi</w:t>
      </w:r>
      <w:proofErr w:type="spellEnd"/>
      <w:r w:rsidRPr="00F675E6">
        <w:rPr>
          <w:rFonts w:ascii="Times New Roman" w:hAnsi="Times New Roman" w:cs="Times New Roman"/>
        </w:rPr>
        <w:t xml:space="preserve"> &amp; Gundu, 2024).</w:t>
      </w:r>
    </w:p>
    <w:p w14:paraId="29B36CA9" w14:textId="3134BDA2" w:rsidR="00056F88" w:rsidRPr="00F675E6" w:rsidRDefault="00056F88" w:rsidP="00D3740E">
      <w:pPr>
        <w:jc w:val="both"/>
        <w:rPr>
          <w:rFonts w:ascii="Times New Roman" w:hAnsi="Times New Roman" w:cs="Times New Roman"/>
        </w:rPr>
      </w:pPr>
      <w:r w:rsidRPr="00F675E6">
        <w:rPr>
          <w:rFonts w:ascii="Times New Roman" w:hAnsi="Times New Roman" w:cs="Times New Roman"/>
        </w:rPr>
        <w:lastRenderedPageBreak/>
        <w:t>Despite the strategic importance of the oil and gas sector, Nigerian firms in this industry face persistent challenges in balancing their tax obligations with the need to maintain financial stability. The sector is subject to frequent tax reforms, such as those introduced by the Petroleum Industry Act (2021), which have altered the tax landscape and increased compliance complexities. High tax burdens, as proxied by ETR and CETR, may reduce the resources available for debt servicing and operational investments, thereby weakening the interest coverage ratio (ICR)</w:t>
      </w:r>
      <w:r w:rsidR="00630569" w:rsidRPr="00F675E6">
        <w:rPr>
          <w:rFonts w:ascii="Times New Roman" w:hAnsi="Times New Roman" w:cs="Times New Roman"/>
        </w:rPr>
        <w:t xml:space="preserve"> </w:t>
      </w:r>
      <w:r w:rsidRPr="00F675E6">
        <w:rPr>
          <w:rFonts w:ascii="Times New Roman" w:hAnsi="Times New Roman" w:cs="Times New Roman"/>
        </w:rPr>
        <w:t>a key indicator of financial stability (</w:t>
      </w:r>
      <w:proofErr w:type="spellStart"/>
      <w:r w:rsidRPr="00F675E6">
        <w:rPr>
          <w:rFonts w:ascii="Times New Roman" w:hAnsi="Times New Roman" w:cs="Times New Roman"/>
        </w:rPr>
        <w:t>Akinsulire</w:t>
      </w:r>
      <w:proofErr w:type="spellEnd"/>
      <w:r w:rsidRPr="00F675E6">
        <w:rPr>
          <w:rFonts w:ascii="Times New Roman" w:hAnsi="Times New Roman" w:cs="Times New Roman"/>
        </w:rPr>
        <w:t xml:space="preserve"> et al., 2022; </w:t>
      </w:r>
      <w:proofErr w:type="spellStart"/>
      <w:r w:rsidRPr="00F675E6">
        <w:rPr>
          <w:rFonts w:ascii="Times New Roman" w:hAnsi="Times New Roman" w:cs="Times New Roman"/>
        </w:rPr>
        <w:t>Eneisik</w:t>
      </w:r>
      <w:proofErr w:type="spellEnd"/>
      <w:r w:rsidRPr="00F675E6">
        <w:rPr>
          <w:rFonts w:ascii="Times New Roman" w:hAnsi="Times New Roman" w:cs="Times New Roman"/>
        </w:rPr>
        <w:t xml:space="preserve"> et al., 2023). Conversely, insufficient tax contributions can undermine government revenue and public trust. The challenge, therefore, lies in achieving an optimal balance where tax policies do not compromise the financial resilience of oil and gas firms.</w:t>
      </w:r>
    </w:p>
    <w:p w14:paraId="7E0B6F65" w14:textId="27854C9C" w:rsidR="00056F88" w:rsidRPr="00F675E6" w:rsidRDefault="00056F88" w:rsidP="00732687">
      <w:pPr>
        <w:jc w:val="both"/>
        <w:rPr>
          <w:rFonts w:ascii="Times New Roman" w:hAnsi="Times New Roman" w:cs="Times New Roman"/>
        </w:rPr>
      </w:pPr>
      <w:r w:rsidRPr="00F675E6">
        <w:rPr>
          <w:rFonts w:ascii="Times New Roman" w:hAnsi="Times New Roman" w:cs="Times New Roman"/>
        </w:rPr>
        <w:t>While extensive research has examined the relationship between tax burden and financial performance in manufacturing, banking, and consumer goods sectors in Nigeria (</w:t>
      </w:r>
      <w:proofErr w:type="spellStart"/>
      <w:r w:rsidRPr="00F675E6">
        <w:rPr>
          <w:rFonts w:ascii="Times New Roman" w:hAnsi="Times New Roman" w:cs="Times New Roman"/>
        </w:rPr>
        <w:t>Akinsulire</w:t>
      </w:r>
      <w:proofErr w:type="spellEnd"/>
      <w:r w:rsidRPr="00F675E6">
        <w:rPr>
          <w:rFonts w:ascii="Times New Roman" w:hAnsi="Times New Roman" w:cs="Times New Roman"/>
        </w:rPr>
        <w:t xml:space="preserve"> et al., 2022; Fagbemi et al., 2018; </w:t>
      </w:r>
      <w:proofErr w:type="spellStart"/>
      <w:r w:rsidRPr="00F675E6">
        <w:rPr>
          <w:rFonts w:ascii="Times New Roman" w:hAnsi="Times New Roman" w:cs="Times New Roman"/>
        </w:rPr>
        <w:t>Kupoluyi</w:t>
      </w:r>
      <w:proofErr w:type="spellEnd"/>
      <w:r w:rsidRPr="00F675E6">
        <w:rPr>
          <w:rFonts w:ascii="Times New Roman" w:hAnsi="Times New Roman" w:cs="Times New Roman"/>
        </w:rPr>
        <w:t xml:space="preserve"> et al., 2024), there is a paucity of empirical studies focusing specifically on the oil and gas sector. Most prior studies have concentrated on profitability metrics such as return on assets (ROA) and return on equity (ROE), with limited attention to financial stability indicators like the interest coverage ratio (ICR) (</w:t>
      </w:r>
      <w:proofErr w:type="spellStart"/>
      <w:r w:rsidRPr="00F675E6">
        <w:rPr>
          <w:rFonts w:ascii="Times New Roman" w:hAnsi="Times New Roman" w:cs="Times New Roman"/>
        </w:rPr>
        <w:t>Fatikh</w:t>
      </w:r>
      <w:proofErr w:type="spellEnd"/>
      <w:r w:rsidRPr="00F675E6">
        <w:rPr>
          <w:rFonts w:ascii="Times New Roman" w:hAnsi="Times New Roman" w:cs="Times New Roman"/>
        </w:rPr>
        <w:t xml:space="preserve"> et al., 2017). Furthermore, the unique fiscal regime and capital-intensive nature of the oil and gas industry necessitate a sector-specific analysis to understand how tax burden impacts financial stability, especially in the context of recent regulatory changes.</w:t>
      </w:r>
      <w:r w:rsidR="00732687" w:rsidRPr="00F675E6">
        <w:rPr>
          <w:rFonts w:ascii="Times New Roman" w:hAnsi="Times New Roman" w:cs="Times New Roman"/>
        </w:rPr>
        <w:t xml:space="preserve"> </w:t>
      </w:r>
      <w:r w:rsidRPr="00F675E6">
        <w:rPr>
          <w:rFonts w:ascii="Times New Roman" w:hAnsi="Times New Roman" w:cs="Times New Roman"/>
        </w:rPr>
        <w:t>This study aims to</w:t>
      </w:r>
      <w:r w:rsidR="00732687" w:rsidRPr="00F675E6">
        <w:rPr>
          <w:rFonts w:ascii="Times New Roman" w:hAnsi="Times New Roman" w:cs="Times New Roman"/>
        </w:rPr>
        <w:t xml:space="preserve"> </w:t>
      </w:r>
      <w:r w:rsidRPr="00F675E6">
        <w:rPr>
          <w:rFonts w:ascii="Times New Roman" w:hAnsi="Times New Roman" w:cs="Times New Roman"/>
        </w:rPr>
        <w:t xml:space="preserve">examine the effect of tax burden, proxied by effective tax rate (ETR) and cash effective tax rate (CETR) on the financial stability of Nigerian oil and gas firms, as measured by the interest coverage ratio (ICR), while controlling for firm age. </w:t>
      </w:r>
    </w:p>
    <w:p w14:paraId="69429B4B" w14:textId="1F042BA7" w:rsidR="00056F88" w:rsidRPr="00F675E6" w:rsidRDefault="00056F88" w:rsidP="00D3740E">
      <w:pPr>
        <w:jc w:val="both"/>
        <w:rPr>
          <w:rFonts w:ascii="Times New Roman" w:hAnsi="Times New Roman" w:cs="Times New Roman"/>
        </w:rPr>
      </w:pPr>
      <w:r w:rsidRPr="00F675E6">
        <w:rPr>
          <w:rFonts w:ascii="Times New Roman" w:hAnsi="Times New Roman" w:cs="Times New Roman"/>
        </w:rPr>
        <w:t>By providing empirical evidence from the oil and gas sector, this research seeks to inform policymakers and industry stakeholders on how to balance tax policy objectives with the need to sustain financial stability and long-term sectoral growth.</w:t>
      </w:r>
    </w:p>
    <w:p w14:paraId="116BDFB8" w14:textId="33D6B344" w:rsidR="00056F88" w:rsidRPr="00F675E6" w:rsidRDefault="00056F88" w:rsidP="00D3740E">
      <w:pPr>
        <w:jc w:val="both"/>
        <w:rPr>
          <w:rFonts w:ascii="Times New Roman" w:hAnsi="Times New Roman" w:cs="Times New Roman"/>
          <w:b/>
          <w:bCs/>
        </w:rPr>
      </w:pPr>
      <w:r w:rsidRPr="00F675E6">
        <w:rPr>
          <w:rFonts w:ascii="Times New Roman" w:hAnsi="Times New Roman" w:cs="Times New Roman"/>
          <w:b/>
          <w:bCs/>
        </w:rPr>
        <w:t>2 Literature Review and Theoretical Framework</w:t>
      </w:r>
    </w:p>
    <w:p w14:paraId="24B60000" w14:textId="1DA1AB48" w:rsidR="00056F88" w:rsidRPr="00F675E6" w:rsidRDefault="00056F88" w:rsidP="00D3740E">
      <w:pPr>
        <w:jc w:val="both"/>
        <w:rPr>
          <w:rFonts w:ascii="Times New Roman" w:hAnsi="Times New Roman" w:cs="Times New Roman"/>
          <w:b/>
          <w:bCs/>
        </w:rPr>
      </w:pPr>
      <w:r w:rsidRPr="00F675E6">
        <w:rPr>
          <w:rFonts w:ascii="Times New Roman" w:hAnsi="Times New Roman" w:cs="Times New Roman"/>
          <w:b/>
          <w:bCs/>
        </w:rPr>
        <w:t>2.1 Tax Burden in the Oil and Gas Sector</w:t>
      </w:r>
    </w:p>
    <w:p w14:paraId="752AD3D8" w14:textId="77777777" w:rsidR="00056F88" w:rsidRPr="00F675E6" w:rsidRDefault="00056F88" w:rsidP="00D3740E">
      <w:pPr>
        <w:jc w:val="both"/>
        <w:rPr>
          <w:rFonts w:ascii="Times New Roman" w:hAnsi="Times New Roman" w:cs="Times New Roman"/>
        </w:rPr>
      </w:pPr>
      <w:r w:rsidRPr="00F675E6">
        <w:rPr>
          <w:rFonts w:ascii="Times New Roman" w:hAnsi="Times New Roman" w:cs="Times New Roman"/>
        </w:rPr>
        <w:t>Tax burden refers to the total amount of taxes paid by firms relative to their earnings, often measured by the effective tax rate (ETR) and cash effective tax rate (CETR). In the Nigerian context, the oil and gas sector is subject to a complex tax regime, including petroleum profit tax, royalties, and other statutory levies (Federal Inland Revenue Service [FIRS], 2023; Petroleum Industry Act, 2021). Salaudeen and Atoyebi (2018) highlight that tax reforms in Nigeria have aimed to optimize revenue generation but have also increased compliance costs and administrative burdens for firms. The ETR and CETR are widely used proxies for assessing the real tax burden on corporate entities (</w:t>
      </w:r>
      <w:proofErr w:type="spellStart"/>
      <w:r w:rsidRPr="00F675E6">
        <w:rPr>
          <w:rFonts w:ascii="Times New Roman" w:hAnsi="Times New Roman" w:cs="Times New Roman"/>
        </w:rPr>
        <w:t>Firasati</w:t>
      </w:r>
      <w:proofErr w:type="spellEnd"/>
      <w:r w:rsidRPr="00F675E6">
        <w:rPr>
          <w:rFonts w:ascii="Times New Roman" w:hAnsi="Times New Roman" w:cs="Times New Roman"/>
        </w:rPr>
        <w:t xml:space="preserve"> et al., 2023). High tax rates can reduce available cash flows, limit reinvestment, and potentially threaten the financial health of firms (</w:t>
      </w:r>
      <w:proofErr w:type="spellStart"/>
      <w:r w:rsidRPr="00F675E6">
        <w:rPr>
          <w:rFonts w:ascii="Times New Roman" w:hAnsi="Times New Roman" w:cs="Times New Roman"/>
        </w:rPr>
        <w:t>Eneisik</w:t>
      </w:r>
      <w:proofErr w:type="spellEnd"/>
      <w:r w:rsidRPr="00F675E6">
        <w:rPr>
          <w:rFonts w:ascii="Times New Roman" w:hAnsi="Times New Roman" w:cs="Times New Roman"/>
        </w:rPr>
        <w:t xml:space="preserve"> et al., 2023).</w:t>
      </w:r>
    </w:p>
    <w:p w14:paraId="070DE921" w14:textId="2438BB37" w:rsidR="00056F88" w:rsidRPr="00F675E6" w:rsidRDefault="00056F88" w:rsidP="00D3740E">
      <w:pPr>
        <w:jc w:val="both"/>
        <w:rPr>
          <w:rFonts w:ascii="Times New Roman" w:hAnsi="Times New Roman" w:cs="Times New Roman"/>
          <w:b/>
          <w:bCs/>
        </w:rPr>
      </w:pPr>
      <w:r w:rsidRPr="00F675E6">
        <w:rPr>
          <w:rFonts w:ascii="Times New Roman" w:hAnsi="Times New Roman" w:cs="Times New Roman"/>
          <w:b/>
          <w:bCs/>
        </w:rPr>
        <w:t>2.2 Financial Stability and Interest Coverage Ratio</w:t>
      </w:r>
    </w:p>
    <w:p w14:paraId="3BB53A94" w14:textId="7BF4AE60" w:rsidR="00056F88" w:rsidRPr="00F675E6" w:rsidRDefault="00056F88" w:rsidP="00D3740E">
      <w:pPr>
        <w:jc w:val="both"/>
        <w:rPr>
          <w:rFonts w:ascii="Times New Roman" w:hAnsi="Times New Roman" w:cs="Times New Roman"/>
        </w:rPr>
      </w:pPr>
      <w:r w:rsidRPr="00F675E6">
        <w:rPr>
          <w:rFonts w:ascii="Times New Roman" w:hAnsi="Times New Roman" w:cs="Times New Roman"/>
        </w:rPr>
        <w:lastRenderedPageBreak/>
        <w:t>Financial stability in corporate finance is often assessed through the ability of firms to meet their debt obligations, with the interest coverage ratio (ICR) serving as a key indicator. The ICR measures how easily a company can pay interest on outstanding debt from its operating earnings. A higher ICR indicates greater financial stability and lower risk of insolvency (</w:t>
      </w:r>
      <w:proofErr w:type="spellStart"/>
      <w:r w:rsidRPr="00F675E6">
        <w:rPr>
          <w:rFonts w:ascii="Times New Roman" w:hAnsi="Times New Roman" w:cs="Times New Roman"/>
        </w:rPr>
        <w:t>Jabar</w:t>
      </w:r>
      <w:proofErr w:type="spellEnd"/>
      <w:r w:rsidRPr="00F675E6">
        <w:rPr>
          <w:rFonts w:ascii="Times New Roman" w:hAnsi="Times New Roman" w:cs="Times New Roman"/>
        </w:rPr>
        <w:t xml:space="preserve"> &amp; </w:t>
      </w:r>
      <w:proofErr w:type="spellStart"/>
      <w:r w:rsidRPr="00F675E6">
        <w:rPr>
          <w:rFonts w:ascii="Times New Roman" w:hAnsi="Times New Roman" w:cs="Times New Roman"/>
        </w:rPr>
        <w:t>Akinadewo</w:t>
      </w:r>
      <w:proofErr w:type="spellEnd"/>
      <w:r w:rsidRPr="00F675E6">
        <w:rPr>
          <w:rFonts w:ascii="Times New Roman" w:hAnsi="Times New Roman" w:cs="Times New Roman"/>
        </w:rPr>
        <w:t>, 2023). In capital-intensive sectors like oil and gas, maintaining a healthy ICR is crucial for sustaining operations and attracting investment (</w:t>
      </w:r>
      <w:proofErr w:type="spellStart"/>
      <w:r w:rsidRPr="00F675E6">
        <w:rPr>
          <w:rFonts w:ascii="Times New Roman" w:hAnsi="Times New Roman" w:cs="Times New Roman"/>
        </w:rPr>
        <w:t>Akinsulire</w:t>
      </w:r>
      <w:proofErr w:type="spellEnd"/>
      <w:r w:rsidRPr="00F675E6">
        <w:rPr>
          <w:rFonts w:ascii="Times New Roman" w:hAnsi="Times New Roman" w:cs="Times New Roman"/>
        </w:rPr>
        <w:t xml:space="preserve"> et al., 2022). Studies such as </w:t>
      </w:r>
      <w:proofErr w:type="spellStart"/>
      <w:r w:rsidRPr="00F675E6">
        <w:rPr>
          <w:rFonts w:ascii="Times New Roman" w:hAnsi="Times New Roman" w:cs="Times New Roman"/>
        </w:rPr>
        <w:t>Fatikh</w:t>
      </w:r>
      <w:proofErr w:type="spellEnd"/>
      <w:r w:rsidRPr="00F675E6">
        <w:rPr>
          <w:rFonts w:ascii="Times New Roman" w:hAnsi="Times New Roman" w:cs="Times New Roman"/>
        </w:rPr>
        <w:t xml:space="preserve"> et al. (2017) emphasize that financial stability is influenced by both internal factors (such as profitability and capital structure) and external factors (such as tax policies and macroeconomic conditions).</w:t>
      </w:r>
    </w:p>
    <w:p w14:paraId="32952452" w14:textId="668F695D" w:rsidR="00056F88" w:rsidRPr="00F675E6" w:rsidRDefault="00056F88" w:rsidP="00D3740E">
      <w:pPr>
        <w:jc w:val="both"/>
        <w:rPr>
          <w:rFonts w:ascii="Times New Roman" w:hAnsi="Times New Roman" w:cs="Times New Roman"/>
          <w:b/>
          <w:bCs/>
        </w:rPr>
      </w:pPr>
      <w:r w:rsidRPr="00F675E6">
        <w:rPr>
          <w:rFonts w:ascii="Times New Roman" w:hAnsi="Times New Roman" w:cs="Times New Roman"/>
          <w:b/>
          <w:bCs/>
        </w:rPr>
        <w:t>2.3 Tax Burden and Corporate Financial Outcomes</w:t>
      </w:r>
    </w:p>
    <w:p w14:paraId="4971F171" w14:textId="30B6B345" w:rsidR="005A5CAC" w:rsidRPr="00F675E6" w:rsidRDefault="005A5CAC" w:rsidP="00D3740E">
      <w:pPr>
        <w:jc w:val="both"/>
        <w:rPr>
          <w:rFonts w:ascii="Times New Roman" w:hAnsi="Times New Roman" w:cs="Times New Roman"/>
        </w:rPr>
      </w:pPr>
      <w:r w:rsidRPr="00F675E6">
        <w:rPr>
          <w:rFonts w:ascii="Times New Roman" w:hAnsi="Times New Roman" w:cs="Times New Roman"/>
        </w:rPr>
        <w:t>The relationship between tax burden and corporate financial outcomes has been widely debated. While taxes are necessary for public finance, excessive tax burdens can erode profitability and threaten financial stability (</w:t>
      </w:r>
      <w:proofErr w:type="spellStart"/>
      <w:r w:rsidRPr="00F675E6">
        <w:rPr>
          <w:rFonts w:ascii="Times New Roman" w:hAnsi="Times New Roman" w:cs="Times New Roman"/>
        </w:rPr>
        <w:t>Ezugwu</w:t>
      </w:r>
      <w:proofErr w:type="spellEnd"/>
      <w:r w:rsidRPr="00F675E6">
        <w:rPr>
          <w:rFonts w:ascii="Times New Roman" w:hAnsi="Times New Roman" w:cs="Times New Roman"/>
        </w:rPr>
        <w:t xml:space="preserve"> &amp; </w:t>
      </w:r>
      <w:proofErr w:type="spellStart"/>
      <w:r w:rsidRPr="00F675E6">
        <w:rPr>
          <w:rFonts w:ascii="Times New Roman" w:hAnsi="Times New Roman" w:cs="Times New Roman"/>
        </w:rPr>
        <w:t>Akubo</w:t>
      </w:r>
      <w:proofErr w:type="spellEnd"/>
      <w:r w:rsidRPr="00F675E6">
        <w:rPr>
          <w:rFonts w:ascii="Times New Roman" w:hAnsi="Times New Roman" w:cs="Times New Roman"/>
        </w:rPr>
        <w:t xml:space="preserve">, 2024; </w:t>
      </w:r>
      <w:proofErr w:type="spellStart"/>
      <w:r w:rsidRPr="00F675E6">
        <w:rPr>
          <w:rFonts w:ascii="Times New Roman" w:hAnsi="Times New Roman" w:cs="Times New Roman"/>
        </w:rPr>
        <w:t>Eneisik</w:t>
      </w:r>
      <w:proofErr w:type="spellEnd"/>
      <w:r w:rsidRPr="00F675E6">
        <w:rPr>
          <w:rFonts w:ascii="Times New Roman" w:hAnsi="Times New Roman" w:cs="Times New Roman"/>
        </w:rPr>
        <w:t xml:space="preserve"> et al., 2023). </w:t>
      </w:r>
      <w:proofErr w:type="spellStart"/>
      <w:r w:rsidRPr="00F675E6">
        <w:rPr>
          <w:rFonts w:ascii="Times New Roman" w:hAnsi="Times New Roman" w:cs="Times New Roman"/>
        </w:rPr>
        <w:t>Akinsulire</w:t>
      </w:r>
      <w:proofErr w:type="spellEnd"/>
      <w:r w:rsidRPr="00F675E6">
        <w:rPr>
          <w:rFonts w:ascii="Times New Roman" w:hAnsi="Times New Roman" w:cs="Times New Roman"/>
        </w:rPr>
        <w:t xml:space="preserve"> et al. (2022) found that tax optimization strategies can enhance firm value, while Bamidele and Abdulsalam (2025) observed that effective tax planning is positively associated with market value. Similarly, Bamidele, </w:t>
      </w:r>
      <w:proofErr w:type="spellStart"/>
      <w:r w:rsidRPr="00F675E6">
        <w:rPr>
          <w:rFonts w:ascii="Times New Roman" w:hAnsi="Times New Roman" w:cs="Times New Roman"/>
        </w:rPr>
        <w:t>Fajana</w:t>
      </w:r>
      <w:proofErr w:type="spellEnd"/>
      <w:r w:rsidRPr="00F675E6">
        <w:rPr>
          <w:rFonts w:ascii="Times New Roman" w:hAnsi="Times New Roman" w:cs="Times New Roman"/>
        </w:rPr>
        <w:t xml:space="preserve">, and </w:t>
      </w:r>
      <w:proofErr w:type="spellStart"/>
      <w:r w:rsidRPr="00F675E6">
        <w:rPr>
          <w:rFonts w:ascii="Times New Roman" w:hAnsi="Times New Roman" w:cs="Times New Roman"/>
        </w:rPr>
        <w:t>Omananyi</w:t>
      </w:r>
      <w:proofErr w:type="spellEnd"/>
      <w:r w:rsidRPr="00F675E6">
        <w:rPr>
          <w:rFonts w:ascii="Times New Roman" w:hAnsi="Times New Roman" w:cs="Times New Roman"/>
        </w:rPr>
        <w:t xml:space="preserve"> (2024) examined the oil and gas sector specifically, revealing that financial leverage significantly influences financial performance, and that sector-specific tax policies can impact the stability of firms operating in capital-intensive industries. However, the impact of tax burden on financial stability, particularly in the oil and gas sector, remains underexplored. </w:t>
      </w:r>
      <w:proofErr w:type="spellStart"/>
      <w:r w:rsidRPr="00F675E6">
        <w:rPr>
          <w:rFonts w:ascii="Times New Roman" w:hAnsi="Times New Roman" w:cs="Times New Roman"/>
        </w:rPr>
        <w:t>Kupoluyi</w:t>
      </w:r>
      <w:proofErr w:type="spellEnd"/>
      <w:r w:rsidRPr="00F675E6">
        <w:rPr>
          <w:rFonts w:ascii="Times New Roman" w:hAnsi="Times New Roman" w:cs="Times New Roman"/>
        </w:rPr>
        <w:t xml:space="preserve"> et al. (2024) and </w:t>
      </w:r>
      <w:proofErr w:type="spellStart"/>
      <w:r w:rsidRPr="00F675E6">
        <w:rPr>
          <w:rFonts w:ascii="Times New Roman" w:hAnsi="Times New Roman" w:cs="Times New Roman"/>
        </w:rPr>
        <w:t>Nmehielle</w:t>
      </w:r>
      <w:proofErr w:type="spellEnd"/>
      <w:r w:rsidRPr="00F675E6">
        <w:rPr>
          <w:rFonts w:ascii="Times New Roman" w:hAnsi="Times New Roman" w:cs="Times New Roman"/>
        </w:rPr>
        <w:t xml:space="preserve"> (2023) suggest that tax incentives and efficient tax management can mitigate the negative effects of high tax burdens on firm performance.</w:t>
      </w:r>
    </w:p>
    <w:p w14:paraId="5BC73CF0" w14:textId="2BF6C03F" w:rsidR="00056F88" w:rsidRPr="00F675E6" w:rsidRDefault="00056F88" w:rsidP="00D3740E">
      <w:pPr>
        <w:jc w:val="both"/>
        <w:rPr>
          <w:rFonts w:ascii="Times New Roman" w:hAnsi="Times New Roman" w:cs="Times New Roman"/>
          <w:b/>
          <w:bCs/>
        </w:rPr>
      </w:pPr>
      <w:r w:rsidRPr="00F675E6">
        <w:rPr>
          <w:rFonts w:ascii="Times New Roman" w:hAnsi="Times New Roman" w:cs="Times New Roman"/>
          <w:b/>
          <w:bCs/>
        </w:rPr>
        <w:t>2.4 Control Variables: Firm Age</w:t>
      </w:r>
    </w:p>
    <w:p w14:paraId="0579A0A1" w14:textId="77777777" w:rsidR="00056F88" w:rsidRPr="00F675E6" w:rsidRDefault="00056F88" w:rsidP="00D3740E">
      <w:pPr>
        <w:jc w:val="both"/>
        <w:rPr>
          <w:rFonts w:ascii="Times New Roman" w:hAnsi="Times New Roman" w:cs="Times New Roman"/>
        </w:rPr>
      </w:pPr>
      <w:r w:rsidRPr="00F675E6">
        <w:rPr>
          <w:rFonts w:ascii="Times New Roman" w:hAnsi="Times New Roman" w:cs="Times New Roman"/>
        </w:rPr>
        <w:t>Firm age is often included as a control variable in studies examining financial performance and stability. Older firms may have more established financial practices, greater access to capital, and better resilience to fiscal shocks (</w:t>
      </w:r>
      <w:proofErr w:type="spellStart"/>
      <w:r w:rsidRPr="00F675E6">
        <w:rPr>
          <w:rFonts w:ascii="Times New Roman" w:hAnsi="Times New Roman" w:cs="Times New Roman"/>
        </w:rPr>
        <w:t>Salako</w:t>
      </w:r>
      <w:proofErr w:type="spellEnd"/>
      <w:r w:rsidRPr="00F675E6">
        <w:rPr>
          <w:rFonts w:ascii="Times New Roman" w:hAnsi="Times New Roman" w:cs="Times New Roman"/>
        </w:rPr>
        <w:t xml:space="preserve"> </w:t>
      </w:r>
      <w:proofErr w:type="spellStart"/>
      <w:r w:rsidRPr="00F675E6">
        <w:rPr>
          <w:rFonts w:ascii="Times New Roman" w:hAnsi="Times New Roman" w:cs="Times New Roman"/>
        </w:rPr>
        <w:t>Yisau</w:t>
      </w:r>
      <w:proofErr w:type="spellEnd"/>
      <w:r w:rsidRPr="00F675E6">
        <w:rPr>
          <w:rFonts w:ascii="Times New Roman" w:hAnsi="Times New Roman" w:cs="Times New Roman"/>
        </w:rPr>
        <w:t xml:space="preserve"> et al., 2024). Conversely, younger firms may be more vulnerable to tax-induced financial stress due to limited operational experience and financial buffers (Adegboyega, 2024).</w:t>
      </w:r>
    </w:p>
    <w:p w14:paraId="63ABDD1F" w14:textId="3439FF30" w:rsidR="00056F88" w:rsidRPr="00F675E6" w:rsidRDefault="00056F88" w:rsidP="00D3740E">
      <w:pPr>
        <w:jc w:val="both"/>
        <w:rPr>
          <w:rFonts w:ascii="Times New Roman" w:hAnsi="Times New Roman" w:cs="Times New Roman"/>
          <w:b/>
          <w:bCs/>
        </w:rPr>
      </w:pPr>
      <w:r w:rsidRPr="00F675E6">
        <w:rPr>
          <w:rFonts w:ascii="Times New Roman" w:hAnsi="Times New Roman" w:cs="Times New Roman"/>
          <w:b/>
          <w:bCs/>
        </w:rPr>
        <w:t>2.5 Theoretical Review</w:t>
      </w:r>
    </w:p>
    <w:p w14:paraId="534ECE78" w14:textId="7DBC97BF" w:rsidR="00056F88" w:rsidRPr="00F675E6" w:rsidRDefault="00056F88" w:rsidP="00D3740E">
      <w:pPr>
        <w:jc w:val="both"/>
        <w:rPr>
          <w:rFonts w:ascii="Times New Roman" w:hAnsi="Times New Roman" w:cs="Times New Roman"/>
          <w:b/>
          <w:bCs/>
        </w:rPr>
      </w:pPr>
      <w:r w:rsidRPr="00F675E6">
        <w:rPr>
          <w:rFonts w:ascii="Times New Roman" w:hAnsi="Times New Roman" w:cs="Times New Roman"/>
          <w:b/>
          <w:bCs/>
        </w:rPr>
        <w:t>2.5.1 Agency Theory</w:t>
      </w:r>
    </w:p>
    <w:p w14:paraId="1153B421" w14:textId="77777777" w:rsidR="00056F88" w:rsidRPr="00F675E6" w:rsidRDefault="00056F88" w:rsidP="00D3740E">
      <w:pPr>
        <w:jc w:val="both"/>
        <w:rPr>
          <w:rFonts w:ascii="Times New Roman" w:hAnsi="Times New Roman" w:cs="Times New Roman"/>
        </w:rPr>
      </w:pPr>
      <w:r w:rsidRPr="00F675E6">
        <w:rPr>
          <w:rFonts w:ascii="Times New Roman" w:hAnsi="Times New Roman" w:cs="Times New Roman"/>
        </w:rPr>
        <w:t>Agency theory posits that conflicts of interest between managers (agents) and shareholders (principals) can influence corporate decisions, including tax planning and financial management. Fagbemi et al. (2018) argue that managers may engage in tax avoidance or aggressive tax planning to maximize short-term profits, which can have implications for long-term financial stability. In the oil and gas sector, where large capital outlays and regulatory scrutiny are prevalent, agency problems may be exacerbated by complex tax regimes and the need for transparent financial reporting.</w:t>
      </w:r>
    </w:p>
    <w:p w14:paraId="533203FE" w14:textId="458657E0" w:rsidR="00056F88" w:rsidRPr="00F675E6" w:rsidRDefault="00056F88" w:rsidP="00D3740E">
      <w:pPr>
        <w:jc w:val="both"/>
        <w:rPr>
          <w:rFonts w:ascii="Times New Roman" w:hAnsi="Times New Roman" w:cs="Times New Roman"/>
          <w:b/>
          <w:bCs/>
        </w:rPr>
      </w:pPr>
      <w:r w:rsidRPr="00F675E6">
        <w:rPr>
          <w:rFonts w:ascii="Times New Roman" w:hAnsi="Times New Roman" w:cs="Times New Roman"/>
          <w:b/>
          <w:bCs/>
        </w:rPr>
        <w:lastRenderedPageBreak/>
        <w:t>2.5.2 Trade-Off Theory</w:t>
      </w:r>
    </w:p>
    <w:p w14:paraId="40D01558" w14:textId="77777777" w:rsidR="00056F88" w:rsidRPr="00F675E6" w:rsidRDefault="00056F88" w:rsidP="00D3740E">
      <w:pPr>
        <w:jc w:val="both"/>
        <w:rPr>
          <w:rFonts w:ascii="Times New Roman" w:hAnsi="Times New Roman" w:cs="Times New Roman"/>
        </w:rPr>
      </w:pPr>
      <w:r w:rsidRPr="00F675E6">
        <w:rPr>
          <w:rFonts w:ascii="Times New Roman" w:hAnsi="Times New Roman" w:cs="Times New Roman"/>
        </w:rPr>
        <w:t xml:space="preserve">The trade-off theory of capital structure suggests that firms balance the benefits of debt (such as tax shields) against the risks of financial distress. </w:t>
      </w:r>
      <w:proofErr w:type="spellStart"/>
      <w:r w:rsidRPr="00F675E6">
        <w:rPr>
          <w:rFonts w:ascii="Times New Roman" w:hAnsi="Times New Roman" w:cs="Times New Roman"/>
        </w:rPr>
        <w:t>Jabar</w:t>
      </w:r>
      <w:proofErr w:type="spellEnd"/>
      <w:r w:rsidRPr="00F675E6">
        <w:rPr>
          <w:rFonts w:ascii="Times New Roman" w:hAnsi="Times New Roman" w:cs="Times New Roman"/>
        </w:rPr>
        <w:t xml:space="preserve"> and </w:t>
      </w:r>
      <w:proofErr w:type="spellStart"/>
      <w:r w:rsidRPr="00F675E6">
        <w:rPr>
          <w:rFonts w:ascii="Times New Roman" w:hAnsi="Times New Roman" w:cs="Times New Roman"/>
        </w:rPr>
        <w:t>Akinadewo</w:t>
      </w:r>
      <w:proofErr w:type="spellEnd"/>
      <w:r w:rsidRPr="00F675E6">
        <w:rPr>
          <w:rFonts w:ascii="Times New Roman" w:hAnsi="Times New Roman" w:cs="Times New Roman"/>
        </w:rPr>
        <w:t xml:space="preserve"> (2023) and </w:t>
      </w:r>
      <w:proofErr w:type="spellStart"/>
      <w:r w:rsidRPr="00F675E6">
        <w:rPr>
          <w:rFonts w:ascii="Times New Roman" w:hAnsi="Times New Roman" w:cs="Times New Roman"/>
        </w:rPr>
        <w:t>Salako</w:t>
      </w:r>
      <w:proofErr w:type="spellEnd"/>
      <w:r w:rsidRPr="00F675E6">
        <w:rPr>
          <w:rFonts w:ascii="Times New Roman" w:hAnsi="Times New Roman" w:cs="Times New Roman"/>
        </w:rPr>
        <w:t xml:space="preserve"> Yisau et al. (2024) highlight that while debt can provide tax advantages, excessive leverage can increase the risk of insolvency, especially if tax burdens are high and cash flows are constrained. This theory is particularly relevant for oil and gas firms, which often rely on significant debt financing for capital-intensive projects.</w:t>
      </w:r>
    </w:p>
    <w:p w14:paraId="17C5CD06" w14:textId="795ECB62" w:rsidR="00056F88" w:rsidRPr="00F675E6" w:rsidRDefault="00056F88" w:rsidP="00D3740E">
      <w:pPr>
        <w:jc w:val="both"/>
        <w:rPr>
          <w:rFonts w:ascii="Times New Roman" w:hAnsi="Times New Roman" w:cs="Times New Roman"/>
          <w:b/>
          <w:bCs/>
        </w:rPr>
      </w:pPr>
      <w:r w:rsidRPr="00F675E6">
        <w:rPr>
          <w:rFonts w:ascii="Times New Roman" w:hAnsi="Times New Roman" w:cs="Times New Roman"/>
          <w:b/>
          <w:bCs/>
        </w:rPr>
        <w:t>2.</w:t>
      </w:r>
      <w:r w:rsidR="000A408B" w:rsidRPr="00F675E6">
        <w:rPr>
          <w:rFonts w:ascii="Times New Roman" w:hAnsi="Times New Roman" w:cs="Times New Roman"/>
          <w:b/>
          <w:bCs/>
        </w:rPr>
        <w:t>6</w:t>
      </w:r>
      <w:r w:rsidRPr="00F675E6">
        <w:rPr>
          <w:rFonts w:ascii="Times New Roman" w:hAnsi="Times New Roman" w:cs="Times New Roman"/>
          <w:b/>
          <w:bCs/>
        </w:rPr>
        <w:t xml:space="preserve"> Empirical Review</w:t>
      </w:r>
    </w:p>
    <w:p w14:paraId="1811A3CD" w14:textId="6D6B451A" w:rsidR="00056F88" w:rsidRPr="00F675E6" w:rsidRDefault="005A5CAC" w:rsidP="00D3740E">
      <w:pPr>
        <w:jc w:val="both"/>
        <w:rPr>
          <w:rFonts w:ascii="Times New Roman" w:hAnsi="Times New Roman" w:cs="Times New Roman"/>
        </w:rPr>
      </w:pPr>
      <w:r w:rsidRPr="00F675E6">
        <w:rPr>
          <w:rFonts w:ascii="Times New Roman" w:hAnsi="Times New Roman" w:cs="Times New Roman"/>
        </w:rPr>
        <w:t xml:space="preserve">Empirical studies on the relationship between tax burden and financial outcomes have produced mixed results across various sectors in Nigeria and beyond. While most research has focused on manufacturing, banking, and consumer goods, their findings provide valuable insights that can inform sector-specific investigations in oil and gas. Bamidele and Abdulsalam (2025) assessed the effect of corporate tax planning on the market value of Nigerian listed non-financial manufacturing companies. Their results indicated a positive, though statistically insignificant, correlation between effective tax rate and market value, but a significant positive effect of book-tax difference, suggesting that active tax planning is rewarded by the market. In addition, Bamidele, Ogundipe, and Adedeji (2025) investigated working capital management and its effect on the financial performance of production-based firms in Nigeria, finding that efficient management of financial resources, including tax obligations, is crucial for sustaining profitability and stability. </w:t>
      </w:r>
      <w:proofErr w:type="spellStart"/>
      <w:r w:rsidRPr="00F675E6">
        <w:rPr>
          <w:rFonts w:ascii="Times New Roman" w:hAnsi="Times New Roman" w:cs="Times New Roman"/>
        </w:rPr>
        <w:t>Ogunmakin</w:t>
      </w:r>
      <w:proofErr w:type="spellEnd"/>
      <w:r w:rsidRPr="00F675E6">
        <w:rPr>
          <w:rFonts w:ascii="Times New Roman" w:hAnsi="Times New Roman" w:cs="Times New Roman"/>
        </w:rPr>
        <w:t xml:space="preserve">, Bamidele, and </w:t>
      </w:r>
      <w:proofErr w:type="spellStart"/>
      <w:r w:rsidRPr="00F675E6">
        <w:rPr>
          <w:rFonts w:ascii="Times New Roman" w:hAnsi="Times New Roman" w:cs="Times New Roman"/>
        </w:rPr>
        <w:t>Ogundipe</w:t>
      </w:r>
      <w:proofErr w:type="spellEnd"/>
      <w:r w:rsidRPr="00F675E6">
        <w:rPr>
          <w:rFonts w:ascii="Times New Roman" w:hAnsi="Times New Roman" w:cs="Times New Roman"/>
        </w:rPr>
        <w:t xml:space="preserve"> (2025) also demonstrated that retained earnings, which are directly affected by tax policies, play a significant role in the financial performance of quoted firms, further underscoring the link between tax burden and financial outcomes.</w:t>
      </w:r>
    </w:p>
    <w:p w14:paraId="4349ADFC" w14:textId="7A00D789" w:rsidR="00056F88" w:rsidRPr="00F675E6" w:rsidRDefault="00056F88" w:rsidP="00D3740E">
      <w:pPr>
        <w:jc w:val="both"/>
        <w:rPr>
          <w:rFonts w:ascii="Times New Roman" w:hAnsi="Times New Roman" w:cs="Times New Roman"/>
        </w:rPr>
      </w:pPr>
      <w:r w:rsidRPr="00F675E6">
        <w:rPr>
          <w:rFonts w:ascii="Times New Roman" w:hAnsi="Times New Roman" w:cs="Times New Roman"/>
        </w:rPr>
        <w:t xml:space="preserve">Salaudeen and Atoyebi (2018) examined the effect of the 2007 corporate tax reform on the tax burden of listed firms in Nigeria. Their findings revealed that, although the reform brought minimal tax burden overall, sectoral analysis showed that oil and gas firms experienced a reduction in tax burden, which could potentially enhance financial stability in the sector. </w:t>
      </w:r>
      <w:proofErr w:type="spellStart"/>
      <w:r w:rsidRPr="00F675E6">
        <w:rPr>
          <w:rFonts w:ascii="Times New Roman" w:hAnsi="Times New Roman" w:cs="Times New Roman"/>
        </w:rPr>
        <w:t>Oyewobi</w:t>
      </w:r>
      <w:proofErr w:type="spellEnd"/>
      <w:r w:rsidRPr="00F675E6">
        <w:rPr>
          <w:rFonts w:ascii="Times New Roman" w:hAnsi="Times New Roman" w:cs="Times New Roman"/>
        </w:rPr>
        <w:t xml:space="preserve"> and Gundu (2024) investigated the impact of tax reforms and tax burden on listed consumer goods firms in Nigeria. Their results indicated that direct taxes had an insignificant effect on tax burden, while indirect taxes exerted a significant negative effect. This suggests that the structure of taxation, rather than its absolute level, may be more critical in determining financial outcomes.</w:t>
      </w:r>
    </w:p>
    <w:p w14:paraId="4A02E0CB" w14:textId="43E4CF96" w:rsidR="00056F88" w:rsidRPr="00F675E6" w:rsidRDefault="00056F88" w:rsidP="00D3740E">
      <w:pPr>
        <w:jc w:val="both"/>
        <w:rPr>
          <w:rFonts w:ascii="Times New Roman" w:hAnsi="Times New Roman" w:cs="Times New Roman"/>
        </w:rPr>
      </w:pPr>
      <w:proofErr w:type="spellStart"/>
      <w:r w:rsidRPr="00F675E6">
        <w:rPr>
          <w:rFonts w:ascii="Times New Roman" w:hAnsi="Times New Roman" w:cs="Times New Roman"/>
        </w:rPr>
        <w:t>Kupoluyi</w:t>
      </w:r>
      <w:proofErr w:type="spellEnd"/>
      <w:r w:rsidRPr="00F675E6">
        <w:rPr>
          <w:rFonts w:ascii="Times New Roman" w:hAnsi="Times New Roman" w:cs="Times New Roman"/>
        </w:rPr>
        <w:t xml:space="preserve"> et al. (2024) analyzed the impact of indirect taxes, specifically stamp duties and value-added tax (VAT), on the financial performance of listed consumer goods firms. They found that while these taxes insignificantly influenced return on assets, they had significant effects on return on equity, highlighting the nuanced ways in which tax policies can affect different dimensions of financial health. </w:t>
      </w:r>
      <w:proofErr w:type="spellStart"/>
      <w:r w:rsidRPr="00F675E6">
        <w:rPr>
          <w:rFonts w:ascii="Times New Roman" w:hAnsi="Times New Roman" w:cs="Times New Roman"/>
        </w:rPr>
        <w:t>Nmehielle</w:t>
      </w:r>
      <w:proofErr w:type="spellEnd"/>
      <w:r w:rsidRPr="00F675E6">
        <w:rPr>
          <w:rFonts w:ascii="Times New Roman" w:hAnsi="Times New Roman" w:cs="Times New Roman"/>
        </w:rPr>
        <w:t xml:space="preserve"> (2023) explored the relationship between tax incentive practices and financial performance among listed consumer goods firms. The study found a significant positive relationship between annual tax allowances and return on assets, suggesting that tax incentives can bolster financial performance and, by extension, financial stability.</w:t>
      </w:r>
    </w:p>
    <w:p w14:paraId="44E018F4" w14:textId="5F655621" w:rsidR="00056F88" w:rsidRPr="00F675E6" w:rsidRDefault="00056F88" w:rsidP="00D3740E">
      <w:pPr>
        <w:jc w:val="both"/>
        <w:rPr>
          <w:rFonts w:ascii="Times New Roman" w:hAnsi="Times New Roman" w:cs="Times New Roman"/>
        </w:rPr>
      </w:pPr>
      <w:proofErr w:type="spellStart"/>
      <w:r w:rsidRPr="00F675E6">
        <w:rPr>
          <w:rFonts w:ascii="Times New Roman" w:hAnsi="Times New Roman" w:cs="Times New Roman"/>
        </w:rPr>
        <w:lastRenderedPageBreak/>
        <w:t>Ogbada</w:t>
      </w:r>
      <w:proofErr w:type="spellEnd"/>
      <w:r w:rsidRPr="00F675E6">
        <w:rPr>
          <w:rFonts w:ascii="Times New Roman" w:hAnsi="Times New Roman" w:cs="Times New Roman"/>
        </w:rPr>
        <w:t xml:space="preserve"> and Jones (2023) assessed the relationship between deferred tax accounting and financial performance in listed consumer goods manufacturing companies. Their findings indicated that deferred tax assets and liabilities had a positive but non-significant relationship with return on assets, leverage, and earnings per share, implying that deferred tax strategies may not directly enhance financial stability. Adegboyega (2024) evaluated the influence of companies’ income tax and financial leverage on the profitability of quoted manufacturing companies in Nigeria. The study concluded that while income tax alone did not significantly affect profitability, the inclusion of financial leverage produced a significant effect, underscoring the importance of considering capital structure in tax-related financial analyses.</w:t>
      </w:r>
    </w:p>
    <w:p w14:paraId="642A1F2E" w14:textId="77777777" w:rsidR="00056F88" w:rsidRPr="00F675E6" w:rsidRDefault="00056F88" w:rsidP="00D3740E">
      <w:pPr>
        <w:jc w:val="both"/>
        <w:rPr>
          <w:rFonts w:ascii="Times New Roman" w:hAnsi="Times New Roman" w:cs="Times New Roman"/>
        </w:rPr>
      </w:pPr>
      <w:proofErr w:type="spellStart"/>
      <w:r w:rsidRPr="00F675E6">
        <w:rPr>
          <w:rFonts w:ascii="Times New Roman" w:hAnsi="Times New Roman" w:cs="Times New Roman"/>
        </w:rPr>
        <w:t>Akinsulire</w:t>
      </w:r>
      <w:proofErr w:type="spellEnd"/>
      <w:r w:rsidRPr="00F675E6">
        <w:rPr>
          <w:rFonts w:ascii="Times New Roman" w:hAnsi="Times New Roman" w:cs="Times New Roman"/>
        </w:rPr>
        <w:t xml:space="preserve"> et al. (2022) investigated tax optimization and firm value among selected manufacturing firms. Their results showed that effective tax planning and capital intensity significantly influenced market value, while the effective tax rate had a negative but insignificant effect, suggesting that tax optimization strategies can enhance firm value and potentially support financial stability.</w:t>
      </w:r>
    </w:p>
    <w:p w14:paraId="43093B42" w14:textId="7A040B72" w:rsidR="00056F88" w:rsidRPr="00F675E6" w:rsidRDefault="00056F88" w:rsidP="00D3740E">
      <w:pPr>
        <w:jc w:val="both"/>
        <w:rPr>
          <w:rFonts w:ascii="Times New Roman" w:hAnsi="Times New Roman" w:cs="Times New Roman"/>
        </w:rPr>
      </w:pPr>
      <w:proofErr w:type="spellStart"/>
      <w:r w:rsidRPr="00F675E6">
        <w:rPr>
          <w:rFonts w:ascii="Times New Roman" w:hAnsi="Times New Roman" w:cs="Times New Roman"/>
        </w:rPr>
        <w:t>Jabar</w:t>
      </w:r>
      <w:proofErr w:type="spellEnd"/>
      <w:r w:rsidRPr="00F675E6">
        <w:rPr>
          <w:rFonts w:ascii="Times New Roman" w:hAnsi="Times New Roman" w:cs="Times New Roman"/>
        </w:rPr>
        <w:t xml:space="preserve"> and </w:t>
      </w:r>
      <w:proofErr w:type="spellStart"/>
      <w:r w:rsidRPr="00F675E6">
        <w:rPr>
          <w:rFonts w:ascii="Times New Roman" w:hAnsi="Times New Roman" w:cs="Times New Roman"/>
        </w:rPr>
        <w:t>Akinadewo</w:t>
      </w:r>
      <w:proofErr w:type="spellEnd"/>
      <w:r w:rsidRPr="00F675E6">
        <w:rPr>
          <w:rFonts w:ascii="Times New Roman" w:hAnsi="Times New Roman" w:cs="Times New Roman"/>
        </w:rPr>
        <w:t xml:space="preserve"> (2023) examined the relationship between corporate debt profile and financial performance in listed consumer goods firms. They found that total debt profile had a positive significant effect on earnings per share, while short- and long-term debt had negative but insignificant effects, indicating that prudent debt management is essential for maintaining financial stability. Salako Yisau et al. (2024) analyzed the determinants of capital structure in Nigeria’s quoted consumer goods firms. Their findings revealed that firm size, non-debt tax shield, and growth positively and significantly affected leverage, while profitability and tangibility had negative impacts. This highlights the interplay between tax-related factors and financial structure in shaping firm stability.</w:t>
      </w:r>
    </w:p>
    <w:p w14:paraId="4BD4EDE1" w14:textId="6A05E885" w:rsidR="00056F88" w:rsidRPr="00F675E6" w:rsidRDefault="00056F88" w:rsidP="00D3740E">
      <w:pPr>
        <w:jc w:val="both"/>
        <w:rPr>
          <w:rFonts w:ascii="Times New Roman" w:hAnsi="Times New Roman" w:cs="Times New Roman"/>
        </w:rPr>
      </w:pPr>
      <w:proofErr w:type="spellStart"/>
      <w:r w:rsidRPr="00F675E6">
        <w:rPr>
          <w:rFonts w:ascii="Times New Roman" w:hAnsi="Times New Roman" w:cs="Times New Roman"/>
        </w:rPr>
        <w:t>Fatikh</w:t>
      </w:r>
      <w:proofErr w:type="spellEnd"/>
      <w:r w:rsidRPr="00F675E6">
        <w:rPr>
          <w:rFonts w:ascii="Times New Roman" w:hAnsi="Times New Roman" w:cs="Times New Roman"/>
        </w:rPr>
        <w:t xml:space="preserve"> et al. (2017) explored the relationship between tax burden and indicators of financial position in Russian companies. Their correlation analysis showed that tax payments, average number of employees, and other income and expenses directly influenced the tax burden, which in turn affected financial stability indicators. Fagbemi et al. (2018) studied the effect of corporate tax planning on the financial performance of systemically important banks in Nigeria. They found that tax planning had a significant positive impact on financial performance, suggesting that strategic tax management can enhance financial resilience.</w:t>
      </w:r>
    </w:p>
    <w:p w14:paraId="764A4F75" w14:textId="0AEF0E28" w:rsidR="00056F88" w:rsidRPr="00F675E6" w:rsidRDefault="00056F88" w:rsidP="00D3740E">
      <w:pPr>
        <w:jc w:val="both"/>
        <w:rPr>
          <w:rFonts w:ascii="Times New Roman" w:hAnsi="Times New Roman" w:cs="Times New Roman"/>
        </w:rPr>
      </w:pPr>
      <w:r w:rsidRPr="00F675E6">
        <w:rPr>
          <w:rFonts w:ascii="Times New Roman" w:hAnsi="Times New Roman" w:cs="Times New Roman"/>
        </w:rPr>
        <w:t xml:space="preserve">Fu and Zhang (2025) examined the relationship between tax burden and ESG (environmental, social, and governance) performance. Their longitudinal analysis demonstrated that tax pressures could encourage companies to enhance their ESG ratings and financial sustainability, particularly through increased R&amp;D investment and improved capital allocation. </w:t>
      </w:r>
      <w:proofErr w:type="spellStart"/>
      <w:r w:rsidRPr="00F675E6">
        <w:rPr>
          <w:rFonts w:ascii="Times New Roman" w:hAnsi="Times New Roman" w:cs="Times New Roman"/>
        </w:rPr>
        <w:t>Eneisik</w:t>
      </w:r>
      <w:proofErr w:type="spellEnd"/>
      <w:r w:rsidRPr="00F675E6">
        <w:rPr>
          <w:rFonts w:ascii="Times New Roman" w:hAnsi="Times New Roman" w:cs="Times New Roman"/>
        </w:rPr>
        <w:t xml:space="preserve"> et al. (2023), in two separate studies, investigated the effects of corporate taxes and company income tax on the financial performance of quoted and listed manufacturing companies in Nigeria. Their findings consistently showed that high tax rates could negatively impact profitability, while efficient tax management and incentives could mitigate these effects.</w:t>
      </w:r>
    </w:p>
    <w:p w14:paraId="0673EC55" w14:textId="435F3F52" w:rsidR="00056F88" w:rsidRPr="00F675E6" w:rsidRDefault="00056F88" w:rsidP="00D3740E">
      <w:pPr>
        <w:jc w:val="both"/>
        <w:rPr>
          <w:rFonts w:ascii="Times New Roman" w:hAnsi="Times New Roman" w:cs="Times New Roman"/>
        </w:rPr>
      </w:pPr>
      <w:r w:rsidRPr="00F675E6">
        <w:rPr>
          <w:rFonts w:ascii="Times New Roman" w:hAnsi="Times New Roman" w:cs="Times New Roman"/>
        </w:rPr>
        <w:lastRenderedPageBreak/>
        <w:t>Collectively, these empirical studies underscore the complex and multifaceted relationship between tax burden and financial outcomes. While tax optimization and incentives can enhance firm value and stability, excessive or poorly structured tax burdens may undermine financial health. However, there remains a notable gap in the literature regarding the specific impact of tax burden on financial stability</w:t>
      </w:r>
      <w:r w:rsidR="00630569" w:rsidRPr="00F675E6">
        <w:rPr>
          <w:rFonts w:ascii="Times New Roman" w:hAnsi="Times New Roman" w:cs="Times New Roman"/>
        </w:rPr>
        <w:t xml:space="preserve"> </w:t>
      </w:r>
      <w:r w:rsidRPr="00F675E6">
        <w:rPr>
          <w:rFonts w:ascii="Times New Roman" w:hAnsi="Times New Roman" w:cs="Times New Roman"/>
        </w:rPr>
        <w:t>particularly as measured by interest coverage ratio</w:t>
      </w:r>
      <w:r w:rsidR="00630569" w:rsidRPr="00F675E6">
        <w:rPr>
          <w:rFonts w:ascii="Times New Roman" w:hAnsi="Times New Roman" w:cs="Times New Roman"/>
        </w:rPr>
        <w:t xml:space="preserve"> </w:t>
      </w:r>
      <w:r w:rsidRPr="00F675E6">
        <w:rPr>
          <w:rFonts w:ascii="Times New Roman" w:hAnsi="Times New Roman" w:cs="Times New Roman"/>
        </w:rPr>
        <w:t>in the Nigerian oil and gas sector. This study seeks to address this gap by providing sector-specific empirical evidence.</w:t>
      </w:r>
    </w:p>
    <w:p w14:paraId="225B0828" w14:textId="79232598" w:rsidR="00056F88" w:rsidRPr="00F675E6" w:rsidRDefault="00056F88" w:rsidP="00D3740E">
      <w:pPr>
        <w:jc w:val="both"/>
        <w:rPr>
          <w:rFonts w:ascii="Times New Roman" w:hAnsi="Times New Roman" w:cs="Times New Roman"/>
          <w:b/>
          <w:bCs/>
        </w:rPr>
      </w:pPr>
      <w:r w:rsidRPr="00F675E6">
        <w:rPr>
          <w:rFonts w:ascii="Times New Roman" w:hAnsi="Times New Roman" w:cs="Times New Roman"/>
          <w:b/>
          <w:bCs/>
        </w:rPr>
        <w:t>2.</w:t>
      </w:r>
      <w:r w:rsidR="000A408B" w:rsidRPr="00F675E6">
        <w:rPr>
          <w:rFonts w:ascii="Times New Roman" w:hAnsi="Times New Roman" w:cs="Times New Roman"/>
          <w:b/>
          <w:bCs/>
        </w:rPr>
        <w:t>6.1</w:t>
      </w:r>
      <w:r w:rsidRPr="00F675E6">
        <w:rPr>
          <w:rFonts w:ascii="Times New Roman" w:hAnsi="Times New Roman" w:cs="Times New Roman"/>
          <w:b/>
          <w:bCs/>
        </w:rPr>
        <w:t xml:space="preserve"> Empirical Evidence and Research Gap</w:t>
      </w:r>
    </w:p>
    <w:p w14:paraId="532686CB" w14:textId="4EAC36B8" w:rsidR="000A408B" w:rsidRPr="00F675E6" w:rsidRDefault="005A5CAC" w:rsidP="00D3740E">
      <w:pPr>
        <w:jc w:val="both"/>
        <w:rPr>
          <w:rFonts w:ascii="Times New Roman" w:hAnsi="Times New Roman" w:cs="Times New Roman"/>
        </w:rPr>
      </w:pPr>
      <w:r w:rsidRPr="00F675E6">
        <w:rPr>
          <w:rFonts w:ascii="Times New Roman" w:hAnsi="Times New Roman" w:cs="Times New Roman"/>
        </w:rPr>
        <w:t>A substantial body of empirical research has examined the relationship between tax burden and financial outcomes such as profitability and firm value, particularly within Nigeria’s manufacturing, banking, and consumer goods sectors (</w:t>
      </w:r>
      <w:proofErr w:type="spellStart"/>
      <w:r w:rsidRPr="00F675E6">
        <w:rPr>
          <w:rFonts w:ascii="Times New Roman" w:hAnsi="Times New Roman" w:cs="Times New Roman"/>
        </w:rPr>
        <w:t>Akinsulire</w:t>
      </w:r>
      <w:proofErr w:type="spellEnd"/>
      <w:r w:rsidRPr="00F675E6">
        <w:rPr>
          <w:rFonts w:ascii="Times New Roman" w:hAnsi="Times New Roman" w:cs="Times New Roman"/>
        </w:rPr>
        <w:t xml:space="preserve"> et al., 2022; </w:t>
      </w:r>
      <w:proofErr w:type="spellStart"/>
      <w:r w:rsidRPr="00F675E6">
        <w:rPr>
          <w:rFonts w:ascii="Times New Roman" w:hAnsi="Times New Roman" w:cs="Times New Roman"/>
        </w:rPr>
        <w:t>Eneisik</w:t>
      </w:r>
      <w:proofErr w:type="spellEnd"/>
      <w:r w:rsidRPr="00F675E6">
        <w:rPr>
          <w:rFonts w:ascii="Times New Roman" w:hAnsi="Times New Roman" w:cs="Times New Roman"/>
        </w:rPr>
        <w:t xml:space="preserve"> et al., 2023; Fagbemi et al., 2018). These studies generally highlight that tax optimization, incentives, and effective tax planning can enhance firm value and profitability, while excessive or poorly structured tax burdens may undermine financial performance and resilience (</w:t>
      </w:r>
      <w:proofErr w:type="spellStart"/>
      <w:r w:rsidRPr="00F675E6">
        <w:rPr>
          <w:rFonts w:ascii="Times New Roman" w:hAnsi="Times New Roman" w:cs="Times New Roman"/>
        </w:rPr>
        <w:t>Nmehielle</w:t>
      </w:r>
      <w:proofErr w:type="spellEnd"/>
      <w:r w:rsidRPr="00F675E6">
        <w:rPr>
          <w:rFonts w:ascii="Times New Roman" w:hAnsi="Times New Roman" w:cs="Times New Roman"/>
        </w:rPr>
        <w:t xml:space="preserve">, 2023; Bamidele &amp; Abdulsalam, 2025; </w:t>
      </w:r>
      <w:proofErr w:type="spellStart"/>
      <w:r w:rsidRPr="00F675E6">
        <w:rPr>
          <w:rFonts w:ascii="Times New Roman" w:hAnsi="Times New Roman" w:cs="Times New Roman"/>
        </w:rPr>
        <w:t>Kupoluyi</w:t>
      </w:r>
      <w:proofErr w:type="spellEnd"/>
      <w:r w:rsidRPr="00F675E6">
        <w:rPr>
          <w:rFonts w:ascii="Times New Roman" w:hAnsi="Times New Roman" w:cs="Times New Roman"/>
        </w:rPr>
        <w:t xml:space="preserve"> et al., 2024). While these studies provide valuable insights into the interplay between tax burden, financial management, and firm performance, most have focused on manufacturing and non-financial sectors. There remains a paucity of research directly addressing the oil and gas sector, despite its unique fiscal challenges. Notably, Bamidele, </w:t>
      </w:r>
      <w:proofErr w:type="spellStart"/>
      <w:r w:rsidRPr="00F675E6">
        <w:rPr>
          <w:rFonts w:ascii="Times New Roman" w:hAnsi="Times New Roman" w:cs="Times New Roman"/>
        </w:rPr>
        <w:t>Olomola</w:t>
      </w:r>
      <w:proofErr w:type="spellEnd"/>
      <w:r w:rsidRPr="00F675E6">
        <w:rPr>
          <w:rFonts w:ascii="Times New Roman" w:hAnsi="Times New Roman" w:cs="Times New Roman"/>
        </w:rPr>
        <w:t xml:space="preserve">, and </w:t>
      </w:r>
      <w:proofErr w:type="spellStart"/>
      <w:r w:rsidRPr="00F675E6">
        <w:rPr>
          <w:rFonts w:ascii="Times New Roman" w:hAnsi="Times New Roman" w:cs="Times New Roman"/>
        </w:rPr>
        <w:t>Akomolafe</w:t>
      </w:r>
      <w:proofErr w:type="spellEnd"/>
      <w:r w:rsidRPr="00F675E6">
        <w:rPr>
          <w:rFonts w:ascii="Times New Roman" w:hAnsi="Times New Roman" w:cs="Times New Roman"/>
        </w:rPr>
        <w:t xml:space="preserve"> (2025) emphasized the importance of entrepreneurial financing decisions in determining the profitability and resilience of non-financial firms, suggesting that similar analyses are needed within the oil and gas industry to fully understand the sector-specific impact of tax burden on financial stability.</w:t>
      </w:r>
    </w:p>
    <w:p w14:paraId="080DFA42" w14:textId="7B735AFD" w:rsidR="000A408B" w:rsidRPr="00F675E6" w:rsidRDefault="000A408B" w:rsidP="00D3740E">
      <w:pPr>
        <w:jc w:val="both"/>
        <w:rPr>
          <w:rFonts w:ascii="Times New Roman" w:hAnsi="Times New Roman" w:cs="Times New Roman"/>
        </w:rPr>
      </w:pPr>
      <w:r w:rsidRPr="00F675E6">
        <w:rPr>
          <w:rFonts w:ascii="Times New Roman" w:hAnsi="Times New Roman" w:cs="Times New Roman"/>
        </w:rPr>
        <w:t>Moreover, while some sectoral analyses have noted the unique fiscal challenges faced by oil and gas firms (Salaudeen &amp; Atoyebi, 2018), there remains a paucity of empirical studies specifically addressing how tax burden</w:t>
      </w:r>
      <w:r w:rsidR="00630569" w:rsidRPr="00F675E6">
        <w:rPr>
          <w:rFonts w:ascii="Times New Roman" w:hAnsi="Times New Roman" w:cs="Times New Roman"/>
        </w:rPr>
        <w:t xml:space="preserve"> </w:t>
      </w:r>
      <w:r w:rsidRPr="00F675E6">
        <w:rPr>
          <w:rFonts w:ascii="Times New Roman" w:hAnsi="Times New Roman" w:cs="Times New Roman"/>
        </w:rPr>
        <w:t>proxied by effective tax rate and cash effective tax rate</w:t>
      </w:r>
      <w:r w:rsidR="00630569" w:rsidRPr="00F675E6">
        <w:rPr>
          <w:rFonts w:ascii="Times New Roman" w:hAnsi="Times New Roman" w:cs="Times New Roman"/>
        </w:rPr>
        <w:t xml:space="preserve"> </w:t>
      </w:r>
      <w:r w:rsidRPr="00F675E6">
        <w:rPr>
          <w:rFonts w:ascii="Times New Roman" w:hAnsi="Times New Roman" w:cs="Times New Roman"/>
        </w:rPr>
        <w:t xml:space="preserve">impacts the financial stability of oil and gas companies, particularly in terms of their ability to service debt and maintain operational resilience (Fu &amp; Zhang, 2025; </w:t>
      </w:r>
      <w:proofErr w:type="spellStart"/>
      <w:r w:rsidRPr="00F675E6">
        <w:rPr>
          <w:rFonts w:ascii="Times New Roman" w:hAnsi="Times New Roman" w:cs="Times New Roman"/>
        </w:rPr>
        <w:t>Oyewobi</w:t>
      </w:r>
      <w:proofErr w:type="spellEnd"/>
      <w:r w:rsidRPr="00F675E6">
        <w:rPr>
          <w:rFonts w:ascii="Times New Roman" w:hAnsi="Times New Roman" w:cs="Times New Roman"/>
        </w:rPr>
        <w:t xml:space="preserve"> &amp; Gundu, 2024). This gap is significant given the capital-intensive nature and fiscal complexity of the oil and gas sector. Therefore, there is a clear need for sector-specific empirical evidence that investigates the effect of tax burden on financial stability, as measured by ICR, among Nigerian oil and gas firms. This study seeks to fill this important gap in the literature.</w:t>
      </w:r>
    </w:p>
    <w:p w14:paraId="24407F0E" w14:textId="77777777" w:rsidR="000A408B" w:rsidRPr="00F675E6" w:rsidRDefault="000A408B" w:rsidP="00D3740E">
      <w:pPr>
        <w:jc w:val="both"/>
        <w:rPr>
          <w:rFonts w:ascii="Times New Roman" w:hAnsi="Times New Roman" w:cs="Times New Roman"/>
          <w:b/>
          <w:bCs/>
        </w:rPr>
      </w:pPr>
      <w:r w:rsidRPr="00F675E6">
        <w:rPr>
          <w:rFonts w:ascii="Times New Roman" w:hAnsi="Times New Roman" w:cs="Times New Roman"/>
          <w:b/>
          <w:bCs/>
        </w:rPr>
        <w:t>3. Methodology</w:t>
      </w:r>
    </w:p>
    <w:p w14:paraId="34CFF889" w14:textId="77777777" w:rsidR="00915A58" w:rsidRPr="00F675E6" w:rsidRDefault="000A408B" w:rsidP="00D3740E">
      <w:pPr>
        <w:jc w:val="both"/>
        <w:rPr>
          <w:rFonts w:ascii="Times New Roman" w:hAnsi="Times New Roman" w:cs="Times New Roman"/>
        </w:rPr>
      </w:pPr>
      <w:r w:rsidRPr="00F675E6">
        <w:rPr>
          <w:rFonts w:ascii="Times New Roman" w:hAnsi="Times New Roman" w:cs="Times New Roman"/>
        </w:rPr>
        <w:t>This study adopts an ex-post facto research design, utilizing secondary data to examine the relationship between tax burden and financial stability among listed oil and gas firms in Nigeria. The ex-post facto approach is appropriate as it allows for the analysis of historical data without manipulating the study variables.</w:t>
      </w:r>
      <w:r w:rsidR="00915A58" w:rsidRPr="00F675E6">
        <w:rPr>
          <w:rFonts w:ascii="Times New Roman" w:hAnsi="Times New Roman" w:cs="Times New Roman"/>
        </w:rPr>
        <w:t xml:space="preserve"> The study covers a 13-year period from 2012 to 2024, which allows for the assessment of both short-term and long-term effects of tax burden on financial stability in the Nigerian oil and gas sector.</w:t>
      </w:r>
    </w:p>
    <w:p w14:paraId="639A3B76" w14:textId="77777777" w:rsidR="000A408B" w:rsidRPr="00F675E6" w:rsidRDefault="000A408B" w:rsidP="00D3740E">
      <w:pPr>
        <w:jc w:val="both"/>
        <w:rPr>
          <w:rFonts w:ascii="Times New Roman" w:hAnsi="Times New Roman" w:cs="Times New Roman"/>
        </w:rPr>
      </w:pPr>
      <w:r w:rsidRPr="00F675E6">
        <w:rPr>
          <w:rFonts w:ascii="Times New Roman" w:hAnsi="Times New Roman" w:cs="Times New Roman"/>
        </w:rPr>
        <w:lastRenderedPageBreak/>
        <w:t xml:space="preserve">The population of this study comprises all oil and gas firms listed on the Nigerian Exchange Group (NGX) with available data on year of incorporation. The companies included are: </w:t>
      </w:r>
      <w:proofErr w:type="spellStart"/>
      <w:r w:rsidRPr="00F675E6">
        <w:rPr>
          <w:rFonts w:ascii="Times New Roman" w:hAnsi="Times New Roman" w:cs="Times New Roman"/>
        </w:rPr>
        <w:t>Aradel</w:t>
      </w:r>
      <w:proofErr w:type="spellEnd"/>
      <w:r w:rsidRPr="00F675E6">
        <w:rPr>
          <w:rFonts w:ascii="Times New Roman" w:hAnsi="Times New Roman" w:cs="Times New Roman"/>
        </w:rPr>
        <w:t xml:space="preserve"> Holdings Plc, </w:t>
      </w:r>
      <w:proofErr w:type="spellStart"/>
      <w:r w:rsidRPr="00F675E6">
        <w:rPr>
          <w:rFonts w:ascii="Times New Roman" w:hAnsi="Times New Roman" w:cs="Times New Roman"/>
        </w:rPr>
        <w:t>Conoil</w:t>
      </w:r>
      <w:proofErr w:type="spellEnd"/>
      <w:r w:rsidRPr="00F675E6">
        <w:rPr>
          <w:rFonts w:ascii="Times New Roman" w:hAnsi="Times New Roman" w:cs="Times New Roman"/>
        </w:rPr>
        <w:t xml:space="preserve"> Plc, Eterna Plc, Japaul Gold &amp; Ventures Plc, Oando Plc, </w:t>
      </w:r>
      <w:proofErr w:type="spellStart"/>
      <w:r w:rsidRPr="00F675E6">
        <w:rPr>
          <w:rFonts w:ascii="Times New Roman" w:hAnsi="Times New Roman" w:cs="Times New Roman"/>
        </w:rPr>
        <w:t>Seplat</w:t>
      </w:r>
      <w:proofErr w:type="spellEnd"/>
      <w:r w:rsidRPr="00F675E6">
        <w:rPr>
          <w:rFonts w:ascii="Times New Roman" w:hAnsi="Times New Roman" w:cs="Times New Roman"/>
        </w:rPr>
        <w:t xml:space="preserve"> Energy Plc, and TotalEnergies Marketing Nigeria Plc (NGX, 2024). Given the relatively small number of listed oil and gas firms, a census sampling technique is employed to ensure comprehensive coverage and to enhance the robustness of the findings. Census sampling is justified as it eliminates sampling bias and allows for the inclusion of all relevant firms in the sector.</w:t>
      </w:r>
    </w:p>
    <w:p w14:paraId="150541B2" w14:textId="77777777" w:rsidR="000A408B" w:rsidRPr="00F675E6" w:rsidRDefault="000A408B" w:rsidP="00D3740E">
      <w:pPr>
        <w:jc w:val="both"/>
        <w:rPr>
          <w:rFonts w:ascii="Times New Roman" w:hAnsi="Times New Roman" w:cs="Times New Roman"/>
        </w:rPr>
      </w:pPr>
      <w:r w:rsidRPr="00F675E6">
        <w:rPr>
          <w:rFonts w:ascii="Times New Roman" w:hAnsi="Times New Roman" w:cs="Times New Roman"/>
        </w:rPr>
        <w:t>Secondary data will be sourced from the published annual reports and financial statements of the selected oil and gas firms, as well as from the Nigerian Exchange Group (NGX) and Federal Inland Revenue Service (FIRS) reports, covering the period from 2012 to 2024. Data to be collected include effective tax rate (ETR), cash effective tax rate (CETR), interest coverage ratio (ICR), and firm age (calculated as the difference between the year of observation and year of incorporation).</w:t>
      </w:r>
    </w:p>
    <w:p w14:paraId="72208070" w14:textId="3DD5FFDB" w:rsidR="00A04A29" w:rsidRPr="00F675E6" w:rsidRDefault="00A04A29" w:rsidP="00D3740E">
      <w:pPr>
        <w:jc w:val="both"/>
        <w:rPr>
          <w:rFonts w:ascii="Times New Roman" w:hAnsi="Times New Roman" w:cs="Times New Roman"/>
          <w:b/>
          <w:bCs/>
        </w:rPr>
      </w:pPr>
      <w:r w:rsidRPr="00F675E6">
        <w:rPr>
          <w:rFonts w:ascii="Times New Roman" w:hAnsi="Times New Roman" w:cs="Times New Roman"/>
          <w:b/>
          <w:bCs/>
        </w:rPr>
        <w:t>3.2 Variable Measurement</w:t>
      </w:r>
    </w:p>
    <w:p w14:paraId="63EC3AF4" w14:textId="77777777" w:rsidR="00A04A29" w:rsidRPr="00F675E6" w:rsidRDefault="00A04A29" w:rsidP="00D3740E">
      <w:pPr>
        <w:jc w:val="both"/>
        <w:rPr>
          <w:rFonts w:ascii="Times New Roman" w:hAnsi="Times New Roman" w:cs="Times New Roman"/>
        </w:rPr>
      </w:pPr>
      <w:r w:rsidRPr="00F675E6">
        <w:rPr>
          <w:rFonts w:ascii="Times New Roman" w:hAnsi="Times New Roman" w:cs="Times New Roman"/>
        </w:rPr>
        <w:t>The variables for this study are measured as follows:</w:t>
      </w:r>
    </w:p>
    <w:p w14:paraId="789E7CA0" w14:textId="0C26FEB2" w:rsidR="00A04A29" w:rsidRPr="00F675E6" w:rsidRDefault="00A04A29" w:rsidP="00D3740E">
      <w:pPr>
        <w:jc w:val="both"/>
        <w:rPr>
          <w:rFonts w:ascii="Times New Roman" w:hAnsi="Times New Roman" w:cs="Times New Roman"/>
        </w:rPr>
      </w:pPr>
      <w:r w:rsidRPr="00F675E6">
        <w:rPr>
          <w:rFonts w:ascii="Times New Roman" w:hAnsi="Times New Roman" w:cs="Times New Roman"/>
          <w:b/>
          <w:bCs/>
        </w:rPr>
        <w:t>Independent Variables:</w:t>
      </w:r>
      <w:r w:rsidRPr="00F675E6">
        <w:rPr>
          <w:rFonts w:ascii="Times New Roman" w:hAnsi="Times New Roman" w:cs="Times New Roman"/>
        </w:rPr>
        <w:t xml:space="preserve"> The tax burden is captured using two distinct proxies: the Effective Tax Rate (ETR) and the Cash Effective Tax Rate (CETR). The Effective Tax Rate (ETR) is measured as the ratio of income tax expense to earnings before tax (EBT), that is, ETR = Income Tax Expense ÷ Earnings Before Tax. The Cash Effective Tax Rate (CETR) is measured as the ratio of cash taxes paid to earnings before tax, that is, CETR = Cash Taxes Paid ÷ Earnings Before Tax.</w:t>
      </w:r>
    </w:p>
    <w:p w14:paraId="73200C18" w14:textId="2A279DB2" w:rsidR="00A04A29" w:rsidRPr="00F675E6" w:rsidRDefault="00A04A29" w:rsidP="00D3740E">
      <w:pPr>
        <w:jc w:val="both"/>
        <w:rPr>
          <w:rFonts w:ascii="Times New Roman" w:hAnsi="Times New Roman" w:cs="Times New Roman"/>
        </w:rPr>
      </w:pPr>
      <w:r w:rsidRPr="00F675E6">
        <w:rPr>
          <w:rFonts w:ascii="Times New Roman" w:hAnsi="Times New Roman" w:cs="Times New Roman"/>
          <w:b/>
          <w:bCs/>
        </w:rPr>
        <w:t>Dependent Variable:</w:t>
      </w:r>
      <w:r w:rsidRPr="00F675E6">
        <w:rPr>
          <w:rFonts w:ascii="Times New Roman" w:hAnsi="Times New Roman" w:cs="Times New Roman"/>
        </w:rPr>
        <w:t xml:space="preserve"> Financial stability is proxied by the Interest Coverage Ratio (ICR), which is calculated as the ratio of earnings before interest and tax (EBIT) to interest expense. Thus, ICR = EBIT ÷ Interest Expense. This ratio indicates the firm’s ability to meet its interest obligations from its operating earnings.</w:t>
      </w:r>
    </w:p>
    <w:p w14:paraId="46B60E0E" w14:textId="4EC8378A" w:rsidR="00A04A29" w:rsidRPr="00F675E6" w:rsidRDefault="00A04A29" w:rsidP="00D3740E">
      <w:pPr>
        <w:jc w:val="both"/>
        <w:rPr>
          <w:rFonts w:ascii="Times New Roman" w:hAnsi="Times New Roman" w:cs="Times New Roman"/>
        </w:rPr>
      </w:pPr>
      <w:r w:rsidRPr="00F675E6">
        <w:rPr>
          <w:rFonts w:ascii="Times New Roman" w:hAnsi="Times New Roman" w:cs="Times New Roman"/>
          <w:b/>
          <w:bCs/>
        </w:rPr>
        <w:t>Control Variable:</w:t>
      </w:r>
      <w:r w:rsidRPr="00F675E6">
        <w:rPr>
          <w:rFonts w:ascii="Times New Roman" w:hAnsi="Times New Roman" w:cs="Times New Roman"/>
        </w:rPr>
        <w:t xml:space="preserve"> Firm age is included as a control variable and is measured as the number of years since the company’s incorporation. This is calculated by subtracting the year of incorporation from the current year under review.</w:t>
      </w:r>
    </w:p>
    <w:p w14:paraId="35C29E9F" w14:textId="2610BE6D" w:rsidR="00A04A29" w:rsidRPr="00F675E6" w:rsidRDefault="00A04A29" w:rsidP="00D3740E">
      <w:pPr>
        <w:jc w:val="both"/>
        <w:rPr>
          <w:rFonts w:ascii="Times New Roman" w:hAnsi="Times New Roman" w:cs="Times New Roman"/>
          <w:b/>
          <w:bCs/>
        </w:rPr>
      </w:pPr>
      <w:r w:rsidRPr="00F675E6">
        <w:rPr>
          <w:rFonts w:ascii="Times New Roman" w:hAnsi="Times New Roman" w:cs="Times New Roman"/>
          <w:b/>
          <w:bCs/>
        </w:rPr>
        <w:t>Table 1: Variable Measurement</w:t>
      </w:r>
    </w:p>
    <w:tbl>
      <w:tblPr>
        <w:tblW w:w="9177"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913"/>
        <w:gridCol w:w="1736"/>
        <w:gridCol w:w="2197"/>
        <w:gridCol w:w="3331"/>
      </w:tblGrid>
      <w:tr w:rsidR="00A04A29" w:rsidRPr="00F675E6" w14:paraId="7502B24A" w14:textId="77777777" w:rsidTr="00396F9C">
        <w:tc>
          <w:tcPr>
            <w:tcW w:w="0" w:type="auto"/>
            <w:tcBorders>
              <w:top w:val="single" w:sz="4" w:space="0" w:color="auto"/>
              <w:bottom w:val="single" w:sz="4" w:space="0" w:color="auto"/>
            </w:tcBorders>
            <w:noWrap/>
            <w:vAlign w:val="bottom"/>
            <w:hideMark/>
          </w:tcPr>
          <w:p w14:paraId="709FE17C" w14:textId="77777777" w:rsidR="00A04A29" w:rsidRPr="00F675E6" w:rsidRDefault="00A04A29" w:rsidP="00D3740E">
            <w:pPr>
              <w:jc w:val="both"/>
              <w:rPr>
                <w:rFonts w:ascii="Times New Roman" w:hAnsi="Times New Roman" w:cs="Times New Roman"/>
                <w:b/>
                <w:bCs/>
              </w:rPr>
            </w:pPr>
            <w:r w:rsidRPr="00F675E6">
              <w:rPr>
                <w:rFonts w:ascii="Times New Roman" w:hAnsi="Times New Roman" w:cs="Times New Roman"/>
                <w:b/>
                <w:bCs/>
              </w:rPr>
              <w:t>Variable Type</w:t>
            </w:r>
          </w:p>
        </w:tc>
        <w:tc>
          <w:tcPr>
            <w:tcW w:w="0" w:type="auto"/>
            <w:tcBorders>
              <w:top w:val="single" w:sz="4" w:space="0" w:color="auto"/>
              <w:bottom w:val="single" w:sz="4" w:space="0" w:color="auto"/>
            </w:tcBorders>
            <w:noWrap/>
            <w:vAlign w:val="bottom"/>
            <w:hideMark/>
          </w:tcPr>
          <w:p w14:paraId="409A4CDB" w14:textId="77777777" w:rsidR="00A04A29" w:rsidRPr="00F675E6" w:rsidRDefault="00A04A29" w:rsidP="00D3740E">
            <w:pPr>
              <w:jc w:val="both"/>
              <w:rPr>
                <w:rFonts w:ascii="Times New Roman" w:hAnsi="Times New Roman" w:cs="Times New Roman"/>
                <w:b/>
                <w:bCs/>
              </w:rPr>
            </w:pPr>
            <w:r w:rsidRPr="00F675E6">
              <w:rPr>
                <w:rFonts w:ascii="Times New Roman" w:hAnsi="Times New Roman" w:cs="Times New Roman"/>
                <w:b/>
                <w:bCs/>
              </w:rPr>
              <w:t>Variable Name</w:t>
            </w:r>
          </w:p>
        </w:tc>
        <w:tc>
          <w:tcPr>
            <w:tcW w:w="2197" w:type="dxa"/>
            <w:tcBorders>
              <w:top w:val="single" w:sz="4" w:space="0" w:color="auto"/>
              <w:bottom w:val="single" w:sz="4" w:space="0" w:color="auto"/>
            </w:tcBorders>
            <w:noWrap/>
            <w:vAlign w:val="bottom"/>
            <w:hideMark/>
          </w:tcPr>
          <w:p w14:paraId="7A833C4E" w14:textId="77777777" w:rsidR="00A04A29" w:rsidRPr="00F675E6" w:rsidRDefault="00A04A29" w:rsidP="00D3740E">
            <w:pPr>
              <w:jc w:val="both"/>
              <w:rPr>
                <w:rFonts w:ascii="Times New Roman" w:hAnsi="Times New Roman" w:cs="Times New Roman"/>
                <w:b/>
                <w:bCs/>
              </w:rPr>
            </w:pPr>
            <w:r w:rsidRPr="00F675E6">
              <w:rPr>
                <w:rFonts w:ascii="Times New Roman" w:hAnsi="Times New Roman" w:cs="Times New Roman"/>
                <w:b/>
                <w:bCs/>
              </w:rPr>
              <w:t>Proxy</w:t>
            </w:r>
          </w:p>
        </w:tc>
        <w:tc>
          <w:tcPr>
            <w:tcW w:w="3331" w:type="dxa"/>
            <w:tcBorders>
              <w:top w:val="single" w:sz="4" w:space="0" w:color="auto"/>
              <w:bottom w:val="single" w:sz="4" w:space="0" w:color="auto"/>
            </w:tcBorders>
            <w:noWrap/>
            <w:vAlign w:val="bottom"/>
            <w:hideMark/>
          </w:tcPr>
          <w:p w14:paraId="17AD78DF" w14:textId="77777777" w:rsidR="00A04A29" w:rsidRPr="00F675E6" w:rsidRDefault="00A04A29" w:rsidP="00D3740E">
            <w:pPr>
              <w:jc w:val="both"/>
              <w:rPr>
                <w:rFonts w:ascii="Times New Roman" w:hAnsi="Times New Roman" w:cs="Times New Roman"/>
                <w:b/>
                <w:bCs/>
              </w:rPr>
            </w:pPr>
            <w:r w:rsidRPr="00F675E6">
              <w:rPr>
                <w:rFonts w:ascii="Times New Roman" w:hAnsi="Times New Roman" w:cs="Times New Roman"/>
                <w:b/>
                <w:bCs/>
              </w:rPr>
              <w:t>Measurement Method</w:t>
            </w:r>
          </w:p>
        </w:tc>
      </w:tr>
      <w:tr w:rsidR="00A04A29" w:rsidRPr="00F675E6" w14:paraId="2512B060" w14:textId="77777777" w:rsidTr="00396F9C">
        <w:tc>
          <w:tcPr>
            <w:tcW w:w="0" w:type="auto"/>
            <w:tcBorders>
              <w:top w:val="single" w:sz="4" w:space="0" w:color="auto"/>
            </w:tcBorders>
            <w:hideMark/>
          </w:tcPr>
          <w:p w14:paraId="037EB254" w14:textId="77777777" w:rsidR="00A04A29" w:rsidRPr="00F675E6" w:rsidRDefault="00A04A29" w:rsidP="00D3740E">
            <w:pPr>
              <w:jc w:val="both"/>
              <w:rPr>
                <w:rFonts w:ascii="Times New Roman" w:hAnsi="Times New Roman" w:cs="Times New Roman"/>
              </w:rPr>
            </w:pPr>
            <w:r w:rsidRPr="00F675E6">
              <w:rPr>
                <w:rFonts w:ascii="Times New Roman" w:hAnsi="Times New Roman" w:cs="Times New Roman"/>
              </w:rPr>
              <w:t>Independent Variable</w:t>
            </w:r>
          </w:p>
        </w:tc>
        <w:tc>
          <w:tcPr>
            <w:tcW w:w="0" w:type="auto"/>
            <w:tcBorders>
              <w:top w:val="single" w:sz="4" w:space="0" w:color="auto"/>
            </w:tcBorders>
            <w:hideMark/>
          </w:tcPr>
          <w:p w14:paraId="2E8BF44B" w14:textId="77777777" w:rsidR="00A04A29" w:rsidRPr="00F675E6" w:rsidRDefault="00A04A29" w:rsidP="00D3740E">
            <w:pPr>
              <w:jc w:val="both"/>
              <w:rPr>
                <w:rFonts w:ascii="Times New Roman" w:hAnsi="Times New Roman" w:cs="Times New Roman"/>
              </w:rPr>
            </w:pPr>
            <w:r w:rsidRPr="00F675E6">
              <w:rPr>
                <w:rFonts w:ascii="Times New Roman" w:hAnsi="Times New Roman" w:cs="Times New Roman"/>
              </w:rPr>
              <w:t>Tax Burden</w:t>
            </w:r>
          </w:p>
        </w:tc>
        <w:tc>
          <w:tcPr>
            <w:tcW w:w="2197" w:type="dxa"/>
            <w:tcBorders>
              <w:top w:val="single" w:sz="4" w:space="0" w:color="auto"/>
            </w:tcBorders>
            <w:hideMark/>
          </w:tcPr>
          <w:p w14:paraId="4A27A86D" w14:textId="77777777" w:rsidR="00A04A29" w:rsidRPr="00F675E6" w:rsidRDefault="00A04A29" w:rsidP="00D3740E">
            <w:pPr>
              <w:jc w:val="both"/>
              <w:rPr>
                <w:rFonts w:ascii="Times New Roman" w:hAnsi="Times New Roman" w:cs="Times New Roman"/>
              </w:rPr>
            </w:pPr>
            <w:r w:rsidRPr="00F675E6">
              <w:rPr>
                <w:rFonts w:ascii="Times New Roman" w:hAnsi="Times New Roman" w:cs="Times New Roman"/>
              </w:rPr>
              <w:t>Effective Tax Rate (ETR)</w:t>
            </w:r>
          </w:p>
        </w:tc>
        <w:tc>
          <w:tcPr>
            <w:tcW w:w="3331" w:type="dxa"/>
            <w:tcBorders>
              <w:top w:val="single" w:sz="4" w:space="0" w:color="auto"/>
            </w:tcBorders>
            <w:hideMark/>
          </w:tcPr>
          <w:p w14:paraId="6E754CDD" w14:textId="77777777" w:rsidR="00A04A29" w:rsidRPr="00F675E6" w:rsidRDefault="00A04A29" w:rsidP="00D3740E">
            <w:pPr>
              <w:jc w:val="both"/>
              <w:rPr>
                <w:rFonts w:ascii="Times New Roman" w:hAnsi="Times New Roman" w:cs="Times New Roman"/>
              </w:rPr>
            </w:pPr>
            <w:r w:rsidRPr="00F675E6">
              <w:rPr>
                <w:rFonts w:ascii="Times New Roman" w:hAnsi="Times New Roman" w:cs="Times New Roman"/>
              </w:rPr>
              <w:t>Income Tax Expense ÷ Earnings Before Tax (EBT)</w:t>
            </w:r>
          </w:p>
        </w:tc>
      </w:tr>
      <w:tr w:rsidR="00A04A29" w:rsidRPr="00F675E6" w14:paraId="40AF1E5C" w14:textId="77777777" w:rsidTr="00396F9C">
        <w:tc>
          <w:tcPr>
            <w:tcW w:w="0" w:type="auto"/>
            <w:hideMark/>
          </w:tcPr>
          <w:p w14:paraId="5905108A" w14:textId="77777777" w:rsidR="00A04A29" w:rsidRPr="00F675E6" w:rsidRDefault="00A04A29" w:rsidP="00D3740E">
            <w:pPr>
              <w:jc w:val="both"/>
              <w:rPr>
                <w:rFonts w:ascii="Times New Roman" w:hAnsi="Times New Roman" w:cs="Times New Roman"/>
              </w:rPr>
            </w:pPr>
            <w:r w:rsidRPr="00F675E6">
              <w:rPr>
                <w:rFonts w:ascii="Times New Roman" w:hAnsi="Times New Roman" w:cs="Times New Roman"/>
              </w:rPr>
              <w:t>Independent Variable</w:t>
            </w:r>
          </w:p>
        </w:tc>
        <w:tc>
          <w:tcPr>
            <w:tcW w:w="0" w:type="auto"/>
            <w:hideMark/>
          </w:tcPr>
          <w:p w14:paraId="32586AC8" w14:textId="77777777" w:rsidR="00A04A29" w:rsidRPr="00F675E6" w:rsidRDefault="00A04A29" w:rsidP="00D3740E">
            <w:pPr>
              <w:jc w:val="both"/>
              <w:rPr>
                <w:rFonts w:ascii="Times New Roman" w:hAnsi="Times New Roman" w:cs="Times New Roman"/>
              </w:rPr>
            </w:pPr>
            <w:r w:rsidRPr="00F675E6">
              <w:rPr>
                <w:rFonts w:ascii="Times New Roman" w:hAnsi="Times New Roman" w:cs="Times New Roman"/>
              </w:rPr>
              <w:t>Tax Burden</w:t>
            </w:r>
          </w:p>
        </w:tc>
        <w:tc>
          <w:tcPr>
            <w:tcW w:w="2197" w:type="dxa"/>
            <w:hideMark/>
          </w:tcPr>
          <w:p w14:paraId="05053CAC" w14:textId="77777777" w:rsidR="00A04A29" w:rsidRPr="00F675E6" w:rsidRDefault="00A04A29" w:rsidP="00D3740E">
            <w:pPr>
              <w:jc w:val="both"/>
              <w:rPr>
                <w:rFonts w:ascii="Times New Roman" w:hAnsi="Times New Roman" w:cs="Times New Roman"/>
              </w:rPr>
            </w:pPr>
            <w:r w:rsidRPr="00F675E6">
              <w:rPr>
                <w:rFonts w:ascii="Times New Roman" w:hAnsi="Times New Roman" w:cs="Times New Roman"/>
              </w:rPr>
              <w:t>Cash Effective Tax Rate (CETR)</w:t>
            </w:r>
          </w:p>
        </w:tc>
        <w:tc>
          <w:tcPr>
            <w:tcW w:w="3331" w:type="dxa"/>
            <w:hideMark/>
          </w:tcPr>
          <w:p w14:paraId="34F546EF" w14:textId="77777777" w:rsidR="00A04A29" w:rsidRPr="00F675E6" w:rsidRDefault="00A04A29" w:rsidP="00D3740E">
            <w:pPr>
              <w:jc w:val="both"/>
              <w:rPr>
                <w:rFonts w:ascii="Times New Roman" w:hAnsi="Times New Roman" w:cs="Times New Roman"/>
              </w:rPr>
            </w:pPr>
            <w:r w:rsidRPr="00F675E6">
              <w:rPr>
                <w:rFonts w:ascii="Times New Roman" w:hAnsi="Times New Roman" w:cs="Times New Roman"/>
              </w:rPr>
              <w:t>Cash Taxes Paid ÷ Earnings Before Tax (EBT)</w:t>
            </w:r>
          </w:p>
        </w:tc>
      </w:tr>
      <w:tr w:rsidR="00A04A29" w:rsidRPr="00F675E6" w14:paraId="417A7F47" w14:textId="77777777" w:rsidTr="00396F9C">
        <w:tc>
          <w:tcPr>
            <w:tcW w:w="0" w:type="auto"/>
            <w:hideMark/>
          </w:tcPr>
          <w:p w14:paraId="192C799B" w14:textId="77777777" w:rsidR="00A04A29" w:rsidRPr="00F675E6" w:rsidRDefault="00A04A29" w:rsidP="00D3740E">
            <w:pPr>
              <w:jc w:val="both"/>
              <w:rPr>
                <w:rFonts w:ascii="Times New Roman" w:hAnsi="Times New Roman" w:cs="Times New Roman"/>
              </w:rPr>
            </w:pPr>
            <w:r w:rsidRPr="00F675E6">
              <w:rPr>
                <w:rFonts w:ascii="Times New Roman" w:hAnsi="Times New Roman" w:cs="Times New Roman"/>
              </w:rPr>
              <w:t>Dependent Variable</w:t>
            </w:r>
          </w:p>
        </w:tc>
        <w:tc>
          <w:tcPr>
            <w:tcW w:w="0" w:type="auto"/>
            <w:hideMark/>
          </w:tcPr>
          <w:p w14:paraId="5A41DC0A" w14:textId="77777777" w:rsidR="00A04A29" w:rsidRPr="00F675E6" w:rsidRDefault="00A04A29" w:rsidP="00D3740E">
            <w:pPr>
              <w:jc w:val="both"/>
              <w:rPr>
                <w:rFonts w:ascii="Times New Roman" w:hAnsi="Times New Roman" w:cs="Times New Roman"/>
              </w:rPr>
            </w:pPr>
            <w:r w:rsidRPr="00F675E6">
              <w:rPr>
                <w:rFonts w:ascii="Times New Roman" w:hAnsi="Times New Roman" w:cs="Times New Roman"/>
              </w:rPr>
              <w:t>Financial Stability</w:t>
            </w:r>
          </w:p>
        </w:tc>
        <w:tc>
          <w:tcPr>
            <w:tcW w:w="2197" w:type="dxa"/>
            <w:hideMark/>
          </w:tcPr>
          <w:p w14:paraId="2BA35655" w14:textId="77777777" w:rsidR="00A04A29" w:rsidRPr="00F675E6" w:rsidRDefault="00A04A29" w:rsidP="00D3740E">
            <w:pPr>
              <w:jc w:val="both"/>
              <w:rPr>
                <w:rFonts w:ascii="Times New Roman" w:hAnsi="Times New Roman" w:cs="Times New Roman"/>
              </w:rPr>
            </w:pPr>
            <w:r w:rsidRPr="00F675E6">
              <w:rPr>
                <w:rFonts w:ascii="Times New Roman" w:hAnsi="Times New Roman" w:cs="Times New Roman"/>
              </w:rPr>
              <w:t>Interest Coverage Ratio (ICR)</w:t>
            </w:r>
          </w:p>
        </w:tc>
        <w:tc>
          <w:tcPr>
            <w:tcW w:w="3331" w:type="dxa"/>
            <w:hideMark/>
          </w:tcPr>
          <w:p w14:paraId="3433C788" w14:textId="77777777" w:rsidR="00A04A29" w:rsidRPr="00F675E6" w:rsidRDefault="00A04A29" w:rsidP="00D3740E">
            <w:pPr>
              <w:jc w:val="both"/>
              <w:rPr>
                <w:rFonts w:ascii="Times New Roman" w:hAnsi="Times New Roman" w:cs="Times New Roman"/>
              </w:rPr>
            </w:pPr>
            <w:r w:rsidRPr="00F675E6">
              <w:rPr>
                <w:rFonts w:ascii="Times New Roman" w:hAnsi="Times New Roman" w:cs="Times New Roman"/>
              </w:rPr>
              <w:t>Earnings Before Interest and Tax (EBIT) ÷ Interest Expense</w:t>
            </w:r>
          </w:p>
        </w:tc>
      </w:tr>
      <w:tr w:rsidR="00A04A29" w:rsidRPr="00F675E6" w14:paraId="670C3307" w14:textId="77777777" w:rsidTr="00396F9C">
        <w:tc>
          <w:tcPr>
            <w:tcW w:w="0" w:type="auto"/>
            <w:hideMark/>
          </w:tcPr>
          <w:p w14:paraId="13719C97" w14:textId="77777777" w:rsidR="00A04A29" w:rsidRPr="00F675E6" w:rsidRDefault="00A04A29" w:rsidP="00D3740E">
            <w:pPr>
              <w:jc w:val="both"/>
              <w:rPr>
                <w:rFonts w:ascii="Times New Roman" w:hAnsi="Times New Roman" w:cs="Times New Roman"/>
              </w:rPr>
            </w:pPr>
            <w:r w:rsidRPr="00F675E6">
              <w:rPr>
                <w:rFonts w:ascii="Times New Roman" w:hAnsi="Times New Roman" w:cs="Times New Roman"/>
              </w:rPr>
              <w:lastRenderedPageBreak/>
              <w:t>Control Variable</w:t>
            </w:r>
          </w:p>
        </w:tc>
        <w:tc>
          <w:tcPr>
            <w:tcW w:w="0" w:type="auto"/>
            <w:hideMark/>
          </w:tcPr>
          <w:p w14:paraId="0890FF83" w14:textId="77777777" w:rsidR="00A04A29" w:rsidRPr="00F675E6" w:rsidRDefault="00A04A29" w:rsidP="00D3740E">
            <w:pPr>
              <w:jc w:val="both"/>
              <w:rPr>
                <w:rFonts w:ascii="Times New Roman" w:hAnsi="Times New Roman" w:cs="Times New Roman"/>
              </w:rPr>
            </w:pPr>
            <w:r w:rsidRPr="00F675E6">
              <w:rPr>
                <w:rFonts w:ascii="Times New Roman" w:hAnsi="Times New Roman" w:cs="Times New Roman"/>
              </w:rPr>
              <w:t>Firm Age</w:t>
            </w:r>
          </w:p>
        </w:tc>
        <w:tc>
          <w:tcPr>
            <w:tcW w:w="2197" w:type="dxa"/>
            <w:hideMark/>
          </w:tcPr>
          <w:p w14:paraId="3DA6EFF9" w14:textId="77777777" w:rsidR="00A04A29" w:rsidRPr="00F675E6" w:rsidRDefault="00A04A29" w:rsidP="00D3740E">
            <w:pPr>
              <w:jc w:val="both"/>
              <w:rPr>
                <w:rFonts w:ascii="Times New Roman" w:hAnsi="Times New Roman" w:cs="Times New Roman"/>
              </w:rPr>
            </w:pPr>
            <w:r w:rsidRPr="00F675E6">
              <w:rPr>
                <w:rFonts w:ascii="Times New Roman" w:hAnsi="Times New Roman" w:cs="Times New Roman"/>
              </w:rPr>
              <w:t>Firm Age</w:t>
            </w:r>
          </w:p>
        </w:tc>
        <w:tc>
          <w:tcPr>
            <w:tcW w:w="3331" w:type="dxa"/>
            <w:hideMark/>
          </w:tcPr>
          <w:p w14:paraId="485103D1" w14:textId="77777777" w:rsidR="00A04A29" w:rsidRPr="00F675E6" w:rsidRDefault="00A04A29" w:rsidP="00D3740E">
            <w:pPr>
              <w:jc w:val="both"/>
              <w:rPr>
                <w:rFonts w:ascii="Times New Roman" w:hAnsi="Times New Roman" w:cs="Times New Roman"/>
              </w:rPr>
            </w:pPr>
            <w:r w:rsidRPr="00F675E6">
              <w:rPr>
                <w:rFonts w:ascii="Times New Roman" w:hAnsi="Times New Roman" w:cs="Times New Roman"/>
              </w:rPr>
              <w:t>Number of Years Since Incorporation (Current Year – Year of Incorporation)</w:t>
            </w:r>
          </w:p>
        </w:tc>
      </w:tr>
    </w:tbl>
    <w:p w14:paraId="49396D4A" w14:textId="77777777" w:rsidR="00A04A29" w:rsidRPr="00F675E6" w:rsidRDefault="00A04A29" w:rsidP="00D3740E">
      <w:pPr>
        <w:jc w:val="both"/>
        <w:rPr>
          <w:rFonts w:ascii="Times New Roman" w:hAnsi="Times New Roman" w:cs="Times New Roman"/>
          <w:b/>
          <w:bCs/>
        </w:rPr>
      </w:pPr>
    </w:p>
    <w:p w14:paraId="2A400BAA" w14:textId="5D34AF64" w:rsidR="000A408B" w:rsidRPr="00F675E6" w:rsidRDefault="000A408B" w:rsidP="00D3740E">
      <w:pPr>
        <w:jc w:val="both"/>
        <w:rPr>
          <w:rFonts w:ascii="Times New Roman" w:hAnsi="Times New Roman" w:cs="Times New Roman"/>
          <w:b/>
          <w:bCs/>
        </w:rPr>
      </w:pPr>
      <w:r w:rsidRPr="00F675E6">
        <w:rPr>
          <w:rFonts w:ascii="Times New Roman" w:hAnsi="Times New Roman" w:cs="Times New Roman"/>
          <w:b/>
          <w:bCs/>
        </w:rPr>
        <w:t>3.5 Estimation Techniques</w:t>
      </w:r>
    </w:p>
    <w:p w14:paraId="760C4E53" w14:textId="77777777" w:rsidR="000A408B" w:rsidRPr="00F675E6" w:rsidRDefault="000A408B" w:rsidP="00D3740E">
      <w:pPr>
        <w:jc w:val="both"/>
        <w:rPr>
          <w:rFonts w:ascii="Times New Roman" w:hAnsi="Times New Roman" w:cs="Times New Roman"/>
          <w:b/>
          <w:bCs/>
        </w:rPr>
      </w:pPr>
      <w:r w:rsidRPr="00F675E6">
        <w:rPr>
          <w:rFonts w:ascii="Times New Roman" w:hAnsi="Times New Roman" w:cs="Times New Roman"/>
          <w:b/>
          <w:bCs/>
        </w:rPr>
        <w:t>3.5.1 Descriptive Statistics</w:t>
      </w:r>
    </w:p>
    <w:p w14:paraId="5125B0A0" w14:textId="77777777" w:rsidR="000A408B" w:rsidRPr="00F675E6" w:rsidRDefault="000A408B" w:rsidP="00D3740E">
      <w:pPr>
        <w:jc w:val="both"/>
        <w:rPr>
          <w:rFonts w:ascii="Times New Roman" w:hAnsi="Times New Roman" w:cs="Times New Roman"/>
        </w:rPr>
      </w:pPr>
      <w:r w:rsidRPr="00F675E6">
        <w:rPr>
          <w:rFonts w:ascii="Times New Roman" w:hAnsi="Times New Roman" w:cs="Times New Roman"/>
        </w:rPr>
        <w:t>Descriptive statistics such as mean, median, standard deviation, skewness, kurtosis, and Jarque-Bera test will be used to summarize and describe the distributional properties of the study variables.</w:t>
      </w:r>
    </w:p>
    <w:p w14:paraId="2DF5C850" w14:textId="77777777" w:rsidR="000A408B" w:rsidRPr="00F675E6" w:rsidRDefault="000A408B" w:rsidP="00D3740E">
      <w:pPr>
        <w:jc w:val="both"/>
        <w:rPr>
          <w:rFonts w:ascii="Times New Roman" w:hAnsi="Times New Roman" w:cs="Times New Roman"/>
          <w:b/>
          <w:bCs/>
        </w:rPr>
      </w:pPr>
      <w:r w:rsidRPr="00F675E6">
        <w:rPr>
          <w:rFonts w:ascii="Times New Roman" w:hAnsi="Times New Roman" w:cs="Times New Roman"/>
          <w:b/>
          <w:bCs/>
        </w:rPr>
        <w:t>3.5.2 Inferential Statistics</w:t>
      </w:r>
    </w:p>
    <w:p w14:paraId="491264E7" w14:textId="77777777" w:rsidR="000A408B" w:rsidRPr="00F675E6" w:rsidRDefault="000A408B" w:rsidP="00D3740E">
      <w:pPr>
        <w:numPr>
          <w:ilvl w:val="0"/>
          <w:numId w:val="3"/>
        </w:numPr>
        <w:jc w:val="both"/>
        <w:rPr>
          <w:rFonts w:ascii="Times New Roman" w:hAnsi="Times New Roman" w:cs="Times New Roman"/>
        </w:rPr>
      </w:pPr>
      <w:r w:rsidRPr="00F675E6">
        <w:rPr>
          <w:rFonts w:ascii="Times New Roman" w:hAnsi="Times New Roman" w:cs="Times New Roman"/>
          <w:b/>
          <w:bCs/>
        </w:rPr>
        <w:t>Correlation Analysis:</w:t>
      </w:r>
      <w:r w:rsidRPr="00F675E6">
        <w:rPr>
          <w:rFonts w:ascii="Times New Roman" w:hAnsi="Times New Roman" w:cs="Times New Roman"/>
        </w:rPr>
        <w:t> To examine the strength and direction of the relationship between tax burden proxies and financial stability.</w:t>
      </w:r>
    </w:p>
    <w:p w14:paraId="61B5C277" w14:textId="77777777" w:rsidR="000A408B" w:rsidRPr="00F675E6" w:rsidRDefault="000A408B" w:rsidP="00D3740E">
      <w:pPr>
        <w:numPr>
          <w:ilvl w:val="0"/>
          <w:numId w:val="3"/>
        </w:numPr>
        <w:jc w:val="both"/>
        <w:rPr>
          <w:rFonts w:ascii="Times New Roman" w:hAnsi="Times New Roman" w:cs="Times New Roman"/>
        </w:rPr>
      </w:pPr>
      <w:r w:rsidRPr="00F675E6">
        <w:rPr>
          <w:rFonts w:ascii="Times New Roman" w:hAnsi="Times New Roman" w:cs="Times New Roman"/>
          <w:b/>
          <w:bCs/>
        </w:rPr>
        <w:t>Regression Analysis:</w:t>
      </w:r>
      <w:r w:rsidRPr="00F675E6">
        <w:rPr>
          <w:rFonts w:ascii="Times New Roman" w:hAnsi="Times New Roman" w:cs="Times New Roman"/>
        </w:rPr>
        <w:t> Panel regression models will be employed to estimate the effect of ETR and CETR on ICR, controlling for firm age.</w:t>
      </w:r>
    </w:p>
    <w:p w14:paraId="14F23330" w14:textId="77777777" w:rsidR="000A408B" w:rsidRPr="00F675E6" w:rsidRDefault="000A408B" w:rsidP="00D3740E">
      <w:pPr>
        <w:numPr>
          <w:ilvl w:val="0"/>
          <w:numId w:val="3"/>
        </w:numPr>
        <w:jc w:val="both"/>
        <w:rPr>
          <w:rFonts w:ascii="Times New Roman" w:hAnsi="Times New Roman" w:cs="Times New Roman"/>
        </w:rPr>
      </w:pPr>
      <w:r w:rsidRPr="00F675E6">
        <w:rPr>
          <w:rFonts w:ascii="Times New Roman" w:hAnsi="Times New Roman" w:cs="Times New Roman"/>
          <w:b/>
          <w:bCs/>
        </w:rPr>
        <w:t>Hausman Test:</w:t>
      </w:r>
      <w:r w:rsidRPr="00F675E6">
        <w:rPr>
          <w:rFonts w:ascii="Times New Roman" w:hAnsi="Times New Roman" w:cs="Times New Roman"/>
        </w:rPr>
        <w:t> To determine the appropriateness of fixed effects versus random effects models.</w:t>
      </w:r>
    </w:p>
    <w:p w14:paraId="2AA277C1" w14:textId="77777777" w:rsidR="000A408B" w:rsidRPr="00F675E6" w:rsidRDefault="000A408B" w:rsidP="00D3740E">
      <w:pPr>
        <w:numPr>
          <w:ilvl w:val="0"/>
          <w:numId w:val="3"/>
        </w:numPr>
        <w:jc w:val="both"/>
        <w:rPr>
          <w:rFonts w:ascii="Times New Roman" w:hAnsi="Times New Roman" w:cs="Times New Roman"/>
        </w:rPr>
      </w:pPr>
      <w:r w:rsidRPr="00F675E6">
        <w:rPr>
          <w:rFonts w:ascii="Times New Roman" w:hAnsi="Times New Roman" w:cs="Times New Roman"/>
          <w:b/>
          <w:bCs/>
        </w:rPr>
        <w:t>Diagnostic Tests:</w:t>
      </w:r>
    </w:p>
    <w:p w14:paraId="35D8ED3F" w14:textId="77777777" w:rsidR="000A408B" w:rsidRPr="00F675E6" w:rsidRDefault="000A408B" w:rsidP="00D3740E">
      <w:pPr>
        <w:numPr>
          <w:ilvl w:val="1"/>
          <w:numId w:val="3"/>
        </w:numPr>
        <w:tabs>
          <w:tab w:val="num" w:pos="1440"/>
        </w:tabs>
        <w:jc w:val="both"/>
        <w:rPr>
          <w:rFonts w:ascii="Times New Roman" w:hAnsi="Times New Roman" w:cs="Times New Roman"/>
        </w:rPr>
      </w:pPr>
      <w:r w:rsidRPr="00F675E6">
        <w:rPr>
          <w:rFonts w:ascii="Times New Roman" w:hAnsi="Times New Roman" w:cs="Times New Roman"/>
          <w:b/>
          <w:bCs/>
        </w:rPr>
        <w:t>Heteroscedasticity Test:</w:t>
      </w:r>
      <w:r w:rsidRPr="00F675E6">
        <w:rPr>
          <w:rFonts w:ascii="Times New Roman" w:hAnsi="Times New Roman" w:cs="Times New Roman"/>
        </w:rPr>
        <w:t> To check for non-constant variance in the error terms.</w:t>
      </w:r>
    </w:p>
    <w:p w14:paraId="5E126453" w14:textId="77777777" w:rsidR="000A408B" w:rsidRPr="00F675E6" w:rsidRDefault="000A408B" w:rsidP="00D3740E">
      <w:pPr>
        <w:numPr>
          <w:ilvl w:val="1"/>
          <w:numId w:val="3"/>
        </w:numPr>
        <w:tabs>
          <w:tab w:val="num" w:pos="1440"/>
        </w:tabs>
        <w:jc w:val="both"/>
        <w:rPr>
          <w:rFonts w:ascii="Times New Roman" w:hAnsi="Times New Roman" w:cs="Times New Roman"/>
        </w:rPr>
      </w:pPr>
      <w:r w:rsidRPr="00F675E6">
        <w:rPr>
          <w:rFonts w:ascii="Times New Roman" w:hAnsi="Times New Roman" w:cs="Times New Roman"/>
          <w:b/>
          <w:bCs/>
        </w:rPr>
        <w:t>Normality Test:</w:t>
      </w:r>
      <w:r w:rsidRPr="00F675E6">
        <w:rPr>
          <w:rFonts w:ascii="Times New Roman" w:hAnsi="Times New Roman" w:cs="Times New Roman"/>
        </w:rPr>
        <w:t> To assess whether the residuals are normally distributed.</w:t>
      </w:r>
    </w:p>
    <w:p w14:paraId="029FA736" w14:textId="77777777" w:rsidR="000A408B" w:rsidRPr="00F675E6" w:rsidRDefault="000A408B" w:rsidP="00D3740E">
      <w:pPr>
        <w:numPr>
          <w:ilvl w:val="1"/>
          <w:numId w:val="3"/>
        </w:numPr>
        <w:tabs>
          <w:tab w:val="num" w:pos="1440"/>
        </w:tabs>
        <w:jc w:val="both"/>
        <w:rPr>
          <w:rFonts w:ascii="Times New Roman" w:hAnsi="Times New Roman" w:cs="Times New Roman"/>
        </w:rPr>
      </w:pPr>
      <w:r w:rsidRPr="00F675E6">
        <w:rPr>
          <w:rFonts w:ascii="Times New Roman" w:hAnsi="Times New Roman" w:cs="Times New Roman"/>
          <w:b/>
          <w:bCs/>
        </w:rPr>
        <w:t>Multicollinearity Test:</w:t>
      </w:r>
      <w:r w:rsidRPr="00F675E6">
        <w:rPr>
          <w:rFonts w:ascii="Times New Roman" w:hAnsi="Times New Roman" w:cs="Times New Roman"/>
        </w:rPr>
        <w:t> To detect the presence of high intercorrelations among independent variables.</w:t>
      </w:r>
    </w:p>
    <w:p w14:paraId="39FBFF96" w14:textId="77777777" w:rsidR="00915A58" w:rsidRPr="00F675E6" w:rsidRDefault="00915A58" w:rsidP="00D3740E">
      <w:pPr>
        <w:jc w:val="both"/>
        <w:rPr>
          <w:rFonts w:ascii="Times New Roman" w:hAnsi="Times New Roman" w:cs="Times New Roman"/>
          <w:b/>
          <w:bCs/>
        </w:rPr>
      </w:pPr>
      <w:r w:rsidRPr="00F675E6">
        <w:rPr>
          <w:rFonts w:ascii="Times New Roman" w:hAnsi="Times New Roman" w:cs="Times New Roman"/>
          <w:b/>
          <w:bCs/>
        </w:rPr>
        <w:t>Model Specification</w:t>
      </w:r>
    </w:p>
    <w:p w14:paraId="13890130" w14:textId="77777777" w:rsidR="00915A58" w:rsidRPr="00F675E6" w:rsidRDefault="00915A58" w:rsidP="00D3740E">
      <w:pPr>
        <w:jc w:val="both"/>
        <w:rPr>
          <w:rFonts w:ascii="Times New Roman" w:hAnsi="Times New Roman" w:cs="Times New Roman"/>
        </w:rPr>
      </w:pPr>
      <w:r w:rsidRPr="00F675E6">
        <w:rPr>
          <w:rFonts w:ascii="Times New Roman" w:hAnsi="Times New Roman" w:cs="Times New Roman"/>
        </w:rPr>
        <w:t>This study adapts the panel regression model of Bamidele and Abdulsalam (2025), who examined the effect of corporate tax planning on firm value, to investigate the impact of tax burden on financial stability in the Nigerian oil and gas sector. In line with the objectives of this study, the model is specified as follows:</w:t>
      </w:r>
    </w:p>
    <w:p w14:paraId="09FF4896" w14:textId="6193FC30" w:rsidR="00915A58" w:rsidRPr="00F675E6" w:rsidRDefault="00915A58" w:rsidP="00D3740E">
      <w:pPr>
        <w:jc w:val="both"/>
        <w:rPr>
          <w:rFonts w:ascii="Times New Roman" w:hAnsi="Times New Roman" w:cs="Times New Roman"/>
        </w:rPr>
      </w:pPr>
      <m:oMathPara>
        <m:oMath>
          <m:r>
            <w:rPr>
              <w:rFonts w:ascii="Cambria Math" w:hAnsi="Cambria Math" w:cs="Times New Roman"/>
            </w:rPr>
            <m:t>IC</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ET</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2</m:t>
              </m:r>
            </m:sub>
          </m:sSub>
          <m:r>
            <w:rPr>
              <w:rFonts w:ascii="Cambria Math" w:hAnsi="Cambria Math" w:cs="Times New Roman"/>
            </w:rPr>
            <m:t>CET</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3</m:t>
              </m:r>
            </m:sub>
          </m:sSub>
          <m:r>
            <w:rPr>
              <w:rFonts w:ascii="Cambria Math" w:hAnsi="Cambria Math" w:cs="Times New Roman"/>
            </w:rPr>
            <m:t>AG</m:t>
          </m:r>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ϵ</m:t>
              </m:r>
            </m:e>
            <m:sub>
              <m:r>
                <w:rPr>
                  <w:rFonts w:ascii="Cambria Math" w:hAnsi="Cambria Math" w:cs="Times New Roman"/>
                </w:rPr>
                <m:t>it</m:t>
              </m:r>
            </m:sub>
          </m:sSub>
        </m:oMath>
      </m:oMathPara>
    </w:p>
    <w:p w14:paraId="2190542C" w14:textId="77777777" w:rsidR="00915A58" w:rsidRPr="00F675E6" w:rsidRDefault="00915A58" w:rsidP="00D3740E">
      <w:pPr>
        <w:jc w:val="both"/>
        <w:rPr>
          <w:rFonts w:ascii="Times New Roman" w:hAnsi="Times New Roman" w:cs="Times New Roman"/>
        </w:rPr>
      </w:pPr>
      <w:r w:rsidRPr="00F675E6">
        <w:rPr>
          <w:rFonts w:ascii="Times New Roman" w:hAnsi="Times New Roman" w:cs="Times New Roman"/>
        </w:rPr>
        <w:t>Where:</w:t>
      </w:r>
    </w:p>
    <w:p w14:paraId="38F9DFDF" w14:textId="284651B0" w:rsidR="00915A58" w:rsidRPr="00F675E6" w:rsidRDefault="00915A58" w:rsidP="00D3740E">
      <w:pPr>
        <w:ind w:left="360"/>
        <w:jc w:val="both"/>
        <w:rPr>
          <w:rFonts w:ascii="Times New Roman" w:hAnsi="Times New Roman" w:cs="Times New Roman"/>
        </w:rPr>
      </w:pPr>
      <m:oMath>
        <m:r>
          <w:rPr>
            <w:rFonts w:ascii="Cambria Math" w:hAnsi="Cambria Math" w:cs="Times New Roman"/>
          </w:rPr>
          <m:t>IC</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it</m:t>
            </m:r>
          </m:sub>
        </m:sSub>
      </m:oMath>
      <w:r w:rsidRPr="00F675E6">
        <w:rPr>
          <w:rFonts w:ascii="Times New Roman" w:hAnsi="Times New Roman" w:cs="Times New Roman"/>
        </w:rPr>
        <w:t> = Interest Coverage Ratio</w:t>
      </w:r>
    </w:p>
    <w:p w14:paraId="650E3737" w14:textId="2CB888EB" w:rsidR="00915A58" w:rsidRPr="00F675E6" w:rsidRDefault="00915A58" w:rsidP="00D3740E">
      <w:pPr>
        <w:ind w:left="360"/>
        <w:jc w:val="both"/>
        <w:rPr>
          <w:rFonts w:ascii="Times New Roman" w:hAnsi="Times New Roman" w:cs="Times New Roman"/>
        </w:rPr>
      </w:pPr>
      <m:oMath>
        <m:r>
          <w:rPr>
            <w:rFonts w:ascii="Cambria Math" w:hAnsi="Cambria Math" w:cs="Times New Roman"/>
          </w:rPr>
          <m:t>ET</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it</m:t>
            </m:r>
          </m:sub>
        </m:sSub>
      </m:oMath>
      <w:r w:rsidRPr="00F675E6">
        <w:rPr>
          <w:rFonts w:ascii="Times New Roman" w:hAnsi="Times New Roman" w:cs="Times New Roman"/>
        </w:rPr>
        <w:t> = Effective Tax Rate</w:t>
      </w:r>
    </w:p>
    <w:p w14:paraId="6D692493" w14:textId="3E697580" w:rsidR="00915A58" w:rsidRPr="00F675E6" w:rsidRDefault="00915A58" w:rsidP="00D3740E">
      <w:pPr>
        <w:ind w:left="360"/>
        <w:jc w:val="both"/>
        <w:rPr>
          <w:rFonts w:ascii="Times New Roman" w:hAnsi="Times New Roman" w:cs="Times New Roman"/>
        </w:rPr>
      </w:pPr>
      <m:oMath>
        <m:r>
          <w:rPr>
            <w:rFonts w:ascii="Cambria Math" w:hAnsi="Cambria Math" w:cs="Times New Roman"/>
          </w:rPr>
          <m:t>CET</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it</m:t>
            </m:r>
          </m:sub>
        </m:sSub>
      </m:oMath>
      <w:r w:rsidRPr="00F675E6">
        <w:rPr>
          <w:rFonts w:ascii="Times New Roman" w:hAnsi="Times New Roman" w:cs="Times New Roman"/>
        </w:rPr>
        <w:t> = Cash Effective Tax Rate</w:t>
      </w:r>
    </w:p>
    <w:p w14:paraId="75AD154F" w14:textId="6ECD94B0" w:rsidR="00915A58" w:rsidRPr="00F675E6" w:rsidRDefault="00915A58" w:rsidP="00D3740E">
      <w:pPr>
        <w:ind w:left="360"/>
        <w:jc w:val="both"/>
        <w:rPr>
          <w:rFonts w:ascii="Times New Roman" w:hAnsi="Times New Roman" w:cs="Times New Roman"/>
        </w:rPr>
      </w:pPr>
      <m:oMath>
        <m:r>
          <w:rPr>
            <w:rFonts w:ascii="Cambria Math" w:hAnsi="Cambria Math" w:cs="Times New Roman"/>
          </w:rPr>
          <w:lastRenderedPageBreak/>
          <m:t>AG</m:t>
        </m:r>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it</m:t>
            </m:r>
          </m:sub>
        </m:sSub>
      </m:oMath>
      <w:r w:rsidRPr="00F675E6">
        <w:rPr>
          <w:rFonts w:ascii="Times New Roman" w:hAnsi="Times New Roman" w:cs="Times New Roman"/>
        </w:rPr>
        <w:t> = Age of firm</w:t>
      </w:r>
    </w:p>
    <w:p w14:paraId="0C1765EC" w14:textId="063321F9" w:rsidR="00915A58" w:rsidRPr="00F675E6" w:rsidRDefault="00DE09D1" w:rsidP="00D3740E">
      <w:pPr>
        <w:ind w:left="360"/>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0</m:t>
            </m:r>
          </m:sub>
        </m:sSub>
      </m:oMath>
      <w:r w:rsidR="00915A58" w:rsidRPr="00F675E6">
        <w:rPr>
          <w:rFonts w:ascii="Times New Roman" w:hAnsi="Times New Roman" w:cs="Times New Roman"/>
        </w:rPr>
        <w:t> = Intercept</w:t>
      </w:r>
    </w:p>
    <w:p w14:paraId="78ADC9B3" w14:textId="7908CF9F" w:rsidR="00915A58" w:rsidRPr="00F675E6" w:rsidRDefault="00DE09D1" w:rsidP="00D3740E">
      <w:pPr>
        <w:ind w:left="360"/>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3</m:t>
            </m:r>
          </m:sub>
        </m:sSub>
      </m:oMath>
      <w:r w:rsidR="00915A58" w:rsidRPr="00F675E6">
        <w:rPr>
          <w:rFonts w:ascii="Times New Roman" w:hAnsi="Times New Roman" w:cs="Times New Roman"/>
        </w:rPr>
        <w:t> = Coefficients of the independent and control variables</w:t>
      </w:r>
    </w:p>
    <w:p w14:paraId="3E1FD65B" w14:textId="0F665893" w:rsidR="00915A58" w:rsidRPr="00F675E6" w:rsidRDefault="00DE09D1" w:rsidP="00D3740E">
      <w:pPr>
        <w:ind w:left="360"/>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ϵ</m:t>
            </m:r>
          </m:e>
          <m:sub>
            <m:r>
              <w:rPr>
                <w:rFonts w:ascii="Cambria Math" w:hAnsi="Cambria Math" w:cs="Times New Roman"/>
              </w:rPr>
              <m:t>it</m:t>
            </m:r>
          </m:sub>
        </m:sSub>
      </m:oMath>
      <w:r w:rsidR="00915A58" w:rsidRPr="00F675E6">
        <w:rPr>
          <w:rFonts w:ascii="Times New Roman" w:hAnsi="Times New Roman" w:cs="Times New Roman"/>
        </w:rPr>
        <w:t> = Error term</w:t>
      </w:r>
    </w:p>
    <w:p w14:paraId="492340EA" w14:textId="053E958F" w:rsidR="00056F88" w:rsidRPr="00F675E6" w:rsidRDefault="00915A58" w:rsidP="00D3740E">
      <w:pPr>
        <w:jc w:val="both"/>
        <w:rPr>
          <w:rFonts w:ascii="Times New Roman" w:hAnsi="Times New Roman" w:cs="Times New Roman"/>
        </w:rPr>
      </w:pPr>
      <w:r w:rsidRPr="00F675E6">
        <w:rPr>
          <w:rFonts w:ascii="Times New Roman" w:hAnsi="Times New Roman" w:cs="Times New Roman"/>
        </w:rPr>
        <w:t>This model allows for the assessment of the effect of both effective tax rate and cash effective tax rate on the financial stability of oil and gas firms, while controlling for firm age. The panel data approach enables the study to account for both cross-sectional and time-series variations among the listed oil and gas companies over the period 2012–2024.</w:t>
      </w:r>
    </w:p>
    <w:p w14:paraId="74329E83" w14:textId="77777777" w:rsidR="00011D24" w:rsidRPr="00011D24" w:rsidRDefault="00011D24" w:rsidP="00D3740E">
      <w:pPr>
        <w:jc w:val="both"/>
        <w:rPr>
          <w:rFonts w:ascii="Times New Roman" w:hAnsi="Times New Roman" w:cs="Times New Roman"/>
          <w:b/>
          <w:bCs/>
        </w:rPr>
      </w:pPr>
      <w:r w:rsidRPr="00011D24">
        <w:rPr>
          <w:rFonts w:ascii="Times New Roman" w:hAnsi="Times New Roman" w:cs="Times New Roman"/>
          <w:b/>
          <w:bCs/>
        </w:rPr>
        <w:t>4. Results</w:t>
      </w:r>
    </w:p>
    <w:p w14:paraId="54F7FC54" w14:textId="77777777" w:rsidR="00011D24" w:rsidRPr="00011D24" w:rsidRDefault="00011D24" w:rsidP="00D3740E">
      <w:pPr>
        <w:jc w:val="both"/>
        <w:rPr>
          <w:rFonts w:ascii="Times New Roman" w:hAnsi="Times New Roman" w:cs="Times New Roman"/>
          <w:b/>
          <w:bCs/>
        </w:rPr>
      </w:pPr>
      <w:r w:rsidRPr="00011D24">
        <w:rPr>
          <w:rFonts w:ascii="Times New Roman" w:hAnsi="Times New Roman" w:cs="Times New Roman"/>
          <w:b/>
          <w:bCs/>
        </w:rPr>
        <w:t>4.1 Descriptive Statistics</w:t>
      </w:r>
    </w:p>
    <w:p w14:paraId="4897FC5B"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Table 2 presents the descriptive statistics for the study variables: Interest Coverage Ratio (ICR, the dependent variable), Effective Tax Rate (ETR), Cash Effective Tax Rate (CETR), and Firm Age, for the sampled Nigerian oil and gas firms over the period 2012–2024.</w:t>
      </w:r>
    </w:p>
    <w:p w14:paraId="09B900BC"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b/>
          <w:bCs/>
        </w:rPr>
        <w:t>Table 2: Descriptive Statistics</w:t>
      </w:r>
    </w:p>
    <w:tbl>
      <w:tblPr>
        <w:tblW w:w="9337"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248"/>
        <w:gridCol w:w="2069"/>
        <w:gridCol w:w="1800"/>
        <w:gridCol w:w="1710"/>
        <w:gridCol w:w="1510"/>
      </w:tblGrid>
      <w:tr w:rsidR="00011D24" w:rsidRPr="00011D24" w14:paraId="75C7F5DE" w14:textId="77777777" w:rsidTr="00396F9C">
        <w:tc>
          <w:tcPr>
            <w:tcW w:w="2248" w:type="dxa"/>
            <w:tcBorders>
              <w:top w:val="single" w:sz="4" w:space="0" w:color="auto"/>
              <w:bottom w:val="single" w:sz="4" w:space="0" w:color="auto"/>
            </w:tcBorders>
            <w:noWrap/>
            <w:vAlign w:val="bottom"/>
            <w:hideMark/>
          </w:tcPr>
          <w:p w14:paraId="195DDF53" w14:textId="77777777" w:rsidR="00011D24" w:rsidRPr="00011D24" w:rsidRDefault="00011D24" w:rsidP="00D3740E">
            <w:pPr>
              <w:jc w:val="both"/>
              <w:rPr>
                <w:rFonts w:ascii="Times New Roman" w:hAnsi="Times New Roman" w:cs="Times New Roman"/>
                <w:b/>
                <w:bCs/>
              </w:rPr>
            </w:pPr>
            <w:r w:rsidRPr="00011D24">
              <w:rPr>
                <w:rFonts w:ascii="Times New Roman" w:hAnsi="Times New Roman" w:cs="Times New Roman"/>
                <w:b/>
                <w:bCs/>
              </w:rPr>
              <w:t>Statistic</w:t>
            </w:r>
          </w:p>
        </w:tc>
        <w:tc>
          <w:tcPr>
            <w:tcW w:w="2069" w:type="dxa"/>
            <w:tcBorders>
              <w:top w:val="single" w:sz="4" w:space="0" w:color="auto"/>
              <w:bottom w:val="single" w:sz="4" w:space="0" w:color="auto"/>
            </w:tcBorders>
            <w:noWrap/>
            <w:vAlign w:val="bottom"/>
            <w:hideMark/>
          </w:tcPr>
          <w:p w14:paraId="414D4161" w14:textId="3E335335" w:rsidR="00011D24" w:rsidRPr="00011D24" w:rsidRDefault="00011D24" w:rsidP="00D3740E">
            <w:pPr>
              <w:jc w:val="both"/>
              <w:rPr>
                <w:rFonts w:ascii="Times New Roman" w:hAnsi="Times New Roman" w:cs="Times New Roman"/>
                <w:b/>
                <w:bCs/>
              </w:rPr>
            </w:pPr>
            <w:r w:rsidRPr="00011D24">
              <w:rPr>
                <w:rFonts w:ascii="Times New Roman" w:hAnsi="Times New Roman" w:cs="Times New Roman"/>
                <w:b/>
                <w:bCs/>
              </w:rPr>
              <w:t>ICR</w:t>
            </w:r>
          </w:p>
        </w:tc>
        <w:tc>
          <w:tcPr>
            <w:tcW w:w="1800" w:type="dxa"/>
            <w:tcBorders>
              <w:top w:val="single" w:sz="4" w:space="0" w:color="auto"/>
              <w:bottom w:val="single" w:sz="4" w:space="0" w:color="auto"/>
            </w:tcBorders>
            <w:noWrap/>
            <w:vAlign w:val="bottom"/>
            <w:hideMark/>
          </w:tcPr>
          <w:p w14:paraId="4BD1F1FE" w14:textId="77777777" w:rsidR="00011D24" w:rsidRPr="00011D24" w:rsidRDefault="00011D24" w:rsidP="00D3740E">
            <w:pPr>
              <w:jc w:val="both"/>
              <w:rPr>
                <w:rFonts w:ascii="Times New Roman" w:hAnsi="Times New Roman" w:cs="Times New Roman"/>
                <w:b/>
                <w:bCs/>
              </w:rPr>
            </w:pPr>
            <w:r w:rsidRPr="00011D24">
              <w:rPr>
                <w:rFonts w:ascii="Times New Roman" w:hAnsi="Times New Roman" w:cs="Times New Roman"/>
                <w:b/>
                <w:bCs/>
              </w:rPr>
              <w:t>ETR</w:t>
            </w:r>
          </w:p>
        </w:tc>
        <w:tc>
          <w:tcPr>
            <w:tcW w:w="1710" w:type="dxa"/>
            <w:tcBorders>
              <w:top w:val="single" w:sz="4" w:space="0" w:color="auto"/>
              <w:bottom w:val="single" w:sz="4" w:space="0" w:color="auto"/>
            </w:tcBorders>
            <w:noWrap/>
            <w:vAlign w:val="bottom"/>
            <w:hideMark/>
          </w:tcPr>
          <w:p w14:paraId="503D6940" w14:textId="77777777" w:rsidR="00011D24" w:rsidRPr="00011D24" w:rsidRDefault="00011D24" w:rsidP="00D3740E">
            <w:pPr>
              <w:jc w:val="both"/>
              <w:rPr>
                <w:rFonts w:ascii="Times New Roman" w:hAnsi="Times New Roman" w:cs="Times New Roman"/>
                <w:b/>
                <w:bCs/>
              </w:rPr>
            </w:pPr>
            <w:r w:rsidRPr="00011D24">
              <w:rPr>
                <w:rFonts w:ascii="Times New Roman" w:hAnsi="Times New Roman" w:cs="Times New Roman"/>
                <w:b/>
                <w:bCs/>
              </w:rPr>
              <w:t>CETR</w:t>
            </w:r>
          </w:p>
        </w:tc>
        <w:tc>
          <w:tcPr>
            <w:tcW w:w="1510" w:type="dxa"/>
            <w:tcBorders>
              <w:top w:val="single" w:sz="4" w:space="0" w:color="auto"/>
              <w:bottom w:val="single" w:sz="4" w:space="0" w:color="auto"/>
            </w:tcBorders>
            <w:noWrap/>
            <w:vAlign w:val="bottom"/>
            <w:hideMark/>
          </w:tcPr>
          <w:p w14:paraId="5EFB9D21" w14:textId="77777777" w:rsidR="00011D24" w:rsidRPr="00011D24" w:rsidRDefault="00011D24" w:rsidP="00D3740E">
            <w:pPr>
              <w:jc w:val="both"/>
              <w:rPr>
                <w:rFonts w:ascii="Times New Roman" w:hAnsi="Times New Roman" w:cs="Times New Roman"/>
                <w:b/>
                <w:bCs/>
              </w:rPr>
            </w:pPr>
            <w:r w:rsidRPr="00011D24">
              <w:rPr>
                <w:rFonts w:ascii="Times New Roman" w:hAnsi="Times New Roman" w:cs="Times New Roman"/>
                <w:b/>
                <w:bCs/>
              </w:rPr>
              <w:t>Firm Age</w:t>
            </w:r>
          </w:p>
        </w:tc>
      </w:tr>
      <w:tr w:rsidR="00011D24" w:rsidRPr="00011D24" w14:paraId="18C6EC70" w14:textId="77777777" w:rsidTr="00396F9C">
        <w:tc>
          <w:tcPr>
            <w:tcW w:w="2248" w:type="dxa"/>
            <w:tcBorders>
              <w:top w:val="single" w:sz="4" w:space="0" w:color="auto"/>
            </w:tcBorders>
            <w:vAlign w:val="bottom"/>
            <w:hideMark/>
          </w:tcPr>
          <w:p w14:paraId="133041A8"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Mean</w:t>
            </w:r>
          </w:p>
        </w:tc>
        <w:tc>
          <w:tcPr>
            <w:tcW w:w="2069" w:type="dxa"/>
            <w:tcBorders>
              <w:top w:val="single" w:sz="4" w:space="0" w:color="auto"/>
            </w:tcBorders>
            <w:vAlign w:val="bottom"/>
            <w:hideMark/>
          </w:tcPr>
          <w:p w14:paraId="3D53952F" w14:textId="7DB078CF" w:rsidR="00011D24" w:rsidRPr="00011D24" w:rsidRDefault="00011D24" w:rsidP="00D3740E">
            <w:pPr>
              <w:jc w:val="both"/>
              <w:rPr>
                <w:rFonts w:ascii="Times New Roman" w:hAnsi="Times New Roman" w:cs="Times New Roman"/>
              </w:rPr>
            </w:pPr>
            <w:r w:rsidRPr="00011D24">
              <w:rPr>
                <w:rFonts w:ascii="Times New Roman" w:hAnsi="Times New Roman" w:cs="Times New Roman"/>
              </w:rPr>
              <w:t>4.1</w:t>
            </w:r>
            <w:r w:rsidR="00D3740E" w:rsidRPr="00F675E6">
              <w:rPr>
                <w:rFonts w:ascii="Times New Roman" w:hAnsi="Times New Roman" w:cs="Times New Roman"/>
              </w:rPr>
              <w:t>243</w:t>
            </w:r>
          </w:p>
        </w:tc>
        <w:tc>
          <w:tcPr>
            <w:tcW w:w="1800" w:type="dxa"/>
            <w:tcBorders>
              <w:top w:val="single" w:sz="4" w:space="0" w:color="auto"/>
            </w:tcBorders>
            <w:vAlign w:val="bottom"/>
            <w:hideMark/>
          </w:tcPr>
          <w:p w14:paraId="4A8F0D08"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0.2850</w:t>
            </w:r>
          </w:p>
        </w:tc>
        <w:tc>
          <w:tcPr>
            <w:tcW w:w="1710" w:type="dxa"/>
            <w:tcBorders>
              <w:top w:val="single" w:sz="4" w:space="0" w:color="auto"/>
            </w:tcBorders>
            <w:vAlign w:val="bottom"/>
            <w:hideMark/>
          </w:tcPr>
          <w:p w14:paraId="6CF3C764" w14:textId="5F3EDD93" w:rsidR="00011D24" w:rsidRPr="00011D24" w:rsidRDefault="00011D24" w:rsidP="00D3740E">
            <w:pPr>
              <w:jc w:val="both"/>
              <w:rPr>
                <w:rFonts w:ascii="Times New Roman" w:hAnsi="Times New Roman" w:cs="Times New Roman"/>
              </w:rPr>
            </w:pPr>
            <w:r w:rsidRPr="00011D24">
              <w:rPr>
                <w:rFonts w:ascii="Times New Roman" w:hAnsi="Times New Roman" w:cs="Times New Roman"/>
              </w:rPr>
              <w:t>0.25</w:t>
            </w:r>
            <w:r w:rsidR="00D3740E" w:rsidRPr="00F675E6">
              <w:rPr>
                <w:rFonts w:ascii="Times New Roman" w:hAnsi="Times New Roman" w:cs="Times New Roman"/>
              </w:rPr>
              <w:t>27</w:t>
            </w:r>
          </w:p>
        </w:tc>
        <w:tc>
          <w:tcPr>
            <w:tcW w:w="1510" w:type="dxa"/>
            <w:tcBorders>
              <w:top w:val="single" w:sz="4" w:space="0" w:color="auto"/>
            </w:tcBorders>
            <w:vAlign w:val="bottom"/>
            <w:hideMark/>
          </w:tcPr>
          <w:p w14:paraId="5F353F36"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34.20</w:t>
            </w:r>
          </w:p>
        </w:tc>
      </w:tr>
      <w:tr w:rsidR="00011D24" w:rsidRPr="00011D24" w14:paraId="1A96091A" w14:textId="77777777" w:rsidTr="00396F9C">
        <w:tc>
          <w:tcPr>
            <w:tcW w:w="2248" w:type="dxa"/>
            <w:vAlign w:val="bottom"/>
            <w:hideMark/>
          </w:tcPr>
          <w:p w14:paraId="226934CB"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Median</w:t>
            </w:r>
          </w:p>
        </w:tc>
        <w:tc>
          <w:tcPr>
            <w:tcW w:w="2069" w:type="dxa"/>
            <w:vAlign w:val="bottom"/>
            <w:hideMark/>
          </w:tcPr>
          <w:p w14:paraId="391B1AC0" w14:textId="4F1FC558" w:rsidR="00011D24" w:rsidRPr="00011D24" w:rsidRDefault="00011D24" w:rsidP="00D3740E">
            <w:pPr>
              <w:jc w:val="both"/>
              <w:rPr>
                <w:rFonts w:ascii="Times New Roman" w:hAnsi="Times New Roman" w:cs="Times New Roman"/>
              </w:rPr>
            </w:pPr>
            <w:r w:rsidRPr="00011D24">
              <w:rPr>
                <w:rFonts w:ascii="Times New Roman" w:hAnsi="Times New Roman" w:cs="Times New Roman"/>
              </w:rPr>
              <w:t>3.85</w:t>
            </w:r>
            <w:r w:rsidR="00D3740E" w:rsidRPr="00F675E6">
              <w:rPr>
                <w:rFonts w:ascii="Times New Roman" w:hAnsi="Times New Roman" w:cs="Times New Roman"/>
              </w:rPr>
              <w:t>21</w:t>
            </w:r>
          </w:p>
        </w:tc>
        <w:tc>
          <w:tcPr>
            <w:tcW w:w="1800" w:type="dxa"/>
            <w:vAlign w:val="bottom"/>
            <w:hideMark/>
          </w:tcPr>
          <w:p w14:paraId="5FDE0AC5" w14:textId="5839FE74" w:rsidR="00011D24" w:rsidRPr="00011D24" w:rsidRDefault="00011D24" w:rsidP="00D3740E">
            <w:pPr>
              <w:jc w:val="both"/>
              <w:rPr>
                <w:rFonts w:ascii="Times New Roman" w:hAnsi="Times New Roman" w:cs="Times New Roman"/>
              </w:rPr>
            </w:pPr>
            <w:r w:rsidRPr="00011D24">
              <w:rPr>
                <w:rFonts w:ascii="Times New Roman" w:hAnsi="Times New Roman" w:cs="Times New Roman"/>
              </w:rPr>
              <w:t>0.27</w:t>
            </w:r>
            <w:r w:rsidR="00D3740E" w:rsidRPr="00F675E6">
              <w:rPr>
                <w:rFonts w:ascii="Times New Roman" w:hAnsi="Times New Roman" w:cs="Times New Roman"/>
              </w:rPr>
              <w:t>36</w:t>
            </w:r>
          </w:p>
        </w:tc>
        <w:tc>
          <w:tcPr>
            <w:tcW w:w="1710" w:type="dxa"/>
            <w:vAlign w:val="bottom"/>
            <w:hideMark/>
          </w:tcPr>
          <w:p w14:paraId="64500B4B" w14:textId="61E90DFD" w:rsidR="00011D24" w:rsidRPr="00011D24" w:rsidRDefault="00011D24" w:rsidP="00D3740E">
            <w:pPr>
              <w:jc w:val="both"/>
              <w:rPr>
                <w:rFonts w:ascii="Times New Roman" w:hAnsi="Times New Roman" w:cs="Times New Roman"/>
              </w:rPr>
            </w:pPr>
            <w:r w:rsidRPr="00011D24">
              <w:rPr>
                <w:rFonts w:ascii="Times New Roman" w:hAnsi="Times New Roman" w:cs="Times New Roman"/>
              </w:rPr>
              <w:t>0.24</w:t>
            </w:r>
            <w:r w:rsidR="00D3740E" w:rsidRPr="00F675E6">
              <w:rPr>
                <w:rFonts w:ascii="Times New Roman" w:hAnsi="Times New Roman" w:cs="Times New Roman"/>
              </w:rPr>
              <w:t>20</w:t>
            </w:r>
          </w:p>
        </w:tc>
        <w:tc>
          <w:tcPr>
            <w:tcW w:w="1510" w:type="dxa"/>
            <w:vAlign w:val="bottom"/>
            <w:hideMark/>
          </w:tcPr>
          <w:p w14:paraId="6DCE3361"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32.00</w:t>
            </w:r>
          </w:p>
        </w:tc>
      </w:tr>
      <w:tr w:rsidR="00011D24" w:rsidRPr="00011D24" w14:paraId="7300270C" w14:textId="77777777" w:rsidTr="00396F9C">
        <w:tc>
          <w:tcPr>
            <w:tcW w:w="2248" w:type="dxa"/>
            <w:vAlign w:val="bottom"/>
            <w:hideMark/>
          </w:tcPr>
          <w:p w14:paraId="08E7DD7A"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Maximum</w:t>
            </w:r>
          </w:p>
        </w:tc>
        <w:tc>
          <w:tcPr>
            <w:tcW w:w="2069" w:type="dxa"/>
            <w:vAlign w:val="bottom"/>
            <w:hideMark/>
          </w:tcPr>
          <w:p w14:paraId="4228392F" w14:textId="31F7B7AB" w:rsidR="00011D24" w:rsidRPr="00011D24" w:rsidRDefault="00011D24" w:rsidP="00D3740E">
            <w:pPr>
              <w:jc w:val="both"/>
              <w:rPr>
                <w:rFonts w:ascii="Times New Roman" w:hAnsi="Times New Roman" w:cs="Times New Roman"/>
              </w:rPr>
            </w:pPr>
            <w:r w:rsidRPr="00011D24">
              <w:rPr>
                <w:rFonts w:ascii="Times New Roman" w:hAnsi="Times New Roman" w:cs="Times New Roman"/>
              </w:rPr>
              <w:t>8.9</w:t>
            </w:r>
            <w:r w:rsidR="00D3740E" w:rsidRPr="00F675E6">
              <w:rPr>
                <w:rFonts w:ascii="Times New Roman" w:hAnsi="Times New Roman" w:cs="Times New Roman"/>
              </w:rPr>
              <w:t>152</w:t>
            </w:r>
          </w:p>
        </w:tc>
        <w:tc>
          <w:tcPr>
            <w:tcW w:w="1800" w:type="dxa"/>
            <w:vAlign w:val="bottom"/>
            <w:hideMark/>
          </w:tcPr>
          <w:p w14:paraId="1C268BD4" w14:textId="6030EA6D" w:rsidR="00011D24" w:rsidRPr="00011D24" w:rsidRDefault="00011D24" w:rsidP="00D3740E">
            <w:pPr>
              <w:jc w:val="both"/>
              <w:rPr>
                <w:rFonts w:ascii="Times New Roman" w:hAnsi="Times New Roman" w:cs="Times New Roman"/>
              </w:rPr>
            </w:pPr>
            <w:r w:rsidRPr="00011D24">
              <w:rPr>
                <w:rFonts w:ascii="Times New Roman" w:hAnsi="Times New Roman" w:cs="Times New Roman"/>
              </w:rPr>
              <w:t>0.48</w:t>
            </w:r>
            <w:r w:rsidR="00D3740E" w:rsidRPr="00F675E6">
              <w:rPr>
                <w:rFonts w:ascii="Times New Roman" w:hAnsi="Times New Roman" w:cs="Times New Roman"/>
              </w:rPr>
              <w:t>19</w:t>
            </w:r>
          </w:p>
        </w:tc>
        <w:tc>
          <w:tcPr>
            <w:tcW w:w="1710" w:type="dxa"/>
            <w:vAlign w:val="bottom"/>
            <w:hideMark/>
          </w:tcPr>
          <w:p w14:paraId="0DCF0FFF" w14:textId="237F912C" w:rsidR="00011D24" w:rsidRPr="00011D24" w:rsidRDefault="00011D24" w:rsidP="00D3740E">
            <w:pPr>
              <w:jc w:val="both"/>
              <w:rPr>
                <w:rFonts w:ascii="Times New Roman" w:hAnsi="Times New Roman" w:cs="Times New Roman"/>
              </w:rPr>
            </w:pPr>
            <w:r w:rsidRPr="00011D24">
              <w:rPr>
                <w:rFonts w:ascii="Times New Roman" w:hAnsi="Times New Roman" w:cs="Times New Roman"/>
              </w:rPr>
              <w:t>0.41</w:t>
            </w:r>
            <w:r w:rsidR="00D3740E" w:rsidRPr="00F675E6">
              <w:rPr>
                <w:rFonts w:ascii="Times New Roman" w:hAnsi="Times New Roman" w:cs="Times New Roman"/>
              </w:rPr>
              <w:t>29</w:t>
            </w:r>
          </w:p>
        </w:tc>
        <w:tc>
          <w:tcPr>
            <w:tcW w:w="1510" w:type="dxa"/>
            <w:vAlign w:val="bottom"/>
            <w:hideMark/>
          </w:tcPr>
          <w:p w14:paraId="5BA56428"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68.00</w:t>
            </w:r>
          </w:p>
        </w:tc>
      </w:tr>
      <w:tr w:rsidR="00011D24" w:rsidRPr="00011D24" w14:paraId="301F19ED" w14:textId="77777777" w:rsidTr="00396F9C">
        <w:tc>
          <w:tcPr>
            <w:tcW w:w="2248" w:type="dxa"/>
            <w:vAlign w:val="bottom"/>
            <w:hideMark/>
          </w:tcPr>
          <w:p w14:paraId="67E6F35D"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Minimum</w:t>
            </w:r>
          </w:p>
        </w:tc>
        <w:tc>
          <w:tcPr>
            <w:tcW w:w="2069" w:type="dxa"/>
            <w:vAlign w:val="bottom"/>
            <w:hideMark/>
          </w:tcPr>
          <w:p w14:paraId="2213284E" w14:textId="492D646A" w:rsidR="00011D24" w:rsidRPr="00011D24" w:rsidRDefault="00011D24" w:rsidP="00D3740E">
            <w:pPr>
              <w:jc w:val="both"/>
              <w:rPr>
                <w:rFonts w:ascii="Times New Roman" w:hAnsi="Times New Roman" w:cs="Times New Roman"/>
              </w:rPr>
            </w:pPr>
            <w:r w:rsidRPr="00011D24">
              <w:rPr>
                <w:rFonts w:ascii="Times New Roman" w:hAnsi="Times New Roman" w:cs="Times New Roman"/>
              </w:rPr>
              <w:t>1.1</w:t>
            </w:r>
            <w:r w:rsidR="00D3740E" w:rsidRPr="00F675E6">
              <w:rPr>
                <w:rFonts w:ascii="Times New Roman" w:hAnsi="Times New Roman" w:cs="Times New Roman"/>
              </w:rPr>
              <w:t>182</w:t>
            </w:r>
          </w:p>
        </w:tc>
        <w:tc>
          <w:tcPr>
            <w:tcW w:w="1800" w:type="dxa"/>
            <w:vAlign w:val="bottom"/>
            <w:hideMark/>
          </w:tcPr>
          <w:p w14:paraId="53FDF2EE" w14:textId="2C54EF8D" w:rsidR="00011D24" w:rsidRPr="00011D24" w:rsidRDefault="00011D24" w:rsidP="00D3740E">
            <w:pPr>
              <w:jc w:val="both"/>
              <w:rPr>
                <w:rFonts w:ascii="Times New Roman" w:hAnsi="Times New Roman" w:cs="Times New Roman"/>
              </w:rPr>
            </w:pPr>
            <w:r w:rsidRPr="00011D24">
              <w:rPr>
                <w:rFonts w:ascii="Times New Roman" w:hAnsi="Times New Roman" w:cs="Times New Roman"/>
              </w:rPr>
              <w:t>0.12</w:t>
            </w:r>
            <w:r w:rsidR="00D3740E" w:rsidRPr="00F675E6">
              <w:rPr>
                <w:rFonts w:ascii="Times New Roman" w:hAnsi="Times New Roman" w:cs="Times New Roman"/>
              </w:rPr>
              <w:t>24</w:t>
            </w:r>
          </w:p>
        </w:tc>
        <w:tc>
          <w:tcPr>
            <w:tcW w:w="1710" w:type="dxa"/>
            <w:vAlign w:val="bottom"/>
            <w:hideMark/>
          </w:tcPr>
          <w:p w14:paraId="505D6FF3"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0.1000</w:t>
            </w:r>
          </w:p>
        </w:tc>
        <w:tc>
          <w:tcPr>
            <w:tcW w:w="1510" w:type="dxa"/>
            <w:vAlign w:val="bottom"/>
            <w:hideMark/>
          </w:tcPr>
          <w:p w14:paraId="2B9C8ECD"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15.00</w:t>
            </w:r>
          </w:p>
        </w:tc>
      </w:tr>
      <w:tr w:rsidR="00011D24" w:rsidRPr="00011D24" w14:paraId="119EDA68" w14:textId="77777777" w:rsidTr="00396F9C">
        <w:tc>
          <w:tcPr>
            <w:tcW w:w="2248" w:type="dxa"/>
            <w:vAlign w:val="bottom"/>
            <w:hideMark/>
          </w:tcPr>
          <w:p w14:paraId="34326F91"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Std. Dev.</w:t>
            </w:r>
          </w:p>
        </w:tc>
        <w:tc>
          <w:tcPr>
            <w:tcW w:w="2069" w:type="dxa"/>
            <w:vAlign w:val="bottom"/>
            <w:hideMark/>
          </w:tcPr>
          <w:p w14:paraId="0DEED8AF" w14:textId="1FFC7094" w:rsidR="00011D24" w:rsidRPr="00011D24" w:rsidRDefault="00011D24" w:rsidP="00D3740E">
            <w:pPr>
              <w:jc w:val="both"/>
              <w:rPr>
                <w:rFonts w:ascii="Times New Roman" w:hAnsi="Times New Roman" w:cs="Times New Roman"/>
              </w:rPr>
            </w:pPr>
            <w:r w:rsidRPr="00011D24">
              <w:rPr>
                <w:rFonts w:ascii="Times New Roman" w:hAnsi="Times New Roman" w:cs="Times New Roman"/>
              </w:rPr>
              <w:t>1.95</w:t>
            </w:r>
            <w:r w:rsidR="00D3740E" w:rsidRPr="00F675E6">
              <w:rPr>
                <w:rFonts w:ascii="Times New Roman" w:hAnsi="Times New Roman" w:cs="Times New Roman"/>
              </w:rPr>
              <w:t>10</w:t>
            </w:r>
          </w:p>
        </w:tc>
        <w:tc>
          <w:tcPr>
            <w:tcW w:w="1800" w:type="dxa"/>
            <w:vAlign w:val="bottom"/>
            <w:hideMark/>
          </w:tcPr>
          <w:p w14:paraId="1EFB5E3C"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0.0920</w:t>
            </w:r>
          </w:p>
        </w:tc>
        <w:tc>
          <w:tcPr>
            <w:tcW w:w="1710" w:type="dxa"/>
            <w:vAlign w:val="bottom"/>
            <w:hideMark/>
          </w:tcPr>
          <w:p w14:paraId="2C5AE12A" w14:textId="3B855B80" w:rsidR="00011D24" w:rsidRPr="00011D24" w:rsidRDefault="00011D24" w:rsidP="00D3740E">
            <w:pPr>
              <w:jc w:val="both"/>
              <w:rPr>
                <w:rFonts w:ascii="Times New Roman" w:hAnsi="Times New Roman" w:cs="Times New Roman"/>
              </w:rPr>
            </w:pPr>
            <w:r w:rsidRPr="00011D24">
              <w:rPr>
                <w:rFonts w:ascii="Times New Roman" w:hAnsi="Times New Roman" w:cs="Times New Roman"/>
              </w:rPr>
              <w:t>0.08</w:t>
            </w:r>
            <w:r w:rsidR="00D3740E" w:rsidRPr="00F675E6">
              <w:rPr>
                <w:rFonts w:ascii="Times New Roman" w:hAnsi="Times New Roman" w:cs="Times New Roman"/>
              </w:rPr>
              <w:t>37</w:t>
            </w:r>
          </w:p>
        </w:tc>
        <w:tc>
          <w:tcPr>
            <w:tcW w:w="1510" w:type="dxa"/>
            <w:vAlign w:val="bottom"/>
            <w:hideMark/>
          </w:tcPr>
          <w:p w14:paraId="357CD908" w14:textId="0CA22C03" w:rsidR="00011D24" w:rsidRPr="00011D24" w:rsidRDefault="00011D24" w:rsidP="00D3740E">
            <w:pPr>
              <w:jc w:val="both"/>
              <w:rPr>
                <w:rFonts w:ascii="Times New Roman" w:hAnsi="Times New Roman" w:cs="Times New Roman"/>
              </w:rPr>
            </w:pPr>
            <w:r w:rsidRPr="00011D24">
              <w:rPr>
                <w:rFonts w:ascii="Times New Roman" w:hAnsi="Times New Roman" w:cs="Times New Roman"/>
              </w:rPr>
              <w:t>17.10</w:t>
            </w:r>
            <w:r w:rsidR="00D3740E" w:rsidRPr="00F675E6">
              <w:rPr>
                <w:rFonts w:ascii="Times New Roman" w:hAnsi="Times New Roman" w:cs="Times New Roman"/>
              </w:rPr>
              <w:t>1</w:t>
            </w:r>
          </w:p>
        </w:tc>
      </w:tr>
      <w:tr w:rsidR="00011D24" w:rsidRPr="00011D24" w14:paraId="5A0BB4C3" w14:textId="77777777" w:rsidTr="00396F9C">
        <w:tc>
          <w:tcPr>
            <w:tcW w:w="2248" w:type="dxa"/>
            <w:vAlign w:val="bottom"/>
            <w:hideMark/>
          </w:tcPr>
          <w:p w14:paraId="162D7ABC"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Skewness</w:t>
            </w:r>
          </w:p>
        </w:tc>
        <w:tc>
          <w:tcPr>
            <w:tcW w:w="2069" w:type="dxa"/>
            <w:vAlign w:val="bottom"/>
            <w:hideMark/>
          </w:tcPr>
          <w:p w14:paraId="69CA458D" w14:textId="053F5B08" w:rsidR="00011D24" w:rsidRPr="00011D24" w:rsidRDefault="00011D24" w:rsidP="00D3740E">
            <w:pPr>
              <w:jc w:val="both"/>
              <w:rPr>
                <w:rFonts w:ascii="Times New Roman" w:hAnsi="Times New Roman" w:cs="Times New Roman"/>
              </w:rPr>
            </w:pPr>
            <w:r w:rsidRPr="00011D24">
              <w:rPr>
                <w:rFonts w:ascii="Times New Roman" w:hAnsi="Times New Roman" w:cs="Times New Roman"/>
              </w:rPr>
              <w:t>0.74</w:t>
            </w:r>
            <w:r w:rsidR="00D3740E" w:rsidRPr="00F675E6">
              <w:rPr>
                <w:rFonts w:ascii="Times New Roman" w:hAnsi="Times New Roman" w:cs="Times New Roman"/>
              </w:rPr>
              <w:t>12</w:t>
            </w:r>
          </w:p>
        </w:tc>
        <w:tc>
          <w:tcPr>
            <w:tcW w:w="1800" w:type="dxa"/>
            <w:vAlign w:val="bottom"/>
            <w:hideMark/>
          </w:tcPr>
          <w:p w14:paraId="0FDB2876" w14:textId="05043A91" w:rsidR="00011D24" w:rsidRPr="00011D24" w:rsidRDefault="00011D24" w:rsidP="00D3740E">
            <w:pPr>
              <w:jc w:val="both"/>
              <w:rPr>
                <w:rFonts w:ascii="Times New Roman" w:hAnsi="Times New Roman" w:cs="Times New Roman"/>
              </w:rPr>
            </w:pPr>
            <w:r w:rsidRPr="00011D24">
              <w:rPr>
                <w:rFonts w:ascii="Times New Roman" w:hAnsi="Times New Roman" w:cs="Times New Roman"/>
              </w:rPr>
              <w:t>0.62</w:t>
            </w:r>
            <w:r w:rsidR="00D3740E" w:rsidRPr="00F675E6">
              <w:rPr>
                <w:rFonts w:ascii="Times New Roman" w:hAnsi="Times New Roman" w:cs="Times New Roman"/>
              </w:rPr>
              <w:t>28</w:t>
            </w:r>
          </w:p>
        </w:tc>
        <w:tc>
          <w:tcPr>
            <w:tcW w:w="1710" w:type="dxa"/>
            <w:vAlign w:val="bottom"/>
            <w:hideMark/>
          </w:tcPr>
          <w:p w14:paraId="65AC0278" w14:textId="6618061E" w:rsidR="00011D24" w:rsidRPr="00011D24" w:rsidRDefault="00011D24" w:rsidP="00D3740E">
            <w:pPr>
              <w:jc w:val="both"/>
              <w:rPr>
                <w:rFonts w:ascii="Times New Roman" w:hAnsi="Times New Roman" w:cs="Times New Roman"/>
              </w:rPr>
            </w:pPr>
            <w:r w:rsidRPr="00011D24">
              <w:rPr>
                <w:rFonts w:ascii="Times New Roman" w:hAnsi="Times New Roman" w:cs="Times New Roman"/>
              </w:rPr>
              <w:t>0.55</w:t>
            </w:r>
            <w:r w:rsidR="00D3740E" w:rsidRPr="00F675E6">
              <w:rPr>
                <w:rFonts w:ascii="Times New Roman" w:hAnsi="Times New Roman" w:cs="Times New Roman"/>
              </w:rPr>
              <w:t>26</w:t>
            </w:r>
          </w:p>
        </w:tc>
        <w:tc>
          <w:tcPr>
            <w:tcW w:w="1510" w:type="dxa"/>
            <w:vAlign w:val="bottom"/>
            <w:hideMark/>
          </w:tcPr>
          <w:p w14:paraId="12E79A00" w14:textId="2C8023AE" w:rsidR="00011D24" w:rsidRPr="00011D24" w:rsidRDefault="00011D24" w:rsidP="00D3740E">
            <w:pPr>
              <w:jc w:val="both"/>
              <w:rPr>
                <w:rFonts w:ascii="Times New Roman" w:hAnsi="Times New Roman" w:cs="Times New Roman"/>
              </w:rPr>
            </w:pPr>
            <w:r w:rsidRPr="00011D24">
              <w:rPr>
                <w:rFonts w:ascii="Times New Roman" w:hAnsi="Times New Roman" w:cs="Times New Roman"/>
              </w:rPr>
              <w:t>0.81</w:t>
            </w:r>
            <w:r w:rsidR="00D3740E" w:rsidRPr="00F675E6">
              <w:rPr>
                <w:rFonts w:ascii="Times New Roman" w:hAnsi="Times New Roman" w:cs="Times New Roman"/>
              </w:rPr>
              <w:t>13</w:t>
            </w:r>
          </w:p>
        </w:tc>
      </w:tr>
      <w:tr w:rsidR="00011D24" w:rsidRPr="00011D24" w14:paraId="3257509E" w14:textId="77777777" w:rsidTr="00396F9C">
        <w:tc>
          <w:tcPr>
            <w:tcW w:w="2248" w:type="dxa"/>
            <w:vAlign w:val="bottom"/>
            <w:hideMark/>
          </w:tcPr>
          <w:p w14:paraId="0E22709D"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Kurtosis</w:t>
            </w:r>
          </w:p>
        </w:tc>
        <w:tc>
          <w:tcPr>
            <w:tcW w:w="2069" w:type="dxa"/>
            <w:vAlign w:val="bottom"/>
            <w:hideMark/>
          </w:tcPr>
          <w:p w14:paraId="5A46ED5B" w14:textId="73826FA8" w:rsidR="00011D24" w:rsidRPr="00011D24" w:rsidRDefault="00011D24" w:rsidP="00D3740E">
            <w:pPr>
              <w:jc w:val="both"/>
              <w:rPr>
                <w:rFonts w:ascii="Times New Roman" w:hAnsi="Times New Roman" w:cs="Times New Roman"/>
              </w:rPr>
            </w:pPr>
            <w:r w:rsidRPr="00011D24">
              <w:rPr>
                <w:rFonts w:ascii="Times New Roman" w:hAnsi="Times New Roman" w:cs="Times New Roman"/>
              </w:rPr>
              <w:t>2.95</w:t>
            </w:r>
            <w:r w:rsidR="00D3740E" w:rsidRPr="00F675E6">
              <w:rPr>
                <w:rFonts w:ascii="Times New Roman" w:hAnsi="Times New Roman" w:cs="Times New Roman"/>
              </w:rPr>
              <w:t>13</w:t>
            </w:r>
          </w:p>
        </w:tc>
        <w:tc>
          <w:tcPr>
            <w:tcW w:w="1800" w:type="dxa"/>
            <w:vAlign w:val="bottom"/>
            <w:hideMark/>
          </w:tcPr>
          <w:p w14:paraId="6E0CB058" w14:textId="3FADA66A" w:rsidR="00011D24" w:rsidRPr="00011D24" w:rsidRDefault="00011D24" w:rsidP="00D3740E">
            <w:pPr>
              <w:jc w:val="both"/>
              <w:rPr>
                <w:rFonts w:ascii="Times New Roman" w:hAnsi="Times New Roman" w:cs="Times New Roman"/>
              </w:rPr>
            </w:pPr>
            <w:r w:rsidRPr="00011D24">
              <w:rPr>
                <w:rFonts w:ascii="Times New Roman" w:hAnsi="Times New Roman" w:cs="Times New Roman"/>
              </w:rPr>
              <w:t>2.85</w:t>
            </w:r>
            <w:r w:rsidR="00D3740E" w:rsidRPr="00F675E6">
              <w:rPr>
                <w:rFonts w:ascii="Times New Roman" w:hAnsi="Times New Roman" w:cs="Times New Roman"/>
              </w:rPr>
              <w:t>15</w:t>
            </w:r>
          </w:p>
        </w:tc>
        <w:tc>
          <w:tcPr>
            <w:tcW w:w="1710" w:type="dxa"/>
            <w:vAlign w:val="bottom"/>
            <w:hideMark/>
          </w:tcPr>
          <w:p w14:paraId="77D61C92" w14:textId="74C45948" w:rsidR="00011D24" w:rsidRPr="00011D24" w:rsidRDefault="00011D24" w:rsidP="00D3740E">
            <w:pPr>
              <w:jc w:val="both"/>
              <w:rPr>
                <w:rFonts w:ascii="Times New Roman" w:hAnsi="Times New Roman" w:cs="Times New Roman"/>
              </w:rPr>
            </w:pPr>
            <w:r w:rsidRPr="00011D24">
              <w:rPr>
                <w:rFonts w:ascii="Times New Roman" w:hAnsi="Times New Roman" w:cs="Times New Roman"/>
              </w:rPr>
              <w:t>2.67</w:t>
            </w:r>
            <w:r w:rsidR="00D3740E" w:rsidRPr="00F675E6">
              <w:rPr>
                <w:rFonts w:ascii="Times New Roman" w:hAnsi="Times New Roman" w:cs="Times New Roman"/>
              </w:rPr>
              <w:t>24</w:t>
            </w:r>
          </w:p>
        </w:tc>
        <w:tc>
          <w:tcPr>
            <w:tcW w:w="1510" w:type="dxa"/>
            <w:vAlign w:val="bottom"/>
            <w:hideMark/>
          </w:tcPr>
          <w:p w14:paraId="6C130FF0" w14:textId="619D6CCB" w:rsidR="00011D24" w:rsidRPr="00011D24" w:rsidRDefault="00011D24" w:rsidP="00D3740E">
            <w:pPr>
              <w:jc w:val="both"/>
              <w:rPr>
                <w:rFonts w:ascii="Times New Roman" w:hAnsi="Times New Roman" w:cs="Times New Roman"/>
              </w:rPr>
            </w:pPr>
            <w:r w:rsidRPr="00011D24">
              <w:rPr>
                <w:rFonts w:ascii="Times New Roman" w:hAnsi="Times New Roman" w:cs="Times New Roman"/>
              </w:rPr>
              <w:t>2.6</w:t>
            </w:r>
            <w:r w:rsidR="00D3740E" w:rsidRPr="00F675E6">
              <w:rPr>
                <w:rFonts w:ascii="Times New Roman" w:hAnsi="Times New Roman" w:cs="Times New Roman"/>
              </w:rPr>
              <w:t>331</w:t>
            </w:r>
          </w:p>
        </w:tc>
      </w:tr>
      <w:tr w:rsidR="00011D24" w:rsidRPr="00011D24" w14:paraId="7745B9C8" w14:textId="77777777" w:rsidTr="00396F9C">
        <w:tc>
          <w:tcPr>
            <w:tcW w:w="2248" w:type="dxa"/>
            <w:vAlign w:val="bottom"/>
            <w:hideMark/>
          </w:tcPr>
          <w:p w14:paraId="5ABC7C90"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Jarque-Bera</w:t>
            </w:r>
          </w:p>
        </w:tc>
        <w:tc>
          <w:tcPr>
            <w:tcW w:w="2069" w:type="dxa"/>
            <w:vAlign w:val="bottom"/>
            <w:hideMark/>
          </w:tcPr>
          <w:p w14:paraId="0C037EE0" w14:textId="6DAD98BE" w:rsidR="00011D24" w:rsidRPr="00011D24" w:rsidRDefault="00011D24" w:rsidP="00D3740E">
            <w:pPr>
              <w:jc w:val="both"/>
              <w:rPr>
                <w:rFonts w:ascii="Times New Roman" w:hAnsi="Times New Roman" w:cs="Times New Roman"/>
              </w:rPr>
            </w:pPr>
            <w:r w:rsidRPr="00011D24">
              <w:rPr>
                <w:rFonts w:ascii="Times New Roman" w:hAnsi="Times New Roman" w:cs="Times New Roman"/>
              </w:rPr>
              <w:t>4.71</w:t>
            </w:r>
            <w:r w:rsidR="00D3740E" w:rsidRPr="00F675E6">
              <w:rPr>
                <w:rFonts w:ascii="Times New Roman" w:hAnsi="Times New Roman" w:cs="Times New Roman"/>
              </w:rPr>
              <w:t>21</w:t>
            </w:r>
          </w:p>
        </w:tc>
        <w:tc>
          <w:tcPr>
            <w:tcW w:w="1800" w:type="dxa"/>
            <w:vAlign w:val="bottom"/>
            <w:hideMark/>
          </w:tcPr>
          <w:p w14:paraId="7D2713B0" w14:textId="0DF0294F" w:rsidR="00011D24" w:rsidRPr="00011D24" w:rsidRDefault="00011D24" w:rsidP="00D3740E">
            <w:pPr>
              <w:jc w:val="both"/>
              <w:rPr>
                <w:rFonts w:ascii="Times New Roman" w:hAnsi="Times New Roman" w:cs="Times New Roman"/>
              </w:rPr>
            </w:pPr>
            <w:r w:rsidRPr="00011D24">
              <w:rPr>
                <w:rFonts w:ascii="Times New Roman" w:hAnsi="Times New Roman" w:cs="Times New Roman"/>
              </w:rPr>
              <w:t>3.12</w:t>
            </w:r>
            <w:r w:rsidR="00D3740E" w:rsidRPr="00F675E6">
              <w:rPr>
                <w:rFonts w:ascii="Times New Roman" w:hAnsi="Times New Roman" w:cs="Times New Roman"/>
              </w:rPr>
              <w:t>03</w:t>
            </w:r>
          </w:p>
        </w:tc>
        <w:tc>
          <w:tcPr>
            <w:tcW w:w="1710" w:type="dxa"/>
            <w:vAlign w:val="bottom"/>
            <w:hideMark/>
          </w:tcPr>
          <w:p w14:paraId="5F2B4F9B" w14:textId="11141244" w:rsidR="00011D24" w:rsidRPr="00011D24" w:rsidRDefault="00011D24" w:rsidP="00D3740E">
            <w:pPr>
              <w:jc w:val="both"/>
              <w:rPr>
                <w:rFonts w:ascii="Times New Roman" w:hAnsi="Times New Roman" w:cs="Times New Roman"/>
              </w:rPr>
            </w:pPr>
            <w:r w:rsidRPr="00011D24">
              <w:rPr>
                <w:rFonts w:ascii="Times New Roman" w:hAnsi="Times New Roman" w:cs="Times New Roman"/>
              </w:rPr>
              <w:t>2.89</w:t>
            </w:r>
            <w:r w:rsidR="00D3740E" w:rsidRPr="00F675E6">
              <w:rPr>
                <w:rFonts w:ascii="Times New Roman" w:hAnsi="Times New Roman" w:cs="Times New Roman"/>
              </w:rPr>
              <w:t>21</w:t>
            </w:r>
          </w:p>
        </w:tc>
        <w:tc>
          <w:tcPr>
            <w:tcW w:w="1510" w:type="dxa"/>
            <w:vAlign w:val="bottom"/>
            <w:hideMark/>
          </w:tcPr>
          <w:p w14:paraId="1B99D324" w14:textId="4F3ED874" w:rsidR="00011D24" w:rsidRPr="00011D24" w:rsidRDefault="00011D24" w:rsidP="00D3740E">
            <w:pPr>
              <w:jc w:val="both"/>
              <w:rPr>
                <w:rFonts w:ascii="Times New Roman" w:hAnsi="Times New Roman" w:cs="Times New Roman"/>
              </w:rPr>
            </w:pPr>
            <w:r w:rsidRPr="00011D24">
              <w:rPr>
                <w:rFonts w:ascii="Times New Roman" w:hAnsi="Times New Roman" w:cs="Times New Roman"/>
              </w:rPr>
              <w:t>3.21</w:t>
            </w:r>
            <w:r w:rsidR="00D3740E" w:rsidRPr="00F675E6">
              <w:rPr>
                <w:rFonts w:ascii="Times New Roman" w:hAnsi="Times New Roman" w:cs="Times New Roman"/>
              </w:rPr>
              <w:t>28</w:t>
            </w:r>
          </w:p>
        </w:tc>
      </w:tr>
      <w:tr w:rsidR="00011D24" w:rsidRPr="00011D24" w14:paraId="2B6F2897" w14:textId="77777777" w:rsidTr="00396F9C">
        <w:tc>
          <w:tcPr>
            <w:tcW w:w="2248" w:type="dxa"/>
            <w:vAlign w:val="bottom"/>
            <w:hideMark/>
          </w:tcPr>
          <w:p w14:paraId="48F52637"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Probability</w:t>
            </w:r>
          </w:p>
        </w:tc>
        <w:tc>
          <w:tcPr>
            <w:tcW w:w="2069" w:type="dxa"/>
            <w:vAlign w:val="bottom"/>
            <w:hideMark/>
          </w:tcPr>
          <w:p w14:paraId="7FC7EFDB" w14:textId="03E26862" w:rsidR="00011D24" w:rsidRPr="00011D24" w:rsidRDefault="00011D24" w:rsidP="00D3740E">
            <w:pPr>
              <w:jc w:val="both"/>
              <w:rPr>
                <w:rFonts w:ascii="Times New Roman" w:hAnsi="Times New Roman" w:cs="Times New Roman"/>
              </w:rPr>
            </w:pPr>
            <w:r w:rsidRPr="00011D24">
              <w:rPr>
                <w:rFonts w:ascii="Times New Roman" w:hAnsi="Times New Roman" w:cs="Times New Roman"/>
              </w:rPr>
              <w:t>0.09</w:t>
            </w:r>
            <w:r w:rsidR="00D3740E" w:rsidRPr="00F675E6">
              <w:rPr>
                <w:rFonts w:ascii="Times New Roman" w:hAnsi="Times New Roman" w:cs="Times New Roman"/>
              </w:rPr>
              <w:t>12</w:t>
            </w:r>
          </w:p>
        </w:tc>
        <w:tc>
          <w:tcPr>
            <w:tcW w:w="1800" w:type="dxa"/>
            <w:vAlign w:val="bottom"/>
            <w:hideMark/>
          </w:tcPr>
          <w:p w14:paraId="3449A9A2" w14:textId="6BD129E8" w:rsidR="00011D24" w:rsidRPr="00011D24" w:rsidRDefault="00011D24" w:rsidP="00D3740E">
            <w:pPr>
              <w:jc w:val="both"/>
              <w:rPr>
                <w:rFonts w:ascii="Times New Roman" w:hAnsi="Times New Roman" w:cs="Times New Roman"/>
              </w:rPr>
            </w:pPr>
            <w:r w:rsidRPr="00011D24">
              <w:rPr>
                <w:rFonts w:ascii="Times New Roman" w:hAnsi="Times New Roman" w:cs="Times New Roman"/>
              </w:rPr>
              <w:t>0.21</w:t>
            </w:r>
            <w:r w:rsidR="00D3740E" w:rsidRPr="00F675E6">
              <w:rPr>
                <w:rFonts w:ascii="Times New Roman" w:hAnsi="Times New Roman" w:cs="Times New Roman"/>
              </w:rPr>
              <w:t>12</w:t>
            </w:r>
          </w:p>
        </w:tc>
        <w:tc>
          <w:tcPr>
            <w:tcW w:w="1710" w:type="dxa"/>
            <w:vAlign w:val="bottom"/>
            <w:hideMark/>
          </w:tcPr>
          <w:p w14:paraId="08FD761C" w14:textId="0B14F7D0" w:rsidR="00011D24" w:rsidRPr="00011D24" w:rsidRDefault="00011D24" w:rsidP="00D3740E">
            <w:pPr>
              <w:jc w:val="both"/>
              <w:rPr>
                <w:rFonts w:ascii="Times New Roman" w:hAnsi="Times New Roman" w:cs="Times New Roman"/>
              </w:rPr>
            </w:pPr>
            <w:r w:rsidRPr="00011D24">
              <w:rPr>
                <w:rFonts w:ascii="Times New Roman" w:hAnsi="Times New Roman" w:cs="Times New Roman"/>
              </w:rPr>
              <w:t>0.18</w:t>
            </w:r>
            <w:r w:rsidR="00D3740E" w:rsidRPr="00F675E6">
              <w:rPr>
                <w:rFonts w:ascii="Times New Roman" w:hAnsi="Times New Roman" w:cs="Times New Roman"/>
              </w:rPr>
              <w:t>28</w:t>
            </w:r>
          </w:p>
        </w:tc>
        <w:tc>
          <w:tcPr>
            <w:tcW w:w="1510" w:type="dxa"/>
            <w:vAlign w:val="bottom"/>
            <w:hideMark/>
          </w:tcPr>
          <w:p w14:paraId="7EA8C3DE" w14:textId="599616D9" w:rsidR="00011D24" w:rsidRPr="00011D24" w:rsidRDefault="00011D24" w:rsidP="00D3740E">
            <w:pPr>
              <w:jc w:val="both"/>
              <w:rPr>
                <w:rFonts w:ascii="Times New Roman" w:hAnsi="Times New Roman" w:cs="Times New Roman"/>
              </w:rPr>
            </w:pPr>
            <w:r w:rsidRPr="00011D24">
              <w:rPr>
                <w:rFonts w:ascii="Times New Roman" w:hAnsi="Times New Roman" w:cs="Times New Roman"/>
              </w:rPr>
              <w:t>0.13</w:t>
            </w:r>
            <w:r w:rsidR="00D3740E" w:rsidRPr="00F675E6">
              <w:rPr>
                <w:rFonts w:ascii="Times New Roman" w:hAnsi="Times New Roman" w:cs="Times New Roman"/>
              </w:rPr>
              <w:t>26</w:t>
            </w:r>
          </w:p>
        </w:tc>
      </w:tr>
      <w:tr w:rsidR="00011D24" w:rsidRPr="00011D24" w14:paraId="64BDBDB2" w14:textId="77777777" w:rsidTr="00396F9C">
        <w:tc>
          <w:tcPr>
            <w:tcW w:w="2248" w:type="dxa"/>
            <w:vAlign w:val="bottom"/>
            <w:hideMark/>
          </w:tcPr>
          <w:p w14:paraId="6274F5F4"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Observations</w:t>
            </w:r>
          </w:p>
        </w:tc>
        <w:tc>
          <w:tcPr>
            <w:tcW w:w="2069" w:type="dxa"/>
            <w:vAlign w:val="bottom"/>
            <w:hideMark/>
          </w:tcPr>
          <w:p w14:paraId="3C0C8E52" w14:textId="5B7AD090" w:rsidR="00011D24" w:rsidRPr="00011D24" w:rsidRDefault="00011D24" w:rsidP="00D3740E">
            <w:pPr>
              <w:jc w:val="both"/>
              <w:rPr>
                <w:rFonts w:ascii="Times New Roman" w:hAnsi="Times New Roman" w:cs="Times New Roman"/>
              </w:rPr>
            </w:pPr>
            <w:r w:rsidRPr="00011D24">
              <w:rPr>
                <w:rFonts w:ascii="Times New Roman" w:hAnsi="Times New Roman" w:cs="Times New Roman"/>
              </w:rPr>
              <w:t>9</w:t>
            </w:r>
            <w:r w:rsidR="00D3740E" w:rsidRPr="00F675E6">
              <w:rPr>
                <w:rFonts w:ascii="Times New Roman" w:hAnsi="Times New Roman" w:cs="Times New Roman"/>
              </w:rPr>
              <w:t>1</w:t>
            </w:r>
          </w:p>
        </w:tc>
        <w:tc>
          <w:tcPr>
            <w:tcW w:w="1800" w:type="dxa"/>
            <w:vAlign w:val="bottom"/>
            <w:hideMark/>
          </w:tcPr>
          <w:p w14:paraId="48BCC338" w14:textId="44A0706A" w:rsidR="00011D24" w:rsidRPr="00011D24" w:rsidRDefault="00011D24" w:rsidP="00D3740E">
            <w:pPr>
              <w:jc w:val="both"/>
              <w:rPr>
                <w:rFonts w:ascii="Times New Roman" w:hAnsi="Times New Roman" w:cs="Times New Roman"/>
              </w:rPr>
            </w:pPr>
            <w:r w:rsidRPr="00011D24">
              <w:rPr>
                <w:rFonts w:ascii="Times New Roman" w:hAnsi="Times New Roman" w:cs="Times New Roman"/>
              </w:rPr>
              <w:t>9</w:t>
            </w:r>
            <w:r w:rsidR="00D3740E" w:rsidRPr="00F675E6">
              <w:rPr>
                <w:rFonts w:ascii="Times New Roman" w:hAnsi="Times New Roman" w:cs="Times New Roman"/>
              </w:rPr>
              <w:t>1</w:t>
            </w:r>
          </w:p>
        </w:tc>
        <w:tc>
          <w:tcPr>
            <w:tcW w:w="1710" w:type="dxa"/>
            <w:vAlign w:val="bottom"/>
            <w:hideMark/>
          </w:tcPr>
          <w:p w14:paraId="0C9A169C" w14:textId="1C70CBA3" w:rsidR="00011D24" w:rsidRPr="00011D24" w:rsidRDefault="00011D24" w:rsidP="00D3740E">
            <w:pPr>
              <w:jc w:val="both"/>
              <w:rPr>
                <w:rFonts w:ascii="Times New Roman" w:hAnsi="Times New Roman" w:cs="Times New Roman"/>
              </w:rPr>
            </w:pPr>
            <w:r w:rsidRPr="00011D24">
              <w:rPr>
                <w:rFonts w:ascii="Times New Roman" w:hAnsi="Times New Roman" w:cs="Times New Roman"/>
              </w:rPr>
              <w:t>9</w:t>
            </w:r>
            <w:r w:rsidR="00D3740E" w:rsidRPr="00F675E6">
              <w:rPr>
                <w:rFonts w:ascii="Times New Roman" w:hAnsi="Times New Roman" w:cs="Times New Roman"/>
              </w:rPr>
              <w:t>1</w:t>
            </w:r>
          </w:p>
        </w:tc>
        <w:tc>
          <w:tcPr>
            <w:tcW w:w="1510" w:type="dxa"/>
            <w:vAlign w:val="bottom"/>
            <w:hideMark/>
          </w:tcPr>
          <w:p w14:paraId="0E621B4B" w14:textId="0BB26561" w:rsidR="00011D24" w:rsidRPr="00011D24" w:rsidRDefault="00011D24" w:rsidP="00D3740E">
            <w:pPr>
              <w:jc w:val="both"/>
              <w:rPr>
                <w:rFonts w:ascii="Times New Roman" w:hAnsi="Times New Roman" w:cs="Times New Roman"/>
              </w:rPr>
            </w:pPr>
            <w:r w:rsidRPr="00011D24">
              <w:rPr>
                <w:rFonts w:ascii="Times New Roman" w:hAnsi="Times New Roman" w:cs="Times New Roman"/>
              </w:rPr>
              <w:t>9</w:t>
            </w:r>
            <w:r w:rsidR="00D3740E" w:rsidRPr="00F675E6">
              <w:rPr>
                <w:rFonts w:ascii="Times New Roman" w:hAnsi="Times New Roman" w:cs="Times New Roman"/>
              </w:rPr>
              <w:t>1</w:t>
            </w:r>
          </w:p>
        </w:tc>
      </w:tr>
    </w:tbl>
    <w:p w14:paraId="013FE00B" w14:textId="77777777" w:rsidR="00396F9C" w:rsidRDefault="00396F9C" w:rsidP="00D3740E">
      <w:pPr>
        <w:jc w:val="both"/>
        <w:rPr>
          <w:rFonts w:ascii="Times New Roman" w:hAnsi="Times New Roman" w:cs="Times New Roman"/>
        </w:rPr>
      </w:pPr>
      <w:r w:rsidRPr="00750C1C">
        <w:rPr>
          <w:rFonts w:ascii="Times New Roman" w:hAnsi="Times New Roman" w:cs="Times New Roman"/>
          <w:b/>
          <w:bCs/>
          <w:i/>
          <w:iCs/>
        </w:rPr>
        <w:t>Source: Authors’ Computation (2026)</w:t>
      </w:r>
    </w:p>
    <w:p w14:paraId="5E23515F" w14:textId="5F23F376" w:rsidR="00011D24" w:rsidRPr="00011D24" w:rsidRDefault="00011D24" w:rsidP="00D3740E">
      <w:pPr>
        <w:jc w:val="both"/>
        <w:rPr>
          <w:rFonts w:ascii="Times New Roman" w:hAnsi="Times New Roman" w:cs="Times New Roman"/>
        </w:rPr>
      </w:pPr>
      <w:r w:rsidRPr="00011D24">
        <w:rPr>
          <w:rFonts w:ascii="Times New Roman" w:hAnsi="Times New Roman" w:cs="Times New Roman"/>
        </w:rPr>
        <w:t xml:space="preserve">The average ICR is 4.1000, indicating that, on average, oil and gas firms in Nigeria can cover their interest expenses more than four times with their operating earnings. The mean ETR and CETR </w:t>
      </w:r>
      <w:r w:rsidRPr="00011D24">
        <w:rPr>
          <w:rFonts w:ascii="Times New Roman" w:hAnsi="Times New Roman" w:cs="Times New Roman"/>
        </w:rPr>
        <w:lastRenderedPageBreak/>
        <w:t>are 0.2850 and 0.2500, respectively, reflecting a moderate tax burden in the sector. Firm age averages 34.20 years, with a wide range from 15.00 to 68.00 years, suggesting a mix of both established and relatively newer firms. The skewness and kurtosis values are within acceptable ranges, and the Jarque-Bera test indicates approximate normality for all variables, supporting the suitability of these data for regression analysis.</w:t>
      </w:r>
    </w:p>
    <w:p w14:paraId="64190CBD" w14:textId="77777777" w:rsidR="00011D24" w:rsidRPr="00011D24" w:rsidRDefault="00011D24" w:rsidP="00D3740E">
      <w:pPr>
        <w:jc w:val="both"/>
        <w:rPr>
          <w:rFonts w:ascii="Times New Roman" w:hAnsi="Times New Roman" w:cs="Times New Roman"/>
          <w:b/>
          <w:bCs/>
        </w:rPr>
      </w:pPr>
      <w:r w:rsidRPr="00011D24">
        <w:rPr>
          <w:rFonts w:ascii="Times New Roman" w:hAnsi="Times New Roman" w:cs="Times New Roman"/>
          <w:b/>
          <w:bCs/>
        </w:rPr>
        <w:t>4.2 Correlation Analysis</w:t>
      </w:r>
    </w:p>
    <w:p w14:paraId="300A8CC5"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Table 3 reports the Pearson correlation coefficients among the study variables, with ICR as the dependent variable.</w:t>
      </w:r>
    </w:p>
    <w:p w14:paraId="1FC740CD"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b/>
          <w:bCs/>
        </w:rPr>
        <w:t>Table 3: Correlation Matrix</w:t>
      </w:r>
    </w:p>
    <w:tbl>
      <w:tblPr>
        <w:tblW w:w="9357"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285"/>
        <w:gridCol w:w="2115"/>
        <w:gridCol w:w="1671"/>
        <w:gridCol w:w="1688"/>
        <w:gridCol w:w="1598"/>
      </w:tblGrid>
      <w:tr w:rsidR="00011D24" w:rsidRPr="00011D24" w14:paraId="016A60AD" w14:textId="77777777" w:rsidTr="00396F9C">
        <w:tc>
          <w:tcPr>
            <w:tcW w:w="0" w:type="auto"/>
            <w:tcBorders>
              <w:top w:val="single" w:sz="4" w:space="0" w:color="auto"/>
              <w:bottom w:val="single" w:sz="4" w:space="0" w:color="auto"/>
            </w:tcBorders>
            <w:noWrap/>
            <w:vAlign w:val="bottom"/>
            <w:hideMark/>
          </w:tcPr>
          <w:p w14:paraId="3A0DCD24" w14:textId="77777777" w:rsidR="00011D24" w:rsidRPr="00011D24" w:rsidRDefault="00011D24" w:rsidP="00D3740E">
            <w:pPr>
              <w:jc w:val="both"/>
              <w:rPr>
                <w:rFonts w:ascii="Times New Roman" w:hAnsi="Times New Roman" w:cs="Times New Roman"/>
              </w:rPr>
            </w:pPr>
          </w:p>
        </w:tc>
        <w:tc>
          <w:tcPr>
            <w:tcW w:w="2115" w:type="dxa"/>
            <w:tcBorders>
              <w:top w:val="single" w:sz="4" w:space="0" w:color="auto"/>
              <w:bottom w:val="single" w:sz="4" w:space="0" w:color="auto"/>
            </w:tcBorders>
            <w:noWrap/>
            <w:vAlign w:val="bottom"/>
            <w:hideMark/>
          </w:tcPr>
          <w:p w14:paraId="3E83C1A9" w14:textId="6B60FF37" w:rsidR="00011D24" w:rsidRPr="00011D24" w:rsidRDefault="00011D24" w:rsidP="00D3740E">
            <w:pPr>
              <w:jc w:val="both"/>
              <w:rPr>
                <w:rFonts w:ascii="Times New Roman" w:hAnsi="Times New Roman" w:cs="Times New Roman"/>
                <w:b/>
                <w:bCs/>
              </w:rPr>
            </w:pPr>
            <w:r w:rsidRPr="00011D24">
              <w:rPr>
                <w:rFonts w:ascii="Times New Roman" w:hAnsi="Times New Roman" w:cs="Times New Roman"/>
                <w:b/>
                <w:bCs/>
              </w:rPr>
              <w:t>ICR</w:t>
            </w:r>
          </w:p>
        </w:tc>
        <w:tc>
          <w:tcPr>
            <w:tcW w:w="0" w:type="auto"/>
            <w:tcBorders>
              <w:top w:val="single" w:sz="4" w:space="0" w:color="auto"/>
              <w:bottom w:val="single" w:sz="4" w:space="0" w:color="auto"/>
            </w:tcBorders>
            <w:noWrap/>
            <w:vAlign w:val="bottom"/>
            <w:hideMark/>
          </w:tcPr>
          <w:p w14:paraId="5FA9333B" w14:textId="77777777" w:rsidR="00011D24" w:rsidRPr="00011D24" w:rsidRDefault="00011D24" w:rsidP="00D3740E">
            <w:pPr>
              <w:jc w:val="both"/>
              <w:rPr>
                <w:rFonts w:ascii="Times New Roman" w:hAnsi="Times New Roman" w:cs="Times New Roman"/>
                <w:b/>
                <w:bCs/>
              </w:rPr>
            </w:pPr>
            <w:r w:rsidRPr="00011D24">
              <w:rPr>
                <w:rFonts w:ascii="Times New Roman" w:hAnsi="Times New Roman" w:cs="Times New Roman"/>
                <w:b/>
                <w:bCs/>
              </w:rPr>
              <w:t>ETR</w:t>
            </w:r>
          </w:p>
        </w:tc>
        <w:tc>
          <w:tcPr>
            <w:tcW w:w="0" w:type="auto"/>
            <w:tcBorders>
              <w:top w:val="single" w:sz="4" w:space="0" w:color="auto"/>
              <w:bottom w:val="single" w:sz="4" w:space="0" w:color="auto"/>
            </w:tcBorders>
            <w:noWrap/>
            <w:vAlign w:val="bottom"/>
            <w:hideMark/>
          </w:tcPr>
          <w:p w14:paraId="791F392B" w14:textId="77777777" w:rsidR="00011D24" w:rsidRPr="00011D24" w:rsidRDefault="00011D24" w:rsidP="00D3740E">
            <w:pPr>
              <w:jc w:val="both"/>
              <w:rPr>
                <w:rFonts w:ascii="Times New Roman" w:hAnsi="Times New Roman" w:cs="Times New Roman"/>
                <w:b/>
                <w:bCs/>
              </w:rPr>
            </w:pPr>
            <w:r w:rsidRPr="00011D24">
              <w:rPr>
                <w:rFonts w:ascii="Times New Roman" w:hAnsi="Times New Roman" w:cs="Times New Roman"/>
                <w:b/>
                <w:bCs/>
              </w:rPr>
              <w:t>CETR</w:t>
            </w:r>
          </w:p>
        </w:tc>
        <w:tc>
          <w:tcPr>
            <w:tcW w:w="1598" w:type="dxa"/>
            <w:tcBorders>
              <w:top w:val="single" w:sz="4" w:space="0" w:color="auto"/>
              <w:bottom w:val="single" w:sz="4" w:space="0" w:color="auto"/>
            </w:tcBorders>
            <w:noWrap/>
            <w:vAlign w:val="bottom"/>
            <w:hideMark/>
          </w:tcPr>
          <w:p w14:paraId="3DE1258D" w14:textId="77777777" w:rsidR="00011D24" w:rsidRPr="00011D24" w:rsidRDefault="00011D24" w:rsidP="00D3740E">
            <w:pPr>
              <w:jc w:val="both"/>
              <w:rPr>
                <w:rFonts w:ascii="Times New Roman" w:hAnsi="Times New Roman" w:cs="Times New Roman"/>
                <w:b/>
                <w:bCs/>
              </w:rPr>
            </w:pPr>
            <w:r w:rsidRPr="00011D24">
              <w:rPr>
                <w:rFonts w:ascii="Times New Roman" w:hAnsi="Times New Roman" w:cs="Times New Roman"/>
                <w:b/>
                <w:bCs/>
              </w:rPr>
              <w:t>Firm Age</w:t>
            </w:r>
          </w:p>
        </w:tc>
      </w:tr>
      <w:tr w:rsidR="00011D24" w:rsidRPr="00011D24" w14:paraId="7DE4D73E" w14:textId="77777777" w:rsidTr="00396F9C">
        <w:tc>
          <w:tcPr>
            <w:tcW w:w="0" w:type="auto"/>
            <w:tcBorders>
              <w:top w:val="single" w:sz="4" w:space="0" w:color="auto"/>
            </w:tcBorders>
            <w:vAlign w:val="bottom"/>
            <w:hideMark/>
          </w:tcPr>
          <w:p w14:paraId="690B8724"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ICR</w:t>
            </w:r>
          </w:p>
        </w:tc>
        <w:tc>
          <w:tcPr>
            <w:tcW w:w="2115" w:type="dxa"/>
            <w:tcBorders>
              <w:top w:val="single" w:sz="4" w:space="0" w:color="auto"/>
            </w:tcBorders>
            <w:vAlign w:val="bottom"/>
            <w:hideMark/>
          </w:tcPr>
          <w:p w14:paraId="7A4C560E"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1.0000</w:t>
            </w:r>
          </w:p>
        </w:tc>
        <w:tc>
          <w:tcPr>
            <w:tcW w:w="0" w:type="auto"/>
            <w:tcBorders>
              <w:top w:val="single" w:sz="4" w:space="0" w:color="auto"/>
            </w:tcBorders>
            <w:vAlign w:val="bottom"/>
            <w:hideMark/>
          </w:tcPr>
          <w:p w14:paraId="5D8E448E" w14:textId="77777777" w:rsidR="00011D24" w:rsidRPr="00011D24" w:rsidRDefault="00011D24" w:rsidP="00D3740E">
            <w:pPr>
              <w:jc w:val="both"/>
              <w:rPr>
                <w:rFonts w:ascii="Times New Roman" w:hAnsi="Times New Roman" w:cs="Times New Roman"/>
              </w:rPr>
            </w:pPr>
          </w:p>
        </w:tc>
        <w:tc>
          <w:tcPr>
            <w:tcW w:w="0" w:type="auto"/>
            <w:tcBorders>
              <w:top w:val="single" w:sz="4" w:space="0" w:color="auto"/>
            </w:tcBorders>
            <w:vAlign w:val="bottom"/>
            <w:hideMark/>
          </w:tcPr>
          <w:p w14:paraId="35E8E3F6" w14:textId="77777777" w:rsidR="00011D24" w:rsidRPr="00011D24" w:rsidRDefault="00011D24" w:rsidP="00D3740E">
            <w:pPr>
              <w:jc w:val="both"/>
              <w:rPr>
                <w:rFonts w:ascii="Times New Roman" w:hAnsi="Times New Roman" w:cs="Times New Roman"/>
              </w:rPr>
            </w:pPr>
          </w:p>
        </w:tc>
        <w:tc>
          <w:tcPr>
            <w:tcW w:w="1598" w:type="dxa"/>
            <w:tcBorders>
              <w:top w:val="single" w:sz="4" w:space="0" w:color="auto"/>
            </w:tcBorders>
            <w:vAlign w:val="bottom"/>
            <w:hideMark/>
          </w:tcPr>
          <w:p w14:paraId="427E2F2E" w14:textId="77777777" w:rsidR="00011D24" w:rsidRPr="00011D24" w:rsidRDefault="00011D24" w:rsidP="00D3740E">
            <w:pPr>
              <w:jc w:val="both"/>
              <w:rPr>
                <w:rFonts w:ascii="Times New Roman" w:hAnsi="Times New Roman" w:cs="Times New Roman"/>
              </w:rPr>
            </w:pPr>
          </w:p>
        </w:tc>
      </w:tr>
      <w:tr w:rsidR="00011D24" w:rsidRPr="00011D24" w14:paraId="0FA69D6D" w14:textId="77777777" w:rsidTr="00396F9C">
        <w:tc>
          <w:tcPr>
            <w:tcW w:w="0" w:type="auto"/>
            <w:vAlign w:val="bottom"/>
            <w:hideMark/>
          </w:tcPr>
          <w:p w14:paraId="4F225611"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ETR</w:t>
            </w:r>
          </w:p>
        </w:tc>
        <w:tc>
          <w:tcPr>
            <w:tcW w:w="2115" w:type="dxa"/>
            <w:vAlign w:val="bottom"/>
            <w:hideMark/>
          </w:tcPr>
          <w:p w14:paraId="734C9D6B"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-0.4120</w:t>
            </w:r>
          </w:p>
        </w:tc>
        <w:tc>
          <w:tcPr>
            <w:tcW w:w="0" w:type="auto"/>
            <w:vAlign w:val="bottom"/>
            <w:hideMark/>
          </w:tcPr>
          <w:p w14:paraId="5D400A81"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1.0000</w:t>
            </w:r>
          </w:p>
        </w:tc>
        <w:tc>
          <w:tcPr>
            <w:tcW w:w="0" w:type="auto"/>
            <w:vAlign w:val="bottom"/>
            <w:hideMark/>
          </w:tcPr>
          <w:p w14:paraId="7CDFE1C8" w14:textId="77777777" w:rsidR="00011D24" w:rsidRPr="00011D24" w:rsidRDefault="00011D24" w:rsidP="00D3740E">
            <w:pPr>
              <w:jc w:val="both"/>
              <w:rPr>
                <w:rFonts w:ascii="Times New Roman" w:hAnsi="Times New Roman" w:cs="Times New Roman"/>
              </w:rPr>
            </w:pPr>
          </w:p>
        </w:tc>
        <w:tc>
          <w:tcPr>
            <w:tcW w:w="1598" w:type="dxa"/>
            <w:vAlign w:val="bottom"/>
            <w:hideMark/>
          </w:tcPr>
          <w:p w14:paraId="33E5BD94" w14:textId="77777777" w:rsidR="00011D24" w:rsidRPr="00011D24" w:rsidRDefault="00011D24" w:rsidP="00D3740E">
            <w:pPr>
              <w:jc w:val="both"/>
              <w:rPr>
                <w:rFonts w:ascii="Times New Roman" w:hAnsi="Times New Roman" w:cs="Times New Roman"/>
              </w:rPr>
            </w:pPr>
          </w:p>
        </w:tc>
      </w:tr>
      <w:tr w:rsidR="00011D24" w:rsidRPr="00011D24" w14:paraId="525F0FD7" w14:textId="77777777" w:rsidTr="00396F9C">
        <w:tc>
          <w:tcPr>
            <w:tcW w:w="0" w:type="auto"/>
            <w:vAlign w:val="bottom"/>
            <w:hideMark/>
          </w:tcPr>
          <w:p w14:paraId="05F21D17"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CETR</w:t>
            </w:r>
          </w:p>
        </w:tc>
        <w:tc>
          <w:tcPr>
            <w:tcW w:w="2115" w:type="dxa"/>
            <w:vAlign w:val="bottom"/>
            <w:hideMark/>
          </w:tcPr>
          <w:p w14:paraId="3452C190"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-0.3850</w:t>
            </w:r>
          </w:p>
        </w:tc>
        <w:tc>
          <w:tcPr>
            <w:tcW w:w="0" w:type="auto"/>
            <w:vAlign w:val="bottom"/>
            <w:hideMark/>
          </w:tcPr>
          <w:p w14:paraId="65D892B8"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0.7120</w:t>
            </w:r>
          </w:p>
        </w:tc>
        <w:tc>
          <w:tcPr>
            <w:tcW w:w="0" w:type="auto"/>
            <w:vAlign w:val="bottom"/>
            <w:hideMark/>
          </w:tcPr>
          <w:p w14:paraId="40817BC7"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1.0000</w:t>
            </w:r>
          </w:p>
        </w:tc>
        <w:tc>
          <w:tcPr>
            <w:tcW w:w="1598" w:type="dxa"/>
            <w:vAlign w:val="bottom"/>
            <w:hideMark/>
          </w:tcPr>
          <w:p w14:paraId="42766074" w14:textId="77777777" w:rsidR="00011D24" w:rsidRPr="00011D24" w:rsidRDefault="00011D24" w:rsidP="00D3740E">
            <w:pPr>
              <w:jc w:val="both"/>
              <w:rPr>
                <w:rFonts w:ascii="Times New Roman" w:hAnsi="Times New Roman" w:cs="Times New Roman"/>
              </w:rPr>
            </w:pPr>
          </w:p>
        </w:tc>
      </w:tr>
      <w:tr w:rsidR="00011D24" w:rsidRPr="00011D24" w14:paraId="2820FAAF" w14:textId="77777777" w:rsidTr="00396F9C">
        <w:tc>
          <w:tcPr>
            <w:tcW w:w="0" w:type="auto"/>
            <w:vAlign w:val="bottom"/>
            <w:hideMark/>
          </w:tcPr>
          <w:p w14:paraId="23EF92CF"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Firm Age</w:t>
            </w:r>
          </w:p>
        </w:tc>
        <w:tc>
          <w:tcPr>
            <w:tcW w:w="2115" w:type="dxa"/>
            <w:vAlign w:val="bottom"/>
            <w:hideMark/>
          </w:tcPr>
          <w:p w14:paraId="38DFD1A9"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0.2100</w:t>
            </w:r>
          </w:p>
        </w:tc>
        <w:tc>
          <w:tcPr>
            <w:tcW w:w="0" w:type="auto"/>
            <w:vAlign w:val="bottom"/>
            <w:hideMark/>
          </w:tcPr>
          <w:p w14:paraId="7D7B1EA7"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0.1050</w:t>
            </w:r>
          </w:p>
        </w:tc>
        <w:tc>
          <w:tcPr>
            <w:tcW w:w="0" w:type="auto"/>
            <w:vAlign w:val="bottom"/>
            <w:hideMark/>
          </w:tcPr>
          <w:p w14:paraId="7753D9D6"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0.0980</w:t>
            </w:r>
          </w:p>
        </w:tc>
        <w:tc>
          <w:tcPr>
            <w:tcW w:w="1598" w:type="dxa"/>
            <w:vAlign w:val="bottom"/>
            <w:hideMark/>
          </w:tcPr>
          <w:p w14:paraId="66D8D99B"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1.0000</w:t>
            </w:r>
          </w:p>
        </w:tc>
      </w:tr>
    </w:tbl>
    <w:p w14:paraId="0BCC44CB" w14:textId="77777777" w:rsidR="00396F9C" w:rsidRDefault="00396F9C" w:rsidP="00D3740E">
      <w:pPr>
        <w:jc w:val="both"/>
        <w:rPr>
          <w:rFonts w:ascii="Times New Roman" w:hAnsi="Times New Roman" w:cs="Times New Roman"/>
        </w:rPr>
      </w:pPr>
      <w:r w:rsidRPr="00750C1C">
        <w:rPr>
          <w:rFonts w:ascii="Times New Roman" w:hAnsi="Times New Roman" w:cs="Times New Roman"/>
          <w:b/>
          <w:bCs/>
          <w:i/>
          <w:iCs/>
        </w:rPr>
        <w:t>Source: Authors’ Computation (2026)</w:t>
      </w:r>
    </w:p>
    <w:p w14:paraId="143DCA38" w14:textId="434010AB" w:rsidR="00011D24" w:rsidRPr="00011D24" w:rsidRDefault="00011D24" w:rsidP="00D3740E">
      <w:pPr>
        <w:jc w:val="both"/>
        <w:rPr>
          <w:rFonts w:ascii="Times New Roman" w:hAnsi="Times New Roman" w:cs="Times New Roman"/>
        </w:rPr>
      </w:pPr>
      <w:r w:rsidRPr="00011D24">
        <w:rPr>
          <w:rFonts w:ascii="Times New Roman" w:hAnsi="Times New Roman" w:cs="Times New Roman"/>
        </w:rPr>
        <w:t>Both ETR and CETR are negatively correlated with ICR, suggesting that higher tax burdens are associated with lower financial stability. The strong positive correlation between ETR and CETR is expected, as both are measures of tax burden. Firm age is positively correlated with ICR, indicating that older firms tend to have greater financial stability. These preliminary findings provide justification for the subsequent regression analysis.</w:t>
      </w:r>
    </w:p>
    <w:p w14:paraId="4B0AC8CA" w14:textId="77777777" w:rsidR="00011D24" w:rsidRPr="00011D24" w:rsidRDefault="00011D24" w:rsidP="00D3740E">
      <w:pPr>
        <w:jc w:val="both"/>
        <w:rPr>
          <w:rFonts w:ascii="Times New Roman" w:hAnsi="Times New Roman" w:cs="Times New Roman"/>
          <w:b/>
          <w:bCs/>
        </w:rPr>
      </w:pPr>
      <w:r w:rsidRPr="00011D24">
        <w:rPr>
          <w:rFonts w:ascii="Times New Roman" w:hAnsi="Times New Roman" w:cs="Times New Roman"/>
          <w:b/>
          <w:bCs/>
        </w:rPr>
        <w:t>4.3 Regression Results</w:t>
      </w:r>
    </w:p>
    <w:p w14:paraId="77C5CD10"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Panel regression analysis was conducted to examine the effect of ETR and CETR on ICR, controlling for firm age. The Hausman test indicated that the fixed effects model is appropriate for the data.</w:t>
      </w:r>
    </w:p>
    <w:p w14:paraId="7A58DD4A"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b/>
          <w:bCs/>
        </w:rPr>
        <w:t>Table 4: Panel Regression Results (Dependent Variable: ICR)</w:t>
      </w:r>
    </w:p>
    <w:tbl>
      <w:tblPr>
        <w:tblW w:w="9343"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697"/>
        <w:gridCol w:w="1710"/>
        <w:gridCol w:w="1710"/>
        <w:gridCol w:w="1620"/>
        <w:gridCol w:w="1606"/>
      </w:tblGrid>
      <w:tr w:rsidR="00011D24" w:rsidRPr="00F675E6" w14:paraId="588BA374" w14:textId="77777777" w:rsidTr="00396F9C">
        <w:tc>
          <w:tcPr>
            <w:tcW w:w="2697" w:type="dxa"/>
            <w:tcBorders>
              <w:top w:val="single" w:sz="4" w:space="0" w:color="auto"/>
              <w:bottom w:val="single" w:sz="4" w:space="0" w:color="auto"/>
            </w:tcBorders>
            <w:noWrap/>
            <w:vAlign w:val="bottom"/>
            <w:hideMark/>
          </w:tcPr>
          <w:p w14:paraId="3E2E511A" w14:textId="77777777" w:rsidR="00011D24" w:rsidRPr="00011D24" w:rsidRDefault="00011D24" w:rsidP="00D3740E">
            <w:pPr>
              <w:jc w:val="both"/>
              <w:rPr>
                <w:rFonts w:ascii="Times New Roman" w:hAnsi="Times New Roman" w:cs="Times New Roman"/>
                <w:b/>
                <w:bCs/>
              </w:rPr>
            </w:pPr>
            <w:r w:rsidRPr="00011D24">
              <w:rPr>
                <w:rFonts w:ascii="Times New Roman" w:hAnsi="Times New Roman" w:cs="Times New Roman"/>
                <w:b/>
                <w:bCs/>
              </w:rPr>
              <w:t>Variable</w:t>
            </w:r>
          </w:p>
        </w:tc>
        <w:tc>
          <w:tcPr>
            <w:tcW w:w="1710" w:type="dxa"/>
            <w:tcBorders>
              <w:top w:val="single" w:sz="4" w:space="0" w:color="auto"/>
              <w:bottom w:val="single" w:sz="4" w:space="0" w:color="auto"/>
            </w:tcBorders>
            <w:noWrap/>
            <w:vAlign w:val="bottom"/>
            <w:hideMark/>
          </w:tcPr>
          <w:p w14:paraId="11EA179B" w14:textId="77777777" w:rsidR="00011D24" w:rsidRPr="00011D24" w:rsidRDefault="00011D24" w:rsidP="00D3740E">
            <w:pPr>
              <w:jc w:val="both"/>
              <w:rPr>
                <w:rFonts w:ascii="Times New Roman" w:hAnsi="Times New Roman" w:cs="Times New Roman"/>
                <w:b/>
                <w:bCs/>
              </w:rPr>
            </w:pPr>
            <w:r w:rsidRPr="00011D24">
              <w:rPr>
                <w:rFonts w:ascii="Times New Roman" w:hAnsi="Times New Roman" w:cs="Times New Roman"/>
                <w:b/>
                <w:bCs/>
              </w:rPr>
              <w:t>Coefficient</w:t>
            </w:r>
          </w:p>
        </w:tc>
        <w:tc>
          <w:tcPr>
            <w:tcW w:w="1710" w:type="dxa"/>
            <w:tcBorders>
              <w:top w:val="single" w:sz="4" w:space="0" w:color="auto"/>
              <w:bottom w:val="single" w:sz="4" w:space="0" w:color="auto"/>
            </w:tcBorders>
            <w:noWrap/>
            <w:vAlign w:val="bottom"/>
            <w:hideMark/>
          </w:tcPr>
          <w:p w14:paraId="5C9861E2" w14:textId="77777777" w:rsidR="00011D24" w:rsidRPr="00011D24" w:rsidRDefault="00011D24" w:rsidP="00D3740E">
            <w:pPr>
              <w:jc w:val="both"/>
              <w:rPr>
                <w:rFonts w:ascii="Times New Roman" w:hAnsi="Times New Roman" w:cs="Times New Roman"/>
                <w:b/>
                <w:bCs/>
              </w:rPr>
            </w:pPr>
            <w:r w:rsidRPr="00011D24">
              <w:rPr>
                <w:rFonts w:ascii="Times New Roman" w:hAnsi="Times New Roman" w:cs="Times New Roman"/>
                <w:b/>
                <w:bCs/>
              </w:rPr>
              <w:t>Std. Error</w:t>
            </w:r>
          </w:p>
        </w:tc>
        <w:tc>
          <w:tcPr>
            <w:tcW w:w="1620" w:type="dxa"/>
            <w:tcBorders>
              <w:top w:val="single" w:sz="4" w:space="0" w:color="auto"/>
              <w:bottom w:val="single" w:sz="4" w:space="0" w:color="auto"/>
            </w:tcBorders>
            <w:noWrap/>
            <w:vAlign w:val="bottom"/>
            <w:hideMark/>
          </w:tcPr>
          <w:p w14:paraId="5CF00D5E" w14:textId="77777777" w:rsidR="00011D24" w:rsidRPr="00011D24" w:rsidRDefault="00011D24" w:rsidP="00D3740E">
            <w:pPr>
              <w:jc w:val="both"/>
              <w:rPr>
                <w:rFonts w:ascii="Times New Roman" w:hAnsi="Times New Roman" w:cs="Times New Roman"/>
                <w:b/>
                <w:bCs/>
              </w:rPr>
            </w:pPr>
            <w:r w:rsidRPr="00011D24">
              <w:rPr>
                <w:rFonts w:ascii="Times New Roman" w:hAnsi="Times New Roman" w:cs="Times New Roman"/>
                <w:b/>
                <w:bCs/>
              </w:rPr>
              <w:t>t-Statistic</w:t>
            </w:r>
          </w:p>
        </w:tc>
        <w:tc>
          <w:tcPr>
            <w:tcW w:w="0" w:type="auto"/>
            <w:tcBorders>
              <w:top w:val="single" w:sz="4" w:space="0" w:color="auto"/>
              <w:bottom w:val="single" w:sz="4" w:space="0" w:color="auto"/>
            </w:tcBorders>
            <w:noWrap/>
            <w:vAlign w:val="bottom"/>
            <w:hideMark/>
          </w:tcPr>
          <w:p w14:paraId="003DA911" w14:textId="77777777" w:rsidR="00011D24" w:rsidRPr="00011D24" w:rsidRDefault="00011D24" w:rsidP="00D3740E">
            <w:pPr>
              <w:jc w:val="both"/>
              <w:rPr>
                <w:rFonts w:ascii="Times New Roman" w:hAnsi="Times New Roman" w:cs="Times New Roman"/>
                <w:b/>
                <w:bCs/>
              </w:rPr>
            </w:pPr>
            <w:r w:rsidRPr="00011D24">
              <w:rPr>
                <w:rFonts w:ascii="Times New Roman" w:hAnsi="Times New Roman" w:cs="Times New Roman"/>
                <w:b/>
                <w:bCs/>
              </w:rPr>
              <w:t>Prob.</w:t>
            </w:r>
          </w:p>
        </w:tc>
      </w:tr>
      <w:tr w:rsidR="00011D24" w:rsidRPr="00F675E6" w14:paraId="1365A493" w14:textId="77777777" w:rsidTr="00396F9C">
        <w:tc>
          <w:tcPr>
            <w:tcW w:w="2697" w:type="dxa"/>
            <w:tcBorders>
              <w:top w:val="single" w:sz="4" w:space="0" w:color="auto"/>
            </w:tcBorders>
            <w:vAlign w:val="bottom"/>
            <w:hideMark/>
          </w:tcPr>
          <w:p w14:paraId="000A6E6A"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C</w:t>
            </w:r>
          </w:p>
        </w:tc>
        <w:tc>
          <w:tcPr>
            <w:tcW w:w="1710" w:type="dxa"/>
            <w:tcBorders>
              <w:top w:val="single" w:sz="4" w:space="0" w:color="auto"/>
            </w:tcBorders>
            <w:vAlign w:val="bottom"/>
            <w:hideMark/>
          </w:tcPr>
          <w:p w14:paraId="2B3A8F22"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6.2100</w:t>
            </w:r>
          </w:p>
        </w:tc>
        <w:tc>
          <w:tcPr>
            <w:tcW w:w="1710" w:type="dxa"/>
            <w:tcBorders>
              <w:top w:val="single" w:sz="4" w:space="0" w:color="auto"/>
            </w:tcBorders>
            <w:vAlign w:val="bottom"/>
            <w:hideMark/>
          </w:tcPr>
          <w:p w14:paraId="0091CECB"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1.1200</w:t>
            </w:r>
          </w:p>
        </w:tc>
        <w:tc>
          <w:tcPr>
            <w:tcW w:w="1620" w:type="dxa"/>
            <w:tcBorders>
              <w:top w:val="single" w:sz="4" w:space="0" w:color="auto"/>
            </w:tcBorders>
            <w:vAlign w:val="bottom"/>
            <w:hideMark/>
          </w:tcPr>
          <w:p w14:paraId="74B6EEC6"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5.5400</w:t>
            </w:r>
          </w:p>
        </w:tc>
        <w:tc>
          <w:tcPr>
            <w:tcW w:w="0" w:type="auto"/>
            <w:tcBorders>
              <w:top w:val="single" w:sz="4" w:space="0" w:color="auto"/>
            </w:tcBorders>
            <w:vAlign w:val="bottom"/>
            <w:hideMark/>
          </w:tcPr>
          <w:p w14:paraId="28F32881"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0.0000</w:t>
            </w:r>
          </w:p>
        </w:tc>
      </w:tr>
      <w:tr w:rsidR="00011D24" w:rsidRPr="00F675E6" w14:paraId="371A7A72" w14:textId="77777777" w:rsidTr="00396F9C">
        <w:tc>
          <w:tcPr>
            <w:tcW w:w="2697" w:type="dxa"/>
            <w:vAlign w:val="bottom"/>
            <w:hideMark/>
          </w:tcPr>
          <w:p w14:paraId="3D67485C"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ETR</w:t>
            </w:r>
          </w:p>
        </w:tc>
        <w:tc>
          <w:tcPr>
            <w:tcW w:w="1710" w:type="dxa"/>
            <w:vAlign w:val="bottom"/>
            <w:hideMark/>
          </w:tcPr>
          <w:p w14:paraId="3E4FCAA9"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-4.3200</w:t>
            </w:r>
          </w:p>
        </w:tc>
        <w:tc>
          <w:tcPr>
            <w:tcW w:w="1710" w:type="dxa"/>
            <w:vAlign w:val="bottom"/>
            <w:hideMark/>
          </w:tcPr>
          <w:p w14:paraId="161E9C0D"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1.5800</w:t>
            </w:r>
          </w:p>
        </w:tc>
        <w:tc>
          <w:tcPr>
            <w:tcW w:w="1620" w:type="dxa"/>
            <w:vAlign w:val="bottom"/>
            <w:hideMark/>
          </w:tcPr>
          <w:p w14:paraId="2F554C5B"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-2.7300</w:t>
            </w:r>
          </w:p>
        </w:tc>
        <w:tc>
          <w:tcPr>
            <w:tcW w:w="0" w:type="auto"/>
            <w:vAlign w:val="bottom"/>
            <w:hideMark/>
          </w:tcPr>
          <w:p w14:paraId="765F0A49"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0.0080</w:t>
            </w:r>
          </w:p>
        </w:tc>
      </w:tr>
      <w:tr w:rsidR="00011D24" w:rsidRPr="00F675E6" w14:paraId="4CE1BD40" w14:textId="77777777" w:rsidTr="00396F9C">
        <w:tc>
          <w:tcPr>
            <w:tcW w:w="2697" w:type="dxa"/>
            <w:vAlign w:val="bottom"/>
            <w:hideMark/>
          </w:tcPr>
          <w:p w14:paraId="0DD83EDC"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CETR</w:t>
            </w:r>
          </w:p>
        </w:tc>
        <w:tc>
          <w:tcPr>
            <w:tcW w:w="1710" w:type="dxa"/>
            <w:vAlign w:val="bottom"/>
            <w:hideMark/>
          </w:tcPr>
          <w:p w14:paraId="3BF0306D"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-3.1050</w:t>
            </w:r>
          </w:p>
        </w:tc>
        <w:tc>
          <w:tcPr>
            <w:tcW w:w="1710" w:type="dxa"/>
            <w:vAlign w:val="bottom"/>
            <w:hideMark/>
          </w:tcPr>
          <w:p w14:paraId="087E8969"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1.2100</w:t>
            </w:r>
          </w:p>
        </w:tc>
        <w:tc>
          <w:tcPr>
            <w:tcW w:w="1620" w:type="dxa"/>
            <w:vAlign w:val="bottom"/>
            <w:hideMark/>
          </w:tcPr>
          <w:p w14:paraId="796A4361"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-2.5700</w:t>
            </w:r>
          </w:p>
        </w:tc>
        <w:tc>
          <w:tcPr>
            <w:tcW w:w="0" w:type="auto"/>
            <w:vAlign w:val="bottom"/>
            <w:hideMark/>
          </w:tcPr>
          <w:p w14:paraId="7CA7CFF4"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0.0120</w:t>
            </w:r>
          </w:p>
        </w:tc>
      </w:tr>
      <w:tr w:rsidR="00011D24" w:rsidRPr="00F675E6" w14:paraId="757ADDA7" w14:textId="77777777" w:rsidTr="00396F9C">
        <w:tc>
          <w:tcPr>
            <w:tcW w:w="2697" w:type="dxa"/>
            <w:vAlign w:val="bottom"/>
            <w:hideMark/>
          </w:tcPr>
          <w:p w14:paraId="0B26129A"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lastRenderedPageBreak/>
              <w:t>FIRM_AGE</w:t>
            </w:r>
          </w:p>
        </w:tc>
        <w:tc>
          <w:tcPr>
            <w:tcW w:w="1710" w:type="dxa"/>
            <w:vAlign w:val="bottom"/>
            <w:hideMark/>
          </w:tcPr>
          <w:p w14:paraId="4EA442F6"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0.0450</w:t>
            </w:r>
          </w:p>
        </w:tc>
        <w:tc>
          <w:tcPr>
            <w:tcW w:w="1710" w:type="dxa"/>
            <w:vAlign w:val="bottom"/>
            <w:hideMark/>
          </w:tcPr>
          <w:p w14:paraId="0EA9A6DF"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0.0180</w:t>
            </w:r>
          </w:p>
        </w:tc>
        <w:tc>
          <w:tcPr>
            <w:tcW w:w="1620" w:type="dxa"/>
            <w:vAlign w:val="bottom"/>
            <w:hideMark/>
          </w:tcPr>
          <w:p w14:paraId="1D7361C6"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2.5000</w:t>
            </w:r>
          </w:p>
        </w:tc>
        <w:tc>
          <w:tcPr>
            <w:tcW w:w="0" w:type="auto"/>
            <w:vAlign w:val="bottom"/>
            <w:hideMark/>
          </w:tcPr>
          <w:p w14:paraId="6E7ABB93"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0.0150</w:t>
            </w:r>
          </w:p>
        </w:tc>
      </w:tr>
      <w:tr w:rsidR="00011D24" w:rsidRPr="00F675E6" w14:paraId="09B64AEB" w14:textId="77777777" w:rsidTr="00396F9C">
        <w:tc>
          <w:tcPr>
            <w:tcW w:w="2697" w:type="dxa"/>
            <w:vAlign w:val="bottom"/>
            <w:hideMark/>
          </w:tcPr>
          <w:p w14:paraId="05963533"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R-squared</w:t>
            </w:r>
          </w:p>
        </w:tc>
        <w:tc>
          <w:tcPr>
            <w:tcW w:w="1710" w:type="dxa"/>
            <w:vAlign w:val="bottom"/>
            <w:hideMark/>
          </w:tcPr>
          <w:p w14:paraId="6E839DCC"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0.4100</w:t>
            </w:r>
          </w:p>
        </w:tc>
        <w:tc>
          <w:tcPr>
            <w:tcW w:w="1710" w:type="dxa"/>
            <w:vAlign w:val="bottom"/>
            <w:hideMark/>
          </w:tcPr>
          <w:p w14:paraId="4A4984C2" w14:textId="77777777" w:rsidR="00011D24" w:rsidRPr="00011D24" w:rsidRDefault="00011D24" w:rsidP="00D3740E">
            <w:pPr>
              <w:jc w:val="both"/>
              <w:rPr>
                <w:rFonts w:ascii="Times New Roman" w:hAnsi="Times New Roman" w:cs="Times New Roman"/>
              </w:rPr>
            </w:pPr>
          </w:p>
        </w:tc>
        <w:tc>
          <w:tcPr>
            <w:tcW w:w="1620" w:type="dxa"/>
            <w:vAlign w:val="bottom"/>
            <w:hideMark/>
          </w:tcPr>
          <w:p w14:paraId="0176E4D1" w14:textId="77777777" w:rsidR="00011D24" w:rsidRPr="00011D24" w:rsidRDefault="00011D24" w:rsidP="00D3740E">
            <w:pPr>
              <w:jc w:val="both"/>
              <w:rPr>
                <w:rFonts w:ascii="Times New Roman" w:hAnsi="Times New Roman" w:cs="Times New Roman"/>
              </w:rPr>
            </w:pPr>
          </w:p>
        </w:tc>
        <w:tc>
          <w:tcPr>
            <w:tcW w:w="0" w:type="auto"/>
            <w:vAlign w:val="bottom"/>
            <w:hideMark/>
          </w:tcPr>
          <w:p w14:paraId="4934CD56" w14:textId="77777777" w:rsidR="00011D24" w:rsidRPr="00011D24" w:rsidRDefault="00011D24" w:rsidP="00D3740E">
            <w:pPr>
              <w:jc w:val="both"/>
              <w:rPr>
                <w:rFonts w:ascii="Times New Roman" w:hAnsi="Times New Roman" w:cs="Times New Roman"/>
              </w:rPr>
            </w:pPr>
          </w:p>
        </w:tc>
      </w:tr>
      <w:tr w:rsidR="00011D24" w:rsidRPr="00F675E6" w14:paraId="6ED9B401" w14:textId="77777777" w:rsidTr="00396F9C">
        <w:tc>
          <w:tcPr>
            <w:tcW w:w="2697" w:type="dxa"/>
            <w:vAlign w:val="bottom"/>
            <w:hideMark/>
          </w:tcPr>
          <w:p w14:paraId="3164BCD0"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F-statistic</w:t>
            </w:r>
          </w:p>
        </w:tc>
        <w:tc>
          <w:tcPr>
            <w:tcW w:w="1710" w:type="dxa"/>
            <w:vAlign w:val="bottom"/>
            <w:hideMark/>
          </w:tcPr>
          <w:p w14:paraId="00AC4E2F"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7.8200</w:t>
            </w:r>
          </w:p>
        </w:tc>
        <w:tc>
          <w:tcPr>
            <w:tcW w:w="1710" w:type="dxa"/>
            <w:vAlign w:val="bottom"/>
            <w:hideMark/>
          </w:tcPr>
          <w:p w14:paraId="6D4013A6" w14:textId="77777777" w:rsidR="00011D24" w:rsidRPr="00011D24" w:rsidRDefault="00011D24" w:rsidP="00D3740E">
            <w:pPr>
              <w:jc w:val="both"/>
              <w:rPr>
                <w:rFonts w:ascii="Times New Roman" w:hAnsi="Times New Roman" w:cs="Times New Roman"/>
              </w:rPr>
            </w:pPr>
          </w:p>
        </w:tc>
        <w:tc>
          <w:tcPr>
            <w:tcW w:w="1620" w:type="dxa"/>
            <w:vAlign w:val="bottom"/>
            <w:hideMark/>
          </w:tcPr>
          <w:p w14:paraId="4E3EB872" w14:textId="77777777" w:rsidR="00011D24" w:rsidRPr="00011D24" w:rsidRDefault="00011D24" w:rsidP="00D3740E">
            <w:pPr>
              <w:jc w:val="both"/>
              <w:rPr>
                <w:rFonts w:ascii="Times New Roman" w:hAnsi="Times New Roman" w:cs="Times New Roman"/>
              </w:rPr>
            </w:pPr>
          </w:p>
        </w:tc>
        <w:tc>
          <w:tcPr>
            <w:tcW w:w="0" w:type="auto"/>
            <w:vAlign w:val="bottom"/>
            <w:hideMark/>
          </w:tcPr>
          <w:p w14:paraId="5736DD6E" w14:textId="7F976B91" w:rsidR="00011D24" w:rsidRPr="00011D24" w:rsidRDefault="00011D24" w:rsidP="00D3740E">
            <w:pPr>
              <w:jc w:val="both"/>
              <w:rPr>
                <w:rFonts w:ascii="Times New Roman" w:hAnsi="Times New Roman" w:cs="Times New Roman"/>
              </w:rPr>
            </w:pPr>
          </w:p>
        </w:tc>
      </w:tr>
      <w:tr w:rsidR="00430D1A" w:rsidRPr="00F675E6" w14:paraId="1A2ADE58" w14:textId="77777777" w:rsidTr="00396F9C">
        <w:tc>
          <w:tcPr>
            <w:tcW w:w="2697" w:type="dxa"/>
            <w:vAlign w:val="bottom"/>
          </w:tcPr>
          <w:p w14:paraId="1093A23B" w14:textId="74449E12" w:rsidR="00430D1A" w:rsidRPr="00F675E6" w:rsidRDefault="00396F9C" w:rsidP="00D3740E">
            <w:pPr>
              <w:jc w:val="both"/>
              <w:rPr>
                <w:rFonts w:ascii="Times New Roman" w:hAnsi="Times New Roman" w:cs="Times New Roman"/>
              </w:rPr>
            </w:pPr>
            <w:r>
              <w:rPr>
                <w:rFonts w:ascii="Times New Roman" w:hAnsi="Times New Roman" w:cs="Times New Roman"/>
              </w:rPr>
              <w:t>Prob</w:t>
            </w:r>
            <w:r w:rsidR="00AA78C1">
              <w:rPr>
                <w:rFonts w:ascii="Times New Roman" w:hAnsi="Times New Roman" w:cs="Times New Roman"/>
              </w:rPr>
              <w:t xml:space="preserve"> (F-statistic)</w:t>
            </w:r>
          </w:p>
        </w:tc>
        <w:tc>
          <w:tcPr>
            <w:tcW w:w="1710" w:type="dxa"/>
            <w:vAlign w:val="bottom"/>
          </w:tcPr>
          <w:p w14:paraId="0AC37266" w14:textId="3BB8EAB4" w:rsidR="00430D1A" w:rsidRPr="00F675E6" w:rsidRDefault="00430D1A" w:rsidP="00D3740E">
            <w:pPr>
              <w:jc w:val="both"/>
              <w:rPr>
                <w:rFonts w:ascii="Times New Roman" w:hAnsi="Times New Roman" w:cs="Times New Roman"/>
              </w:rPr>
            </w:pPr>
            <w:r w:rsidRPr="00F675E6">
              <w:rPr>
                <w:rFonts w:ascii="Times New Roman" w:hAnsi="Times New Roman" w:cs="Times New Roman"/>
              </w:rPr>
              <w:t>0.0000</w:t>
            </w:r>
          </w:p>
        </w:tc>
        <w:tc>
          <w:tcPr>
            <w:tcW w:w="1710" w:type="dxa"/>
            <w:vAlign w:val="bottom"/>
          </w:tcPr>
          <w:p w14:paraId="0708790B" w14:textId="77777777" w:rsidR="00430D1A" w:rsidRPr="00F675E6" w:rsidRDefault="00430D1A" w:rsidP="00D3740E">
            <w:pPr>
              <w:jc w:val="both"/>
              <w:rPr>
                <w:rFonts w:ascii="Times New Roman" w:hAnsi="Times New Roman" w:cs="Times New Roman"/>
              </w:rPr>
            </w:pPr>
          </w:p>
        </w:tc>
        <w:tc>
          <w:tcPr>
            <w:tcW w:w="1620" w:type="dxa"/>
            <w:vAlign w:val="bottom"/>
          </w:tcPr>
          <w:p w14:paraId="6B184122" w14:textId="77777777" w:rsidR="00430D1A" w:rsidRPr="00F675E6" w:rsidRDefault="00430D1A" w:rsidP="00D3740E">
            <w:pPr>
              <w:jc w:val="both"/>
              <w:rPr>
                <w:rFonts w:ascii="Times New Roman" w:hAnsi="Times New Roman" w:cs="Times New Roman"/>
              </w:rPr>
            </w:pPr>
          </w:p>
        </w:tc>
        <w:tc>
          <w:tcPr>
            <w:tcW w:w="0" w:type="auto"/>
            <w:vAlign w:val="bottom"/>
          </w:tcPr>
          <w:p w14:paraId="1C87A0A7" w14:textId="77777777" w:rsidR="00430D1A" w:rsidRPr="00F675E6" w:rsidRDefault="00430D1A" w:rsidP="00D3740E">
            <w:pPr>
              <w:jc w:val="both"/>
              <w:rPr>
                <w:rFonts w:ascii="Times New Roman" w:hAnsi="Times New Roman" w:cs="Times New Roman"/>
              </w:rPr>
            </w:pPr>
          </w:p>
        </w:tc>
      </w:tr>
      <w:tr w:rsidR="00011D24" w:rsidRPr="00F675E6" w14:paraId="2B832C5F" w14:textId="77777777" w:rsidTr="00396F9C">
        <w:tc>
          <w:tcPr>
            <w:tcW w:w="2697" w:type="dxa"/>
            <w:vAlign w:val="bottom"/>
          </w:tcPr>
          <w:p w14:paraId="73D9CB5C" w14:textId="2DD5F313" w:rsidR="00011D24" w:rsidRPr="00F675E6" w:rsidRDefault="00011D24" w:rsidP="00D3740E">
            <w:pPr>
              <w:jc w:val="both"/>
              <w:rPr>
                <w:rFonts w:ascii="Times New Roman" w:hAnsi="Times New Roman" w:cs="Times New Roman"/>
              </w:rPr>
            </w:pPr>
            <w:r w:rsidRPr="00F675E6">
              <w:rPr>
                <w:rFonts w:ascii="Times New Roman" w:hAnsi="Times New Roman" w:cs="Times New Roman"/>
              </w:rPr>
              <w:t>Durbin Waston</w:t>
            </w:r>
          </w:p>
        </w:tc>
        <w:tc>
          <w:tcPr>
            <w:tcW w:w="1710" w:type="dxa"/>
            <w:vAlign w:val="bottom"/>
          </w:tcPr>
          <w:p w14:paraId="055B7A04" w14:textId="71AB8A41" w:rsidR="00011D24" w:rsidRPr="00F675E6" w:rsidRDefault="00AA78C1" w:rsidP="00D3740E">
            <w:pPr>
              <w:jc w:val="both"/>
              <w:rPr>
                <w:rFonts w:ascii="Times New Roman" w:hAnsi="Times New Roman" w:cs="Times New Roman"/>
              </w:rPr>
            </w:pPr>
            <w:r>
              <w:rPr>
                <w:rFonts w:ascii="Times New Roman" w:hAnsi="Times New Roman" w:cs="Times New Roman"/>
              </w:rPr>
              <w:t>1.8256</w:t>
            </w:r>
          </w:p>
        </w:tc>
        <w:tc>
          <w:tcPr>
            <w:tcW w:w="1710" w:type="dxa"/>
            <w:vAlign w:val="bottom"/>
          </w:tcPr>
          <w:p w14:paraId="2164AD04" w14:textId="77777777" w:rsidR="00011D24" w:rsidRPr="00F675E6" w:rsidRDefault="00011D24" w:rsidP="00D3740E">
            <w:pPr>
              <w:jc w:val="both"/>
              <w:rPr>
                <w:rFonts w:ascii="Times New Roman" w:hAnsi="Times New Roman" w:cs="Times New Roman"/>
              </w:rPr>
            </w:pPr>
          </w:p>
        </w:tc>
        <w:tc>
          <w:tcPr>
            <w:tcW w:w="1620" w:type="dxa"/>
            <w:vAlign w:val="bottom"/>
          </w:tcPr>
          <w:p w14:paraId="2E4E49D2" w14:textId="77777777" w:rsidR="00011D24" w:rsidRPr="00F675E6" w:rsidRDefault="00011D24" w:rsidP="00D3740E">
            <w:pPr>
              <w:jc w:val="both"/>
              <w:rPr>
                <w:rFonts w:ascii="Times New Roman" w:hAnsi="Times New Roman" w:cs="Times New Roman"/>
              </w:rPr>
            </w:pPr>
          </w:p>
        </w:tc>
        <w:tc>
          <w:tcPr>
            <w:tcW w:w="0" w:type="auto"/>
            <w:vAlign w:val="bottom"/>
          </w:tcPr>
          <w:p w14:paraId="0C72CF30" w14:textId="77777777" w:rsidR="00011D24" w:rsidRPr="00F675E6" w:rsidRDefault="00011D24" w:rsidP="00D3740E">
            <w:pPr>
              <w:jc w:val="both"/>
              <w:rPr>
                <w:rFonts w:ascii="Times New Roman" w:hAnsi="Times New Roman" w:cs="Times New Roman"/>
              </w:rPr>
            </w:pPr>
          </w:p>
        </w:tc>
      </w:tr>
    </w:tbl>
    <w:p w14:paraId="6295A720" w14:textId="77777777" w:rsidR="00396F9C" w:rsidRDefault="00396F9C" w:rsidP="00D3740E">
      <w:pPr>
        <w:jc w:val="both"/>
        <w:rPr>
          <w:rFonts w:ascii="Times New Roman" w:hAnsi="Times New Roman" w:cs="Times New Roman"/>
        </w:rPr>
      </w:pPr>
      <w:r w:rsidRPr="00750C1C">
        <w:rPr>
          <w:rFonts w:ascii="Times New Roman" w:hAnsi="Times New Roman" w:cs="Times New Roman"/>
          <w:b/>
          <w:bCs/>
          <w:i/>
          <w:iCs/>
        </w:rPr>
        <w:t>Source: Authors’ Computation (2026)</w:t>
      </w:r>
    </w:p>
    <w:p w14:paraId="6CB9A3F6" w14:textId="41833BB0" w:rsidR="00011D24" w:rsidRPr="00011D24" w:rsidRDefault="00011D24" w:rsidP="00D3740E">
      <w:pPr>
        <w:jc w:val="both"/>
        <w:rPr>
          <w:rFonts w:ascii="Times New Roman" w:hAnsi="Times New Roman" w:cs="Times New Roman"/>
        </w:rPr>
      </w:pPr>
      <w:r w:rsidRPr="00011D24">
        <w:rPr>
          <w:rFonts w:ascii="Times New Roman" w:hAnsi="Times New Roman" w:cs="Times New Roman"/>
        </w:rPr>
        <w:t>The regression results reveal that both ETR and CETR have statistically significant negative effects on ICR, the dependent variable. Specifically, a one-unit increase in ETR leads to a 4.3200 unit decrease in ICR (p = 0.0080), while a one-unit increase in CETR results in a 3.1050 unit decrease in ICR (p = 0.0120). This indicates that higher tax burdens, whether measured by accounting or cash basis, significantly reduce the ability of oil and gas firms to meet their interest obligations from operating earnings, thereby weakening their financial stability. The positive and significant coefficient for firm age suggests that older firms are more financially stable, likely due to accumulated experience and established financial practices. The R-squared value of 0.4100 indicates that the model explains 41% of the variation in ICR, which is substantial for firm-level panel data.</w:t>
      </w:r>
    </w:p>
    <w:p w14:paraId="44E325A6" w14:textId="77777777" w:rsidR="00011D24" w:rsidRPr="00011D24" w:rsidRDefault="00011D24" w:rsidP="00D3740E">
      <w:pPr>
        <w:jc w:val="both"/>
        <w:rPr>
          <w:rFonts w:ascii="Times New Roman" w:hAnsi="Times New Roman" w:cs="Times New Roman"/>
          <w:b/>
          <w:bCs/>
        </w:rPr>
      </w:pPr>
      <w:r w:rsidRPr="00011D24">
        <w:rPr>
          <w:rFonts w:ascii="Times New Roman" w:hAnsi="Times New Roman" w:cs="Times New Roman"/>
          <w:b/>
          <w:bCs/>
        </w:rPr>
        <w:t>4.4 Diagnostic Tests</w:t>
      </w:r>
    </w:p>
    <w:p w14:paraId="59281FC1" w14:textId="77777777" w:rsidR="00011D24" w:rsidRPr="00011D24" w:rsidRDefault="00011D24" w:rsidP="00D3740E">
      <w:pPr>
        <w:jc w:val="both"/>
        <w:rPr>
          <w:rFonts w:ascii="Times New Roman" w:hAnsi="Times New Roman" w:cs="Times New Roman"/>
          <w:b/>
          <w:bCs/>
        </w:rPr>
      </w:pPr>
      <w:r w:rsidRPr="00011D24">
        <w:rPr>
          <w:rFonts w:ascii="Times New Roman" w:hAnsi="Times New Roman" w:cs="Times New Roman"/>
          <w:b/>
          <w:bCs/>
        </w:rPr>
        <w:t>4.4.1 Hausman Test</w:t>
      </w:r>
    </w:p>
    <w:p w14:paraId="73570FC5" w14:textId="79422BA1" w:rsidR="00011D24" w:rsidRPr="00011D24" w:rsidRDefault="00011D24" w:rsidP="00D3740E">
      <w:pPr>
        <w:jc w:val="both"/>
        <w:rPr>
          <w:rFonts w:ascii="Times New Roman" w:hAnsi="Times New Roman" w:cs="Times New Roman"/>
          <w:b/>
          <w:bCs/>
        </w:rPr>
      </w:pPr>
      <w:r w:rsidRPr="00011D24">
        <w:rPr>
          <w:rFonts w:ascii="Times New Roman" w:hAnsi="Times New Roman" w:cs="Times New Roman"/>
          <w:b/>
          <w:bCs/>
        </w:rPr>
        <w:t>Table 5: Hausman Test Result</w:t>
      </w:r>
    </w:p>
    <w:tbl>
      <w:tblPr>
        <w:tblW w:w="9447"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337"/>
        <w:gridCol w:w="1530"/>
        <w:gridCol w:w="1350"/>
        <w:gridCol w:w="4230"/>
      </w:tblGrid>
      <w:tr w:rsidR="00011D24" w:rsidRPr="00011D24" w14:paraId="4746F17A" w14:textId="77777777" w:rsidTr="00396F9C">
        <w:tc>
          <w:tcPr>
            <w:tcW w:w="2337" w:type="dxa"/>
            <w:tcBorders>
              <w:top w:val="single" w:sz="4" w:space="0" w:color="auto"/>
              <w:bottom w:val="single" w:sz="4" w:space="0" w:color="auto"/>
            </w:tcBorders>
            <w:noWrap/>
            <w:vAlign w:val="bottom"/>
            <w:hideMark/>
          </w:tcPr>
          <w:p w14:paraId="6E04DE8B"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Test</w:t>
            </w:r>
          </w:p>
        </w:tc>
        <w:tc>
          <w:tcPr>
            <w:tcW w:w="1530" w:type="dxa"/>
            <w:tcBorders>
              <w:top w:val="single" w:sz="4" w:space="0" w:color="auto"/>
              <w:bottom w:val="single" w:sz="4" w:space="0" w:color="auto"/>
            </w:tcBorders>
            <w:noWrap/>
            <w:vAlign w:val="bottom"/>
            <w:hideMark/>
          </w:tcPr>
          <w:p w14:paraId="4BDA5C94"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Statistic</w:t>
            </w:r>
          </w:p>
        </w:tc>
        <w:tc>
          <w:tcPr>
            <w:tcW w:w="1350" w:type="dxa"/>
            <w:tcBorders>
              <w:top w:val="single" w:sz="4" w:space="0" w:color="auto"/>
              <w:bottom w:val="single" w:sz="4" w:space="0" w:color="auto"/>
            </w:tcBorders>
            <w:noWrap/>
            <w:vAlign w:val="bottom"/>
            <w:hideMark/>
          </w:tcPr>
          <w:p w14:paraId="131E6AC4"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p-value</w:t>
            </w:r>
          </w:p>
        </w:tc>
        <w:tc>
          <w:tcPr>
            <w:tcW w:w="4230" w:type="dxa"/>
            <w:tcBorders>
              <w:top w:val="single" w:sz="4" w:space="0" w:color="auto"/>
              <w:bottom w:val="single" w:sz="4" w:space="0" w:color="auto"/>
            </w:tcBorders>
            <w:noWrap/>
            <w:vAlign w:val="bottom"/>
            <w:hideMark/>
          </w:tcPr>
          <w:p w14:paraId="10F2A23E" w14:textId="4A8FC524" w:rsidR="00011D24" w:rsidRPr="00011D24" w:rsidRDefault="00011D24" w:rsidP="00D3740E">
            <w:pPr>
              <w:jc w:val="both"/>
              <w:rPr>
                <w:rFonts w:ascii="Times New Roman" w:hAnsi="Times New Roman" w:cs="Times New Roman"/>
              </w:rPr>
            </w:pPr>
            <w:r w:rsidRPr="00011D24">
              <w:rPr>
                <w:rFonts w:ascii="Times New Roman" w:hAnsi="Times New Roman" w:cs="Times New Roman"/>
              </w:rPr>
              <w:t>Decision</w:t>
            </w:r>
          </w:p>
        </w:tc>
      </w:tr>
      <w:tr w:rsidR="00011D24" w:rsidRPr="00011D24" w14:paraId="5862C945" w14:textId="77777777" w:rsidTr="00396F9C">
        <w:tc>
          <w:tcPr>
            <w:tcW w:w="2337" w:type="dxa"/>
            <w:tcBorders>
              <w:top w:val="single" w:sz="4" w:space="0" w:color="auto"/>
            </w:tcBorders>
            <w:vAlign w:val="bottom"/>
            <w:hideMark/>
          </w:tcPr>
          <w:p w14:paraId="07AA9DB4"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Hausman Test</w:t>
            </w:r>
          </w:p>
        </w:tc>
        <w:tc>
          <w:tcPr>
            <w:tcW w:w="1530" w:type="dxa"/>
            <w:tcBorders>
              <w:top w:val="single" w:sz="4" w:space="0" w:color="auto"/>
            </w:tcBorders>
            <w:vAlign w:val="bottom"/>
            <w:hideMark/>
          </w:tcPr>
          <w:p w14:paraId="3770C7B3"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8.3200</w:t>
            </w:r>
          </w:p>
        </w:tc>
        <w:tc>
          <w:tcPr>
            <w:tcW w:w="1350" w:type="dxa"/>
            <w:tcBorders>
              <w:top w:val="single" w:sz="4" w:space="0" w:color="auto"/>
            </w:tcBorders>
            <w:vAlign w:val="bottom"/>
            <w:hideMark/>
          </w:tcPr>
          <w:p w14:paraId="7CA9F88A"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0.0390</w:t>
            </w:r>
          </w:p>
        </w:tc>
        <w:tc>
          <w:tcPr>
            <w:tcW w:w="4230" w:type="dxa"/>
            <w:tcBorders>
              <w:top w:val="single" w:sz="4" w:space="0" w:color="auto"/>
            </w:tcBorders>
            <w:vAlign w:val="bottom"/>
            <w:hideMark/>
          </w:tcPr>
          <w:p w14:paraId="1FB0B029"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Fixed effects model is preferred; controls for firm effects.</w:t>
            </w:r>
          </w:p>
        </w:tc>
      </w:tr>
    </w:tbl>
    <w:p w14:paraId="452AC045" w14:textId="77777777" w:rsidR="00396F9C" w:rsidRDefault="00396F9C" w:rsidP="00D3740E">
      <w:pPr>
        <w:jc w:val="both"/>
        <w:rPr>
          <w:rFonts w:ascii="Times New Roman" w:hAnsi="Times New Roman" w:cs="Times New Roman"/>
        </w:rPr>
      </w:pPr>
      <w:r w:rsidRPr="00750C1C">
        <w:rPr>
          <w:rFonts w:ascii="Times New Roman" w:hAnsi="Times New Roman" w:cs="Times New Roman"/>
          <w:b/>
          <w:bCs/>
          <w:i/>
          <w:iCs/>
        </w:rPr>
        <w:t>Source: Authors’ Computation (2026)</w:t>
      </w:r>
    </w:p>
    <w:p w14:paraId="2E7FF927" w14:textId="3743F56A" w:rsidR="00011D24" w:rsidRPr="00011D24" w:rsidRDefault="00011D24" w:rsidP="00D3740E">
      <w:pPr>
        <w:jc w:val="both"/>
        <w:rPr>
          <w:rFonts w:ascii="Times New Roman" w:hAnsi="Times New Roman" w:cs="Times New Roman"/>
        </w:rPr>
      </w:pPr>
      <w:r w:rsidRPr="00011D24">
        <w:rPr>
          <w:rFonts w:ascii="Times New Roman" w:hAnsi="Times New Roman" w:cs="Times New Roman"/>
        </w:rPr>
        <w:t>The Hausman test statistic of 8.3200 (p = 0.0390) indicates that the fixed effects model is statistically preferred over the random effects model. This result confirms the appropriateness of controlling for unobserved heterogeneity across firms, which is essential for panel data analysis and ensures that the estimated coefficients are not biased by omitted firm-specific factors.</w:t>
      </w:r>
    </w:p>
    <w:p w14:paraId="7E861FE3"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4.4.2 Breusch-Pagan Test for Heteroscedasticity</w:t>
      </w:r>
    </w:p>
    <w:p w14:paraId="7A8235AE" w14:textId="740FD448" w:rsidR="00011D24" w:rsidRPr="00011D24" w:rsidRDefault="00011D24" w:rsidP="00D3740E">
      <w:pPr>
        <w:jc w:val="both"/>
        <w:rPr>
          <w:rFonts w:ascii="Times New Roman" w:hAnsi="Times New Roman" w:cs="Times New Roman"/>
        </w:rPr>
      </w:pPr>
      <w:r w:rsidRPr="00011D24">
        <w:rPr>
          <w:rFonts w:ascii="Times New Roman" w:hAnsi="Times New Roman" w:cs="Times New Roman"/>
        </w:rPr>
        <w:t xml:space="preserve">Table </w:t>
      </w:r>
      <w:r w:rsidRPr="00F675E6">
        <w:rPr>
          <w:rFonts w:ascii="Times New Roman" w:hAnsi="Times New Roman" w:cs="Times New Roman"/>
        </w:rPr>
        <w:t>6</w:t>
      </w:r>
      <w:r w:rsidRPr="00011D24">
        <w:rPr>
          <w:rFonts w:ascii="Times New Roman" w:hAnsi="Times New Roman" w:cs="Times New Roman"/>
        </w:rPr>
        <w:t>: Breusch-Pagan Test Result</w:t>
      </w:r>
    </w:p>
    <w:tbl>
      <w:tblPr>
        <w:tblW w:w="9447"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360"/>
        <w:gridCol w:w="1507"/>
        <w:gridCol w:w="1350"/>
        <w:gridCol w:w="4230"/>
      </w:tblGrid>
      <w:tr w:rsidR="00011D24" w:rsidRPr="00011D24" w14:paraId="2E28BA62" w14:textId="77777777" w:rsidTr="00396F9C">
        <w:tc>
          <w:tcPr>
            <w:tcW w:w="0" w:type="auto"/>
            <w:tcBorders>
              <w:top w:val="single" w:sz="4" w:space="0" w:color="auto"/>
              <w:bottom w:val="single" w:sz="4" w:space="0" w:color="auto"/>
            </w:tcBorders>
            <w:noWrap/>
            <w:vAlign w:val="bottom"/>
            <w:hideMark/>
          </w:tcPr>
          <w:p w14:paraId="70525BE7"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Test</w:t>
            </w:r>
          </w:p>
        </w:tc>
        <w:tc>
          <w:tcPr>
            <w:tcW w:w="1507" w:type="dxa"/>
            <w:tcBorders>
              <w:top w:val="single" w:sz="4" w:space="0" w:color="auto"/>
              <w:bottom w:val="single" w:sz="4" w:space="0" w:color="auto"/>
            </w:tcBorders>
            <w:noWrap/>
            <w:vAlign w:val="bottom"/>
            <w:hideMark/>
          </w:tcPr>
          <w:p w14:paraId="229CAB53"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Statistic</w:t>
            </w:r>
          </w:p>
        </w:tc>
        <w:tc>
          <w:tcPr>
            <w:tcW w:w="1350" w:type="dxa"/>
            <w:tcBorders>
              <w:top w:val="single" w:sz="4" w:space="0" w:color="auto"/>
              <w:bottom w:val="single" w:sz="4" w:space="0" w:color="auto"/>
            </w:tcBorders>
            <w:noWrap/>
            <w:vAlign w:val="bottom"/>
            <w:hideMark/>
          </w:tcPr>
          <w:p w14:paraId="6F65531C"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p-value</w:t>
            </w:r>
          </w:p>
        </w:tc>
        <w:tc>
          <w:tcPr>
            <w:tcW w:w="4230" w:type="dxa"/>
            <w:tcBorders>
              <w:top w:val="single" w:sz="4" w:space="0" w:color="auto"/>
              <w:bottom w:val="single" w:sz="4" w:space="0" w:color="auto"/>
            </w:tcBorders>
            <w:noWrap/>
            <w:vAlign w:val="bottom"/>
            <w:hideMark/>
          </w:tcPr>
          <w:p w14:paraId="1D324FB6" w14:textId="59B5D829" w:rsidR="00011D24" w:rsidRPr="00011D24" w:rsidRDefault="00011D24" w:rsidP="00D3740E">
            <w:pPr>
              <w:jc w:val="both"/>
              <w:rPr>
                <w:rFonts w:ascii="Times New Roman" w:hAnsi="Times New Roman" w:cs="Times New Roman"/>
              </w:rPr>
            </w:pPr>
            <w:r w:rsidRPr="00011D24">
              <w:rPr>
                <w:rFonts w:ascii="Times New Roman" w:hAnsi="Times New Roman" w:cs="Times New Roman"/>
              </w:rPr>
              <w:t>Decision</w:t>
            </w:r>
          </w:p>
        </w:tc>
      </w:tr>
      <w:tr w:rsidR="00011D24" w:rsidRPr="00011D24" w14:paraId="56D9DE66" w14:textId="77777777" w:rsidTr="00396F9C">
        <w:tc>
          <w:tcPr>
            <w:tcW w:w="0" w:type="auto"/>
            <w:tcBorders>
              <w:top w:val="single" w:sz="4" w:space="0" w:color="auto"/>
            </w:tcBorders>
            <w:vAlign w:val="bottom"/>
            <w:hideMark/>
          </w:tcPr>
          <w:p w14:paraId="6B82FD18"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lastRenderedPageBreak/>
              <w:t>Breusch-Pagan Test</w:t>
            </w:r>
          </w:p>
        </w:tc>
        <w:tc>
          <w:tcPr>
            <w:tcW w:w="1507" w:type="dxa"/>
            <w:tcBorders>
              <w:top w:val="single" w:sz="4" w:space="0" w:color="auto"/>
            </w:tcBorders>
            <w:vAlign w:val="bottom"/>
            <w:hideMark/>
          </w:tcPr>
          <w:p w14:paraId="1B34641A"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1.2100</w:t>
            </w:r>
          </w:p>
        </w:tc>
        <w:tc>
          <w:tcPr>
            <w:tcW w:w="1350" w:type="dxa"/>
            <w:tcBorders>
              <w:top w:val="single" w:sz="4" w:space="0" w:color="auto"/>
            </w:tcBorders>
            <w:vAlign w:val="bottom"/>
            <w:hideMark/>
          </w:tcPr>
          <w:p w14:paraId="43F0FFF4"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0.2700</w:t>
            </w:r>
          </w:p>
        </w:tc>
        <w:tc>
          <w:tcPr>
            <w:tcW w:w="4230" w:type="dxa"/>
            <w:tcBorders>
              <w:top w:val="single" w:sz="4" w:space="0" w:color="auto"/>
            </w:tcBorders>
            <w:vAlign w:val="bottom"/>
            <w:hideMark/>
          </w:tcPr>
          <w:p w14:paraId="0F980A90"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No evidence of heteroscedasticity; residual variance is constant.</w:t>
            </w:r>
          </w:p>
        </w:tc>
      </w:tr>
    </w:tbl>
    <w:p w14:paraId="0A5EB9C8" w14:textId="77777777" w:rsidR="00396F9C" w:rsidRDefault="00396F9C" w:rsidP="00D3740E">
      <w:pPr>
        <w:jc w:val="both"/>
        <w:rPr>
          <w:rFonts w:ascii="Times New Roman" w:hAnsi="Times New Roman" w:cs="Times New Roman"/>
        </w:rPr>
      </w:pPr>
      <w:r w:rsidRPr="00750C1C">
        <w:rPr>
          <w:rFonts w:ascii="Times New Roman" w:hAnsi="Times New Roman" w:cs="Times New Roman"/>
          <w:b/>
          <w:bCs/>
          <w:i/>
          <w:iCs/>
        </w:rPr>
        <w:t>Source: Authors’ Computation (2026)</w:t>
      </w:r>
    </w:p>
    <w:p w14:paraId="7F35CFB5" w14:textId="45A29C9B" w:rsidR="00011D24" w:rsidRPr="00011D24" w:rsidRDefault="00011D24" w:rsidP="00D3740E">
      <w:pPr>
        <w:jc w:val="both"/>
        <w:rPr>
          <w:rFonts w:ascii="Times New Roman" w:hAnsi="Times New Roman" w:cs="Times New Roman"/>
        </w:rPr>
      </w:pPr>
      <w:r w:rsidRPr="00011D24">
        <w:rPr>
          <w:rFonts w:ascii="Times New Roman" w:hAnsi="Times New Roman" w:cs="Times New Roman"/>
        </w:rPr>
        <w:t>The Breusch-Pagan test statistic of 1.2100 (p = 0.2700) suggests that the null hypothesis of homoscedasticity cannot be rejected. This means the variance of the residuals is constant across observations, indicating that the model does not suffer from heteroscedasticity. As a result, the standard errors of the regression coefficients are reliable.</w:t>
      </w:r>
    </w:p>
    <w:p w14:paraId="7B42FDCC"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4.4.3 Jarque-Bera Test for Normality</w:t>
      </w:r>
    </w:p>
    <w:p w14:paraId="540F7265" w14:textId="6C39BDB4" w:rsidR="00011D24" w:rsidRPr="00011D24" w:rsidRDefault="00011D24" w:rsidP="00D3740E">
      <w:pPr>
        <w:jc w:val="both"/>
        <w:rPr>
          <w:rFonts w:ascii="Times New Roman" w:hAnsi="Times New Roman" w:cs="Times New Roman"/>
        </w:rPr>
      </w:pPr>
      <w:r w:rsidRPr="00011D24">
        <w:rPr>
          <w:rFonts w:ascii="Times New Roman" w:hAnsi="Times New Roman" w:cs="Times New Roman"/>
        </w:rPr>
        <w:t xml:space="preserve">Table </w:t>
      </w:r>
      <w:r w:rsidRPr="00F675E6">
        <w:rPr>
          <w:rFonts w:ascii="Times New Roman" w:hAnsi="Times New Roman" w:cs="Times New Roman"/>
        </w:rPr>
        <w:t>7</w:t>
      </w:r>
      <w:r w:rsidRPr="00011D24">
        <w:rPr>
          <w:rFonts w:ascii="Times New Roman" w:hAnsi="Times New Roman" w:cs="Times New Roman"/>
        </w:rPr>
        <w:t>: Jarque-Bera Test Result</w:t>
      </w:r>
    </w:p>
    <w:tbl>
      <w:tblPr>
        <w:tblW w:w="9357"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164"/>
        <w:gridCol w:w="1060"/>
        <w:gridCol w:w="989"/>
        <w:gridCol w:w="5144"/>
      </w:tblGrid>
      <w:tr w:rsidR="00011D24" w:rsidRPr="00011D24" w14:paraId="63A39821" w14:textId="77777777" w:rsidTr="00396F9C">
        <w:tc>
          <w:tcPr>
            <w:tcW w:w="0" w:type="auto"/>
            <w:tcBorders>
              <w:top w:val="single" w:sz="4" w:space="0" w:color="auto"/>
              <w:bottom w:val="single" w:sz="4" w:space="0" w:color="auto"/>
            </w:tcBorders>
            <w:noWrap/>
            <w:vAlign w:val="bottom"/>
            <w:hideMark/>
          </w:tcPr>
          <w:p w14:paraId="6FA46D1F"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Test</w:t>
            </w:r>
          </w:p>
        </w:tc>
        <w:tc>
          <w:tcPr>
            <w:tcW w:w="0" w:type="auto"/>
            <w:tcBorders>
              <w:top w:val="single" w:sz="4" w:space="0" w:color="auto"/>
              <w:bottom w:val="single" w:sz="4" w:space="0" w:color="auto"/>
            </w:tcBorders>
            <w:noWrap/>
            <w:vAlign w:val="bottom"/>
            <w:hideMark/>
          </w:tcPr>
          <w:p w14:paraId="11FB35B3"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Statistic</w:t>
            </w:r>
          </w:p>
        </w:tc>
        <w:tc>
          <w:tcPr>
            <w:tcW w:w="0" w:type="auto"/>
            <w:tcBorders>
              <w:top w:val="single" w:sz="4" w:space="0" w:color="auto"/>
              <w:bottom w:val="single" w:sz="4" w:space="0" w:color="auto"/>
            </w:tcBorders>
            <w:noWrap/>
            <w:vAlign w:val="bottom"/>
            <w:hideMark/>
          </w:tcPr>
          <w:p w14:paraId="6D47DC2E"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p-value</w:t>
            </w:r>
          </w:p>
        </w:tc>
        <w:tc>
          <w:tcPr>
            <w:tcW w:w="5144" w:type="dxa"/>
            <w:tcBorders>
              <w:top w:val="single" w:sz="4" w:space="0" w:color="auto"/>
              <w:bottom w:val="single" w:sz="4" w:space="0" w:color="auto"/>
            </w:tcBorders>
            <w:noWrap/>
            <w:vAlign w:val="bottom"/>
            <w:hideMark/>
          </w:tcPr>
          <w:p w14:paraId="78D6CDD7"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Decision/Interpretation</w:t>
            </w:r>
          </w:p>
        </w:tc>
      </w:tr>
      <w:tr w:rsidR="00011D24" w:rsidRPr="00011D24" w14:paraId="653825F2" w14:textId="77777777" w:rsidTr="00396F9C">
        <w:tc>
          <w:tcPr>
            <w:tcW w:w="0" w:type="auto"/>
            <w:tcBorders>
              <w:top w:val="single" w:sz="4" w:space="0" w:color="auto"/>
            </w:tcBorders>
            <w:vAlign w:val="bottom"/>
            <w:hideMark/>
          </w:tcPr>
          <w:p w14:paraId="161020E7"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Jarque-Bera Test</w:t>
            </w:r>
          </w:p>
        </w:tc>
        <w:tc>
          <w:tcPr>
            <w:tcW w:w="0" w:type="auto"/>
            <w:tcBorders>
              <w:top w:val="single" w:sz="4" w:space="0" w:color="auto"/>
            </w:tcBorders>
            <w:vAlign w:val="bottom"/>
            <w:hideMark/>
          </w:tcPr>
          <w:p w14:paraId="03CAFB83"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2.9800</w:t>
            </w:r>
          </w:p>
        </w:tc>
        <w:tc>
          <w:tcPr>
            <w:tcW w:w="0" w:type="auto"/>
            <w:tcBorders>
              <w:top w:val="single" w:sz="4" w:space="0" w:color="auto"/>
            </w:tcBorders>
            <w:vAlign w:val="bottom"/>
            <w:hideMark/>
          </w:tcPr>
          <w:p w14:paraId="1D1F8FE8"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0.2100</w:t>
            </w:r>
          </w:p>
        </w:tc>
        <w:tc>
          <w:tcPr>
            <w:tcW w:w="5144" w:type="dxa"/>
            <w:tcBorders>
              <w:top w:val="single" w:sz="4" w:space="0" w:color="auto"/>
            </w:tcBorders>
            <w:vAlign w:val="bottom"/>
            <w:hideMark/>
          </w:tcPr>
          <w:p w14:paraId="5EE07D6A"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Residuals are normally distributed; supports valid inference.</w:t>
            </w:r>
          </w:p>
        </w:tc>
      </w:tr>
    </w:tbl>
    <w:p w14:paraId="70858FCD" w14:textId="77777777" w:rsidR="00396F9C" w:rsidRDefault="00396F9C" w:rsidP="00D3740E">
      <w:pPr>
        <w:jc w:val="both"/>
        <w:rPr>
          <w:rFonts w:ascii="Times New Roman" w:hAnsi="Times New Roman" w:cs="Times New Roman"/>
        </w:rPr>
      </w:pPr>
      <w:r w:rsidRPr="00750C1C">
        <w:rPr>
          <w:rFonts w:ascii="Times New Roman" w:hAnsi="Times New Roman" w:cs="Times New Roman"/>
          <w:b/>
          <w:bCs/>
          <w:i/>
          <w:iCs/>
        </w:rPr>
        <w:t>Source: Authors’ Computation (2026)</w:t>
      </w:r>
    </w:p>
    <w:p w14:paraId="4F16E3E1" w14:textId="0780BAA9" w:rsidR="00011D24" w:rsidRPr="00011D24" w:rsidRDefault="00011D24" w:rsidP="00D3740E">
      <w:pPr>
        <w:jc w:val="both"/>
        <w:rPr>
          <w:rFonts w:ascii="Times New Roman" w:hAnsi="Times New Roman" w:cs="Times New Roman"/>
        </w:rPr>
      </w:pPr>
      <w:r w:rsidRPr="00011D24">
        <w:rPr>
          <w:rFonts w:ascii="Times New Roman" w:hAnsi="Times New Roman" w:cs="Times New Roman"/>
        </w:rPr>
        <w:t>The Jarque-Bera test statistic of 2.9800 (p = 0.2100) indicates that the residuals from the regression are normally distributed. This supports the validity of statistical inference, including the use of t- and F-tests for hypothesis testing in the regression analysis.</w:t>
      </w:r>
    </w:p>
    <w:p w14:paraId="3C30FFF6"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4.4.4 Variance Inflation Factor (VIF) for Multicollinearity</w:t>
      </w:r>
    </w:p>
    <w:p w14:paraId="3ED8564F" w14:textId="28E76705" w:rsidR="00011D24" w:rsidRPr="00011D24" w:rsidRDefault="00011D24" w:rsidP="00D3740E">
      <w:pPr>
        <w:jc w:val="both"/>
        <w:rPr>
          <w:rFonts w:ascii="Times New Roman" w:hAnsi="Times New Roman" w:cs="Times New Roman"/>
        </w:rPr>
      </w:pPr>
      <w:r w:rsidRPr="00011D24">
        <w:rPr>
          <w:rFonts w:ascii="Times New Roman" w:hAnsi="Times New Roman" w:cs="Times New Roman"/>
        </w:rPr>
        <w:t xml:space="preserve">Table </w:t>
      </w:r>
      <w:r w:rsidRPr="00F675E6">
        <w:rPr>
          <w:rFonts w:ascii="Times New Roman" w:hAnsi="Times New Roman" w:cs="Times New Roman"/>
        </w:rPr>
        <w:t>8</w:t>
      </w:r>
      <w:r w:rsidRPr="00011D24">
        <w:rPr>
          <w:rFonts w:ascii="Times New Roman" w:hAnsi="Times New Roman" w:cs="Times New Roman"/>
        </w:rPr>
        <w:t>: Variance Inflation Factor (VIF) Results</w:t>
      </w:r>
    </w:p>
    <w:tbl>
      <w:tblPr>
        <w:tblW w:w="4857"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327"/>
        <w:gridCol w:w="1530"/>
      </w:tblGrid>
      <w:tr w:rsidR="00011D24" w:rsidRPr="00011D24" w14:paraId="410F1C17" w14:textId="77777777" w:rsidTr="00F1136B">
        <w:tc>
          <w:tcPr>
            <w:tcW w:w="3327" w:type="dxa"/>
            <w:tcBorders>
              <w:top w:val="single" w:sz="4" w:space="0" w:color="auto"/>
              <w:bottom w:val="single" w:sz="4" w:space="0" w:color="auto"/>
            </w:tcBorders>
            <w:noWrap/>
            <w:vAlign w:val="bottom"/>
            <w:hideMark/>
          </w:tcPr>
          <w:p w14:paraId="0C73FBA7"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Variable</w:t>
            </w:r>
          </w:p>
        </w:tc>
        <w:tc>
          <w:tcPr>
            <w:tcW w:w="1530" w:type="dxa"/>
            <w:tcBorders>
              <w:top w:val="single" w:sz="4" w:space="0" w:color="auto"/>
              <w:bottom w:val="single" w:sz="4" w:space="0" w:color="auto"/>
            </w:tcBorders>
            <w:noWrap/>
            <w:vAlign w:val="bottom"/>
            <w:hideMark/>
          </w:tcPr>
          <w:p w14:paraId="5889FF2C"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VIF Value</w:t>
            </w:r>
          </w:p>
        </w:tc>
      </w:tr>
      <w:tr w:rsidR="00011D24" w:rsidRPr="00011D24" w14:paraId="3190DF8A" w14:textId="77777777" w:rsidTr="00F1136B">
        <w:tc>
          <w:tcPr>
            <w:tcW w:w="3327" w:type="dxa"/>
            <w:tcBorders>
              <w:top w:val="single" w:sz="4" w:space="0" w:color="auto"/>
            </w:tcBorders>
            <w:vAlign w:val="bottom"/>
            <w:hideMark/>
          </w:tcPr>
          <w:p w14:paraId="7BB587C7"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ETR</w:t>
            </w:r>
          </w:p>
        </w:tc>
        <w:tc>
          <w:tcPr>
            <w:tcW w:w="1530" w:type="dxa"/>
            <w:tcBorders>
              <w:top w:val="single" w:sz="4" w:space="0" w:color="auto"/>
            </w:tcBorders>
            <w:vAlign w:val="bottom"/>
            <w:hideMark/>
          </w:tcPr>
          <w:p w14:paraId="7E26CCEF"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1.6500</w:t>
            </w:r>
          </w:p>
        </w:tc>
      </w:tr>
      <w:tr w:rsidR="00011D24" w:rsidRPr="00011D24" w14:paraId="54925A21" w14:textId="77777777" w:rsidTr="00F1136B">
        <w:tc>
          <w:tcPr>
            <w:tcW w:w="3327" w:type="dxa"/>
            <w:vAlign w:val="bottom"/>
            <w:hideMark/>
          </w:tcPr>
          <w:p w14:paraId="1DDC8E92"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CETR</w:t>
            </w:r>
          </w:p>
        </w:tc>
        <w:tc>
          <w:tcPr>
            <w:tcW w:w="1530" w:type="dxa"/>
            <w:vAlign w:val="bottom"/>
            <w:hideMark/>
          </w:tcPr>
          <w:p w14:paraId="31563DEC"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1.5900</w:t>
            </w:r>
          </w:p>
        </w:tc>
      </w:tr>
      <w:tr w:rsidR="00011D24" w:rsidRPr="00011D24" w14:paraId="3A020509" w14:textId="77777777" w:rsidTr="00F1136B">
        <w:tc>
          <w:tcPr>
            <w:tcW w:w="3327" w:type="dxa"/>
            <w:vAlign w:val="bottom"/>
            <w:hideMark/>
          </w:tcPr>
          <w:p w14:paraId="0D988433"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FIRM_AGE</w:t>
            </w:r>
          </w:p>
        </w:tc>
        <w:tc>
          <w:tcPr>
            <w:tcW w:w="1530" w:type="dxa"/>
            <w:vAlign w:val="bottom"/>
            <w:hideMark/>
          </w:tcPr>
          <w:p w14:paraId="2F1454B2" w14:textId="77777777" w:rsidR="00011D24" w:rsidRPr="00011D24" w:rsidRDefault="00011D24" w:rsidP="00D3740E">
            <w:pPr>
              <w:jc w:val="both"/>
              <w:rPr>
                <w:rFonts w:ascii="Times New Roman" w:hAnsi="Times New Roman" w:cs="Times New Roman"/>
              </w:rPr>
            </w:pPr>
            <w:r w:rsidRPr="00011D24">
              <w:rPr>
                <w:rFonts w:ascii="Times New Roman" w:hAnsi="Times New Roman" w:cs="Times New Roman"/>
              </w:rPr>
              <w:t>1.1200</w:t>
            </w:r>
          </w:p>
        </w:tc>
      </w:tr>
    </w:tbl>
    <w:p w14:paraId="1334DDA7" w14:textId="77777777" w:rsidR="00F1136B" w:rsidRDefault="00F1136B" w:rsidP="00D3740E">
      <w:pPr>
        <w:jc w:val="both"/>
        <w:rPr>
          <w:rFonts w:ascii="Times New Roman" w:hAnsi="Times New Roman" w:cs="Times New Roman"/>
        </w:rPr>
      </w:pPr>
      <w:r w:rsidRPr="00750C1C">
        <w:rPr>
          <w:rFonts w:ascii="Times New Roman" w:hAnsi="Times New Roman" w:cs="Times New Roman"/>
          <w:b/>
          <w:bCs/>
          <w:i/>
          <w:iCs/>
        </w:rPr>
        <w:t>Source: Authors’ Computation (2026)</w:t>
      </w:r>
    </w:p>
    <w:p w14:paraId="4C5AD724" w14:textId="7CB6FDD5" w:rsidR="00011D24" w:rsidRPr="00011D24" w:rsidRDefault="00011D24" w:rsidP="00D3740E">
      <w:pPr>
        <w:jc w:val="both"/>
        <w:rPr>
          <w:rFonts w:ascii="Times New Roman" w:hAnsi="Times New Roman" w:cs="Times New Roman"/>
        </w:rPr>
      </w:pPr>
      <w:r w:rsidRPr="00011D24">
        <w:rPr>
          <w:rFonts w:ascii="Times New Roman" w:hAnsi="Times New Roman" w:cs="Times New Roman"/>
        </w:rPr>
        <w:t>All VIF values are below the commonly accepted threshold of 2.0000, indicating no multicollinearity among the independent variables. This ensures that the estimated regression coefficients are stable and that the independent variables are not excessively correlated with each other.</w:t>
      </w:r>
    </w:p>
    <w:p w14:paraId="53FC5951" w14:textId="3F87029F" w:rsidR="00011D24" w:rsidRPr="00011D24" w:rsidRDefault="00011D24" w:rsidP="00D3740E">
      <w:pPr>
        <w:jc w:val="both"/>
        <w:rPr>
          <w:rFonts w:ascii="Times New Roman" w:hAnsi="Times New Roman" w:cs="Times New Roman"/>
        </w:rPr>
      </w:pPr>
      <w:r w:rsidRPr="00011D24">
        <w:rPr>
          <w:rFonts w:ascii="Times New Roman" w:hAnsi="Times New Roman" w:cs="Times New Roman"/>
        </w:rPr>
        <w:t>The results of these diagnostic tests collectively confirm that the regression model is well-specified, robust, and reliable. The model is free from issues of omitted variable bias, heteroscedasticity, non-normality, and multicollinearity, thereby supporting the credibility of the empirical findings and their implications for policy and practice in the Nigerian oil and gas sector.</w:t>
      </w:r>
    </w:p>
    <w:p w14:paraId="287A4E75" w14:textId="034AA476" w:rsidR="00011D24" w:rsidRPr="00011D24" w:rsidRDefault="00011D24" w:rsidP="00D3740E">
      <w:pPr>
        <w:jc w:val="both"/>
        <w:rPr>
          <w:rFonts w:ascii="Times New Roman" w:hAnsi="Times New Roman" w:cs="Times New Roman"/>
        </w:rPr>
      </w:pPr>
      <w:r w:rsidRPr="00011D24">
        <w:rPr>
          <w:rFonts w:ascii="Times New Roman" w:hAnsi="Times New Roman" w:cs="Times New Roman"/>
        </w:rPr>
        <w:lastRenderedPageBreak/>
        <w:t>The diagnostic tests</w:t>
      </w:r>
      <w:r w:rsidR="00D3740E" w:rsidRPr="00F675E6">
        <w:rPr>
          <w:rFonts w:ascii="Times New Roman" w:hAnsi="Times New Roman" w:cs="Times New Roman"/>
        </w:rPr>
        <w:t xml:space="preserve"> also</w:t>
      </w:r>
      <w:r w:rsidRPr="00011D24">
        <w:rPr>
          <w:rFonts w:ascii="Times New Roman" w:hAnsi="Times New Roman" w:cs="Times New Roman"/>
        </w:rPr>
        <w:t xml:space="preserve"> </w:t>
      </w:r>
      <w:r w:rsidR="00D3740E" w:rsidRPr="00F675E6">
        <w:rPr>
          <w:rFonts w:ascii="Times New Roman" w:hAnsi="Times New Roman" w:cs="Times New Roman"/>
        </w:rPr>
        <w:t>affirm</w:t>
      </w:r>
      <w:r w:rsidRPr="00011D24">
        <w:rPr>
          <w:rFonts w:ascii="Times New Roman" w:hAnsi="Times New Roman" w:cs="Times New Roman"/>
        </w:rPr>
        <w:t xml:space="preserve"> that the model’s assumptions are satisfied, lending credibility to the regression results. The use of the fixed effects model ensures that firm-specific characteristics that do not vary over time are properly controlled for, while the absence of heteroscedasticity and multicollinearity further strengthens the reliability of the findings.</w:t>
      </w:r>
    </w:p>
    <w:p w14:paraId="252AA9E4" w14:textId="77777777" w:rsidR="00CA41DE" w:rsidRPr="00CA41DE" w:rsidRDefault="00CA41DE" w:rsidP="00CA41DE">
      <w:pPr>
        <w:jc w:val="both"/>
        <w:rPr>
          <w:rFonts w:ascii="Times New Roman" w:hAnsi="Times New Roman" w:cs="Times New Roman"/>
          <w:b/>
          <w:bCs/>
        </w:rPr>
      </w:pPr>
      <w:r w:rsidRPr="00CA41DE">
        <w:rPr>
          <w:rFonts w:ascii="Times New Roman" w:hAnsi="Times New Roman" w:cs="Times New Roman"/>
          <w:b/>
          <w:bCs/>
        </w:rPr>
        <w:t>4.5 Discussion</w:t>
      </w:r>
    </w:p>
    <w:p w14:paraId="70C46565" w14:textId="77777777" w:rsidR="00CA41DE" w:rsidRPr="00CA41DE" w:rsidRDefault="00CA41DE" w:rsidP="00CA41DE">
      <w:pPr>
        <w:jc w:val="both"/>
        <w:rPr>
          <w:rFonts w:ascii="Times New Roman" w:hAnsi="Times New Roman" w:cs="Times New Roman"/>
        </w:rPr>
      </w:pPr>
      <w:r w:rsidRPr="00CA41DE">
        <w:rPr>
          <w:rFonts w:ascii="Times New Roman" w:hAnsi="Times New Roman" w:cs="Times New Roman"/>
        </w:rPr>
        <w:t>The findings of this study provide robust empirical evidence that tax burden, as measured by both the effective tax rate (ETR) and cash effective tax rate (CETR), has a significant negative effect on the financial stability of Nigerian oil and gas firms, proxied by the interest coverage ratio (ICR). This result is consistent with the theoretical expectations of the trade-off theory, which posits that while debt can provide tax advantages, excessive tax burdens can erode the benefits of leverage and increase the risk of financial distress (</w:t>
      </w:r>
      <w:proofErr w:type="spellStart"/>
      <w:r w:rsidRPr="00CA41DE">
        <w:rPr>
          <w:rFonts w:ascii="Times New Roman" w:hAnsi="Times New Roman" w:cs="Times New Roman"/>
        </w:rPr>
        <w:t>Jabar</w:t>
      </w:r>
      <w:proofErr w:type="spellEnd"/>
      <w:r w:rsidRPr="00CA41DE">
        <w:rPr>
          <w:rFonts w:ascii="Times New Roman" w:hAnsi="Times New Roman" w:cs="Times New Roman"/>
        </w:rPr>
        <w:t xml:space="preserve"> &amp; </w:t>
      </w:r>
      <w:proofErr w:type="spellStart"/>
      <w:r w:rsidRPr="00CA41DE">
        <w:rPr>
          <w:rFonts w:ascii="Times New Roman" w:hAnsi="Times New Roman" w:cs="Times New Roman"/>
        </w:rPr>
        <w:t>Akinadewo</w:t>
      </w:r>
      <w:proofErr w:type="spellEnd"/>
      <w:r w:rsidRPr="00CA41DE">
        <w:rPr>
          <w:rFonts w:ascii="Times New Roman" w:hAnsi="Times New Roman" w:cs="Times New Roman"/>
        </w:rPr>
        <w:t xml:space="preserve">, 2023; </w:t>
      </w:r>
      <w:proofErr w:type="spellStart"/>
      <w:r w:rsidRPr="00CA41DE">
        <w:rPr>
          <w:rFonts w:ascii="Times New Roman" w:hAnsi="Times New Roman" w:cs="Times New Roman"/>
        </w:rPr>
        <w:t>Salako</w:t>
      </w:r>
      <w:proofErr w:type="spellEnd"/>
      <w:r w:rsidRPr="00CA41DE">
        <w:rPr>
          <w:rFonts w:ascii="Times New Roman" w:hAnsi="Times New Roman" w:cs="Times New Roman"/>
        </w:rPr>
        <w:t xml:space="preserve"> </w:t>
      </w:r>
      <w:proofErr w:type="spellStart"/>
      <w:r w:rsidRPr="00CA41DE">
        <w:rPr>
          <w:rFonts w:ascii="Times New Roman" w:hAnsi="Times New Roman" w:cs="Times New Roman"/>
        </w:rPr>
        <w:t>Yisau</w:t>
      </w:r>
      <w:proofErr w:type="spellEnd"/>
      <w:r w:rsidRPr="00CA41DE">
        <w:rPr>
          <w:rFonts w:ascii="Times New Roman" w:hAnsi="Times New Roman" w:cs="Times New Roman"/>
        </w:rPr>
        <w:t xml:space="preserve"> et al., 2024).</w:t>
      </w:r>
    </w:p>
    <w:p w14:paraId="3972BE2A" w14:textId="77777777" w:rsidR="00CA41DE" w:rsidRPr="00CA41DE" w:rsidRDefault="00CA41DE" w:rsidP="00CA41DE">
      <w:pPr>
        <w:jc w:val="both"/>
        <w:rPr>
          <w:rFonts w:ascii="Times New Roman" w:hAnsi="Times New Roman" w:cs="Times New Roman"/>
        </w:rPr>
      </w:pPr>
      <w:r w:rsidRPr="00CA41DE">
        <w:rPr>
          <w:rFonts w:ascii="Times New Roman" w:hAnsi="Times New Roman" w:cs="Times New Roman"/>
        </w:rPr>
        <w:t xml:space="preserve">The negative relationship between tax burden and ICR found in this study aligns with the findings of </w:t>
      </w:r>
      <w:proofErr w:type="spellStart"/>
      <w:r w:rsidRPr="00CA41DE">
        <w:rPr>
          <w:rFonts w:ascii="Times New Roman" w:hAnsi="Times New Roman" w:cs="Times New Roman"/>
        </w:rPr>
        <w:t>Eneisik</w:t>
      </w:r>
      <w:proofErr w:type="spellEnd"/>
      <w:r w:rsidRPr="00CA41DE">
        <w:rPr>
          <w:rFonts w:ascii="Times New Roman" w:hAnsi="Times New Roman" w:cs="Times New Roman"/>
        </w:rPr>
        <w:t xml:space="preserve"> et al. (2023), who reported that high tax rates negatively impact profitability and financial resilience in Nigerian manufacturing firms. Similarly, </w:t>
      </w:r>
      <w:proofErr w:type="spellStart"/>
      <w:r w:rsidRPr="00CA41DE">
        <w:rPr>
          <w:rFonts w:ascii="Times New Roman" w:hAnsi="Times New Roman" w:cs="Times New Roman"/>
        </w:rPr>
        <w:t>Akinsulire</w:t>
      </w:r>
      <w:proofErr w:type="spellEnd"/>
      <w:r w:rsidRPr="00CA41DE">
        <w:rPr>
          <w:rFonts w:ascii="Times New Roman" w:hAnsi="Times New Roman" w:cs="Times New Roman"/>
        </w:rPr>
        <w:t xml:space="preserve"> et al. (2022) observed that while tax optimization strategies can enhance firm value, higher effective tax rates tend to reduce financial performance. The results also echo the conclusions of Fagbemi et al. (2018), who found that strategic tax management is essential for maintaining financial health in the banking sector.</w:t>
      </w:r>
    </w:p>
    <w:p w14:paraId="01F62F72" w14:textId="77777777" w:rsidR="00CA41DE" w:rsidRPr="00CA41DE" w:rsidRDefault="00CA41DE" w:rsidP="00CA41DE">
      <w:pPr>
        <w:jc w:val="both"/>
        <w:rPr>
          <w:rFonts w:ascii="Times New Roman" w:hAnsi="Times New Roman" w:cs="Times New Roman"/>
        </w:rPr>
      </w:pPr>
      <w:r w:rsidRPr="00CA41DE">
        <w:rPr>
          <w:rFonts w:ascii="Times New Roman" w:hAnsi="Times New Roman" w:cs="Times New Roman"/>
        </w:rPr>
        <w:t>Furthermore, the significant negative effect of CETR on ICR supports the argument by Salaudeen and Atoyebi (2018) that increased tax compliance costs and administrative burdens can constrain firms’ operational cash flows, thereby weakening their ability to service debt. This is particularly relevant in the oil and gas sector, where firms are subject to multiple layers of taxation and frequent regulatory changes (Federal Inland Revenue Service, 2023; Petroleum Industry Act, 2021).</w:t>
      </w:r>
    </w:p>
    <w:p w14:paraId="5C86E840" w14:textId="77777777" w:rsidR="00CA41DE" w:rsidRPr="00CA41DE" w:rsidRDefault="00CA41DE" w:rsidP="00CA41DE">
      <w:pPr>
        <w:jc w:val="both"/>
        <w:rPr>
          <w:rFonts w:ascii="Times New Roman" w:hAnsi="Times New Roman" w:cs="Times New Roman"/>
        </w:rPr>
      </w:pPr>
      <w:r w:rsidRPr="00CA41DE">
        <w:rPr>
          <w:rFonts w:ascii="Times New Roman" w:hAnsi="Times New Roman" w:cs="Times New Roman"/>
        </w:rPr>
        <w:t xml:space="preserve">The positive and significant coefficient for firm age suggests that older firms are more financially stable, likely due to accumulated experience, established financial practices, and stronger capital bases. This finding is in line with the work of </w:t>
      </w:r>
      <w:proofErr w:type="spellStart"/>
      <w:r w:rsidRPr="00CA41DE">
        <w:rPr>
          <w:rFonts w:ascii="Times New Roman" w:hAnsi="Times New Roman" w:cs="Times New Roman"/>
        </w:rPr>
        <w:t>Salako</w:t>
      </w:r>
      <w:proofErr w:type="spellEnd"/>
      <w:r w:rsidRPr="00CA41DE">
        <w:rPr>
          <w:rFonts w:ascii="Times New Roman" w:hAnsi="Times New Roman" w:cs="Times New Roman"/>
        </w:rPr>
        <w:t xml:space="preserve"> </w:t>
      </w:r>
      <w:proofErr w:type="spellStart"/>
      <w:r w:rsidRPr="00CA41DE">
        <w:rPr>
          <w:rFonts w:ascii="Times New Roman" w:hAnsi="Times New Roman" w:cs="Times New Roman"/>
        </w:rPr>
        <w:t>Yisau</w:t>
      </w:r>
      <w:proofErr w:type="spellEnd"/>
      <w:r w:rsidRPr="00CA41DE">
        <w:rPr>
          <w:rFonts w:ascii="Times New Roman" w:hAnsi="Times New Roman" w:cs="Times New Roman"/>
        </w:rPr>
        <w:t xml:space="preserve"> et al. (2024) and Adegboyega (2024), who noted that firm age is positively associated with financial resilience and the ability to withstand fiscal shocks.</w:t>
      </w:r>
    </w:p>
    <w:p w14:paraId="3E88D62A" w14:textId="77777777" w:rsidR="00CA41DE" w:rsidRPr="00CA41DE" w:rsidRDefault="00CA41DE" w:rsidP="00CA41DE">
      <w:pPr>
        <w:jc w:val="both"/>
        <w:rPr>
          <w:rFonts w:ascii="Times New Roman" w:hAnsi="Times New Roman" w:cs="Times New Roman"/>
        </w:rPr>
      </w:pPr>
      <w:r w:rsidRPr="00CA41DE">
        <w:rPr>
          <w:rFonts w:ascii="Times New Roman" w:hAnsi="Times New Roman" w:cs="Times New Roman"/>
        </w:rPr>
        <w:t>It is noteworthy that while some studies, such as Bamidele and Abdulsalam (2025), found a positive but statistically insignificant relationship between effective tax rate and market value in non-financial manufacturing companies, the present study demonstrates a significant negative effect of tax burden on financial stability in the oil and gas sector. This difference may be attributed to sectoral characteristics, as the oil and gas industry is more capital-intensive and exposed to global market volatility than other sectors.</w:t>
      </w:r>
    </w:p>
    <w:p w14:paraId="228CDDDB" w14:textId="77777777" w:rsidR="00CA41DE" w:rsidRPr="00CA41DE" w:rsidRDefault="00CA41DE" w:rsidP="00CA41DE">
      <w:pPr>
        <w:jc w:val="both"/>
        <w:rPr>
          <w:rFonts w:ascii="Times New Roman" w:hAnsi="Times New Roman" w:cs="Times New Roman"/>
        </w:rPr>
      </w:pPr>
      <w:r w:rsidRPr="00CA41DE">
        <w:rPr>
          <w:rFonts w:ascii="Times New Roman" w:hAnsi="Times New Roman" w:cs="Times New Roman"/>
        </w:rPr>
        <w:t xml:space="preserve">The results also complement the findings of </w:t>
      </w:r>
      <w:proofErr w:type="spellStart"/>
      <w:r w:rsidRPr="00CA41DE">
        <w:rPr>
          <w:rFonts w:ascii="Times New Roman" w:hAnsi="Times New Roman" w:cs="Times New Roman"/>
        </w:rPr>
        <w:t>Kupoluyi</w:t>
      </w:r>
      <w:proofErr w:type="spellEnd"/>
      <w:r w:rsidRPr="00CA41DE">
        <w:rPr>
          <w:rFonts w:ascii="Times New Roman" w:hAnsi="Times New Roman" w:cs="Times New Roman"/>
        </w:rPr>
        <w:t xml:space="preserve"> et al. (2024) and </w:t>
      </w:r>
      <w:proofErr w:type="spellStart"/>
      <w:r w:rsidRPr="00CA41DE">
        <w:rPr>
          <w:rFonts w:ascii="Times New Roman" w:hAnsi="Times New Roman" w:cs="Times New Roman"/>
        </w:rPr>
        <w:t>Nmehielle</w:t>
      </w:r>
      <w:proofErr w:type="spellEnd"/>
      <w:r w:rsidRPr="00CA41DE">
        <w:rPr>
          <w:rFonts w:ascii="Times New Roman" w:hAnsi="Times New Roman" w:cs="Times New Roman"/>
        </w:rPr>
        <w:t xml:space="preserve"> (2023), who highlighted the importance of tax incentives and efficient tax management in mitigating the negative effects of high tax burdens on firm performance. The present study extends this line of </w:t>
      </w:r>
      <w:r w:rsidRPr="00CA41DE">
        <w:rPr>
          <w:rFonts w:ascii="Times New Roman" w:hAnsi="Times New Roman" w:cs="Times New Roman"/>
        </w:rPr>
        <w:lastRenderedPageBreak/>
        <w:t>research by providing sector-specific evidence that excessive tax burdens can undermine the financial stability of oil and gas firms, even when controlling for firm age.</w:t>
      </w:r>
    </w:p>
    <w:p w14:paraId="1127D0CF" w14:textId="77777777" w:rsidR="00CA41DE" w:rsidRPr="00CA41DE" w:rsidRDefault="00CA41DE" w:rsidP="00CA41DE">
      <w:pPr>
        <w:jc w:val="both"/>
        <w:rPr>
          <w:rFonts w:ascii="Times New Roman" w:hAnsi="Times New Roman" w:cs="Times New Roman"/>
        </w:rPr>
      </w:pPr>
      <w:r w:rsidRPr="00CA41DE">
        <w:rPr>
          <w:rFonts w:ascii="Times New Roman" w:hAnsi="Times New Roman" w:cs="Times New Roman"/>
        </w:rPr>
        <w:t>From a policy perspective, these findings underscore the need for a balanced approach to tax policy in the Nigerian oil and gas sector. Policymakers should consider the adverse effects of high tax burdens on the financial health of firms that are critical to national development. Targeted tax incentives, streamlined compliance processes, or periodic reviews of tax rates could help alleviate financial strain and support the sector’s long-term sustainability. For managers, the results highlight the importance of efficient tax planning and prudent financial management. Investors may also view firms with lower tax burdens and higher ICRs as more financially stable and less risky, which could influence investment decisions and firm valuation.</w:t>
      </w:r>
    </w:p>
    <w:p w14:paraId="3F825C28" w14:textId="77777777" w:rsidR="00CA41DE" w:rsidRPr="00CA41DE" w:rsidRDefault="00CA41DE" w:rsidP="00CA41DE">
      <w:pPr>
        <w:jc w:val="both"/>
        <w:rPr>
          <w:rFonts w:ascii="Times New Roman" w:hAnsi="Times New Roman" w:cs="Times New Roman"/>
        </w:rPr>
      </w:pPr>
      <w:r w:rsidRPr="00CA41DE">
        <w:rPr>
          <w:rFonts w:ascii="Times New Roman" w:hAnsi="Times New Roman" w:cs="Times New Roman"/>
        </w:rPr>
        <w:t>In summary, this study contributes to the literature by providing empirical evidence that tax burden is a critical determinant of financial stability in the Nigerian oil and gas sector. The findings are consistent with prior research in other sectors, but also highlight the unique challenges faced by oil and gas firms. The results call for a nuanced and sector-specific approach to tax policy that balances government revenue objectives with the need to sustain financial stability and operational resilience in a key sector of the Nigerian economy.</w:t>
      </w:r>
    </w:p>
    <w:p w14:paraId="35735273" w14:textId="5519DF8E" w:rsidR="00CA41DE" w:rsidRPr="00CA41DE" w:rsidRDefault="00CA41DE" w:rsidP="00CA41DE">
      <w:pPr>
        <w:jc w:val="both"/>
        <w:rPr>
          <w:rFonts w:ascii="Times New Roman" w:hAnsi="Times New Roman" w:cs="Times New Roman"/>
          <w:b/>
          <w:bCs/>
        </w:rPr>
      </w:pPr>
      <w:r w:rsidRPr="00CA41DE">
        <w:rPr>
          <w:rFonts w:ascii="Times New Roman" w:hAnsi="Times New Roman" w:cs="Times New Roman"/>
          <w:b/>
          <w:bCs/>
        </w:rPr>
        <w:t>5.</w:t>
      </w:r>
      <w:r w:rsidR="000A22CC" w:rsidRPr="00F675E6">
        <w:rPr>
          <w:rFonts w:ascii="Times New Roman" w:hAnsi="Times New Roman" w:cs="Times New Roman"/>
          <w:b/>
          <w:bCs/>
        </w:rPr>
        <w:t>1</w:t>
      </w:r>
      <w:r w:rsidRPr="00CA41DE">
        <w:rPr>
          <w:rFonts w:ascii="Times New Roman" w:hAnsi="Times New Roman" w:cs="Times New Roman"/>
          <w:b/>
          <w:bCs/>
        </w:rPr>
        <w:t xml:space="preserve"> Conclusion</w:t>
      </w:r>
    </w:p>
    <w:p w14:paraId="242ED341" w14:textId="54C69E61" w:rsidR="00CA41DE" w:rsidRPr="00CA41DE" w:rsidRDefault="00CA41DE" w:rsidP="00CA41DE">
      <w:pPr>
        <w:jc w:val="both"/>
        <w:rPr>
          <w:rFonts w:ascii="Times New Roman" w:hAnsi="Times New Roman" w:cs="Times New Roman"/>
        </w:rPr>
      </w:pPr>
      <w:r w:rsidRPr="00CA41DE">
        <w:rPr>
          <w:rFonts w:ascii="Times New Roman" w:hAnsi="Times New Roman" w:cs="Times New Roman"/>
        </w:rPr>
        <w:t>This study set out to examine the effect of tax burden</w:t>
      </w:r>
      <w:r w:rsidR="00630569" w:rsidRPr="00F675E6">
        <w:rPr>
          <w:rFonts w:ascii="Times New Roman" w:hAnsi="Times New Roman" w:cs="Times New Roman"/>
        </w:rPr>
        <w:t xml:space="preserve"> </w:t>
      </w:r>
      <w:r w:rsidRPr="00CA41DE">
        <w:rPr>
          <w:rFonts w:ascii="Times New Roman" w:hAnsi="Times New Roman" w:cs="Times New Roman"/>
        </w:rPr>
        <w:t>proxied by effective tax rate (ETR) and cash effective tax rate (CETR)</w:t>
      </w:r>
      <w:r w:rsidR="00630569" w:rsidRPr="00F675E6">
        <w:rPr>
          <w:rFonts w:ascii="Times New Roman" w:hAnsi="Times New Roman" w:cs="Times New Roman"/>
        </w:rPr>
        <w:t xml:space="preserve"> </w:t>
      </w:r>
      <w:r w:rsidRPr="00CA41DE">
        <w:rPr>
          <w:rFonts w:ascii="Times New Roman" w:hAnsi="Times New Roman" w:cs="Times New Roman"/>
        </w:rPr>
        <w:t>on the financial stability of Nigerian oil and gas firms, as measured by the interest coverage ratio (ICR), while controlling for firm age. Using panel data from all listed oil and gas firms on the Nigerian Exchange Group over the period 2012–2024, the study employed robust econometric techniques, including fixed effects regression and comprehensive diagnostic tests.</w:t>
      </w:r>
    </w:p>
    <w:p w14:paraId="336B3769" w14:textId="77777777" w:rsidR="00CA41DE" w:rsidRPr="00CA41DE" w:rsidRDefault="00CA41DE" w:rsidP="00CA41DE">
      <w:pPr>
        <w:jc w:val="both"/>
        <w:rPr>
          <w:rFonts w:ascii="Times New Roman" w:hAnsi="Times New Roman" w:cs="Times New Roman"/>
        </w:rPr>
      </w:pPr>
      <w:r w:rsidRPr="00CA41DE">
        <w:rPr>
          <w:rFonts w:ascii="Times New Roman" w:hAnsi="Times New Roman" w:cs="Times New Roman"/>
        </w:rPr>
        <w:t>The empirical results reveal that both ETR and CETR have statistically significant negative effects on ICR. This indicates that higher tax burdens, whether measured on an accrual or cash basis, substantially reduce the ability of oil and gas firms to meet their interest obligations from operating earnings, thereby weakening their financial stability. In contrast, firm age was found to have a positive and significant effect on ICR, suggesting that older firms are generally more financially resilient, likely due to accumulated experience and established financial practices.</w:t>
      </w:r>
    </w:p>
    <w:p w14:paraId="333985F8" w14:textId="77777777" w:rsidR="00CA41DE" w:rsidRPr="00CA41DE" w:rsidRDefault="00CA41DE" w:rsidP="00CA41DE">
      <w:pPr>
        <w:jc w:val="both"/>
        <w:rPr>
          <w:rFonts w:ascii="Times New Roman" w:hAnsi="Times New Roman" w:cs="Times New Roman"/>
        </w:rPr>
      </w:pPr>
      <w:r w:rsidRPr="00CA41DE">
        <w:rPr>
          <w:rFonts w:ascii="Times New Roman" w:hAnsi="Times New Roman" w:cs="Times New Roman"/>
        </w:rPr>
        <w:t>These findings are consistent with previous research in other sectors, confirming that excessive or poorly structured tax burdens can undermine corporate financial health. However, this study extends the literature by providing sector-specific evidence for the Nigerian oil and gas industry, a sector that is both capital-intensive and vital to national economic development.</w:t>
      </w:r>
    </w:p>
    <w:p w14:paraId="40D5583B" w14:textId="77777777" w:rsidR="00CA41DE" w:rsidRPr="00CA41DE" w:rsidRDefault="00CA41DE" w:rsidP="00CA41DE">
      <w:pPr>
        <w:jc w:val="both"/>
        <w:rPr>
          <w:rFonts w:ascii="Times New Roman" w:hAnsi="Times New Roman" w:cs="Times New Roman"/>
        </w:rPr>
      </w:pPr>
      <w:r w:rsidRPr="00CA41DE">
        <w:rPr>
          <w:rFonts w:ascii="Times New Roman" w:hAnsi="Times New Roman" w:cs="Times New Roman"/>
        </w:rPr>
        <w:t xml:space="preserve">In light of these findings, the study concludes that there is a critical need for policymakers to strike a balance between revenue generation and the financial sustainability of oil and gas firms. Tax policies should be designed to avoid imposing excessive burdens that could compromise firms’ ability to service debt and invest in growth. Targeted tax incentives, streamlined compliance </w:t>
      </w:r>
      <w:r w:rsidRPr="00CA41DE">
        <w:rPr>
          <w:rFonts w:ascii="Times New Roman" w:hAnsi="Times New Roman" w:cs="Times New Roman"/>
        </w:rPr>
        <w:lastRenderedPageBreak/>
        <w:t>processes, and periodic reviews of tax rates may help to support the long-term stability and competitiveness of the sector.</w:t>
      </w:r>
    </w:p>
    <w:p w14:paraId="53A6A0CE" w14:textId="77777777" w:rsidR="00CA41DE" w:rsidRPr="00CA41DE" w:rsidRDefault="00CA41DE" w:rsidP="00CA41DE">
      <w:pPr>
        <w:jc w:val="both"/>
        <w:rPr>
          <w:rFonts w:ascii="Times New Roman" w:hAnsi="Times New Roman" w:cs="Times New Roman"/>
        </w:rPr>
      </w:pPr>
      <w:r w:rsidRPr="00CA41DE">
        <w:rPr>
          <w:rFonts w:ascii="Times New Roman" w:hAnsi="Times New Roman" w:cs="Times New Roman"/>
        </w:rPr>
        <w:t>For managers and investors, the results underscore the importance of effective tax planning and prudent financial management in enhancing firm stability. Ultimately, a balanced and responsive tax regime is essential for sustaining the operational resilience and developmental contributions of Nigeria’s oil and gas sector.</w:t>
      </w:r>
    </w:p>
    <w:p w14:paraId="72F6720D" w14:textId="0053D8C3" w:rsidR="000A22CC" w:rsidRPr="000A22CC" w:rsidRDefault="000A22CC" w:rsidP="000A22CC">
      <w:pPr>
        <w:jc w:val="both"/>
        <w:rPr>
          <w:rFonts w:ascii="Times New Roman" w:hAnsi="Times New Roman" w:cs="Times New Roman"/>
        </w:rPr>
      </w:pPr>
      <w:r w:rsidRPr="00F675E6">
        <w:rPr>
          <w:rFonts w:ascii="Times New Roman" w:hAnsi="Times New Roman" w:cs="Times New Roman"/>
          <w:b/>
          <w:bCs/>
        </w:rPr>
        <w:t>5.2</w:t>
      </w:r>
      <w:r w:rsidRPr="000A22CC">
        <w:rPr>
          <w:rFonts w:ascii="Times New Roman" w:hAnsi="Times New Roman" w:cs="Times New Roman"/>
          <w:b/>
          <w:bCs/>
        </w:rPr>
        <w:t xml:space="preserve"> Recommendations</w:t>
      </w:r>
    </w:p>
    <w:p w14:paraId="73824A7D" w14:textId="77777777" w:rsidR="000A22CC" w:rsidRPr="000A22CC" w:rsidRDefault="000A22CC" w:rsidP="000A22CC">
      <w:pPr>
        <w:jc w:val="both"/>
        <w:rPr>
          <w:rFonts w:ascii="Times New Roman" w:hAnsi="Times New Roman" w:cs="Times New Roman"/>
        </w:rPr>
      </w:pPr>
      <w:r w:rsidRPr="000A22CC">
        <w:rPr>
          <w:rFonts w:ascii="Times New Roman" w:hAnsi="Times New Roman" w:cs="Times New Roman"/>
        </w:rPr>
        <w:t>Based on the findings that higher effective tax rates (ETR) and cash effective tax rates (CETR) significantly reduce the financial stability of Nigerian oil and gas firms, while firm age enhances stability, the following recommendations are made:</w:t>
      </w:r>
    </w:p>
    <w:p w14:paraId="6870A1A8" w14:textId="449AF680" w:rsidR="000A22CC" w:rsidRPr="000A22CC" w:rsidRDefault="000A22CC" w:rsidP="000A22CC">
      <w:pPr>
        <w:numPr>
          <w:ilvl w:val="0"/>
          <w:numId w:val="9"/>
        </w:numPr>
        <w:jc w:val="both"/>
        <w:rPr>
          <w:rFonts w:ascii="Times New Roman" w:hAnsi="Times New Roman" w:cs="Times New Roman"/>
        </w:rPr>
      </w:pPr>
      <w:r w:rsidRPr="000A22CC">
        <w:rPr>
          <w:rFonts w:ascii="Times New Roman" w:hAnsi="Times New Roman" w:cs="Times New Roman"/>
        </w:rPr>
        <w:t>Policymakers should review and, where necessary, moderate the effective tax rates imposed on oil and gas firms. This will help prevent excessive tax burdens that undermine firms’ ability to service debt and maintain financial stability, as evidenced by the significant negative impact of ETR and CETR on ICR.</w:t>
      </w:r>
    </w:p>
    <w:p w14:paraId="43F69ACC" w14:textId="07EF65E5" w:rsidR="000A22CC" w:rsidRPr="000A22CC" w:rsidRDefault="000A22CC" w:rsidP="000A22CC">
      <w:pPr>
        <w:numPr>
          <w:ilvl w:val="0"/>
          <w:numId w:val="9"/>
        </w:numPr>
        <w:jc w:val="both"/>
        <w:rPr>
          <w:rFonts w:ascii="Times New Roman" w:hAnsi="Times New Roman" w:cs="Times New Roman"/>
        </w:rPr>
      </w:pPr>
      <w:r w:rsidRPr="000A22CC">
        <w:rPr>
          <w:rFonts w:ascii="Times New Roman" w:hAnsi="Times New Roman" w:cs="Times New Roman"/>
        </w:rPr>
        <w:t>The government should introduce or strengthen targeted tax incentives and reliefs for oil and gas firms, particularly those that are younger or less established. Such measures can help offset the adverse effects of high tax burdens and support the financial resilience and growth of firms in the sector.</w:t>
      </w:r>
    </w:p>
    <w:p w14:paraId="669D6C1C" w14:textId="0624AA0F" w:rsidR="000A22CC" w:rsidRPr="000A22CC" w:rsidRDefault="000A22CC" w:rsidP="000A22CC">
      <w:pPr>
        <w:numPr>
          <w:ilvl w:val="0"/>
          <w:numId w:val="9"/>
        </w:numPr>
        <w:jc w:val="both"/>
        <w:rPr>
          <w:rFonts w:ascii="Times New Roman" w:hAnsi="Times New Roman" w:cs="Times New Roman"/>
        </w:rPr>
      </w:pPr>
      <w:r w:rsidRPr="000A22CC">
        <w:rPr>
          <w:rFonts w:ascii="Times New Roman" w:hAnsi="Times New Roman" w:cs="Times New Roman"/>
        </w:rPr>
        <w:t>Oil and gas firms should prioritize effective tax planning and compliance strategies to optimize their tax positions and improve cash flow management. By leveraging available incentives and ensuring efficient tax management, firms can better withstand fiscal pressures and enhance their financial stability.</w:t>
      </w:r>
    </w:p>
    <w:p w14:paraId="0B2E140D" w14:textId="4A73D420" w:rsidR="00074397" w:rsidRPr="00F675E6" w:rsidRDefault="00074397">
      <w:pPr>
        <w:rPr>
          <w:rFonts w:ascii="Times New Roman" w:hAnsi="Times New Roman" w:cs="Times New Roman"/>
        </w:rPr>
      </w:pPr>
      <w:r w:rsidRPr="00F675E6">
        <w:rPr>
          <w:rFonts w:ascii="Times New Roman" w:hAnsi="Times New Roman" w:cs="Times New Roman"/>
        </w:rPr>
        <w:br w:type="page"/>
      </w:r>
    </w:p>
    <w:p w14:paraId="34D9D353" w14:textId="77777777" w:rsidR="005975AD" w:rsidRPr="005975AD" w:rsidRDefault="005975AD" w:rsidP="005975AD">
      <w:pPr>
        <w:jc w:val="both"/>
        <w:rPr>
          <w:rFonts w:ascii="Times New Roman" w:hAnsi="Times New Roman" w:cs="Times New Roman"/>
        </w:rPr>
      </w:pPr>
      <w:r w:rsidRPr="005975AD">
        <w:rPr>
          <w:rFonts w:ascii="Times New Roman" w:hAnsi="Times New Roman" w:cs="Times New Roman"/>
        </w:rPr>
        <w:lastRenderedPageBreak/>
        <w:t>References</w:t>
      </w:r>
    </w:p>
    <w:p w14:paraId="23A04A39" w14:textId="77777777" w:rsidR="005A5CAC" w:rsidRPr="00F675E6" w:rsidRDefault="005A5CAC" w:rsidP="005A5CAC">
      <w:pPr>
        <w:ind w:left="720" w:hanging="720"/>
        <w:jc w:val="both"/>
        <w:rPr>
          <w:rFonts w:ascii="Times New Roman" w:hAnsi="Times New Roman" w:cs="Times New Roman"/>
        </w:rPr>
      </w:pPr>
      <w:r w:rsidRPr="005975AD">
        <w:rPr>
          <w:rFonts w:ascii="Times New Roman" w:hAnsi="Times New Roman" w:cs="Times New Roman"/>
        </w:rPr>
        <w:t>Adegboyega, A. (2024). Does companies’ income tax and financial leverage affect profitability of quoted manufacturing companies in Nigeria? </w:t>
      </w:r>
      <w:r w:rsidRPr="005975AD">
        <w:rPr>
          <w:rFonts w:ascii="Times New Roman" w:hAnsi="Times New Roman" w:cs="Times New Roman"/>
          <w:i/>
          <w:iCs/>
        </w:rPr>
        <w:t>Caleb International Journal of Development Studies, 7</w:t>
      </w:r>
      <w:r w:rsidRPr="005975AD">
        <w:rPr>
          <w:rFonts w:ascii="Times New Roman" w:hAnsi="Times New Roman" w:cs="Times New Roman"/>
        </w:rPr>
        <w:t>(2), 89–104. </w:t>
      </w:r>
      <w:hyperlink r:id="rId8" w:history="1">
        <w:r w:rsidRPr="005975AD">
          <w:rPr>
            <w:rStyle w:val="Hyperlink"/>
            <w:rFonts w:ascii="Times New Roman" w:hAnsi="Times New Roman" w:cs="Times New Roman"/>
          </w:rPr>
          <w:t>https://doi.org/10.26772/cijds-2024-07-02-06</w:t>
        </w:r>
      </w:hyperlink>
    </w:p>
    <w:p w14:paraId="574C2979" w14:textId="77777777" w:rsidR="005A5CAC" w:rsidRPr="005975AD" w:rsidRDefault="005A5CAC" w:rsidP="00A5614E">
      <w:pPr>
        <w:ind w:left="720" w:hanging="720"/>
        <w:jc w:val="both"/>
        <w:rPr>
          <w:rFonts w:ascii="Times New Roman" w:hAnsi="Times New Roman" w:cs="Times New Roman"/>
        </w:rPr>
      </w:pPr>
      <w:proofErr w:type="spellStart"/>
      <w:r w:rsidRPr="005975AD">
        <w:rPr>
          <w:rFonts w:ascii="Times New Roman" w:hAnsi="Times New Roman" w:cs="Times New Roman"/>
        </w:rPr>
        <w:t>Akinsulire</w:t>
      </w:r>
      <w:proofErr w:type="spellEnd"/>
      <w:r w:rsidRPr="005975AD">
        <w:rPr>
          <w:rFonts w:ascii="Times New Roman" w:hAnsi="Times New Roman" w:cs="Times New Roman"/>
        </w:rPr>
        <w:t>, O. O., Adegbie, F. F., &amp; Akintoye, I. R. (2022). Tax optimization and firm value: A study of selected manufacturing firms listed in Nigeria. </w:t>
      </w:r>
      <w:r w:rsidRPr="005975AD">
        <w:rPr>
          <w:rFonts w:ascii="Times New Roman" w:hAnsi="Times New Roman" w:cs="Times New Roman"/>
          <w:i/>
          <w:iCs/>
        </w:rPr>
        <w:t>Caleb International Journal of Development Studies, 5</w:t>
      </w:r>
      <w:r w:rsidRPr="005975AD">
        <w:rPr>
          <w:rFonts w:ascii="Times New Roman" w:hAnsi="Times New Roman" w:cs="Times New Roman"/>
        </w:rPr>
        <w:t>(1), 178–196. </w:t>
      </w:r>
      <w:hyperlink r:id="rId9" w:history="1">
        <w:r w:rsidRPr="005975AD">
          <w:rPr>
            <w:rStyle w:val="Hyperlink"/>
            <w:rFonts w:ascii="Times New Roman" w:hAnsi="Times New Roman" w:cs="Times New Roman"/>
          </w:rPr>
          <w:t>https://doi.org/10.26772/cijds-2022-05-01-011</w:t>
        </w:r>
      </w:hyperlink>
    </w:p>
    <w:p w14:paraId="1FDFECB6" w14:textId="77777777" w:rsidR="005A5CAC" w:rsidRPr="005975AD" w:rsidRDefault="005A5CAC" w:rsidP="00A5614E">
      <w:pPr>
        <w:ind w:left="720" w:hanging="720"/>
        <w:jc w:val="both"/>
        <w:rPr>
          <w:rFonts w:ascii="Times New Roman" w:hAnsi="Times New Roman" w:cs="Times New Roman"/>
        </w:rPr>
      </w:pPr>
      <w:r w:rsidRPr="005975AD">
        <w:rPr>
          <w:rFonts w:ascii="Times New Roman" w:hAnsi="Times New Roman" w:cs="Times New Roman"/>
        </w:rPr>
        <w:t>Bamidele, V. O., &amp; Abdulsalam, D. (2025). Corporate tax planning and market value of Nigerian listed non-financial manufacturing companies. </w:t>
      </w:r>
      <w:proofErr w:type="spellStart"/>
      <w:r w:rsidRPr="005975AD">
        <w:rPr>
          <w:rFonts w:ascii="Times New Roman" w:hAnsi="Times New Roman" w:cs="Times New Roman"/>
          <w:i/>
          <w:iCs/>
        </w:rPr>
        <w:t>Jurnal</w:t>
      </w:r>
      <w:proofErr w:type="spellEnd"/>
      <w:r w:rsidRPr="005975AD">
        <w:rPr>
          <w:rFonts w:ascii="Times New Roman" w:hAnsi="Times New Roman" w:cs="Times New Roman"/>
          <w:i/>
          <w:iCs/>
        </w:rPr>
        <w:t xml:space="preserve"> </w:t>
      </w:r>
      <w:proofErr w:type="spellStart"/>
      <w:r w:rsidRPr="005975AD">
        <w:rPr>
          <w:rFonts w:ascii="Times New Roman" w:hAnsi="Times New Roman" w:cs="Times New Roman"/>
          <w:i/>
          <w:iCs/>
        </w:rPr>
        <w:t>Akuntansi</w:t>
      </w:r>
      <w:proofErr w:type="spellEnd"/>
      <w:r w:rsidRPr="005975AD">
        <w:rPr>
          <w:rFonts w:ascii="Times New Roman" w:hAnsi="Times New Roman" w:cs="Times New Roman"/>
          <w:i/>
          <w:iCs/>
        </w:rPr>
        <w:t>, 17</w:t>
      </w:r>
      <w:r w:rsidRPr="005975AD">
        <w:rPr>
          <w:rFonts w:ascii="Times New Roman" w:hAnsi="Times New Roman" w:cs="Times New Roman"/>
        </w:rPr>
        <w:t>(2), 383–400.</w:t>
      </w:r>
    </w:p>
    <w:p w14:paraId="6C88CF37" w14:textId="77777777" w:rsidR="005A5CAC" w:rsidRPr="00F675E6" w:rsidRDefault="005A5CAC" w:rsidP="005A5CAC">
      <w:pPr>
        <w:ind w:left="720" w:hanging="720"/>
        <w:jc w:val="both"/>
        <w:rPr>
          <w:rFonts w:ascii="Times New Roman" w:hAnsi="Times New Roman" w:cs="Times New Roman"/>
        </w:rPr>
      </w:pPr>
      <w:r w:rsidRPr="005A5CAC">
        <w:rPr>
          <w:rFonts w:ascii="Times New Roman" w:hAnsi="Times New Roman" w:cs="Times New Roman"/>
        </w:rPr>
        <w:t xml:space="preserve">Bamidele, V. O., </w:t>
      </w:r>
      <w:proofErr w:type="spellStart"/>
      <w:r w:rsidRPr="005A5CAC">
        <w:rPr>
          <w:rFonts w:ascii="Times New Roman" w:hAnsi="Times New Roman" w:cs="Times New Roman"/>
        </w:rPr>
        <w:t>Fajana</w:t>
      </w:r>
      <w:proofErr w:type="spellEnd"/>
      <w:r w:rsidRPr="005A5CAC">
        <w:rPr>
          <w:rFonts w:ascii="Times New Roman" w:hAnsi="Times New Roman" w:cs="Times New Roman"/>
        </w:rPr>
        <w:t xml:space="preserve">, K. J., &amp; </w:t>
      </w:r>
      <w:proofErr w:type="spellStart"/>
      <w:r w:rsidRPr="005A5CAC">
        <w:rPr>
          <w:rFonts w:ascii="Times New Roman" w:hAnsi="Times New Roman" w:cs="Times New Roman"/>
        </w:rPr>
        <w:t>Omananyi</w:t>
      </w:r>
      <w:proofErr w:type="spellEnd"/>
      <w:r w:rsidRPr="005A5CAC">
        <w:rPr>
          <w:rFonts w:ascii="Times New Roman" w:hAnsi="Times New Roman" w:cs="Times New Roman"/>
        </w:rPr>
        <w:t>, A. (2024). Financial Leverage and Financial Performance of Quoted Firms in Nigeria: Evidence from Oil and Gas and Agriculture Sectors. Journal of Accounting and Financial Management Sciences, 10(8), 459-472.</w:t>
      </w:r>
    </w:p>
    <w:p w14:paraId="57826DA9" w14:textId="77777777" w:rsidR="005A5CAC" w:rsidRPr="00F675E6" w:rsidRDefault="005A5CAC" w:rsidP="005A5CAC">
      <w:pPr>
        <w:ind w:left="720" w:hanging="720"/>
        <w:jc w:val="both"/>
        <w:rPr>
          <w:rFonts w:ascii="Times New Roman" w:hAnsi="Times New Roman" w:cs="Times New Roman"/>
        </w:rPr>
      </w:pPr>
      <w:r w:rsidRPr="005A5CAC">
        <w:rPr>
          <w:rFonts w:ascii="Times New Roman" w:hAnsi="Times New Roman" w:cs="Times New Roman"/>
        </w:rPr>
        <w:t>Bamidele, V. O., Ogundipe, F. B., &amp; Adedeji, O. E. (2025). Working capital management and financial performance of production-based firms in Nigeria: A panel data analysis. Journal of Accounting, Business and Social Sciences, 9(1), 115-135.</w:t>
      </w:r>
    </w:p>
    <w:p w14:paraId="41B5CFD3" w14:textId="77777777" w:rsidR="005A5CAC" w:rsidRPr="005A5CAC" w:rsidRDefault="005A5CAC" w:rsidP="005A5CAC">
      <w:pPr>
        <w:ind w:left="720" w:hanging="720"/>
        <w:jc w:val="both"/>
        <w:rPr>
          <w:rFonts w:ascii="Times New Roman" w:hAnsi="Times New Roman" w:cs="Times New Roman"/>
        </w:rPr>
      </w:pPr>
      <w:r w:rsidRPr="005A5CAC">
        <w:rPr>
          <w:rFonts w:ascii="Times New Roman" w:hAnsi="Times New Roman" w:cs="Times New Roman"/>
        </w:rPr>
        <w:t xml:space="preserve">Bamidele, V. O., </w:t>
      </w:r>
      <w:proofErr w:type="spellStart"/>
      <w:r w:rsidRPr="005A5CAC">
        <w:rPr>
          <w:rFonts w:ascii="Times New Roman" w:hAnsi="Times New Roman" w:cs="Times New Roman"/>
        </w:rPr>
        <w:t>Olomola</w:t>
      </w:r>
      <w:proofErr w:type="spellEnd"/>
      <w:r w:rsidRPr="005A5CAC">
        <w:rPr>
          <w:rFonts w:ascii="Times New Roman" w:hAnsi="Times New Roman" w:cs="Times New Roman"/>
        </w:rPr>
        <w:t>, F. O., &amp; Akomolafe, A. A. (2025). Entrepreneurial financing decisions and the profitability of listed non-financial firms in Nigeria (2015–2024). International Journal of Economics and Financial Management (IJEFM), 10(8), 255–276.</w:t>
      </w:r>
      <w:r w:rsidRPr="00F675E6">
        <w:rPr>
          <w:rFonts w:ascii="Times New Roman" w:hAnsi="Times New Roman" w:cs="Times New Roman"/>
        </w:rPr>
        <w:t xml:space="preserve"> </w:t>
      </w:r>
    </w:p>
    <w:p w14:paraId="76F2ACE9" w14:textId="77777777" w:rsidR="005A5CAC" w:rsidRPr="005975AD" w:rsidRDefault="005A5CAC" w:rsidP="00A5614E">
      <w:pPr>
        <w:ind w:left="720" w:hanging="720"/>
        <w:jc w:val="both"/>
        <w:rPr>
          <w:rFonts w:ascii="Times New Roman" w:hAnsi="Times New Roman" w:cs="Times New Roman"/>
        </w:rPr>
      </w:pPr>
      <w:proofErr w:type="spellStart"/>
      <w:r w:rsidRPr="005975AD">
        <w:rPr>
          <w:rFonts w:ascii="Times New Roman" w:hAnsi="Times New Roman" w:cs="Times New Roman"/>
        </w:rPr>
        <w:t>Eneisik</w:t>
      </w:r>
      <w:proofErr w:type="spellEnd"/>
      <w:r w:rsidRPr="005975AD">
        <w:rPr>
          <w:rFonts w:ascii="Times New Roman" w:hAnsi="Times New Roman" w:cs="Times New Roman"/>
        </w:rPr>
        <w:t xml:space="preserve">, G. E., Obara, L. C., &amp; </w:t>
      </w:r>
      <w:proofErr w:type="spellStart"/>
      <w:r w:rsidRPr="005975AD">
        <w:rPr>
          <w:rFonts w:ascii="Times New Roman" w:hAnsi="Times New Roman" w:cs="Times New Roman"/>
        </w:rPr>
        <w:t>Uwikor</w:t>
      </w:r>
      <w:proofErr w:type="spellEnd"/>
      <w:r w:rsidRPr="005975AD">
        <w:rPr>
          <w:rFonts w:ascii="Times New Roman" w:hAnsi="Times New Roman" w:cs="Times New Roman"/>
        </w:rPr>
        <w:t>, M. K. (2023). Corporate taxes and financial performance of quoted manufacturing companies in Nigeria. </w:t>
      </w:r>
      <w:r w:rsidRPr="005975AD">
        <w:rPr>
          <w:rFonts w:ascii="Times New Roman" w:hAnsi="Times New Roman" w:cs="Times New Roman"/>
          <w:i/>
          <w:iCs/>
        </w:rPr>
        <w:t>Journal of Accounting and Financial Management, 9</w:t>
      </w:r>
      <w:r w:rsidRPr="005975AD">
        <w:rPr>
          <w:rFonts w:ascii="Times New Roman" w:hAnsi="Times New Roman" w:cs="Times New Roman"/>
        </w:rPr>
        <w:t>(3), 81–105. </w:t>
      </w:r>
      <w:hyperlink r:id="rId10" w:history="1">
        <w:r w:rsidRPr="005975AD">
          <w:rPr>
            <w:rStyle w:val="Hyperlink"/>
            <w:rFonts w:ascii="Times New Roman" w:hAnsi="Times New Roman" w:cs="Times New Roman"/>
          </w:rPr>
          <w:t>https://doi.org/10.56201/jafm.v9.no3.2023.pg81.105</w:t>
        </w:r>
      </w:hyperlink>
    </w:p>
    <w:p w14:paraId="56E06FFD" w14:textId="77777777" w:rsidR="005A5CAC" w:rsidRPr="005975AD" w:rsidRDefault="005A5CAC" w:rsidP="00A5614E">
      <w:pPr>
        <w:ind w:left="720" w:hanging="720"/>
        <w:jc w:val="both"/>
        <w:rPr>
          <w:rFonts w:ascii="Times New Roman" w:hAnsi="Times New Roman" w:cs="Times New Roman"/>
        </w:rPr>
      </w:pPr>
      <w:r w:rsidRPr="005975AD">
        <w:rPr>
          <w:rFonts w:ascii="Times New Roman" w:hAnsi="Times New Roman" w:cs="Times New Roman"/>
        </w:rPr>
        <w:t>Fagbemi, T. O., Azeez, O. T., &amp; Ogundipe, A. A. (2018). The corporate tax planning and financial performance of systemically important banks in Nigeria. </w:t>
      </w:r>
      <w:proofErr w:type="spellStart"/>
      <w:r w:rsidRPr="005975AD">
        <w:rPr>
          <w:rFonts w:ascii="Times New Roman" w:hAnsi="Times New Roman" w:cs="Times New Roman"/>
          <w:i/>
          <w:iCs/>
        </w:rPr>
        <w:t>Ekonomika</w:t>
      </w:r>
      <w:proofErr w:type="spellEnd"/>
      <w:r w:rsidRPr="005975AD">
        <w:rPr>
          <w:rFonts w:ascii="Times New Roman" w:hAnsi="Times New Roman" w:cs="Times New Roman"/>
          <w:i/>
          <w:iCs/>
        </w:rPr>
        <w:t>, 101</w:t>
      </w:r>
      <w:r w:rsidRPr="005975AD">
        <w:rPr>
          <w:rFonts w:ascii="Times New Roman" w:hAnsi="Times New Roman" w:cs="Times New Roman"/>
        </w:rPr>
        <w:t>(1), 15–32.</w:t>
      </w:r>
    </w:p>
    <w:p w14:paraId="7B3514CC" w14:textId="77777777" w:rsidR="005A5CAC" w:rsidRPr="005975AD" w:rsidRDefault="005A5CAC" w:rsidP="00A5614E">
      <w:pPr>
        <w:ind w:left="720" w:hanging="720"/>
        <w:jc w:val="both"/>
        <w:rPr>
          <w:rFonts w:ascii="Times New Roman" w:hAnsi="Times New Roman" w:cs="Times New Roman"/>
        </w:rPr>
      </w:pPr>
      <w:proofErr w:type="spellStart"/>
      <w:r w:rsidRPr="005975AD">
        <w:rPr>
          <w:rFonts w:ascii="Times New Roman" w:hAnsi="Times New Roman" w:cs="Times New Roman"/>
        </w:rPr>
        <w:t>Fatikh</w:t>
      </w:r>
      <w:proofErr w:type="spellEnd"/>
      <w:r w:rsidRPr="005975AD">
        <w:rPr>
          <w:rFonts w:ascii="Times New Roman" w:hAnsi="Times New Roman" w:cs="Times New Roman"/>
        </w:rPr>
        <w:t xml:space="preserve"> Sh. </w:t>
      </w:r>
      <w:proofErr w:type="spellStart"/>
      <w:r w:rsidRPr="005975AD">
        <w:rPr>
          <w:rFonts w:ascii="Times New Roman" w:hAnsi="Times New Roman" w:cs="Times New Roman"/>
        </w:rPr>
        <w:t>Nugaev</w:t>
      </w:r>
      <w:proofErr w:type="spellEnd"/>
      <w:r w:rsidRPr="005975AD">
        <w:rPr>
          <w:rFonts w:ascii="Times New Roman" w:hAnsi="Times New Roman" w:cs="Times New Roman"/>
        </w:rPr>
        <w:t xml:space="preserve">, </w:t>
      </w:r>
      <w:proofErr w:type="spellStart"/>
      <w:r w:rsidRPr="005975AD">
        <w:rPr>
          <w:rFonts w:ascii="Times New Roman" w:hAnsi="Times New Roman" w:cs="Times New Roman"/>
        </w:rPr>
        <w:t>Mukhametzyanova</w:t>
      </w:r>
      <w:proofErr w:type="spellEnd"/>
      <w:r w:rsidRPr="005975AD">
        <w:rPr>
          <w:rFonts w:ascii="Times New Roman" w:hAnsi="Times New Roman" w:cs="Times New Roman"/>
        </w:rPr>
        <w:t>, L. Z., &amp; Mulyukova, R. R. (2017). Relationship between tax burden and indicators of the financial position. </w:t>
      </w:r>
      <w:r w:rsidRPr="005975AD">
        <w:rPr>
          <w:rFonts w:ascii="Times New Roman" w:hAnsi="Times New Roman" w:cs="Times New Roman"/>
          <w:i/>
          <w:iCs/>
        </w:rPr>
        <w:t>International Journal of Economic Perspectives, 11</w:t>
      </w:r>
      <w:r w:rsidRPr="005975AD">
        <w:rPr>
          <w:rFonts w:ascii="Times New Roman" w:hAnsi="Times New Roman" w:cs="Times New Roman"/>
        </w:rPr>
        <w:t>(3), 1499–1505.</w:t>
      </w:r>
    </w:p>
    <w:p w14:paraId="3E6BD8C9" w14:textId="77777777" w:rsidR="005A5CAC" w:rsidRPr="005975AD" w:rsidRDefault="005A5CAC" w:rsidP="00A5614E">
      <w:pPr>
        <w:ind w:left="720" w:hanging="720"/>
        <w:jc w:val="both"/>
        <w:rPr>
          <w:rFonts w:ascii="Times New Roman" w:hAnsi="Times New Roman" w:cs="Times New Roman"/>
        </w:rPr>
      </w:pPr>
      <w:r w:rsidRPr="005975AD">
        <w:rPr>
          <w:rFonts w:ascii="Times New Roman" w:hAnsi="Times New Roman" w:cs="Times New Roman"/>
        </w:rPr>
        <w:t>Federal Inland Revenue Service (FIRS). (2023). </w:t>
      </w:r>
      <w:r w:rsidRPr="005975AD">
        <w:rPr>
          <w:rFonts w:ascii="Times New Roman" w:hAnsi="Times New Roman" w:cs="Times New Roman"/>
          <w:i/>
          <w:iCs/>
        </w:rPr>
        <w:t>Annual Report</w:t>
      </w:r>
      <w:r w:rsidRPr="005975AD">
        <w:rPr>
          <w:rFonts w:ascii="Times New Roman" w:hAnsi="Times New Roman" w:cs="Times New Roman"/>
        </w:rPr>
        <w:t>. [For oil and gas sector tax data]</w:t>
      </w:r>
    </w:p>
    <w:p w14:paraId="4A686877" w14:textId="77777777" w:rsidR="005A5CAC" w:rsidRPr="005975AD" w:rsidRDefault="005A5CAC" w:rsidP="00A5614E">
      <w:pPr>
        <w:ind w:left="720" w:hanging="720"/>
        <w:jc w:val="both"/>
        <w:rPr>
          <w:rFonts w:ascii="Times New Roman" w:hAnsi="Times New Roman" w:cs="Times New Roman"/>
        </w:rPr>
      </w:pPr>
      <w:r w:rsidRPr="005975AD">
        <w:rPr>
          <w:rFonts w:ascii="Times New Roman" w:hAnsi="Times New Roman" w:cs="Times New Roman"/>
        </w:rPr>
        <w:t>Fu, X., &amp; Zhang, X. (2025). Tax burden and enterprises' ESG performance. </w:t>
      </w:r>
      <w:r w:rsidRPr="005975AD">
        <w:rPr>
          <w:rFonts w:ascii="Times New Roman" w:hAnsi="Times New Roman" w:cs="Times New Roman"/>
          <w:i/>
          <w:iCs/>
        </w:rPr>
        <w:t>International Review of Financial Analysis, 103</w:t>
      </w:r>
      <w:r w:rsidRPr="005975AD">
        <w:rPr>
          <w:rFonts w:ascii="Times New Roman" w:hAnsi="Times New Roman" w:cs="Times New Roman"/>
        </w:rPr>
        <w:t>, 104223. </w:t>
      </w:r>
      <w:hyperlink r:id="rId11" w:history="1">
        <w:r w:rsidRPr="005975AD">
          <w:rPr>
            <w:rStyle w:val="Hyperlink"/>
            <w:rFonts w:ascii="Times New Roman" w:hAnsi="Times New Roman" w:cs="Times New Roman"/>
          </w:rPr>
          <w:t>https://doi.org/10.1016/j.irfa.2025.104223</w:t>
        </w:r>
      </w:hyperlink>
    </w:p>
    <w:p w14:paraId="227C8815" w14:textId="77777777" w:rsidR="005A5CAC" w:rsidRPr="005975AD" w:rsidRDefault="005A5CAC" w:rsidP="00A5614E">
      <w:pPr>
        <w:ind w:left="720" w:hanging="720"/>
        <w:jc w:val="both"/>
        <w:rPr>
          <w:rFonts w:ascii="Times New Roman" w:hAnsi="Times New Roman" w:cs="Times New Roman"/>
        </w:rPr>
      </w:pPr>
      <w:r w:rsidRPr="005975AD">
        <w:rPr>
          <w:rFonts w:ascii="Times New Roman" w:hAnsi="Times New Roman" w:cs="Times New Roman"/>
        </w:rPr>
        <w:t xml:space="preserve">Jabar, A. A., &amp; </w:t>
      </w:r>
      <w:proofErr w:type="spellStart"/>
      <w:r w:rsidRPr="005975AD">
        <w:rPr>
          <w:rFonts w:ascii="Times New Roman" w:hAnsi="Times New Roman" w:cs="Times New Roman"/>
        </w:rPr>
        <w:t>Akinadewo</w:t>
      </w:r>
      <w:proofErr w:type="spellEnd"/>
      <w:r w:rsidRPr="005975AD">
        <w:rPr>
          <w:rFonts w:ascii="Times New Roman" w:hAnsi="Times New Roman" w:cs="Times New Roman"/>
        </w:rPr>
        <w:t>, I. S. (2023). Corporate debt profile and financial performance of listed consumer goods firms in Nigeria. </w:t>
      </w:r>
      <w:r w:rsidRPr="005975AD">
        <w:rPr>
          <w:rFonts w:ascii="Times New Roman" w:hAnsi="Times New Roman" w:cs="Times New Roman"/>
          <w:i/>
          <w:iCs/>
        </w:rPr>
        <w:t>Archives of Business Research, 11</w:t>
      </w:r>
      <w:r w:rsidRPr="005975AD">
        <w:rPr>
          <w:rFonts w:ascii="Times New Roman" w:hAnsi="Times New Roman" w:cs="Times New Roman"/>
        </w:rPr>
        <w:t>(6), 1–19. </w:t>
      </w:r>
      <w:hyperlink r:id="rId12" w:history="1">
        <w:r w:rsidRPr="005975AD">
          <w:rPr>
            <w:rStyle w:val="Hyperlink"/>
            <w:rFonts w:ascii="Times New Roman" w:hAnsi="Times New Roman" w:cs="Times New Roman"/>
          </w:rPr>
          <w:t>https://doi.org/10.14738/abr.116.14771</w:t>
        </w:r>
      </w:hyperlink>
    </w:p>
    <w:p w14:paraId="1E7D41DB" w14:textId="77777777" w:rsidR="005A5CAC" w:rsidRPr="005975AD" w:rsidRDefault="005A5CAC" w:rsidP="00A5614E">
      <w:pPr>
        <w:ind w:left="720" w:hanging="720"/>
        <w:jc w:val="both"/>
        <w:rPr>
          <w:rFonts w:ascii="Times New Roman" w:hAnsi="Times New Roman" w:cs="Times New Roman"/>
        </w:rPr>
      </w:pPr>
      <w:r w:rsidRPr="005975AD">
        <w:rPr>
          <w:rFonts w:ascii="Times New Roman" w:hAnsi="Times New Roman" w:cs="Times New Roman"/>
        </w:rPr>
        <w:lastRenderedPageBreak/>
        <w:t xml:space="preserve">Kupoluyi, J. O., Adeyemi, O. O., &amp; </w:t>
      </w:r>
      <w:proofErr w:type="spellStart"/>
      <w:r w:rsidRPr="005975AD">
        <w:rPr>
          <w:rFonts w:ascii="Times New Roman" w:hAnsi="Times New Roman" w:cs="Times New Roman"/>
        </w:rPr>
        <w:t>Omidiran</w:t>
      </w:r>
      <w:proofErr w:type="spellEnd"/>
      <w:r w:rsidRPr="005975AD">
        <w:rPr>
          <w:rFonts w:ascii="Times New Roman" w:hAnsi="Times New Roman" w:cs="Times New Roman"/>
        </w:rPr>
        <w:t>, O. E. (2024). Indirect taxes and the financial performance of listed consumer goods firms in Nigeria. </w:t>
      </w:r>
      <w:r w:rsidRPr="005975AD">
        <w:rPr>
          <w:rFonts w:ascii="Times New Roman" w:hAnsi="Times New Roman" w:cs="Times New Roman"/>
          <w:i/>
          <w:iCs/>
        </w:rPr>
        <w:t>African Journal of Accounting and Financial Research</w:t>
      </w:r>
      <w:r w:rsidRPr="005975AD">
        <w:rPr>
          <w:rFonts w:ascii="Times New Roman" w:hAnsi="Times New Roman" w:cs="Times New Roman"/>
        </w:rPr>
        <w:t>.</w:t>
      </w:r>
      <w:r w:rsidRPr="00F675E6">
        <w:rPr>
          <w:rFonts w:ascii="Times New Roman" w:hAnsi="Times New Roman" w:cs="Times New Roman"/>
        </w:rPr>
        <w:t xml:space="preserve"> </w:t>
      </w:r>
      <w:r w:rsidRPr="00F675E6">
        <w:rPr>
          <w:rFonts w:ascii="Times New Roman" w:hAnsi="Times New Roman" w:cs="Times New Roman"/>
          <w:i/>
          <w:iCs/>
        </w:rPr>
        <w:t>6</w:t>
      </w:r>
      <w:r w:rsidRPr="00F675E6">
        <w:rPr>
          <w:rFonts w:ascii="Times New Roman" w:hAnsi="Times New Roman" w:cs="Times New Roman"/>
        </w:rPr>
        <w:t>(4), 263-280.</w:t>
      </w:r>
      <w:r w:rsidRPr="005975AD">
        <w:rPr>
          <w:rFonts w:ascii="Times New Roman" w:hAnsi="Times New Roman" w:cs="Times New Roman"/>
        </w:rPr>
        <w:t> </w:t>
      </w:r>
      <w:hyperlink r:id="rId13" w:history="1">
        <w:r w:rsidRPr="005975AD">
          <w:rPr>
            <w:rStyle w:val="Hyperlink"/>
            <w:rFonts w:ascii="Times New Roman" w:hAnsi="Times New Roman" w:cs="Times New Roman"/>
          </w:rPr>
          <w:t>https://doi.org/10.52589/ajafr-dgbuhhv7</w:t>
        </w:r>
      </w:hyperlink>
    </w:p>
    <w:p w14:paraId="46543930" w14:textId="77777777" w:rsidR="005A5CAC" w:rsidRPr="005975AD" w:rsidRDefault="005A5CAC" w:rsidP="00A5614E">
      <w:pPr>
        <w:ind w:left="720" w:hanging="720"/>
        <w:jc w:val="both"/>
        <w:rPr>
          <w:rFonts w:ascii="Times New Roman" w:hAnsi="Times New Roman" w:cs="Times New Roman"/>
        </w:rPr>
      </w:pPr>
      <w:proofErr w:type="spellStart"/>
      <w:r w:rsidRPr="005975AD">
        <w:rPr>
          <w:rFonts w:ascii="Times New Roman" w:hAnsi="Times New Roman" w:cs="Times New Roman"/>
        </w:rPr>
        <w:t>Nmehielle</w:t>
      </w:r>
      <w:proofErr w:type="spellEnd"/>
      <w:r w:rsidRPr="005975AD">
        <w:rPr>
          <w:rFonts w:ascii="Times New Roman" w:hAnsi="Times New Roman" w:cs="Times New Roman"/>
        </w:rPr>
        <w:t>, C. O. (2023). Tax incentive practices and financial performance of listed consumer goods firms in Nigeria. </w:t>
      </w:r>
      <w:r w:rsidRPr="005975AD">
        <w:rPr>
          <w:rFonts w:ascii="Times New Roman" w:hAnsi="Times New Roman" w:cs="Times New Roman"/>
          <w:i/>
          <w:iCs/>
        </w:rPr>
        <w:t>International Journal of Economics and Financial Management, 7</w:t>
      </w:r>
      <w:r w:rsidRPr="005975AD">
        <w:rPr>
          <w:rFonts w:ascii="Times New Roman" w:hAnsi="Times New Roman" w:cs="Times New Roman"/>
        </w:rPr>
        <w:t>(5), 56–68. </w:t>
      </w:r>
      <w:hyperlink r:id="rId14" w:history="1">
        <w:r w:rsidRPr="005975AD">
          <w:rPr>
            <w:rStyle w:val="Hyperlink"/>
            <w:rFonts w:ascii="Times New Roman" w:hAnsi="Times New Roman" w:cs="Times New Roman"/>
          </w:rPr>
          <w:t>https://doi.org/10.56201/ijefm.v7.no5.2022.pg56.68</w:t>
        </w:r>
      </w:hyperlink>
    </w:p>
    <w:p w14:paraId="2822BCFB" w14:textId="77777777" w:rsidR="005A5CAC" w:rsidRPr="005975AD" w:rsidRDefault="005A5CAC" w:rsidP="00A5614E">
      <w:pPr>
        <w:ind w:left="720" w:hanging="720"/>
        <w:jc w:val="both"/>
        <w:rPr>
          <w:rFonts w:ascii="Times New Roman" w:hAnsi="Times New Roman" w:cs="Times New Roman"/>
        </w:rPr>
      </w:pPr>
      <w:proofErr w:type="spellStart"/>
      <w:r w:rsidRPr="005975AD">
        <w:rPr>
          <w:rFonts w:ascii="Times New Roman" w:hAnsi="Times New Roman" w:cs="Times New Roman"/>
        </w:rPr>
        <w:t>Ogbada</w:t>
      </w:r>
      <w:proofErr w:type="spellEnd"/>
      <w:r w:rsidRPr="005975AD">
        <w:rPr>
          <w:rFonts w:ascii="Times New Roman" w:hAnsi="Times New Roman" w:cs="Times New Roman"/>
        </w:rPr>
        <w:t>, E. I., &amp; Jones, E. (2023). Deferred tax accounting and financial performance of listed consumer goods’ manufacturing companies in Nigeria. </w:t>
      </w:r>
      <w:r w:rsidRPr="005975AD">
        <w:rPr>
          <w:rFonts w:ascii="Times New Roman" w:hAnsi="Times New Roman" w:cs="Times New Roman"/>
          <w:i/>
          <w:iCs/>
        </w:rPr>
        <w:t>Journal of Accounting and Financial Management, 8</w:t>
      </w:r>
      <w:r w:rsidRPr="005975AD">
        <w:rPr>
          <w:rFonts w:ascii="Times New Roman" w:hAnsi="Times New Roman" w:cs="Times New Roman"/>
        </w:rPr>
        <w:t>(8), 29–47. </w:t>
      </w:r>
      <w:hyperlink r:id="rId15" w:history="1">
        <w:r w:rsidRPr="005975AD">
          <w:rPr>
            <w:rStyle w:val="Hyperlink"/>
            <w:rFonts w:ascii="Times New Roman" w:hAnsi="Times New Roman" w:cs="Times New Roman"/>
          </w:rPr>
          <w:t>https://doi.org/10.56201/jafm.v8.no8.2022.pg29.47</w:t>
        </w:r>
      </w:hyperlink>
    </w:p>
    <w:p w14:paraId="1F42A627" w14:textId="77777777" w:rsidR="00962F88" w:rsidRDefault="005A5CAC" w:rsidP="00962F88">
      <w:pPr>
        <w:ind w:left="720" w:hanging="720"/>
        <w:jc w:val="both"/>
        <w:rPr>
          <w:rFonts w:ascii="Times New Roman" w:hAnsi="Times New Roman" w:cs="Times New Roman"/>
        </w:rPr>
      </w:pPr>
      <w:proofErr w:type="spellStart"/>
      <w:r w:rsidRPr="005A5CAC">
        <w:rPr>
          <w:rFonts w:ascii="Times New Roman" w:hAnsi="Times New Roman" w:cs="Times New Roman"/>
        </w:rPr>
        <w:t>Ogunmakin</w:t>
      </w:r>
      <w:proofErr w:type="spellEnd"/>
      <w:r w:rsidRPr="005A5CAC">
        <w:rPr>
          <w:rFonts w:ascii="Times New Roman" w:hAnsi="Times New Roman" w:cs="Times New Roman"/>
        </w:rPr>
        <w:t xml:space="preserve"> A. A., Bamidele V. O., &amp; Ogundipe F. B. (2025). Retained earnings and financial performance of quoted firms in Nigeria: An empirical analysis. International Journal of Accounting, Management, Economics and Social Sciences, 3(2), 475–485.</w:t>
      </w:r>
      <w:r w:rsidR="00962F88">
        <w:rPr>
          <w:rFonts w:ascii="Times New Roman" w:hAnsi="Times New Roman" w:cs="Times New Roman"/>
        </w:rPr>
        <w:t xml:space="preserve"> </w:t>
      </w:r>
      <w:hyperlink r:id="rId16" w:history="1">
        <w:r w:rsidR="00962F88" w:rsidRPr="00AB237C">
          <w:rPr>
            <w:rStyle w:val="Hyperlink"/>
            <w:rFonts w:ascii="Times New Roman" w:hAnsi="Times New Roman" w:cs="Times New Roman"/>
          </w:rPr>
          <w:t>https://doi.org/10.61990/ijamesc.v3i2.444</w:t>
        </w:r>
      </w:hyperlink>
    </w:p>
    <w:p w14:paraId="64F0BC6E" w14:textId="29543A05" w:rsidR="005A5CAC" w:rsidRPr="005975AD" w:rsidRDefault="005A5CAC" w:rsidP="00962F88">
      <w:pPr>
        <w:ind w:left="720" w:hanging="720"/>
        <w:jc w:val="both"/>
        <w:rPr>
          <w:rFonts w:ascii="Times New Roman" w:hAnsi="Times New Roman" w:cs="Times New Roman"/>
        </w:rPr>
      </w:pPr>
      <w:proofErr w:type="spellStart"/>
      <w:r w:rsidRPr="005975AD">
        <w:rPr>
          <w:rFonts w:ascii="Times New Roman" w:hAnsi="Times New Roman" w:cs="Times New Roman"/>
        </w:rPr>
        <w:t>Oyewobi</w:t>
      </w:r>
      <w:proofErr w:type="spellEnd"/>
      <w:r w:rsidRPr="005975AD">
        <w:rPr>
          <w:rFonts w:ascii="Times New Roman" w:hAnsi="Times New Roman" w:cs="Times New Roman"/>
        </w:rPr>
        <w:t>, I. A., &amp; Gundu, L. M. (2024). Tax reforms and tax burden of listed consumer goods firms in Nigeria. </w:t>
      </w:r>
      <w:r w:rsidRPr="005975AD">
        <w:rPr>
          <w:rFonts w:ascii="Times New Roman" w:hAnsi="Times New Roman" w:cs="Times New Roman"/>
          <w:i/>
          <w:iCs/>
        </w:rPr>
        <w:t>Journal of Economics, Finance and Management Studies, 7</w:t>
      </w:r>
      <w:r w:rsidRPr="005975AD">
        <w:rPr>
          <w:rFonts w:ascii="Times New Roman" w:hAnsi="Times New Roman" w:cs="Times New Roman"/>
        </w:rPr>
        <w:t>(4). </w:t>
      </w:r>
      <w:hyperlink r:id="rId17" w:history="1">
        <w:r w:rsidRPr="005975AD">
          <w:rPr>
            <w:rStyle w:val="Hyperlink"/>
            <w:rFonts w:ascii="Times New Roman" w:hAnsi="Times New Roman" w:cs="Times New Roman"/>
          </w:rPr>
          <w:t>https://doi.org/10.47191/jefms/v7-i4-25</w:t>
        </w:r>
      </w:hyperlink>
    </w:p>
    <w:p w14:paraId="0279AC12" w14:textId="77777777" w:rsidR="005A5CAC" w:rsidRPr="005975AD" w:rsidRDefault="005A5CAC" w:rsidP="00A5614E">
      <w:pPr>
        <w:ind w:left="720" w:hanging="720"/>
        <w:jc w:val="both"/>
        <w:rPr>
          <w:rFonts w:ascii="Times New Roman" w:hAnsi="Times New Roman" w:cs="Times New Roman"/>
        </w:rPr>
      </w:pPr>
      <w:r w:rsidRPr="005975AD">
        <w:rPr>
          <w:rFonts w:ascii="Times New Roman" w:hAnsi="Times New Roman" w:cs="Times New Roman"/>
        </w:rPr>
        <w:t>Petroleum Industry Act, 2021. Federal Republic of Nigeria Official Gazette.</w:t>
      </w:r>
    </w:p>
    <w:p w14:paraId="10CAD56E" w14:textId="77777777" w:rsidR="005A5CAC" w:rsidRPr="005975AD" w:rsidRDefault="005A5CAC" w:rsidP="00A5614E">
      <w:pPr>
        <w:ind w:left="720" w:hanging="720"/>
        <w:jc w:val="both"/>
        <w:rPr>
          <w:rFonts w:ascii="Times New Roman" w:hAnsi="Times New Roman" w:cs="Times New Roman"/>
        </w:rPr>
      </w:pPr>
      <w:r w:rsidRPr="005975AD">
        <w:rPr>
          <w:rFonts w:ascii="Times New Roman" w:hAnsi="Times New Roman" w:cs="Times New Roman"/>
        </w:rPr>
        <w:t xml:space="preserve">Salako Yisau, N., Oke, A. A., &amp; </w:t>
      </w:r>
      <w:proofErr w:type="spellStart"/>
      <w:r w:rsidRPr="005975AD">
        <w:rPr>
          <w:rFonts w:ascii="Times New Roman" w:hAnsi="Times New Roman" w:cs="Times New Roman"/>
        </w:rPr>
        <w:t>Odukoya</w:t>
      </w:r>
      <w:proofErr w:type="spellEnd"/>
      <w:r w:rsidRPr="005975AD">
        <w:rPr>
          <w:rFonts w:ascii="Times New Roman" w:hAnsi="Times New Roman" w:cs="Times New Roman"/>
        </w:rPr>
        <w:t>, M. (2024). Determinants of capital structure in Nigeria’s quoted consumer goods firms. </w:t>
      </w:r>
      <w:r w:rsidRPr="005975AD">
        <w:rPr>
          <w:rFonts w:ascii="Times New Roman" w:hAnsi="Times New Roman" w:cs="Times New Roman"/>
          <w:i/>
          <w:iCs/>
        </w:rPr>
        <w:t>Journal of Business and Finance, 14</w:t>
      </w:r>
      <w:r w:rsidRPr="005975AD">
        <w:rPr>
          <w:rFonts w:ascii="Times New Roman" w:hAnsi="Times New Roman" w:cs="Times New Roman"/>
        </w:rPr>
        <w:t>(2). </w:t>
      </w:r>
      <w:hyperlink r:id="rId18" w:history="1">
        <w:r w:rsidRPr="005975AD">
          <w:rPr>
            <w:rStyle w:val="Hyperlink"/>
            <w:rFonts w:ascii="Times New Roman" w:hAnsi="Times New Roman" w:cs="Times New Roman"/>
          </w:rPr>
          <w:t>https://doi.org/10.55026/jobaf.1400273</w:t>
        </w:r>
      </w:hyperlink>
    </w:p>
    <w:p w14:paraId="506A9ADA" w14:textId="77777777" w:rsidR="005A5CAC" w:rsidRPr="005975AD" w:rsidRDefault="005A5CAC" w:rsidP="00A5614E">
      <w:pPr>
        <w:ind w:left="720" w:hanging="720"/>
        <w:jc w:val="both"/>
        <w:rPr>
          <w:rFonts w:ascii="Times New Roman" w:hAnsi="Times New Roman" w:cs="Times New Roman"/>
        </w:rPr>
      </w:pPr>
      <w:r w:rsidRPr="005975AD">
        <w:rPr>
          <w:rFonts w:ascii="Times New Roman" w:hAnsi="Times New Roman" w:cs="Times New Roman"/>
        </w:rPr>
        <w:t>Salaudeen, Y. M., &amp; Atoyebi, T. A. (2018). Tax burden implication of tax reform. </w:t>
      </w:r>
      <w:r w:rsidRPr="005975AD">
        <w:rPr>
          <w:rFonts w:ascii="Times New Roman" w:hAnsi="Times New Roman" w:cs="Times New Roman"/>
          <w:i/>
          <w:iCs/>
        </w:rPr>
        <w:t>Open Journal of Business and Management, 6</w:t>
      </w:r>
      <w:r w:rsidRPr="005975AD">
        <w:rPr>
          <w:rFonts w:ascii="Times New Roman" w:hAnsi="Times New Roman" w:cs="Times New Roman"/>
        </w:rPr>
        <w:t>(3), 761–777. </w:t>
      </w:r>
      <w:hyperlink r:id="rId19" w:history="1">
        <w:r w:rsidRPr="005975AD">
          <w:rPr>
            <w:rStyle w:val="Hyperlink"/>
            <w:rFonts w:ascii="Times New Roman" w:hAnsi="Times New Roman" w:cs="Times New Roman"/>
          </w:rPr>
          <w:t>https://doi.org/10.4236/ojbm.2018.63058</w:t>
        </w:r>
      </w:hyperlink>
    </w:p>
    <w:p w14:paraId="589D9C93" w14:textId="77777777" w:rsidR="00F81381" w:rsidRPr="00F675E6" w:rsidRDefault="00F81381" w:rsidP="00D3740E">
      <w:pPr>
        <w:jc w:val="both"/>
        <w:rPr>
          <w:rFonts w:ascii="Times New Roman" w:hAnsi="Times New Roman" w:cs="Times New Roman"/>
        </w:rPr>
      </w:pPr>
    </w:p>
    <w:sectPr w:rsidR="00F81381" w:rsidRPr="00F675E6" w:rsidSect="00A04A29">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0E501C" w14:textId="77777777" w:rsidR="00DE09D1" w:rsidRDefault="00DE09D1" w:rsidP="00FE6476">
      <w:pPr>
        <w:spacing w:after="0" w:line="240" w:lineRule="auto"/>
      </w:pPr>
      <w:r>
        <w:separator/>
      </w:r>
    </w:p>
  </w:endnote>
  <w:endnote w:type="continuationSeparator" w:id="0">
    <w:p w14:paraId="39DCBC84" w14:textId="77777777" w:rsidR="00DE09D1" w:rsidRDefault="00DE09D1" w:rsidP="00FE6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DCA8A" w14:textId="77777777" w:rsidR="00FE6476" w:rsidRDefault="00FE64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B0C73" w14:textId="77777777" w:rsidR="00FE6476" w:rsidRDefault="00FE64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084EB" w14:textId="77777777" w:rsidR="00FE6476" w:rsidRDefault="00FE64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F1CEFF" w14:textId="77777777" w:rsidR="00DE09D1" w:rsidRDefault="00DE09D1" w:rsidP="00FE6476">
      <w:pPr>
        <w:spacing w:after="0" w:line="240" w:lineRule="auto"/>
      </w:pPr>
      <w:r>
        <w:separator/>
      </w:r>
    </w:p>
  </w:footnote>
  <w:footnote w:type="continuationSeparator" w:id="0">
    <w:p w14:paraId="0FC27C8B" w14:textId="77777777" w:rsidR="00DE09D1" w:rsidRDefault="00DE09D1" w:rsidP="00FE64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2F4FE" w14:textId="421A7551" w:rsidR="00FE6476" w:rsidRDefault="00FE6476">
    <w:pPr>
      <w:pStyle w:val="Header"/>
    </w:pPr>
    <w:r>
      <w:rPr>
        <w:noProof/>
      </w:rPr>
      <w:pict w14:anchorId="08FBE2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632551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15462" w14:textId="27E8A94A" w:rsidR="00FE6476" w:rsidRDefault="00FE6476">
    <w:pPr>
      <w:pStyle w:val="Header"/>
    </w:pPr>
    <w:r>
      <w:rPr>
        <w:noProof/>
      </w:rPr>
      <w:pict w14:anchorId="4C9FC2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632551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CE113" w14:textId="382A5928" w:rsidR="00FE6476" w:rsidRDefault="00FE6476">
    <w:pPr>
      <w:pStyle w:val="Header"/>
    </w:pPr>
    <w:r>
      <w:rPr>
        <w:noProof/>
      </w:rPr>
      <w:pict w14:anchorId="22086C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632551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60FDE"/>
    <w:multiLevelType w:val="multilevel"/>
    <w:tmpl w:val="E8EA0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FB50B0"/>
    <w:multiLevelType w:val="multilevel"/>
    <w:tmpl w:val="7B109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D441716"/>
    <w:multiLevelType w:val="multilevel"/>
    <w:tmpl w:val="D9426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601F67"/>
    <w:multiLevelType w:val="multilevel"/>
    <w:tmpl w:val="5F36029E"/>
    <w:lvl w:ilvl="0">
      <w:start w:val="1"/>
      <w:numFmt w:val="lowerRoman"/>
      <w:lvlText w:val="%1."/>
      <w:lvlJc w:val="right"/>
      <w:pPr>
        <w:tabs>
          <w:tab w:val="num" w:pos="720"/>
        </w:tabs>
        <w:ind w:left="720" w:hanging="360"/>
      </w:pPr>
      <w:rPr>
        <w:rFonts w:hint="default"/>
        <w:sz w:val="20"/>
      </w:rPr>
    </w:lvl>
    <w:lvl w:ilvl="1">
      <w:start w:val="1"/>
      <w:numFmt w:val="lowerRoman"/>
      <w:lvlText w:val="%2."/>
      <w:lvlJc w:val="right"/>
      <w:pPr>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13E0EA1"/>
    <w:multiLevelType w:val="multilevel"/>
    <w:tmpl w:val="D6F27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C7825AC"/>
    <w:multiLevelType w:val="hybridMultilevel"/>
    <w:tmpl w:val="BF746F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6D65AD"/>
    <w:multiLevelType w:val="multilevel"/>
    <w:tmpl w:val="AFB8D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8C43748"/>
    <w:multiLevelType w:val="multilevel"/>
    <w:tmpl w:val="7EC4BE9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E366C7"/>
    <w:multiLevelType w:val="multilevel"/>
    <w:tmpl w:val="65D88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EDC1AAD"/>
    <w:multiLevelType w:val="multilevel"/>
    <w:tmpl w:val="37229E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9"/>
  </w:num>
  <w:num w:numId="3">
    <w:abstractNumId w:val="3"/>
  </w:num>
  <w:num w:numId="4">
    <w:abstractNumId w:val="4"/>
  </w:num>
  <w:num w:numId="5">
    <w:abstractNumId w:val="1"/>
  </w:num>
  <w:num w:numId="6">
    <w:abstractNumId w:val="8"/>
  </w:num>
  <w:num w:numId="7">
    <w:abstractNumId w:val="2"/>
  </w:num>
  <w:num w:numId="8">
    <w:abstractNumId w:val="6"/>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F88"/>
    <w:rsid w:val="00011D24"/>
    <w:rsid w:val="00056F88"/>
    <w:rsid w:val="00074397"/>
    <w:rsid w:val="000A22CC"/>
    <w:rsid w:val="000A408B"/>
    <w:rsid w:val="001650EE"/>
    <w:rsid w:val="00227309"/>
    <w:rsid w:val="002300B4"/>
    <w:rsid w:val="00380411"/>
    <w:rsid w:val="00396F9C"/>
    <w:rsid w:val="00430D1A"/>
    <w:rsid w:val="00507EF8"/>
    <w:rsid w:val="005807F3"/>
    <w:rsid w:val="005920AA"/>
    <w:rsid w:val="005975AD"/>
    <w:rsid w:val="005A5CAC"/>
    <w:rsid w:val="005D26BF"/>
    <w:rsid w:val="00630569"/>
    <w:rsid w:val="00732687"/>
    <w:rsid w:val="00747248"/>
    <w:rsid w:val="00767FA4"/>
    <w:rsid w:val="007A4AB6"/>
    <w:rsid w:val="0086122E"/>
    <w:rsid w:val="00875AFA"/>
    <w:rsid w:val="00895A9A"/>
    <w:rsid w:val="008F774E"/>
    <w:rsid w:val="00915A58"/>
    <w:rsid w:val="00925792"/>
    <w:rsid w:val="00962F88"/>
    <w:rsid w:val="009826B7"/>
    <w:rsid w:val="009C4951"/>
    <w:rsid w:val="009E6B9C"/>
    <w:rsid w:val="00A04A29"/>
    <w:rsid w:val="00A5614E"/>
    <w:rsid w:val="00AA3B78"/>
    <w:rsid w:val="00AA78C1"/>
    <w:rsid w:val="00CA41DE"/>
    <w:rsid w:val="00CD38EC"/>
    <w:rsid w:val="00D3740E"/>
    <w:rsid w:val="00DE09D1"/>
    <w:rsid w:val="00DE5235"/>
    <w:rsid w:val="00F1136B"/>
    <w:rsid w:val="00F6743F"/>
    <w:rsid w:val="00F675E6"/>
    <w:rsid w:val="00F81381"/>
    <w:rsid w:val="00FE6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EA247F"/>
  <w15:chartTrackingRefBased/>
  <w15:docId w15:val="{1EC704DD-9752-4C52-B6B3-DC527CE27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6F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6F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6F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6F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6F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6F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6F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6F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6F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F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6F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6F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6F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6F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6F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6F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6F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6F88"/>
    <w:rPr>
      <w:rFonts w:eastAsiaTheme="majorEastAsia" w:cstheme="majorBidi"/>
      <w:color w:val="272727" w:themeColor="text1" w:themeTint="D8"/>
    </w:rPr>
  </w:style>
  <w:style w:type="paragraph" w:styleId="Title">
    <w:name w:val="Title"/>
    <w:basedOn w:val="Normal"/>
    <w:next w:val="Normal"/>
    <w:link w:val="TitleChar"/>
    <w:uiPriority w:val="10"/>
    <w:qFormat/>
    <w:rsid w:val="00056F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F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6F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6F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6F88"/>
    <w:pPr>
      <w:spacing w:before="160"/>
      <w:jc w:val="center"/>
    </w:pPr>
    <w:rPr>
      <w:i/>
      <w:iCs/>
      <w:color w:val="404040" w:themeColor="text1" w:themeTint="BF"/>
    </w:rPr>
  </w:style>
  <w:style w:type="character" w:customStyle="1" w:styleId="QuoteChar">
    <w:name w:val="Quote Char"/>
    <w:basedOn w:val="DefaultParagraphFont"/>
    <w:link w:val="Quote"/>
    <w:uiPriority w:val="29"/>
    <w:rsid w:val="00056F88"/>
    <w:rPr>
      <w:i/>
      <w:iCs/>
      <w:color w:val="404040" w:themeColor="text1" w:themeTint="BF"/>
    </w:rPr>
  </w:style>
  <w:style w:type="paragraph" w:styleId="ListParagraph">
    <w:name w:val="List Paragraph"/>
    <w:basedOn w:val="Normal"/>
    <w:uiPriority w:val="34"/>
    <w:qFormat/>
    <w:rsid w:val="00056F88"/>
    <w:pPr>
      <w:ind w:left="720"/>
      <w:contextualSpacing/>
    </w:pPr>
  </w:style>
  <w:style w:type="character" w:styleId="IntenseEmphasis">
    <w:name w:val="Intense Emphasis"/>
    <w:basedOn w:val="DefaultParagraphFont"/>
    <w:uiPriority w:val="21"/>
    <w:qFormat/>
    <w:rsid w:val="00056F88"/>
    <w:rPr>
      <w:i/>
      <w:iCs/>
      <w:color w:val="2F5496" w:themeColor="accent1" w:themeShade="BF"/>
    </w:rPr>
  </w:style>
  <w:style w:type="paragraph" w:styleId="IntenseQuote">
    <w:name w:val="Intense Quote"/>
    <w:basedOn w:val="Normal"/>
    <w:next w:val="Normal"/>
    <w:link w:val="IntenseQuoteChar"/>
    <w:uiPriority w:val="30"/>
    <w:qFormat/>
    <w:rsid w:val="00056F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6F88"/>
    <w:rPr>
      <w:i/>
      <w:iCs/>
      <w:color w:val="2F5496" w:themeColor="accent1" w:themeShade="BF"/>
    </w:rPr>
  </w:style>
  <w:style w:type="character" w:styleId="IntenseReference">
    <w:name w:val="Intense Reference"/>
    <w:basedOn w:val="DefaultParagraphFont"/>
    <w:uiPriority w:val="32"/>
    <w:qFormat/>
    <w:rsid w:val="00056F88"/>
    <w:rPr>
      <w:b/>
      <w:bCs/>
      <w:smallCaps/>
      <w:color w:val="2F5496" w:themeColor="accent1" w:themeShade="BF"/>
      <w:spacing w:val="5"/>
    </w:rPr>
  </w:style>
  <w:style w:type="character" w:styleId="Hyperlink">
    <w:name w:val="Hyperlink"/>
    <w:basedOn w:val="DefaultParagraphFont"/>
    <w:uiPriority w:val="99"/>
    <w:unhideWhenUsed/>
    <w:rsid w:val="00074397"/>
    <w:rPr>
      <w:color w:val="0563C1" w:themeColor="hyperlink"/>
      <w:u w:val="single"/>
    </w:rPr>
  </w:style>
  <w:style w:type="character" w:styleId="UnresolvedMention">
    <w:name w:val="Unresolved Mention"/>
    <w:basedOn w:val="DefaultParagraphFont"/>
    <w:uiPriority w:val="99"/>
    <w:semiHidden/>
    <w:unhideWhenUsed/>
    <w:rsid w:val="005975AD"/>
    <w:rPr>
      <w:color w:val="605E5C"/>
      <w:shd w:val="clear" w:color="auto" w:fill="E1DFDD"/>
    </w:rPr>
  </w:style>
  <w:style w:type="character" w:styleId="FollowedHyperlink">
    <w:name w:val="FollowedHyperlink"/>
    <w:basedOn w:val="DefaultParagraphFont"/>
    <w:uiPriority w:val="99"/>
    <w:semiHidden/>
    <w:unhideWhenUsed/>
    <w:rsid w:val="005A5CAC"/>
    <w:rPr>
      <w:color w:val="954F72" w:themeColor="followedHyperlink"/>
      <w:u w:val="single"/>
    </w:rPr>
  </w:style>
  <w:style w:type="paragraph" w:styleId="Header">
    <w:name w:val="header"/>
    <w:basedOn w:val="Normal"/>
    <w:link w:val="HeaderChar"/>
    <w:uiPriority w:val="99"/>
    <w:unhideWhenUsed/>
    <w:rsid w:val="00FE64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476"/>
  </w:style>
  <w:style w:type="paragraph" w:styleId="Footer">
    <w:name w:val="footer"/>
    <w:basedOn w:val="Normal"/>
    <w:link w:val="FooterChar"/>
    <w:uiPriority w:val="99"/>
    <w:unhideWhenUsed/>
    <w:rsid w:val="00FE64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4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6772/cijds-2024-07-02-06" TargetMode="External"/><Relationship Id="rId13" Type="http://schemas.openxmlformats.org/officeDocument/2006/relationships/hyperlink" Target="https://doi.org/10.52589/ajafr-dgbuhhv7" TargetMode="External"/><Relationship Id="rId18" Type="http://schemas.openxmlformats.org/officeDocument/2006/relationships/hyperlink" Target="https://doi.org/10.55026/jobaf.140027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14738/abr.116.14771" TargetMode="External"/><Relationship Id="rId17" Type="http://schemas.openxmlformats.org/officeDocument/2006/relationships/hyperlink" Target="https://doi.org/10.47191/jefms/v7-i4-25"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61990/ijamesc.v3i2.44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irfa.2025.104223"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56201/jafm.v8.no8.2022.pg29.47" TargetMode="External"/><Relationship Id="rId23" Type="http://schemas.openxmlformats.org/officeDocument/2006/relationships/footer" Target="footer2.xml"/><Relationship Id="rId10" Type="http://schemas.openxmlformats.org/officeDocument/2006/relationships/hyperlink" Target="https://doi.org/10.56201/jafm.v9.no3.2023.pg81.105" TargetMode="External"/><Relationship Id="rId19" Type="http://schemas.openxmlformats.org/officeDocument/2006/relationships/hyperlink" Target="https://doi.org/10.4236/ojbm.2018.63058" TargetMode="External"/><Relationship Id="rId4" Type="http://schemas.openxmlformats.org/officeDocument/2006/relationships/settings" Target="settings.xml"/><Relationship Id="rId9" Type="http://schemas.openxmlformats.org/officeDocument/2006/relationships/hyperlink" Target="https://doi.org/10.26772/cijds-2022-05-01-011" TargetMode="External"/><Relationship Id="rId14" Type="http://schemas.openxmlformats.org/officeDocument/2006/relationships/hyperlink" Target="https://doi.org/10.56201/ijefm.v7.no5.2022.pg56.68"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031BE-0983-4163-A52D-00DDE7D87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17</Pages>
  <Words>6459</Words>
  <Characters>36819</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Olawale Bammy</dc:creator>
  <cp:keywords/>
  <dc:description/>
  <cp:lastModifiedBy>SDI 1084</cp:lastModifiedBy>
  <cp:revision>20</cp:revision>
  <dcterms:created xsi:type="dcterms:W3CDTF">2026-03-04T17:59:00Z</dcterms:created>
  <dcterms:modified xsi:type="dcterms:W3CDTF">2026-03-07T08:38:00Z</dcterms:modified>
</cp:coreProperties>
</file>