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B8F33" w14:textId="77777777" w:rsidR="001F17EB" w:rsidRDefault="00D45EF0" w:rsidP="00563EAA">
      <w:pPr>
        <w:pStyle w:val="Heading1"/>
        <w:spacing w:before="0" w:line="360" w:lineRule="auto"/>
        <w:jc w:val="center"/>
        <w:rPr>
          <w:rFonts w:ascii="Times New Roman" w:hAnsi="Times New Roman" w:cs="Times New Roman"/>
          <w:color w:val="auto"/>
          <w:sz w:val="24"/>
          <w:szCs w:val="24"/>
        </w:rPr>
      </w:pPr>
      <w:r w:rsidRPr="00563EAA">
        <w:rPr>
          <w:rFonts w:ascii="Times New Roman" w:hAnsi="Times New Roman" w:cs="Times New Roman"/>
          <w:color w:val="auto"/>
          <w:sz w:val="24"/>
          <w:szCs w:val="24"/>
        </w:rPr>
        <w:t>Phytochemical c</w:t>
      </w:r>
      <w:r w:rsidR="001F17EB" w:rsidRPr="00563EAA">
        <w:rPr>
          <w:rFonts w:ascii="Times New Roman" w:hAnsi="Times New Roman" w:cs="Times New Roman"/>
          <w:color w:val="auto"/>
          <w:sz w:val="24"/>
          <w:szCs w:val="24"/>
        </w:rPr>
        <w:t xml:space="preserve">haracterization of </w:t>
      </w:r>
      <w:proofErr w:type="spellStart"/>
      <w:r w:rsidR="001F17EB" w:rsidRPr="00563EAA">
        <w:rPr>
          <w:rFonts w:ascii="Times New Roman" w:hAnsi="Times New Roman" w:cs="Times New Roman"/>
          <w:i/>
          <w:color w:val="auto"/>
          <w:sz w:val="24"/>
          <w:szCs w:val="24"/>
        </w:rPr>
        <w:t>Hedyotis</w:t>
      </w:r>
      <w:proofErr w:type="spellEnd"/>
      <w:r w:rsidR="001F17EB" w:rsidRPr="00563EAA">
        <w:rPr>
          <w:rFonts w:ascii="Times New Roman" w:hAnsi="Times New Roman" w:cs="Times New Roman"/>
          <w:i/>
          <w:color w:val="auto"/>
          <w:sz w:val="24"/>
          <w:szCs w:val="24"/>
        </w:rPr>
        <w:t xml:space="preserve"> </w:t>
      </w:r>
      <w:proofErr w:type="spellStart"/>
      <w:r w:rsidR="001F17EB" w:rsidRPr="00563EAA">
        <w:rPr>
          <w:rFonts w:ascii="Times New Roman" w:hAnsi="Times New Roman" w:cs="Times New Roman"/>
          <w:i/>
          <w:color w:val="auto"/>
          <w:sz w:val="24"/>
          <w:szCs w:val="24"/>
        </w:rPr>
        <w:t>purpurascens</w:t>
      </w:r>
      <w:proofErr w:type="spellEnd"/>
      <w:r w:rsidRPr="00563EAA">
        <w:rPr>
          <w:rFonts w:ascii="Times New Roman" w:hAnsi="Times New Roman" w:cs="Times New Roman"/>
          <w:color w:val="auto"/>
          <w:sz w:val="24"/>
          <w:szCs w:val="24"/>
        </w:rPr>
        <w:t xml:space="preserve"> </w:t>
      </w:r>
      <w:proofErr w:type="spellStart"/>
      <w:r w:rsidRPr="00563EAA">
        <w:rPr>
          <w:rFonts w:ascii="Times New Roman" w:hAnsi="Times New Roman" w:cs="Times New Roman"/>
          <w:color w:val="auto"/>
          <w:sz w:val="24"/>
          <w:szCs w:val="24"/>
        </w:rPr>
        <w:t>Hook.f</w:t>
      </w:r>
      <w:proofErr w:type="spellEnd"/>
      <w:r w:rsidRPr="00563EAA">
        <w:rPr>
          <w:rFonts w:ascii="Times New Roman" w:hAnsi="Times New Roman" w:cs="Times New Roman"/>
          <w:color w:val="auto"/>
          <w:sz w:val="24"/>
          <w:szCs w:val="24"/>
        </w:rPr>
        <w:t>. ethanolic leaf extract using HPLC and FTIR with standard c</w:t>
      </w:r>
      <w:r w:rsidR="001F17EB" w:rsidRPr="00563EAA">
        <w:rPr>
          <w:rFonts w:ascii="Times New Roman" w:hAnsi="Times New Roman" w:cs="Times New Roman"/>
          <w:color w:val="auto"/>
          <w:sz w:val="24"/>
          <w:szCs w:val="24"/>
        </w:rPr>
        <w:t>omparison</w:t>
      </w:r>
    </w:p>
    <w:p w14:paraId="487A937A" w14:textId="76B6B30B" w:rsidR="004C1E0B" w:rsidRDefault="004C1E0B" w:rsidP="004C1E0B"/>
    <w:p w14:paraId="59FF9405" w14:textId="77777777" w:rsidR="00D24FF2" w:rsidRPr="004C1E0B" w:rsidRDefault="00D24FF2" w:rsidP="004C1E0B">
      <w:bookmarkStart w:id="0" w:name="_GoBack"/>
      <w:bookmarkEnd w:id="0"/>
    </w:p>
    <w:p w14:paraId="6F5170C4" w14:textId="77777777" w:rsidR="001F17EB" w:rsidRPr="00563EAA" w:rsidRDefault="001F17EB"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Abstract</w:t>
      </w:r>
    </w:p>
    <w:p w14:paraId="225FF5DB" w14:textId="77777777" w:rsidR="00F74F53" w:rsidRPr="00563EAA" w:rsidRDefault="00F74F53"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Medicinal plants continue to be an important source of structurally varied bioactive chemicals. The current study used High-Performance Liquid Chromatography (HPLC) and Fourier Transform Infrared (FTIR) spectroscopy to create a chemical fingerprint of </w:t>
      </w:r>
      <w:proofErr w:type="spellStart"/>
      <w:r w:rsidRPr="00563EAA">
        <w:rPr>
          <w:rFonts w:ascii="Times New Roman" w:hAnsi="Times New Roman" w:cs="Times New Roman"/>
          <w:i/>
          <w:sz w:val="24"/>
          <w:szCs w:val="24"/>
        </w:rPr>
        <w:t>Hedyotis</w:t>
      </w:r>
      <w:proofErr w:type="spellEnd"/>
      <w:r w:rsidRPr="00563EAA">
        <w:rPr>
          <w:rFonts w:ascii="Times New Roman" w:hAnsi="Times New Roman" w:cs="Times New Roman"/>
          <w:i/>
          <w:sz w:val="24"/>
          <w:szCs w:val="24"/>
        </w:rPr>
        <w:t xml:space="preserve"> </w:t>
      </w:r>
      <w:proofErr w:type="spellStart"/>
      <w:r w:rsidRPr="00563EAA">
        <w:rPr>
          <w:rFonts w:ascii="Times New Roman" w:hAnsi="Times New Roman" w:cs="Times New Roman"/>
          <w:i/>
          <w:sz w:val="24"/>
          <w:szCs w:val="24"/>
        </w:rPr>
        <w:t>purpurascens</w:t>
      </w:r>
      <w:proofErr w:type="spellEnd"/>
      <w:r w:rsidRPr="00563EAA">
        <w:rPr>
          <w:rFonts w:ascii="Times New Roman" w:hAnsi="Times New Roman" w:cs="Times New Roman"/>
          <w:sz w:val="24"/>
          <w:szCs w:val="24"/>
        </w:rPr>
        <w:t xml:space="preserve"> </w:t>
      </w:r>
      <w:proofErr w:type="spellStart"/>
      <w:r w:rsidRPr="00563EAA">
        <w:rPr>
          <w:rFonts w:ascii="Times New Roman" w:hAnsi="Times New Roman" w:cs="Times New Roman"/>
          <w:sz w:val="24"/>
          <w:szCs w:val="24"/>
        </w:rPr>
        <w:t>Hook.f.'s</w:t>
      </w:r>
      <w:proofErr w:type="spellEnd"/>
      <w:r w:rsidRPr="00563EAA">
        <w:rPr>
          <w:rFonts w:ascii="Times New Roman" w:hAnsi="Times New Roman" w:cs="Times New Roman"/>
          <w:sz w:val="24"/>
          <w:szCs w:val="24"/>
        </w:rPr>
        <w:t xml:space="preserve"> ethanolic leaf extract.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quercetin, and myricetin were used as reference standards in a comparative HPLC analysis. The extract's chromatographic profile revealed twelve different peaks, including a prominent peak at 4.919 min that corresponded closely to </w:t>
      </w:r>
      <w:proofErr w:type="spellStart"/>
      <w:r w:rsidRPr="00563EAA">
        <w:rPr>
          <w:rFonts w:ascii="Times New Roman" w:hAnsi="Times New Roman" w:cs="Times New Roman"/>
          <w:sz w:val="24"/>
          <w:szCs w:val="24"/>
        </w:rPr>
        <w:t>Ampelopsin's</w:t>
      </w:r>
      <w:proofErr w:type="spellEnd"/>
      <w:r w:rsidRPr="00563EAA">
        <w:rPr>
          <w:rFonts w:ascii="Times New Roman" w:hAnsi="Times New Roman" w:cs="Times New Roman"/>
          <w:sz w:val="24"/>
          <w:szCs w:val="24"/>
        </w:rPr>
        <w:t xml:space="preserve"> retention time (4.992), indicating its presence. FTIR research revealed characteristic absorption bands for phenolic, aromatic, carbonyl, amine, and alkane functional groups. The comprehensive analytical results give a reliable chemical signature for </w:t>
      </w:r>
      <w:r w:rsidRPr="00563EAA">
        <w:rPr>
          <w:rFonts w:ascii="Times New Roman" w:hAnsi="Times New Roman" w:cs="Times New Roman"/>
          <w:i/>
          <w:sz w:val="24"/>
          <w:szCs w:val="24"/>
        </w:rPr>
        <w:t>H. purpurascens</w:t>
      </w:r>
      <w:r w:rsidRPr="00563EAA">
        <w:rPr>
          <w:rFonts w:ascii="Times New Roman" w:hAnsi="Times New Roman" w:cs="Times New Roman"/>
          <w:sz w:val="24"/>
          <w:szCs w:val="24"/>
        </w:rPr>
        <w:t xml:space="preserve"> and support its phytochemical diversity. This work establishes a foundation for future pharmacological validation and quality standards.</w:t>
      </w:r>
    </w:p>
    <w:p w14:paraId="5667A6B4" w14:textId="77777777" w:rsidR="001F17EB" w:rsidRPr="00563EAA" w:rsidRDefault="001F17EB"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b/>
          <w:i/>
          <w:sz w:val="24"/>
          <w:szCs w:val="24"/>
        </w:rPr>
        <w:t>Keywords</w:t>
      </w:r>
      <w:r w:rsidRPr="00563EAA">
        <w:rPr>
          <w:rFonts w:ascii="Times New Roman" w:hAnsi="Times New Roman" w:cs="Times New Roman"/>
          <w:sz w:val="24"/>
          <w:szCs w:val="24"/>
        </w:rPr>
        <w:t xml:space="preserve">: </w:t>
      </w:r>
      <w:proofErr w:type="spellStart"/>
      <w:r w:rsidRPr="00563EAA">
        <w:rPr>
          <w:rFonts w:ascii="Times New Roman" w:hAnsi="Times New Roman" w:cs="Times New Roman"/>
          <w:i/>
          <w:sz w:val="24"/>
          <w:szCs w:val="24"/>
        </w:rPr>
        <w:t>Hedyotis</w:t>
      </w:r>
      <w:proofErr w:type="spellEnd"/>
      <w:r w:rsidRPr="00563EAA">
        <w:rPr>
          <w:rFonts w:ascii="Times New Roman" w:hAnsi="Times New Roman" w:cs="Times New Roman"/>
          <w:i/>
          <w:sz w:val="24"/>
          <w:szCs w:val="24"/>
        </w:rPr>
        <w:t xml:space="preserve"> </w:t>
      </w:r>
      <w:proofErr w:type="spellStart"/>
      <w:r w:rsidRPr="00563EAA">
        <w:rPr>
          <w:rFonts w:ascii="Times New Roman" w:hAnsi="Times New Roman" w:cs="Times New Roman"/>
          <w:i/>
          <w:sz w:val="24"/>
          <w:szCs w:val="24"/>
        </w:rPr>
        <w:t>purpurascens</w:t>
      </w:r>
      <w:proofErr w:type="spellEnd"/>
      <w:r w:rsidRPr="00563EAA">
        <w:rPr>
          <w:rFonts w:ascii="Times New Roman" w:hAnsi="Times New Roman" w:cs="Times New Roman"/>
          <w:sz w:val="24"/>
          <w:szCs w:val="24"/>
        </w:rPr>
        <w:t xml:space="preserve">, HPLC, FTIR,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phytochemical profiling</w:t>
      </w:r>
    </w:p>
    <w:p w14:paraId="6173208E" w14:textId="77777777" w:rsidR="001F17EB" w:rsidRPr="00563EAA" w:rsidRDefault="001F17EB"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1. Introduction</w:t>
      </w:r>
    </w:p>
    <w:p w14:paraId="18B4C746" w14:textId="77777777" w:rsidR="00053365" w:rsidRPr="00563EAA" w:rsidRDefault="00053365"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Plant-derived secondary metabolites continue to make substantial contributions to current medication discovery. Natural products are a valuable source of innovative chemical scaffolds with potential therapeutic applications (Newman &amp; Cragg, 2020). Analytical </w:t>
      </w:r>
      <w:proofErr w:type="spellStart"/>
      <w:r w:rsidRPr="00563EAA">
        <w:rPr>
          <w:rFonts w:ascii="Times New Roman" w:hAnsi="Times New Roman" w:cs="Times New Roman"/>
          <w:sz w:val="24"/>
          <w:szCs w:val="24"/>
        </w:rPr>
        <w:t>characterisation</w:t>
      </w:r>
      <w:proofErr w:type="spellEnd"/>
      <w:r w:rsidRPr="00563EAA">
        <w:rPr>
          <w:rFonts w:ascii="Times New Roman" w:hAnsi="Times New Roman" w:cs="Times New Roman"/>
          <w:sz w:val="24"/>
          <w:szCs w:val="24"/>
        </w:rPr>
        <w:t xml:space="preserve"> of medicinal plants is critical to guaranteeing quality, repeatability, and biological validity. Chromatographic fingerprinting with HPLC is generally recognized as a dependable analytical method for the separation and identification of </w:t>
      </w:r>
      <w:proofErr w:type="spellStart"/>
      <w:r w:rsidRPr="00563EAA">
        <w:rPr>
          <w:rFonts w:ascii="Times New Roman" w:hAnsi="Times New Roman" w:cs="Times New Roman"/>
          <w:sz w:val="24"/>
          <w:szCs w:val="24"/>
        </w:rPr>
        <w:t>phytoconstituants</w:t>
      </w:r>
      <w:proofErr w:type="spellEnd"/>
      <w:r w:rsidRPr="00563EAA">
        <w:rPr>
          <w:rFonts w:ascii="Times New Roman" w:hAnsi="Times New Roman" w:cs="Times New Roman"/>
          <w:sz w:val="24"/>
          <w:szCs w:val="24"/>
        </w:rPr>
        <w:t xml:space="preserve">. HPLC allows for exact separation of phytoconstituents, whereas FTIR spectroscopy permits quick identification of functional groups (Snyder </w:t>
      </w:r>
      <w:r w:rsidRPr="00563EAA">
        <w:rPr>
          <w:rFonts w:ascii="Times New Roman" w:hAnsi="Times New Roman" w:cs="Times New Roman"/>
          <w:i/>
          <w:sz w:val="24"/>
          <w:szCs w:val="24"/>
        </w:rPr>
        <w:t>et al</w:t>
      </w:r>
      <w:r w:rsidRPr="00563EAA">
        <w:rPr>
          <w:rFonts w:ascii="Times New Roman" w:hAnsi="Times New Roman" w:cs="Times New Roman"/>
          <w:sz w:val="24"/>
          <w:szCs w:val="24"/>
        </w:rPr>
        <w:t>., 2010; Stuart, 2015). Furthermore, FTIR spectroscopy allows for fast functional group analysis and acts as an authentication method in herbal standardization.</w:t>
      </w:r>
    </w:p>
    <w:p w14:paraId="6A4D7A2E" w14:textId="77777777" w:rsidR="00E50BBF" w:rsidRPr="00563EAA" w:rsidRDefault="00E50BBF" w:rsidP="00563EAA">
      <w:pPr>
        <w:spacing w:after="0" w:line="360" w:lineRule="auto"/>
        <w:ind w:firstLine="720"/>
        <w:jc w:val="both"/>
        <w:rPr>
          <w:rFonts w:ascii="Times New Roman" w:hAnsi="Times New Roman" w:cs="Times New Roman"/>
          <w:sz w:val="24"/>
          <w:szCs w:val="24"/>
        </w:rPr>
      </w:pPr>
      <w:proofErr w:type="spellStart"/>
      <w:r w:rsidRPr="00563EAA">
        <w:rPr>
          <w:rFonts w:ascii="Times New Roman" w:hAnsi="Times New Roman" w:cs="Times New Roman"/>
          <w:i/>
          <w:iCs/>
          <w:sz w:val="24"/>
          <w:szCs w:val="24"/>
        </w:rPr>
        <w:t>Hedyotis</w:t>
      </w:r>
      <w:proofErr w:type="spellEnd"/>
      <w:r w:rsidRPr="00563EAA">
        <w:rPr>
          <w:rFonts w:ascii="Times New Roman" w:hAnsi="Times New Roman" w:cs="Times New Roman"/>
          <w:i/>
          <w:iCs/>
          <w:sz w:val="24"/>
          <w:szCs w:val="24"/>
        </w:rPr>
        <w:t xml:space="preserve"> </w:t>
      </w:r>
      <w:proofErr w:type="spellStart"/>
      <w:r w:rsidRPr="00563EAA">
        <w:rPr>
          <w:rFonts w:ascii="Times New Roman" w:hAnsi="Times New Roman" w:cs="Times New Roman"/>
          <w:i/>
          <w:iCs/>
          <w:sz w:val="24"/>
          <w:szCs w:val="24"/>
        </w:rPr>
        <w:t>purpurascens</w:t>
      </w:r>
      <w:proofErr w:type="spellEnd"/>
      <w:r w:rsidRPr="00563EAA">
        <w:rPr>
          <w:rFonts w:ascii="Times New Roman" w:hAnsi="Times New Roman" w:cs="Times New Roman"/>
          <w:sz w:val="24"/>
          <w:szCs w:val="24"/>
        </w:rPr>
        <w:t xml:space="preserve"> </w:t>
      </w:r>
      <w:proofErr w:type="spellStart"/>
      <w:r w:rsidRPr="00563EAA">
        <w:rPr>
          <w:rFonts w:ascii="Times New Roman" w:hAnsi="Times New Roman" w:cs="Times New Roman"/>
          <w:sz w:val="24"/>
          <w:szCs w:val="24"/>
        </w:rPr>
        <w:t>Hook.f</w:t>
      </w:r>
      <w:proofErr w:type="spellEnd"/>
      <w:r w:rsidRPr="00563EAA">
        <w:rPr>
          <w:rFonts w:ascii="Times New Roman" w:hAnsi="Times New Roman" w:cs="Times New Roman"/>
          <w:sz w:val="24"/>
          <w:szCs w:val="24"/>
        </w:rPr>
        <w:t xml:space="preserve">., belonging to the Rubiaceae family, is traditionally utilized in indigenous medicinal systems; however, detailed chemical profiling remains limited. Establishing a reproducible phytochemical signature is essential for </w:t>
      </w:r>
      <w:proofErr w:type="spellStart"/>
      <w:r w:rsidRPr="00563EAA">
        <w:rPr>
          <w:rFonts w:ascii="Times New Roman" w:hAnsi="Times New Roman" w:cs="Times New Roman"/>
          <w:sz w:val="24"/>
          <w:szCs w:val="24"/>
        </w:rPr>
        <w:t>pharmacognostic</w:t>
      </w:r>
      <w:proofErr w:type="spellEnd"/>
      <w:r w:rsidRPr="00563EAA">
        <w:rPr>
          <w:rFonts w:ascii="Times New Roman" w:hAnsi="Times New Roman" w:cs="Times New Roman"/>
          <w:sz w:val="24"/>
          <w:szCs w:val="24"/>
        </w:rPr>
        <w:t xml:space="preserve"> validation and future therapeutic exploration. The present study integrates HPLC comparison </w:t>
      </w:r>
      <w:r w:rsidRPr="00563EAA">
        <w:rPr>
          <w:rFonts w:ascii="Times New Roman" w:hAnsi="Times New Roman" w:cs="Times New Roman"/>
          <w:sz w:val="24"/>
          <w:szCs w:val="24"/>
        </w:rPr>
        <w:lastRenderedPageBreak/>
        <w:t xml:space="preserve">with flavonoid standards and FTIR spectral analysis to characterize the ethanolic leaf extract of </w:t>
      </w:r>
      <w:r w:rsidRPr="00563EAA">
        <w:rPr>
          <w:rFonts w:ascii="Times New Roman" w:hAnsi="Times New Roman" w:cs="Times New Roman"/>
          <w:i/>
          <w:iCs/>
          <w:sz w:val="24"/>
          <w:szCs w:val="24"/>
        </w:rPr>
        <w:t>H. purpurascens</w:t>
      </w:r>
      <w:r w:rsidRPr="00563EAA">
        <w:rPr>
          <w:rFonts w:ascii="Times New Roman" w:hAnsi="Times New Roman" w:cs="Times New Roman"/>
          <w:sz w:val="24"/>
          <w:szCs w:val="24"/>
        </w:rPr>
        <w:t>.</w:t>
      </w:r>
    </w:p>
    <w:p w14:paraId="395527EE" w14:textId="77777777" w:rsidR="001F17EB" w:rsidRPr="00563EAA" w:rsidRDefault="001F17EB"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2. Materials and Methods</w:t>
      </w:r>
    </w:p>
    <w:p w14:paraId="12E99A8C" w14:textId="77777777" w:rsidR="00E351AD" w:rsidRPr="00563EAA" w:rsidRDefault="001F17EB" w:rsidP="00563EAA">
      <w:pPr>
        <w:spacing w:after="0" w:line="360" w:lineRule="auto"/>
        <w:jc w:val="both"/>
        <w:rPr>
          <w:rFonts w:ascii="Times New Roman" w:hAnsi="Times New Roman" w:cs="Times New Roman"/>
          <w:b/>
          <w:sz w:val="24"/>
          <w:szCs w:val="24"/>
        </w:rPr>
      </w:pPr>
      <w:r w:rsidRPr="00563EAA">
        <w:rPr>
          <w:rFonts w:ascii="Times New Roman" w:hAnsi="Times New Roman" w:cs="Times New Roman"/>
          <w:b/>
          <w:sz w:val="24"/>
          <w:szCs w:val="24"/>
        </w:rPr>
        <w:t>2.1 Plant Material and Extraction</w:t>
      </w:r>
    </w:p>
    <w:p w14:paraId="26DAB278" w14:textId="77777777" w:rsidR="001F17EB" w:rsidRPr="00563EAA" w:rsidRDefault="001F17EB"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Shade-dried leaf powder of </w:t>
      </w:r>
      <w:proofErr w:type="spellStart"/>
      <w:r w:rsidRPr="00563EAA">
        <w:rPr>
          <w:rFonts w:ascii="Times New Roman" w:hAnsi="Times New Roman" w:cs="Times New Roman"/>
          <w:i/>
          <w:sz w:val="24"/>
          <w:szCs w:val="24"/>
        </w:rPr>
        <w:t>Hedyotis</w:t>
      </w:r>
      <w:proofErr w:type="spellEnd"/>
      <w:r w:rsidRPr="00563EAA">
        <w:rPr>
          <w:rFonts w:ascii="Times New Roman" w:hAnsi="Times New Roman" w:cs="Times New Roman"/>
          <w:i/>
          <w:sz w:val="24"/>
          <w:szCs w:val="24"/>
        </w:rPr>
        <w:t xml:space="preserve"> </w:t>
      </w:r>
      <w:proofErr w:type="spellStart"/>
      <w:r w:rsidRPr="00563EAA">
        <w:rPr>
          <w:rFonts w:ascii="Times New Roman" w:hAnsi="Times New Roman" w:cs="Times New Roman"/>
          <w:i/>
          <w:sz w:val="24"/>
          <w:szCs w:val="24"/>
        </w:rPr>
        <w:t>purpurascens</w:t>
      </w:r>
      <w:proofErr w:type="spellEnd"/>
      <w:r w:rsidRPr="00563EAA">
        <w:rPr>
          <w:rFonts w:ascii="Times New Roman" w:hAnsi="Times New Roman" w:cs="Times New Roman"/>
          <w:sz w:val="24"/>
          <w:szCs w:val="24"/>
        </w:rPr>
        <w:t xml:space="preserve"> was extracted using</w:t>
      </w:r>
      <w:r w:rsidR="00E351AD" w:rsidRPr="00563EAA">
        <w:rPr>
          <w:rFonts w:ascii="Times New Roman" w:hAnsi="Times New Roman" w:cs="Times New Roman"/>
          <w:sz w:val="24"/>
          <w:szCs w:val="24"/>
        </w:rPr>
        <w:t xml:space="preserve"> sequential solvent extraction (petroleum ether, ethyl acetate, ethanol and aqueous) using </w:t>
      </w:r>
      <w:proofErr w:type="spellStart"/>
      <w:r w:rsidR="00E351AD" w:rsidRPr="00563EAA">
        <w:rPr>
          <w:rFonts w:ascii="Times New Roman" w:hAnsi="Times New Roman" w:cs="Times New Roman"/>
          <w:sz w:val="24"/>
          <w:szCs w:val="24"/>
        </w:rPr>
        <w:t>soxhlet</w:t>
      </w:r>
      <w:proofErr w:type="spellEnd"/>
      <w:r w:rsidR="00E351AD" w:rsidRPr="00563EAA">
        <w:rPr>
          <w:rFonts w:ascii="Times New Roman" w:hAnsi="Times New Roman" w:cs="Times New Roman"/>
          <w:sz w:val="24"/>
          <w:szCs w:val="24"/>
        </w:rPr>
        <w:t xml:space="preserve"> apparatus and maceration techniques</w:t>
      </w:r>
      <w:r w:rsidRPr="00563EAA">
        <w:rPr>
          <w:rFonts w:ascii="Times New Roman" w:hAnsi="Times New Roman" w:cs="Times New Roman"/>
          <w:sz w:val="24"/>
          <w:szCs w:val="24"/>
        </w:rPr>
        <w:t>. The extract was filtered and concentrated prior to analysis.</w:t>
      </w:r>
    </w:p>
    <w:p w14:paraId="2EFD759E" w14:textId="77777777" w:rsidR="00563EAA" w:rsidRDefault="001F17EB" w:rsidP="00563EAA">
      <w:pPr>
        <w:spacing w:after="0" w:line="360" w:lineRule="auto"/>
        <w:jc w:val="both"/>
        <w:rPr>
          <w:rFonts w:ascii="Times New Roman" w:hAnsi="Times New Roman" w:cs="Times New Roman"/>
          <w:b/>
          <w:sz w:val="24"/>
          <w:szCs w:val="24"/>
        </w:rPr>
      </w:pPr>
      <w:r w:rsidRPr="00563EAA">
        <w:rPr>
          <w:rFonts w:ascii="Times New Roman" w:hAnsi="Times New Roman" w:cs="Times New Roman"/>
          <w:b/>
          <w:sz w:val="24"/>
          <w:szCs w:val="24"/>
        </w:rPr>
        <w:t>2.2 HPLC Analysis</w:t>
      </w:r>
    </w:p>
    <w:p w14:paraId="4C9607F0" w14:textId="77777777" w:rsidR="00563EAA" w:rsidRDefault="0094386A"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High Performance Liquid Chromatography (HPLC) analysis was carried out to identify and compare the phytoconstituents present in the plant extract with reference standards of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myricetin, and quercetin. The analysis was performed using a reverse-phase HPLC system (Shimadzu/Agilent system equipped with a UV–Visible detector). Separation was achieved on a C18 reversed-phase column (250 mm × 4.6 mm, 5 µm particle size). The flow rate was maintained at 1.0 mL/min with an injection volume of 20 µL. Detection was carried out at 254 nm. The total run time was 20–30 minutes.</w:t>
      </w:r>
    </w:p>
    <w:p w14:paraId="32BB5E5A" w14:textId="77777777" w:rsidR="0094386A" w:rsidRPr="00563EAA" w:rsidRDefault="0094386A" w:rsidP="00563EAA">
      <w:pPr>
        <w:spacing w:after="0" w:line="360" w:lineRule="auto"/>
        <w:ind w:firstLine="720"/>
        <w:jc w:val="both"/>
        <w:rPr>
          <w:rFonts w:ascii="Times New Roman" w:hAnsi="Times New Roman" w:cs="Times New Roman"/>
          <w:b/>
          <w:sz w:val="24"/>
          <w:szCs w:val="24"/>
        </w:rPr>
      </w:pPr>
      <w:r w:rsidRPr="00563EAA">
        <w:rPr>
          <w:rFonts w:ascii="Times New Roman" w:hAnsi="Times New Roman" w:cs="Times New Roman"/>
          <w:sz w:val="24"/>
          <w:szCs w:val="24"/>
        </w:rPr>
        <w:t xml:space="preserve">The plant extract was filtered through a 0.45 µm membrane filter prior to injection. Standard solutions of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myricetin, and quercetin were produced separately in HPLC-grade methanol at known concentrations and filtered prior to analysis. Compounds in the extract were identified by comparing peak retention durations and UV spectra to those of reference standards.</w:t>
      </w:r>
    </w:p>
    <w:p w14:paraId="591F6634" w14:textId="77777777" w:rsidR="001F17EB" w:rsidRPr="00563EAA" w:rsidRDefault="001F17EB" w:rsidP="00563EAA">
      <w:pPr>
        <w:pStyle w:val="NormalWeb"/>
        <w:spacing w:before="0" w:beforeAutospacing="0" w:after="0" w:afterAutospacing="0" w:line="360" w:lineRule="auto"/>
        <w:rPr>
          <w:b/>
        </w:rPr>
      </w:pPr>
      <w:r w:rsidRPr="00563EAA">
        <w:rPr>
          <w:b/>
        </w:rPr>
        <w:t>2.3 FTIR Analysis</w:t>
      </w:r>
    </w:p>
    <w:p w14:paraId="24A0CBFC" w14:textId="77777777" w:rsidR="00716998" w:rsidRPr="00563EAA" w:rsidRDefault="00716998" w:rsidP="00563EAA">
      <w:pPr>
        <w:pStyle w:val="Heading2"/>
        <w:spacing w:before="0" w:line="360" w:lineRule="auto"/>
        <w:ind w:firstLine="720"/>
        <w:jc w:val="both"/>
        <w:rPr>
          <w:rFonts w:ascii="Times New Roman" w:hAnsi="Times New Roman" w:cs="Times New Roman"/>
          <w:b w:val="0"/>
          <w:color w:val="auto"/>
          <w:sz w:val="24"/>
          <w:szCs w:val="24"/>
        </w:rPr>
      </w:pPr>
      <w:r w:rsidRPr="00563EAA">
        <w:rPr>
          <w:rFonts w:ascii="Times New Roman" w:hAnsi="Times New Roman" w:cs="Times New Roman"/>
          <w:b w:val="0"/>
          <w:color w:val="auto"/>
          <w:sz w:val="24"/>
          <w:szCs w:val="24"/>
        </w:rPr>
        <w:t>Fourier Transform Infrared (FTIR) analysis was carried out on a PerkinElmer Spectrum Two FTIR spectrophotometer (PerkinElmer Inc., USA) with a diamond Attenuated Total Reflectance (ATR) accessory. The dried plant extract was directly put to the ATR crystal surface, with steady pressure applied to achieve good contact between the sample and the crystal. Spectral data were collected in the mid-infrared range (4000-400 cm</w:t>
      </w:r>
      <w:r w:rsidRPr="00563EAA">
        <w:rPr>
          <w:rFonts w:ascii="Times New Roman" w:cs="Times New Roman"/>
          <w:b w:val="0"/>
          <w:color w:val="auto"/>
          <w:sz w:val="24"/>
          <w:szCs w:val="24"/>
        </w:rPr>
        <w:t>⁻</w:t>
      </w:r>
      <w:r w:rsidRPr="00563EAA">
        <w:rPr>
          <w:rFonts w:ascii="Times New Roman" w:hAnsi="Times New Roman" w:cs="Times New Roman"/>
          <w:b w:val="0"/>
          <w:color w:val="auto"/>
          <w:sz w:val="24"/>
          <w:szCs w:val="24"/>
        </w:rPr>
        <w:t>¹) at a resolution of 4 cm</w:t>
      </w:r>
      <w:r w:rsidRPr="00563EAA">
        <w:rPr>
          <w:rFonts w:ascii="Times New Roman" w:cs="Times New Roman"/>
          <w:b w:val="0"/>
          <w:color w:val="auto"/>
          <w:sz w:val="24"/>
          <w:szCs w:val="24"/>
        </w:rPr>
        <w:t>⁻</w:t>
      </w:r>
      <w:r w:rsidRPr="00563EAA">
        <w:rPr>
          <w:rFonts w:ascii="Times New Roman" w:hAnsi="Times New Roman" w:cs="Times New Roman"/>
          <w:b w:val="0"/>
          <w:color w:val="auto"/>
          <w:sz w:val="24"/>
          <w:szCs w:val="24"/>
        </w:rPr>
        <w:t>¹, with 16 scans per sample. A background spectrum was acquired before each study to eliminate ambient and instrumental interferences. The spectra were analyzed using the instrument's software, and the characteristic absorption bands were used to identify the functional groups in the extract.</w:t>
      </w:r>
    </w:p>
    <w:p w14:paraId="47BE3606" w14:textId="77777777" w:rsidR="001F17EB" w:rsidRPr="00563EAA" w:rsidRDefault="00D45EF0"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3. Results and Discussion</w:t>
      </w:r>
    </w:p>
    <w:p w14:paraId="672B55D9" w14:textId="77777777" w:rsidR="006074F1" w:rsidRPr="00563EAA" w:rsidRDefault="006074F1" w:rsidP="00563EAA">
      <w:pPr>
        <w:spacing w:after="0" w:line="360" w:lineRule="auto"/>
        <w:jc w:val="both"/>
        <w:rPr>
          <w:rFonts w:ascii="Times New Roman" w:hAnsi="Times New Roman" w:cs="Times New Roman"/>
          <w:b/>
          <w:sz w:val="24"/>
          <w:szCs w:val="24"/>
        </w:rPr>
      </w:pPr>
      <w:r w:rsidRPr="00563EAA">
        <w:rPr>
          <w:rFonts w:ascii="Times New Roman" w:hAnsi="Times New Roman" w:cs="Times New Roman"/>
          <w:b/>
          <w:sz w:val="24"/>
          <w:szCs w:val="24"/>
        </w:rPr>
        <w:t>3.1 HPLC Profile of ethanolic leaf extract</w:t>
      </w:r>
    </w:p>
    <w:p w14:paraId="04896597" w14:textId="77777777" w:rsidR="006074F1" w:rsidRPr="00563EAA" w:rsidRDefault="006074F1" w:rsidP="00563EAA">
      <w:pPr>
        <w:spacing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lastRenderedPageBreak/>
        <w:t xml:space="preserve">The HPLC chromatogram of the ethanolic leaf extract exhibited twelve well-resolved peaks within a retention window of 2.7–28.2 min by indicating the presence of multiple secondary metabolites with varying polarity (Table 1; Fig. 1). The chromatographic separation </w:t>
      </w:r>
      <w:r w:rsidR="00951C9F" w:rsidRPr="00563EAA">
        <w:rPr>
          <w:rFonts w:ascii="Times New Roman" w:hAnsi="Times New Roman" w:cs="Times New Roman"/>
          <w:sz w:val="24"/>
          <w:szCs w:val="24"/>
        </w:rPr>
        <w:t>exhibited</w:t>
      </w:r>
      <w:r w:rsidRPr="00563EAA">
        <w:rPr>
          <w:rFonts w:ascii="Times New Roman" w:hAnsi="Times New Roman" w:cs="Times New Roman"/>
          <w:sz w:val="24"/>
          <w:szCs w:val="24"/>
        </w:rPr>
        <w:t xml:space="preserve"> </w:t>
      </w:r>
      <w:r w:rsidR="00951C9F" w:rsidRPr="00563EAA">
        <w:rPr>
          <w:rFonts w:ascii="Times New Roman" w:hAnsi="Times New Roman" w:cs="Times New Roman"/>
          <w:sz w:val="24"/>
          <w:szCs w:val="24"/>
        </w:rPr>
        <w:t>quality</w:t>
      </w:r>
      <w:r w:rsidRPr="00563EAA">
        <w:rPr>
          <w:rFonts w:ascii="Times New Roman" w:hAnsi="Times New Roman" w:cs="Times New Roman"/>
          <w:sz w:val="24"/>
          <w:szCs w:val="24"/>
        </w:rPr>
        <w:t xml:space="preserve"> peak symmetry and baseline resolution, suggesting appropriate method suitability for phytochemical fingerprinting.</w:t>
      </w:r>
    </w:p>
    <w:p w14:paraId="260AF9B8" w14:textId="77777777" w:rsidR="00862F0B" w:rsidRPr="00563EAA" w:rsidRDefault="00862F0B" w:rsidP="00563EAA">
      <w:pPr>
        <w:spacing w:after="0" w:line="360" w:lineRule="auto"/>
        <w:ind w:firstLine="720"/>
        <w:jc w:val="center"/>
        <w:rPr>
          <w:rFonts w:ascii="Times New Roman" w:hAnsi="Times New Roman" w:cs="Times New Roman"/>
          <w:b/>
          <w:sz w:val="24"/>
          <w:szCs w:val="24"/>
        </w:rPr>
      </w:pPr>
      <w:r w:rsidRPr="00563EAA">
        <w:rPr>
          <w:rFonts w:ascii="Times New Roman" w:hAnsi="Times New Roman" w:cs="Times New Roman"/>
          <w:b/>
          <w:sz w:val="24"/>
          <w:szCs w:val="24"/>
        </w:rPr>
        <w:t>Table 1: Table representing the peaks obtained in HPLC</w:t>
      </w:r>
    </w:p>
    <w:tbl>
      <w:tblPr>
        <w:tblW w:w="0" w:type="auto"/>
        <w:jc w:val="center"/>
        <w:tblCellMar>
          <w:left w:w="0" w:type="dxa"/>
          <w:right w:w="0" w:type="dxa"/>
        </w:tblCellMar>
        <w:tblLook w:val="04A0" w:firstRow="1" w:lastRow="0" w:firstColumn="1" w:lastColumn="0" w:noHBand="0" w:noVBand="1"/>
      </w:tblPr>
      <w:tblGrid>
        <w:gridCol w:w="740"/>
        <w:gridCol w:w="1699"/>
        <w:gridCol w:w="1146"/>
        <w:gridCol w:w="1086"/>
        <w:gridCol w:w="726"/>
        <w:gridCol w:w="2329"/>
      </w:tblGrid>
      <w:tr w:rsidR="00862F0B" w:rsidRPr="00563EAA" w14:paraId="79159B75"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E1AD39A" w14:textId="77777777" w:rsidR="00862F0B" w:rsidRPr="00563EAA" w:rsidRDefault="00862F0B" w:rsidP="00563EAA">
            <w:pPr>
              <w:spacing w:after="0" w:line="36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S.NO</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634608F"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Retention time</w:t>
            </w:r>
          </w:p>
          <w:p w14:paraId="12692ED6"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(min)</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83675E5"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Area</w:t>
            </w:r>
          </w:p>
          <w:p w14:paraId="0C55CE34"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w:t>
            </w:r>
            <w:proofErr w:type="spellStart"/>
            <w:r w:rsidRPr="00563EAA">
              <w:rPr>
                <w:rFonts w:ascii="Times New Roman" w:eastAsia="Times New Roman" w:hAnsi="Times New Roman" w:cs="Times New Roman"/>
                <w:b/>
                <w:kern w:val="24"/>
                <w:sz w:val="24"/>
                <w:szCs w:val="24"/>
              </w:rPr>
              <w:t>mAU</w:t>
            </w:r>
            <w:proofErr w:type="spellEnd"/>
            <w:r w:rsidRPr="00563EAA">
              <w:rPr>
                <w:rFonts w:ascii="Times New Roman" w:eastAsia="Times New Roman" w:hAnsi="Times New Roman" w:cs="Times New Roman"/>
                <w:b/>
                <w:kern w:val="24"/>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2D4459B"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Height</w:t>
            </w:r>
          </w:p>
          <w:p w14:paraId="347F254C"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w:t>
            </w:r>
            <w:proofErr w:type="spellStart"/>
            <w:r w:rsidRPr="00563EAA">
              <w:rPr>
                <w:rFonts w:ascii="Times New Roman" w:eastAsia="Times New Roman" w:hAnsi="Times New Roman" w:cs="Times New Roman"/>
                <w:b/>
                <w:kern w:val="24"/>
                <w:sz w:val="24"/>
                <w:szCs w:val="24"/>
              </w:rPr>
              <w:t>mAU</w:t>
            </w:r>
            <w:proofErr w:type="spellEnd"/>
            <w:r w:rsidRPr="00563EAA">
              <w:rPr>
                <w:rFonts w:ascii="Times New Roman" w:eastAsia="Times New Roman" w:hAnsi="Times New Roman" w:cs="Times New Roman"/>
                <w:b/>
                <w:kern w:val="24"/>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CC6B439"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Area</w:t>
            </w:r>
          </w:p>
          <w:p w14:paraId="3DFC997E" w14:textId="77777777" w:rsidR="00862F0B" w:rsidRPr="00563EAA" w:rsidRDefault="00862F0B" w:rsidP="00563EAA">
            <w:pPr>
              <w:spacing w:after="0" w:line="24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E9945C0" w14:textId="77777777" w:rsidR="00862F0B" w:rsidRPr="00563EAA" w:rsidRDefault="00862F0B" w:rsidP="00563EAA">
            <w:pPr>
              <w:spacing w:after="0" w:line="360" w:lineRule="auto"/>
              <w:jc w:val="center"/>
              <w:rPr>
                <w:rFonts w:ascii="Times New Roman" w:eastAsia="Times New Roman" w:hAnsi="Times New Roman" w:cs="Times New Roman"/>
                <w:b/>
                <w:sz w:val="24"/>
                <w:szCs w:val="24"/>
              </w:rPr>
            </w:pPr>
            <w:r w:rsidRPr="00563EAA">
              <w:rPr>
                <w:rFonts w:ascii="Times New Roman" w:eastAsia="Times New Roman" w:hAnsi="Times New Roman" w:cs="Times New Roman"/>
                <w:b/>
                <w:kern w:val="24"/>
                <w:sz w:val="24"/>
                <w:szCs w:val="24"/>
              </w:rPr>
              <w:t>CONCENTRATION</w:t>
            </w:r>
          </w:p>
        </w:tc>
      </w:tr>
      <w:tr w:rsidR="00862F0B" w:rsidRPr="00563EAA" w14:paraId="4571C67B"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CF9C6F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5540944"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2.769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3F44D5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12087093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E48FCEA"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2126.077</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11BA12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12.08</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C034B70"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27.106</w:t>
            </w:r>
          </w:p>
        </w:tc>
      </w:tr>
      <w:tr w:rsidR="00862F0B" w:rsidRPr="00563EAA" w14:paraId="2B69D667"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8D823E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6E6348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4.003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879F030"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5139365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90056C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391.102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D0DD500"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5.139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6B1507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11.525</w:t>
            </w:r>
          </w:p>
        </w:tc>
      </w:tr>
      <w:tr w:rsidR="00862F0B" w:rsidRPr="00563EAA" w14:paraId="3BC49936"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653051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9F6E46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4.359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FA4FADD"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393281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738DA02"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106.538</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B1063E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0.393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ED490D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0.882</w:t>
            </w:r>
          </w:p>
        </w:tc>
      </w:tr>
      <w:tr w:rsidR="00862F0B" w:rsidRPr="00563EAA" w14:paraId="5D8C6E31"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0368D0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7CDFCCB"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4.919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467E61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19157014</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0F3E41D"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972.957</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78316DD"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19.15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B10C618"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42.961</w:t>
            </w:r>
          </w:p>
        </w:tc>
      </w:tr>
      <w:tr w:rsidR="00862F0B" w:rsidRPr="00563EAA" w14:paraId="4715B529"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F6C4815"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816384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5.675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778DB5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2091922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284A978"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114.380</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666586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2.091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F5A525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4.691</w:t>
            </w:r>
          </w:p>
        </w:tc>
      </w:tr>
      <w:tr w:rsidR="00862F0B" w:rsidRPr="00563EAA" w14:paraId="03B5A926"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6D3D2EB"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6</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74F3FDD"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13.585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651C77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363072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A5F0E2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21.669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BAFD9A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0.363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43D6E1A"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0.814</w:t>
            </w:r>
          </w:p>
        </w:tc>
      </w:tr>
      <w:tr w:rsidR="00862F0B" w:rsidRPr="00563EAA" w14:paraId="16FEFD39"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B26D824"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7</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C3EC5E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14.643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F3B0D4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725744</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7784464"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44.861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BE478A3"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0.725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6F4C38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1.628</w:t>
            </w:r>
          </w:p>
        </w:tc>
      </w:tr>
      <w:tr w:rsidR="00862F0B" w:rsidRPr="00563EAA" w14:paraId="5AEF6C6D"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F4536F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8</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D5B8C7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17.833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C284AB5"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3525649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0C6D24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213.803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67EB7EE"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3.525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662E4C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7.907</w:t>
            </w:r>
          </w:p>
        </w:tc>
      </w:tr>
      <w:tr w:rsidR="00862F0B" w:rsidRPr="00563EAA" w14:paraId="1E05876C"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E1F6C0A"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6807854"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18.689</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994E6F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368811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06C5669"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14.925</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73BD01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0.368</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CAAC2F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0.827</w:t>
            </w:r>
          </w:p>
        </w:tc>
      </w:tr>
      <w:tr w:rsidR="00862F0B" w:rsidRPr="00563EAA" w14:paraId="6860EE00"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528F4FA"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10</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F4B043F"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23.763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1BEEAE2B"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322178</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E9C73D3"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20.274</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3143514"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0.322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7945086B"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0.723</w:t>
            </w:r>
          </w:p>
        </w:tc>
      </w:tr>
      <w:tr w:rsidR="00862F0B" w:rsidRPr="00563EAA" w14:paraId="5CBBEFA1"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9975D0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ED8A603"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26.103</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0865C47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152692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32DE690"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15.017</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2F2EF0A"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0.152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4CC92C79"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0.342</w:t>
            </w:r>
          </w:p>
        </w:tc>
      </w:tr>
      <w:tr w:rsidR="00862F0B" w:rsidRPr="00563EAA" w14:paraId="1326D486" w14:textId="77777777" w:rsidTr="00517EB4">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30E4CCE1"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12</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494A1F6"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28.211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65164C7B"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264621</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380FD07"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18.077</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2677B010"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0.264</w:t>
            </w:r>
          </w:p>
        </w:tc>
        <w:tc>
          <w:tcPr>
            <w:tcW w:w="0" w:type="auto"/>
            <w:tcBorders>
              <w:top w:val="single" w:sz="8" w:space="0" w:color="000000"/>
              <w:left w:val="single" w:sz="8" w:space="0" w:color="000000"/>
              <w:bottom w:val="single" w:sz="8" w:space="0" w:color="000000"/>
              <w:right w:val="single" w:sz="8" w:space="0" w:color="000000"/>
            </w:tcBorders>
            <w:tcMar>
              <w:top w:w="15" w:type="dxa"/>
              <w:left w:w="93" w:type="dxa"/>
              <w:bottom w:w="0" w:type="dxa"/>
              <w:right w:w="93" w:type="dxa"/>
            </w:tcMar>
            <w:vAlign w:val="center"/>
            <w:hideMark/>
          </w:tcPr>
          <w:p w14:paraId="58AA2A55" w14:textId="77777777" w:rsidR="00862F0B" w:rsidRPr="00563EAA" w:rsidRDefault="00862F0B" w:rsidP="00563EAA">
            <w:pPr>
              <w:spacing w:after="0" w:line="240" w:lineRule="auto"/>
              <w:jc w:val="center"/>
              <w:rPr>
                <w:rFonts w:ascii="Times New Roman" w:eastAsia="Times New Roman" w:hAnsi="Times New Roman" w:cs="Times New Roman"/>
                <w:sz w:val="24"/>
                <w:szCs w:val="24"/>
              </w:rPr>
            </w:pPr>
            <w:r w:rsidRPr="00563EAA">
              <w:rPr>
                <w:rFonts w:ascii="Times New Roman" w:eastAsia="Times New Roman" w:hAnsi="Times New Roman" w:cs="Times New Roman"/>
                <w:kern w:val="24"/>
                <w:sz w:val="24"/>
                <w:szCs w:val="24"/>
              </w:rPr>
              <w:t>0.593</w:t>
            </w:r>
          </w:p>
        </w:tc>
      </w:tr>
    </w:tbl>
    <w:p w14:paraId="53B3E3C2" w14:textId="77777777" w:rsidR="00862F0B" w:rsidRPr="00563EAA" w:rsidRDefault="00862F0B" w:rsidP="00563EAA">
      <w:pPr>
        <w:spacing w:after="0" w:line="360" w:lineRule="auto"/>
        <w:jc w:val="both"/>
        <w:rPr>
          <w:rFonts w:ascii="Times New Roman" w:hAnsi="Times New Roman" w:cs="Times New Roman"/>
          <w:b/>
          <w:sz w:val="24"/>
          <w:szCs w:val="24"/>
        </w:rPr>
      </w:pPr>
    </w:p>
    <w:p w14:paraId="37356377" w14:textId="77777777" w:rsidR="00862F0B" w:rsidRPr="00563EAA" w:rsidRDefault="00862F0B" w:rsidP="00563EAA">
      <w:pPr>
        <w:spacing w:after="0" w:line="360" w:lineRule="auto"/>
        <w:jc w:val="center"/>
        <w:rPr>
          <w:rFonts w:ascii="Times New Roman" w:hAnsi="Times New Roman" w:cs="Times New Roman"/>
          <w:b/>
          <w:sz w:val="24"/>
          <w:szCs w:val="24"/>
        </w:rPr>
      </w:pPr>
      <w:r w:rsidRPr="00563EAA">
        <w:rPr>
          <w:rFonts w:ascii="Times New Roman" w:hAnsi="Times New Roman" w:cs="Times New Roman"/>
          <w:b/>
          <w:sz w:val="24"/>
          <w:szCs w:val="24"/>
        </w:rPr>
        <w:t xml:space="preserve">Figure 1: HPLC chromatogram of </w:t>
      </w:r>
      <w:r w:rsidRPr="00563EAA">
        <w:rPr>
          <w:rFonts w:ascii="Times New Roman" w:hAnsi="Times New Roman" w:cs="Times New Roman"/>
          <w:b/>
          <w:i/>
          <w:sz w:val="24"/>
          <w:szCs w:val="24"/>
        </w:rPr>
        <w:t>H. purpurascens</w:t>
      </w:r>
      <w:r w:rsidRPr="00563EAA">
        <w:rPr>
          <w:rFonts w:ascii="Times New Roman" w:hAnsi="Times New Roman" w:cs="Times New Roman"/>
          <w:b/>
          <w:sz w:val="24"/>
          <w:szCs w:val="24"/>
        </w:rPr>
        <w:t xml:space="preserve"> extract</w:t>
      </w:r>
    </w:p>
    <w:p w14:paraId="1635ABD8" w14:textId="77777777" w:rsidR="00862F0B" w:rsidRPr="00563EAA" w:rsidRDefault="00862F0B" w:rsidP="00563EAA">
      <w:pPr>
        <w:spacing w:after="0" w:line="360" w:lineRule="auto"/>
        <w:jc w:val="center"/>
        <w:rPr>
          <w:rFonts w:ascii="Times New Roman" w:hAnsi="Times New Roman" w:cs="Times New Roman"/>
          <w:sz w:val="24"/>
          <w:szCs w:val="24"/>
        </w:rPr>
      </w:pPr>
      <w:r w:rsidRPr="00563EAA">
        <w:rPr>
          <w:rFonts w:ascii="Times New Roman" w:hAnsi="Times New Roman" w:cs="Times New Roman"/>
          <w:noProof/>
          <w:sz w:val="24"/>
          <w:szCs w:val="24"/>
        </w:rPr>
        <w:drawing>
          <wp:inline distT="0" distB="0" distL="0" distR="0" wp14:anchorId="58FD2B4B" wp14:editId="0372B377">
            <wp:extent cx="5486400" cy="2666045"/>
            <wp:effectExtent l="19050" t="19050" r="19050" b="20005"/>
            <wp:docPr id="1" name="Picture 3" descr="C:\Users\admin\Downloads\Screenshot 2026-02-18 182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Screenshot 2026-02-18 182058.png"/>
                    <pic:cNvPicPr>
                      <a:picLocks noChangeAspect="1" noChangeArrowheads="1"/>
                    </pic:cNvPicPr>
                  </pic:nvPicPr>
                  <pic:blipFill>
                    <a:blip r:embed="rId7"/>
                    <a:srcRect/>
                    <a:stretch>
                      <a:fillRect/>
                    </a:stretch>
                  </pic:blipFill>
                  <pic:spPr bwMode="auto">
                    <a:xfrm>
                      <a:off x="0" y="0"/>
                      <a:ext cx="5486400" cy="2666045"/>
                    </a:xfrm>
                    <a:prstGeom prst="rect">
                      <a:avLst/>
                    </a:prstGeom>
                    <a:noFill/>
                    <a:ln w="9525">
                      <a:solidFill>
                        <a:schemeClr val="tx1"/>
                      </a:solidFill>
                      <a:miter lim="800000"/>
                      <a:headEnd/>
                      <a:tailEnd/>
                    </a:ln>
                  </pic:spPr>
                </pic:pic>
              </a:graphicData>
            </a:graphic>
          </wp:inline>
        </w:drawing>
      </w:r>
    </w:p>
    <w:p w14:paraId="240E2841" w14:textId="77777777" w:rsidR="006074F1" w:rsidRPr="00563EAA" w:rsidRDefault="00196FA2"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During the detection of</w:t>
      </w:r>
      <w:r w:rsidR="006074F1" w:rsidRPr="00563EAA">
        <w:rPr>
          <w:rFonts w:ascii="Times New Roman" w:hAnsi="Times New Roman" w:cs="Times New Roman"/>
          <w:sz w:val="24"/>
          <w:szCs w:val="24"/>
        </w:rPr>
        <w:t xml:space="preserve"> constituents, a prominent peak appeared at 4.919 min with an area of 19,157,014 </w:t>
      </w:r>
      <w:proofErr w:type="spellStart"/>
      <w:r w:rsidR="006074F1" w:rsidRPr="00563EAA">
        <w:rPr>
          <w:rFonts w:ascii="Times New Roman" w:hAnsi="Times New Roman" w:cs="Times New Roman"/>
          <w:sz w:val="24"/>
          <w:szCs w:val="24"/>
        </w:rPr>
        <w:t>mAU</w:t>
      </w:r>
      <w:proofErr w:type="spellEnd"/>
      <w:r w:rsidR="00951C9F" w:rsidRPr="00563EAA">
        <w:rPr>
          <w:rFonts w:ascii="Times New Roman" w:hAnsi="Times New Roman" w:cs="Times New Roman"/>
          <w:sz w:val="24"/>
          <w:szCs w:val="24"/>
        </w:rPr>
        <w:t xml:space="preserve"> which contributes</w:t>
      </w:r>
      <w:r w:rsidR="006074F1" w:rsidRPr="00563EAA">
        <w:rPr>
          <w:rFonts w:ascii="Times New Roman" w:hAnsi="Times New Roman" w:cs="Times New Roman"/>
          <w:sz w:val="24"/>
          <w:szCs w:val="24"/>
        </w:rPr>
        <w:t xml:space="preserve"> 42.96% of the total chromatographic area. The high relative abundance of this peak indicates that</w:t>
      </w:r>
      <w:r w:rsidRPr="00563EAA">
        <w:rPr>
          <w:rFonts w:ascii="Times New Roman" w:hAnsi="Times New Roman" w:cs="Times New Roman"/>
          <w:sz w:val="24"/>
          <w:szCs w:val="24"/>
        </w:rPr>
        <w:t>,</w:t>
      </w:r>
      <w:r w:rsidR="006074F1" w:rsidRPr="00563EAA">
        <w:rPr>
          <w:rFonts w:ascii="Times New Roman" w:hAnsi="Times New Roman" w:cs="Times New Roman"/>
          <w:sz w:val="24"/>
          <w:szCs w:val="24"/>
        </w:rPr>
        <w:t xml:space="preserve"> the compound is a dominant phytochemical in the ethanolic extract. When compared with authenticated standards </w:t>
      </w:r>
      <w:r w:rsidR="006074F1" w:rsidRPr="00563EAA">
        <w:rPr>
          <w:rFonts w:ascii="Times New Roman" w:hAnsi="Times New Roman" w:cs="Times New Roman"/>
          <w:sz w:val="24"/>
          <w:szCs w:val="24"/>
        </w:rPr>
        <w:lastRenderedPageBreak/>
        <w:t>(</w:t>
      </w:r>
      <w:proofErr w:type="spellStart"/>
      <w:r w:rsidR="006074F1" w:rsidRPr="00563EAA">
        <w:rPr>
          <w:rFonts w:ascii="Times New Roman" w:hAnsi="Times New Roman" w:cs="Times New Roman"/>
          <w:sz w:val="24"/>
          <w:szCs w:val="24"/>
        </w:rPr>
        <w:t>Ampelopsin</w:t>
      </w:r>
      <w:proofErr w:type="spellEnd"/>
      <w:r w:rsidR="006074F1" w:rsidRPr="00563EAA">
        <w:rPr>
          <w:rFonts w:ascii="Times New Roman" w:hAnsi="Times New Roman" w:cs="Times New Roman"/>
          <w:sz w:val="24"/>
          <w:szCs w:val="24"/>
        </w:rPr>
        <w:t xml:space="preserve">. Quercetin and Myricetin) </w:t>
      </w:r>
      <w:r w:rsidR="00951C9F" w:rsidRPr="00563EAA">
        <w:rPr>
          <w:rFonts w:ascii="Times New Roman" w:hAnsi="Times New Roman" w:cs="Times New Roman"/>
          <w:sz w:val="24"/>
          <w:szCs w:val="24"/>
        </w:rPr>
        <w:t xml:space="preserve">taken under study it is </w:t>
      </w:r>
      <w:r w:rsidRPr="00563EAA">
        <w:rPr>
          <w:rFonts w:ascii="Times New Roman" w:hAnsi="Times New Roman" w:cs="Times New Roman"/>
          <w:sz w:val="24"/>
          <w:szCs w:val="24"/>
        </w:rPr>
        <w:t>observed</w:t>
      </w:r>
      <w:r w:rsidR="006074F1" w:rsidRPr="00563EAA">
        <w:rPr>
          <w:rFonts w:ascii="Times New Roman" w:hAnsi="Times New Roman" w:cs="Times New Roman"/>
          <w:sz w:val="24"/>
          <w:szCs w:val="24"/>
        </w:rPr>
        <w:t xml:space="preserve"> </w:t>
      </w:r>
      <w:r w:rsidR="00951C9F" w:rsidRPr="00563EAA">
        <w:rPr>
          <w:rFonts w:ascii="Times New Roman" w:hAnsi="Times New Roman" w:cs="Times New Roman"/>
          <w:sz w:val="24"/>
          <w:szCs w:val="24"/>
        </w:rPr>
        <w:t xml:space="preserve">that </w:t>
      </w:r>
      <w:r w:rsidR="006074F1" w:rsidRPr="00563EAA">
        <w:rPr>
          <w:rFonts w:ascii="Times New Roman" w:hAnsi="Times New Roman" w:cs="Times New Roman"/>
          <w:sz w:val="24"/>
          <w:szCs w:val="24"/>
        </w:rPr>
        <w:t xml:space="preserve">under identical chromatographic conditions, the retention time closely matched </w:t>
      </w:r>
      <w:r w:rsidR="00951C9F" w:rsidRPr="00563EAA">
        <w:rPr>
          <w:rFonts w:ascii="Times New Roman" w:hAnsi="Times New Roman" w:cs="Times New Roman"/>
          <w:sz w:val="24"/>
          <w:szCs w:val="24"/>
        </w:rPr>
        <w:t xml:space="preserve">with </w:t>
      </w:r>
      <w:r w:rsidR="006074F1" w:rsidRPr="00563EAA">
        <w:rPr>
          <w:rFonts w:ascii="Times New Roman" w:hAnsi="Times New Roman" w:cs="Times New Roman"/>
          <w:sz w:val="24"/>
          <w:szCs w:val="24"/>
        </w:rPr>
        <w:t xml:space="preserve">that </w:t>
      </w:r>
      <w:r w:rsidR="00951C9F" w:rsidRPr="00563EAA">
        <w:rPr>
          <w:rFonts w:ascii="Times New Roman" w:hAnsi="Times New Roman" w:cs="Times New Roman"/>
          <w:sz w:val="24"/>
          <w:szCs w:val="24"/>
        </w:rPr>
        <w:t>of the standard</w:t>
      </w:r>
      <w:r w:rsidR="006074F1" w:rsidRPr="00563EAA">
        <w:rPr>
          <w:rFonts w:ascii="Times New Roman" w:hAnsi="Times New Roman" w:cs="Times New Roman"/>
          <w:sz w:val="24"/>
          <w:szCs w:val="24"/>
        </w:rPr>
        <w:t xml:space="preserve"> </w:t>
      </w:r>
      <w:proofErr w:type="spellStart"/>
      <w:r w:rsidR="006074F1" w:rsidRPr="00563EAA">
        <w:rPr>
          <w:rFonts w:ascii="Times New Roman" w:hAnsi="Times New Roman" w:cs="Times New Roman"/>
          <w:sz w:val="24"/>
          <w:szCs w:val="24"/>
        </w:rPr>
        <w:t>Ampelopsin</w:t>
      </w:r>
      <w:proofErr w:type="spellEnd"/>
      <w:r w:rsidR="006074F1" w:rsidRPr="00563EAA">
        <w:rPr>
          <w:rFonts w:ascii="Times New Roman" w:hAnsi="Times New Roman" w:cs="Times New Roman"/>
          <w:sz w:val="24"/>
          <w:szCs w:val="24"/>
        </w:rPr>
        <w:t xml:space="preserve"> (4.992 min). Minor variation in retention time (±0.07 min) falls within acceptable analytical deviation limits for HPLC comparison (Snyder et al., 2010).</w:t>
      </w:r>
    </w:p>
    <w:p w14:paraId="4E2B1496" w14:textId="77777777" w:rsidR="00862F0B" w:rsidRPr="00563EAA" w:rsidRDefault="00862F0B" w:rsidP="00563EAA">
      <w:pPr>
        <w:spacing w:after="0" w:line="360" w:lineRule="auto"/>
        <w:jc w:val="center"/>
        <w:rPr>
          <w:rFonts w:ascii="Times New Roman" w:hAnsi="Times New Roman" w:cs="Times New Roman"/>
          <w:b/>
          <w:sz w:val="24"/>
          <w:szCs w:val="24"/>
        </w:rPr>
      </w:pPr>
      <w:r w:rsidRPr="00563EAA">
        <w:rPr>
          <w:rFonts w:ascii="Times New Roman" w:hAnsi="Times New Roman" w:cs="Times New Roman"/>
          <w:b/>
          <w:sz w:val="24"/>
          <w:szCs w:val="24"/>
        </w:rPr>
        <w:t>Table: 2 Table represents the comparison of the standards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1818"/>
        <w:gridCol w:w="1800"/>
        <w:gridCol w:w="1800"/>
      </w:tblGrid>
      <w:tr w:rsidR="00862F0B" w:rsidRPr="00563EAA" w14:paraId="394D5DF6" w14:textId="77777777" w:rsidTr="00862F0B">
        <w:trPr>
          <w:jc w:val="center"/>
        </w:trPr>
        <w:tc>
          <w:tcPr>
            <w:tcW w:w="1512" w:type="dxa"/>
          </w:tcPr>
          <w:p w14:paraId="65C1A990" w14:textId="77777777" w:rsidR="00862F0B" w:rsidRPr="00563EAA" w:rsidRDefault="00862F0B" w:rsidP="00563EAA">
            <w:pPr>
              <w:spacing w:after="0" w:line="240" w:lineRule="auto"/>
              <w:jc w:val="center"/>
              <w:rPr>
                <w:rFonts w:ascii="Times New Roman" w:hAnsi="Times New Roman" w:cs="Times New Roman"/>
                <w:b/>
                <w:sz w:val="24"/>
                <w:szCs w:val="24"/>
              </w:rPr>
            </w:pPr>
            <w:r w:rsidRPr="00563EAA">
              <w:rPr>
                <w:rFonts w:ascii="Times New Roman" w:hAnsi="Times New Roman" w:cs="Times New Roman"/>
                <w:b/>
                <w:sz w:val="24"/>
                <w:szCs w:val="24"/>
              </w:rPr>
              <w:t>Standard</w:t>
            </w:r>
          </w:p>
        </w:tc>
        <w:tc>
          <w:tcPr>
            <w:tcW w:w="1818" w:type="dxa"/>
          </w:tcPr>
          <w:p w14:paraId="5192E8CE" w14:textId="77777777" w:rsidR="00862F0B" w:rsidRPr="00563EAA" w:rsidRDefault="00862F0B" w:rsidP="00563EAA">
            <w:pPr>
              <w:spacing w:after="0" w:line="240" w:lineRule="auto"/>
              <w:jc w:val="center"/>
              <w:rPr>
                <w:rFonts w:ascii="Times New Roman" w:hAnsi="Times New Roman" w:cs="Times New Roman"/>
                <w:b/>
                <w:sz w:val="24"/>
                <w:szCs w:val="24"/>
              </w:rPr>
            </w:pPr>
            <w:r w:rsidRPr="00563EAA">
              <w:rPr>
                <w:rFonts w:ascii="Times New Roman" w:hAnsi="Times New Roman" w:cs="Times New Roman"/>
                <w:b/>
                <w:sz w:val="24"/>
                <w:szCs w:val="24"/>
              </w:rPr>
              <w:t>Retention Time (min)</w:t>
            </w:r>
          </w:p>
        </w:tc>
        <w:tc>
          <w:tcPr>
            <w:tcW w:w="1800" w:type="dxa"/>
          </w:tcPr>
          <w:p w14:paraId="0BFA0B78" w14:textId="77777777" w:rsidR="00862F0B" w:rsidRPr="00563EAA" w:rsidRDefault="00862F0B" w:rsidP="00563EAA">
            <w:pPr>
              <w:spacing w:after="0" w:line="240" w:lineRule="auto"/>
              <w:jc w:val="center"/>
              <w:rPr>
                <w:rFonts w:ascii="Times New Roman" w:hAnsi="Times New Roman" w:cs="Times New Roman"/>
                <w:b/>
                <w:sz w:val="24"/>
                <w:szCs w:val="24"/>
              </w:rPr>
            </w:pPr>
            <w:r w:rsidRPr="00563EAA">
              <w:rPr>
                <w:rFonts w:ascii="Times New Roman" w:hAnsi="Times New Roman" w:cs="Times New Roman"/>
                <w:b/>
                <w:sz w:val="24"/>
                <w:szCs w:val="24"/>
              </w:rPr>
              <w:t>Area (</w:t>
            </w:r>
            <w:proofErr w:type="spellStart"/>
            <w:r w:rsidRPr="00563EAA">
              <w:rPr>
                <w:rFonts w:ascii="Times New Roman" w:hAnsi="Times New Roman" w:cs="Times New Roman"/>
                <w:b/>
                <w:sz w:val="24"/>
                <w:szCs w:val="24"/>
              </w:rPr>
              <w:t>mAU</w:t>
            </w:r>
            <w:proofErr w:type="spellEnd"/>
            <w:r w:rsidRPr="00563EAA">
              <w:rPr>
                <w:rFonts w:ascii="Times New Roman" w:hAnsi="Times New Roman" w:cs="Times New Roman"/>
                <w:b/>
                <w:sz w:val="24"/>
                <w:szCs w:val="24"/>
              </w:rPr>
              <w:t>)</w:t>
            </w:r>
          </w:p>
        </w:tc>
        <w:tc>
          <w:tcPr>
            <w:tcW w:w="1800" w:type="dxa"/>
          </w:tcPr>
          <w:p w14:paraId="1296ABE6" w14:textId="77777777" w:rsidR="00862F0B" w:rsidRPr="00563EAA" w:rsidRDefault="00862F0B" w:rsidP="00563EAA">
            <w:pPr>
              <w:spacing w:after="0" w:line="240" w:lineRule="auto"/>
              <w:jc w:val="center"/>
              <w:rPr>
                <w:rFonts w:ascii="Times New Roman" w:hAnsi="Times New Roman" w:cs="Times New Roman"/>
                <w:b/>
                <w:sz w:val="24"/>
                <w:szCs w:val="24"/>
              </w:rPr>
            </w:pPr>
            <w:r w:rsidRPr="00563EAA">
              <w:rPr>
                <w:rFonts w:ascii="Times New Roman" w:hAnsi="Times New Roman" w:cs="Times New Roman"/>
                <w:b/>
                <w:sz w:val="24"/>
                <w:szCs w:val="24"/>
              </w:rPr>
              <w:t>Concentration (µg/mL)</w:t>
            </w:r>
          </w:p>
        </w:tc>
      </w:tr>
      <w:tr w:rsidR="00862F0B" w:rsidRPr="00563EAA" w14:paraId="3FF8E386" w14:textId="77777777" w:rsidTr="00862F0B">
        <w:trPr>
          <w:jc w:val="center"/>
        </w:trPr>
        <w:tc>
          <w:tcPr>
            <w:tcW w:w="1512" w:type="dxa"/>
          </w:tcPr>
          <w:p w14:paraId="681A842D" w14:textId="77777777" w:rsidR="00862F0B" w:rsidRPr="00563EAA" w:rsidRDefault="00862F0B" w:rsidP="00563EAA">
            <w:pPr>
              <w:spacing w:after="0" w:line="240" w:lineRule="auto"/>
              <w:jc w:val="center"/>
              <w:rPr>
                <w:rFonts w:ascii="Times New Roman" w:hAnsi="Times New Roman" w:cs="Times New Roman"/>
                <w:sz w:val="24"/>
                <w:szCs w:val="24"/>
              </w:rPr>
            </w:pPr>
            <w:proofErr w:type="spellStart"/>
            <w:r w:rsidRPr="00563EAA">
              <w:rPr>
                <w:rFonts w:ascii="Times New Roman" w:hAnsi="Times New Roman" w:cs="Times New Roman"/>
                <w:sz w:val="24"/>
                <w:szCs w:val="24"/>
              </w:rPr>
              <w:t>Ampelopsin</w:t>
            </w:r>
            <w:proofErr w:type="spellEnd"/>
          </w:p>
        </w:tc>
        <w:tc>
          <w:tcPr>
            <w:tcW w:w="1818" w:type="dxa"/>
          </w:tcPr>
          <w:p w14:paraId="5C4D9C12"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4.992</w:t>
            </w:r>
          </w:p>
        </w:tc>
        <w:tc>
          <w:tcPr>
            <w:tcW w:w="1800" w:type="dxa"/>
          </w:tcPr>
          <w:p w14:paraId="286943B2"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458624</w:t>
            </w:r>
          </w:p>
        </w:tc>
        <w:tc>
          <w:tcPr>
            <w:tcW w:w="1800" w:type="dxa"/>
          </w:tcPr>
          <w:p w14:paraId="6956BF61"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10</w:t>
            </w:r>
          </w:p>
        </w:tc>
      </w:tr>
      <w:tr w:rsidR="00862F0B" w:rsidRPr="00563EAA" w14:paraId="22B6BBC1" w14:textId="77777777" w:rsidTr="00862F0B">
        <w:trPr>
          <w:jc w:val="center"/>
        </w:trPr>
        <w:tc>
          <w:tcPr>
            <w:tcW w:w="1512" w:type="dxa"/>
          </w:tcPr>
          <w:p w14:paraId="4A3D6C1D"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Quercetin</w:t>
            </w:r>
          </w:p>
        </w:tc>
        <w:tc>
          <w:tcPr>
            <w:tcW w:w="1818" w:type="dxa"/>
          </w:tcPr>
          <w:p w14:paraId="3169659C"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6.111</w:t>
            </w:r>
          </w:p>
        </w:tc>
        <w:tc>
          <w:tcPr>
            <w:tcW w:w="1800" w:type="dxa"/>
          </w:tcPr>
          <w:p w14:paraId="336BD9AE"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856321</w:t>
            </w:r>
          </w:p>
        </w:tc>
        <w:tc>
          <w:tcPr>
            <w:tcW w:w="1800" w:type="dxa"/>
          </w:tcPr>
          <w:p w14:paraId="4B8AB10A"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10</w:t>
            </w:r>
          </w:p>
        </w:tc>
      </w:tr>
      <w:tr w:rsidR="00862F0B" w:rsidRPr="00563EAA" w14:paraId="53652874" w14:textId="77777777" w:rsidTr="00862F0B">
        <w:trPr>
          <w:jc w:val="center"/>
        </w:trPr>
        <w:tc>
          <w:tcPr>
            <w:tcW w:w="1512" w:type="dxa"/>
          </w:tcPr>
          <w:p w14:paraId="574D9CE6"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Myricetin</w:t>
            </w:r>
          </w:p>
        </w:tc>
        <w:tc>
          <w:tcPr>
            <w:tcW w:w="1818" w:type="dxa"/>
          </w:tcPr>
          <w:p w14:paraId="57890FD3"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10.990</w:t>
            </w:r>
          </w:p>
        </w:tc>
        <w:tc>
          <w:tcPr>
            <w:tcW w:w="1800" w:type="dxa"/>
          </w:tcPr>
          <w:p w14:paraId="4030FD8D"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903517</w:t>
            </w:r>
          </w:p>
        </w:tc>
        <w:tc>
          <w:tcPr>
            <w:tcW w:w="1800" w:type="dxa"/>
          </w:tcPr>
          <w:p w14:paraId="327BD347" w14:textId="77777777" w:rsidR="00862F0B" w:rsidRPr="00563EAA" w:rsidRDefault="00862F0B" w:rsidP="00563EAA">
            <w:pPr>
              <w:spacing w:after="0" w:line="240" w:lineRule="auto"/>
              <w:jc w:val="center"/>
              <w:rPr>
                <w:rFonts w:ascii="Times New Roman" w:hAnsi="Times New Roman" w:cs="Times New Roman"/>
                <w:sz w:val="24"/>
                <w:szCs w:val="24"/>
              </w:rPr>
            </w:pPr>
            <w:r w:rsidRPr="00563EAA">
              <w:rPr>
                <w:rFonts w:ascii="Times New Roman" w:hAnsi="Times New Roman" w:cs="Times New Roman"/>
                <w:sz w:val="24"/>
                <w:szCs w:val="24"/>
              </w:rPr>
              <w:t>10</w:t>
            </w:r>
          </w:p>
        </w:tc>
      </w:tr>
    </w:tbl>
    <w:p w14:paraId="6ACDC5ED" w14:textId="77777777" w:rsidR="00862F0B" w:rsidRPr="00563EAA" w:rsidRDefault="00862F0B" w:rsidP="00563EAA">
      <w:pPr>
        <w:spacing w:after="0" w:line="240" w:lineRule="auto"/>
        <w:jc w:val="both"/>
        <w:rPr>
          <w:rFonts w:ascii="Times New Roman" w:hAnsi="Times New Roman" w:cs="Times New Roman"/>
          <w:sz w:val="24"/>
          <w:szCs w:val="24"/>
        </w:rPr>
      </w:pPr>
    </w:p>
    <w:p w14:paraId="732F027D" w14:textId="77777777" w:rsidR="00862F0B" w:rsidRPr="00563EAA" w:rsidRDefault="00862F0B" w:rsidP="00563EAA">
      <w:pPr>
        <w:spacing w:after="0" w:line="360" w:lineRule="auto"/>
        <w:jc w:val="center"/>
        <w:rPr>
          <w:rFonts w:ascii="Times New Roman" w:hAnsi="Times New Roman" w:cs="Times New Roman"/>
          <w:b/>
          <w:sz w:val="24"/>
          <w:szCs w:val="24"/>
        </w:rPr>
      </w:pPr>
      <w:r w:rsidRPr="00563EAA">
        <w:rPr>
          <w:rFonts w:ascii="Times New Roman" w:hAnsi="Times New Roman" w:cs="Times New Roman"/>
          <w:b/>
          <w:sz w:val="24"/>
          <w:szCs w:val="24"/>
        </w:rPr>
        <w:t xml:space="preserve">Figure 2: HPLC chromatogram of </w:t>
      </w:r>
      <w:proofErr w:type="spellStart"/>
      <w:r w:rsidRPr="00563EAA">
        <w:rPr>
          <w:rFonts w:ascii="Times New Roman" w:hAnsi="Times New Roman" w:cs="Times New Roman"/>
          <w:b/>
          <w:sz w:val="24"/>
          <w:szCs w:val="24"/>
        </w:rPr>
        <w:t>Ampelopsin</w:t>
      </w:r>
      <w:proofErr w:type="spellEnd"/>
      <w:r w:rsidRPr="00563EAA">
        <w:rPr>
          <w:rFonts w:ascii="Times New Roman" w:hAnsi="Times New Roman" w:cs="Times New Roman"/>
          <w:b/>
          <w:sz w:val="24"/>
          <w:szCs w:val="24"/>
        </w:rPr>
        <w:t xml:space="preserve"> standard</w:t>
      </w:r>
    </w:p>
    <w:p w14:paraId="6D7F7D1A" w14:textId="77777777" w:rsidR="00862F0B" w:rsidRPr="00563EAA" w:rsidRDefault="00862F0B" w:rsidP="00563EAA">
      <w:pPr>
        <w:spacing w:after="0" w:line="360" w:lineRule="auto"/>
        <w:jc w:val="center"/>
        <w:rPr>
          <w:rFonts w:ascii="Times New Roman" w:hAnsi="Times New Roman" w:cs="Times New Roman"/>
          <w:sz w:val="24"/>
          <w:szCs w:val="24"/>
        </w:rPr>
      </w:pPr>
      <w:r w:rsidRPr="00563EAA">
        <w:rPr>
          <w:rFonts w:ascii="Times New Roman" w:hAnsi="Times New Roman" w:cs="Times New Roman"/>
          <w:noProof/>
          <w:sz w:val="24"/>
          <w:szCs w:val="24"/>
        </w:rPr>
        <w:drawing>
          <wp:inline distT="0" distB="0" distL="0" distR="0" wp14:anchorId="625BA030" wp14:editId="701D47F9">
            <wp:extent cx="5303520" cy="3102534"/>
            <wp:effectExtent l="19050" t="19050" r="11430" b="21666"/>
            <wp:docPr id="4" name="Picture 1" descr="C:\Users\admin\Downloads\Screenshot 2026-02-18 1847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Screenshot 2026-02-18 184744.png"/>
                    <pic:cNvPicPr>
                      <a:picLocks noChangeAspect="1" noChangeArrowheads="1"/>
                    </pic:cNvPicPr>
                  </pic:nvPicPr>
                  <pic:blipFill>
                    <a:blip r:embed="rId8"/>
                    <a:srcRect/>
                    <a:stretch>
                      <a:fillRect/>
                    </a:stretch>
                  </pic:blipFill>
                  <pic:spPr bwMode="auto">
                    <a:xfrm>
                      <a:off x="0" y="0"/>
                      <a:ext cx="5303520" cy="3102534"/>
                    </a:xfrm>
                    <a:prstGeom prst="rect">
                      <a:avLst/>
                    </a:prstGeom>
                    <a:noFill/>
                    <a:ln w="3175">
                      <a:solidFill>
                        <a:schemeClr val="tx1"/>
                      </a:solidFill>
                      <a:miter lim="800000"/>
                      <a:headEnd/>
                      <a:tailEnd/>
                    </a:ln>
                  </pic:spPr>
                </pic:pic>
              </a:graphicData>
            </a:graphic>
          </wp:inline>
        </w:drawing>
      </w:r>
    </w:p>
    <w:p w14:paraId="4EEF4CD9" w14:textId="77777777" w:rsidR="006074F1" w:rsidRPr="00563EAA" w:rsidRDefault="006074F1" w:rsidP="00563EAA">
      <w:pPr>
        <w:spacing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The absence of detectable peaks corresponding to Quercetin (6.111 min) and Myricetin (10.990 min) suggests that either these </w:t>
      </w:r>
      <w:proofErr w:type="spellStart"/>
      <w:r w:rsidRPr="00563EAA">
        <w:rPr>
          <w:rFonts w:ascii="Times New Roman" w:hAnsi="Times New Roman" w:cs="Times New Roman"/>
          <w:sz w:val="24"/>
          <w:szCs w:val="24"/>
        </w:rPr>
        <w:t>flavonols</w:t>
      </w:r>
      <w:proofErr w:type="spellEnd"/>
      <w:r w:rsidRPr="00563EAA">
        <w:rPr>
          <w:rFonts w:ascii="Times New Roman" w:hAnsi="Times New Roman" w:cs="Times New Roman"/>
          <w:sz w:val="24"/>
          <w:szCs w:val="24"/>
        </w:rPr>
        <w:t xml:space="preserve"> are absent or present below the detection threshold under the </w:t>
      </w:r>
      <w:r w:rsidR="003807AB" w:rsidRPr="00563EAA">
        <w:rPr>
          <w:rFonts w:ascii="Times New Roman" w:hAnsi="Times New Roman" w:cs="Times New Roman"/>
          <w:sz w:val="24"/>
          <w:szCs w:val="24"/>
        </w:rPr>
        <w:t>study</w:t>
      </w:r>
      <w:r w:rsidRPr="00563EAA">
        <w:rPr>
          <w:rFonts w:ascii="Times New Roman" w:hAnsi="Times New Roman" w:cs="Times New Roman"/>
          <w:sz w:val="24"/>
          <w:szCs w:val="24"/>
        </w:rPr>
        <w:t xml:space="preserve"> conditions (Table:2; Fig:2). Such variability in flavonoid composition is common among</w:t>
      </w:r>
      <w:r w:rsidR="003807AB" w:rsidRPr="00563EAA">
        <w:rPr>
          <w:rFonts w:ascii="Times New Roman" w:hAnsi="Times New Roman" w:cs="Times New Roman"/>
          <w:sz w:val="24"/>
          <w:szCs w:val="24"/>
        </w:rPr>
        <w:t xml:space="preserve"> the</w:t>
      </w:r>
      <w:r w:rsidRPr="00563EAA">
        <w:rPr>
          <w:rFonts w:ascii="Times New Roman" w:hAnsi="Times New Roman" w:cs="Times New Roman"/>
          <w:sz w:val="24"/>
          <w:szCs w:val="24"/>
        </w:rPr>
        <w:t xml:space="preserve"> Rubiaceae</w:t>
      </w:r>
      <w:r w:rsidR="003807AB" w:rsidRPr="00563EAA">
        <w:rPr>
          <w:rFonts w:ascii="Times New Roman" w:hAnsi="Times New Roman" w:cs="Times New Roman"/>
          <w:sz w:val="24"/>
          <w:szCs w:val="24"/>
        </w:rPr>
        <w:t xml:space="preserve"> family</w:t>
      </w:r>
      <w:r w:rsidRPr="00563EAA">
        <w:rPr>
          <w:rFonts w:ascii="Times New Roman" w:hAnsi="Times New Roman" w:cs="Times New Roman"/>
          <w:sz w:val="24"/>
          <w:szCs w:val="24"/>
        </w:rPr>
        <w:t xml:space="preserve"> members and is influenced by ecological factors, developmental stage, and extraction solvent polarity (Gouveia &amp; Castilho, 2011).</w:t>
      </w:r>
      <w:r w:rsidR="00BC537D" w:rsidRPr="00563EAA">
        <w:rPr>
          <w:rFonts w:ascii="Times New Roman" w:hAnsi="Times New Roman" w:cs="Times New Roman"/>
          <w:sz w:val="24"/>
          <w:szCs w:val="24"/>
        </w:rPr>
        <w:t xml:space="preserve"> Earlier</w:t>
      </w:r>
      <w:r w:rsidR="008210CF" w:rsidRPr="00563EAA">
        <w:rPr>
          <w:rFonts w:ascii="Times New Roman" w:hAnsi="Times New Roman" w:cs="Times New Roman"/>
          <w:sz w:val="24"/>
          <w:szCs w:val="24"/>
        </w:rPr>
        <w:t xml:space="preserve"> in the</w:t>
      </w:r>
      <w:r w:rsidR="00BC537D" w:rsidRPr="00563EAA">
        <w:rPr>
          <w:rFonts w:ascii="Times New Roman" w:hAnsi="Times New Roman" w:cs="Times New Roman"/>
          <w:sz w:val="24"/>
          <w:szCs w:val="24"/>
        </w:rPr>
        <w:t xml:space="preserve"> HPLC and FTIR profiling of the inflorescence of </w:t>
      </w:r>
      <w:proofErr w:type="spellStart"/>
      <w:r w:rsidR="00BC537D" w:rsidRPr="00563EAA">
        <w:rPr>
          <w:rStyle w:val="whitespace-normal"/>
          <w:rFonts w:ascii="Times New Roman" w:hAnsi="Times New Roman" w:cs="Times New Roman"/>
          <w:i/>
          <w:sz w:val="24"/>
          <w:szCs w:val="24"/>
        </w:rPr>
        <w:t>Hedyotis</w:t>
      </w:r>
      <w:proofErr w:type="spellEnd"/>
      <w:r w:rsidR="00BC537D" w:rsidRPr="00563EAA">
        <w:rPr>
          <w:rStyle w:val="whitespace-normal"/>
          <w:rFonts w:ascii="Times New Roman" w:hAnsi="Times New Roman" w:cs="Times New Roman"/>
          <w:i/>
          <w:sz w:val="24"/>
          <w:szCs w:val="24"/>
        </w:rPr>
        <w:t xml:space="preserve"> </w:t>
      </w:r>
      <w:proofErr w:type="spellStart"/>
      <w:r w:rsidR="00BC537D" w:rsidRPr="00563EAA">
        <w:rPr>
          <w:rStyle w:val="whitespace-normal"/>
          <w:rFonts w:ascii="Times New Roman" w:hAnsi="Times New Roman" w:cs="Times New Roman"/>
          <w:i/>
          <w:sz w:val="24"/>
          <w:szCs w:val="24"/>
        </w:rPr>
        <w:t>purpurascens</w:t>
      </w:r>
      <w:proofErr w:type="spellEnd"/>
      <w:r w:rsidR="00BC537D" w:rsidRPr="00563EAA">
        <w:rPr>
          <w:rFonts w:ascii="Times New Roman" w:hAnsi="Times New Roman" w:cs="Times New Roman"/>
          <w:sz w:val="24"/>
          <w:szCs w:val="24"/>
        </w:rPr>
        <w:t>, nine chromatographic peaks</w:t>
      </w:r>
      <w:r w:rsidR="008210CF" w:rsidRPr="00563EAA">
        <w:rPr>
          <w:rFonts w:ascii="Times New Roman" w:hAnsi="Times New Roman" w:cs="Times New Roman"/>
          <w:sz w:val="24"/>
          <w:szCs w:val="24"/>
        </w:rPr>
        <w:t xml:space="preserve"> were identified</w:t>
      </w:r>
      <w:r w:rsidR="00BC537D" w:rsidRPr="00563EAA">
        <w:rPr>
          <w:rFonts w:ascii="Times New Roman" w:hAnsi="Times New Roman" w:cs="Times New Roman"/>
          <w:sz w:val="24"/>
          <w:szCs w:val="24"/>
        </w:rPr>
        <w:t xml:space="preserve"> with rutin confirmed at 3.795 min, closely matching the standard (3.811 min). Rutin accounted for 27.29% of the peak area, indicating its prominence as a flavonoid marker</w:t>
      </w:r>
      <w:r w:rsidR="008210CF" w:rsidRPr="00563EAA">
        <w:rPr>
          <w:rFonts w:ascii="Times New Roman" w:hAnsi="Times New Roman" w:cs="Times New Roman"/>
          <w:sz w:val="24"/>
          <w:szCs w:val="24"/>
        </w:rPr>
        <w:t xml:space="preserve"> (Betty T. </w:t>
      </w:r>
      <w:r w:rsidR="008210CF" w:rsidRPr="00563EAA">
        <w:rPr>
          <w:rFonts w:ascii="Times New Roman" w:hAnsi="Times New Roman" w:cs="Times New Roman"/>
          <w:i/>
          <w:sz w:val="24"/>
          <w:szCs w:val="24"/>
        </w:rPr>
        <w:t>et al</w:t>
      </w:r>
      <w:r w:rsidR="008210CF" w:rsidRPr="00563EAA">
        <w:rPr>
          <w:rFonts w:ascii="Times New Roman" w:hAnsi="Times New Roman" w:cs="Times New Roman"/>
          <w:sz w:val="24"/>
          <w:szCs w:val="24"/>
        </w:rPr>
        <w:t>., 2024)</w:t>
      </w:r>
      <w:r w:rsidR="00BC537D" w:rsidRPr="00563EAA">
        <w:rPr>
          <w:rFonts w:ascii="Times New Roman" w:hAnsi="Times New Roman" w:cs="Times New Roman"/>
          <w:sz w:val="24"/>
          <w:szCs w:val="24"/>
        </w:rPr>
        <w:t>.</w:t>
      </w:r>
    </w:p>
    <w:p w14:paraId="4D640B28" w14:textId="77777777" w:rsidR="006074F1" w:rsidRPr="00563EAA" w:rsidRDefault="003807AB" w:rsidP="00563EAA">
      <w:pPr>
        <w:spacing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The earlier eluted</w:t>
      </w:r>
      <w:r w:rsidR="006074F1" w:rsidRPr="00563EAA">
        <w:rPr>
          <w:rFonts w:ascii="Times New Roman" w:hAnsi="Times New Roman" w:cs="Times New Roman"/>
          <w:sz w:val="24"/>
          <w:szCs w:val="24"/>
        </w:rPr>
        <w:t xml:space="preserve"> peaks (2.769–5.675 min) may represent relatively polar phenolic co</w:t>
      </w:r>
      <w:r w:rsidRPr="00563EAA">
        <w:rPr>
          <w:rFonts w:ascii="Times New Roman" w:hAnsi="Times New Roman" w:cs="Times New Roman"/>
          <w:sz w:val="24"/>
          <w:szCs w:val="24"/>
        </w:rPr>
        <w:t>nstituents, whereas late eluted</w:t>
      </w:r>
      <w:r w:rsidR="006074F1" w:rsidRPr="00563EAA">
        <w:rPr>
          <w:rFonts w:ascii="Times New Roman" w:hAnsi="Times New Roman" w:cs="Times New Roman"/>
          <w:sz w:val="24"/>
          <w:szCs w:val="24"/>
        </w:rPr>
        <w:t xml:space="preserve"> peaks (17.833–28.211 min) correspond to less polar or more </w:t>
      </w:r>
      <w:r w:rsidR="006074F1" w:rsidRPr="00563EAA">
        <w:rPr>
          <w:rFonts w:ascii="Times New Roman" w:hAnsi="Times New Roman" w:cs="Times New Roman"/>
          <w:sz w:val="24"/>
          <w:szCs w:val="24"/>
        </w:rPr>
        <w:lastRenderedPageBreak/>
        <w:t>structurally complex molecules. Similar multi-peak chromatographic patterns have been reported in other medicinal plants</w:t>
      </w:r>
      <w:r w:rsidRPr="00563EAA">
        <w:rPr>
          <w:rFonts w:ascii="Times New Roman" w:hAnsi="Times New Roman" w:cs="Times New Roman"/>
          <w:sz w:val="24"/>
          <w:szCs w:val="24"/>
        </w:rPr>
        <w:t xml:space="preserve"> that are</w:t>
      </w:r>
      <w:r w:rsidR="006074F1" w:rsidRPr="00563EAA">
        <w:rPr>
          <w:rFonts w:ascii="Times New Roman" w:hAnsi="Times New Roman" w:cs="Times New Roman"/>
          <w:sz w:val="24"/>
          <w:szCs w:val="24"/>
        </w:rPr>
        <w:t xml:space="preserve"> rich in flavonoids and phenolic acids (Dai &amp; Mumper, 2010; Ignat </w:t>
      </w:r>
      <w:r w:rsidR="006074F1" w:rsidRPr="00563EAA">
        <w:rPr>
          <w:rFonts w:ascii="Times New Roman" w:hAnsi="Times New Roman" w:cs="Times New Roman"/>
          <w:i/>
          <w:sz w:val="24"/>
          <w:szCs w:val="24"/>
        </w:rPr>
        <w:t>et al</w:t>
      </w:r>
      <w:r w:rsidR="006074F1" w:rsidRPr="00563EAA">
        <w:rPr>
          <w:rFonts w:ascii="Times New Roman" w:hAnsi="Times New Roman" w:cs="Times New Roman"/>
          <w:sz w:val="24"/>
          <w:szCs w:val="24"/>
        </w:rPr>
        <w:t>., 2011).</w:t>
      </w:r>
    </w:p>
    <w:p w14:paraId="120CCDB5" w14:textId="77777777" w:rsidR="006074F1" w:rsidRPr="00563EAA" w:rsidRDefault="006074F1" w:rsidP="00563EAA">
      <w:pPr>
        <w:spacing w:line="360" w:lineRule="auto"/>
        <w:jc w:val="both"/>
        <w:rPr>
          <w:rFonts w:ascii="Times New Roman" w:hAnsi="Times New Roman" w:cs="Times New Roman"/>
          <w:b/>
          <w:sz w:val="24"/>
          <w:szCs w:val="24"/>
        </w:rPr>
      </w:pPr>
      <w:r w:rsidRPr="00563EAA">
        <w:rPr>
          <w:rFonts w:ascii="Times New Roman" w:hAnsi="Times New Roman" w:cs="Times New Roman"/>
          <w:b/>
          <w:sz w:val="24"/>
          <w:szCs w:val="24"/>
        </w:rPr>
        <w:t xml:space="preserve">3.2 Confirmation and Significance of </w:t>
      </w:r>
      <w:proofErr w:type="spellStart"/>
      <w:r w:rsidRPr="00563EAA">
        <w:rPr>
          <w:rFonts w:ascii="Times New Roman" w:hAnsi="Times New Roman" w:cs="Times New Roman"/>
          <w:b/>
          <w:sz w:val="24"/>
          <w:szCs w:val="24"/>
        </w:rPr>
        <w:t>Ampelopsin</w:t>
      </w:r>
      <w:proofErr w:type="spellEnd"/>
      <w:r w:rsidRPr="00563EAA">
        <w:rPr>
          <w:rFonts w:ascii="Times New Roman" w:hAnsi="Times New Roman" w:cs="Times New Roman"/>
          <w:b/>
          <w:sz w:val="24"/>
          <w:szCs w:val="24"/>
        </w:rPr>
        <w:t xml:space="preserve"> (Dihydromyricetin)</w:t>
      </w:r>
    </w:p>
    <w:p w14:paraId="103C59DF" w14:textId="77777777" w:rsidR="00477489" w:rsidRPr="00563EAA" w:rsidRDefault="00477489" w:rsidP="00563EAA">
      <w:pPr>
        <w:spacing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The chromatographic analysis revealed a clear and well-resolved separation of the phytoconstituents present in the extract. The retention time of the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standard (4.992 min) closely matched that of the corresponding peak in the extract (4.919 min), thereby confirming its occurrence in the sample. The substantial peak area percentage (42.96%) indicates that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constitutes a major phytochemical component.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also referred to as dihydromyricetin (DHM) (Fig. 3), is a naturally occurring flavonoid predominantly isolated from </w:t>
      </w:r>
      <w:r w:rsidRPr="00563EAA">
        <w:rPr>
          <w:rFonts w:ascii="Times New Roman" w:hAnsi="Times New Roman" w:cs="Times New Roman"/>
          <w:i/>
          <w:iCs/>
          <w:sz w:val="24"/>
          <w:szCs w:val="24"/>
        </w:rPr>
        <w:t xml:space="preserve">Ampelopsis </w:t>
      </w:r>
      <w:proofErr w:type="spellStart"/>
      <w:r w:rsidRPr="00563EAA">
        <w:rPr>
          <w:rFonts w:ascii="Times New Roman" w:hAnsi="Times New Roman" w:cs="Times New Roman"/>
          <w:i/>
          <w:iCs/>
          <w:sz w:val="24"/>
          <w:szCs w:val="24"/>
        </w:rPr>
        <w:t>grossedentata</w:t>
      </w:r>
      <w:proofErr w:type="spellEnd"/>
      <w:r w:rsidRPr="00563EAA">
        <w:rPr>
          <w:rFonts w:ascii="Times New Roman" w:hAnsi="Times New Roman" w:cs="Times New Roman"/>
          <w:sz w:val="24"/>
          <w:szCs w:val="24"/>
        </w:rPr>
        <w:t xml:space="preserve"> and </w:t>
      </w:r>
      <w:proofErr w:type="spellStart"/>
      <w:r w:rsidRPr="00563EAA">
        <w:rPr>
          <w:rFonts w:ascii="Times New Roman" w:hAnsi="Times New Roman" w:cs="Times New Roman"/>
          <w:i/>
          <w:iCs/>
          <w:sz w:val="24"/>
          <w:szCs w:val="24"/>
        </w:rPr>
        <w:t>Hovenia</w:t>
      </w:r>
      <w:proofErr w:type="spellEnd"/>
      <w:r w:rsidRPr="00563EAA">
        <w:rPr>
          <w:rFonts w:ascii="Times New Roman" w:hAnsi="Times New Roman" w:cs="Times New Roman"/>
          <w:i/>
          <w:iCs/>
          <w:sz w:val="24"/>
          <w:szCs w:val="24"/>
        </w:rPr>
        <w:t xml:space="preserve"> </w:t>
      </w:r>
      <w:proofErr w:type="spellStart"/>
      <w:r w:rsidRPr="00563EAA">
        <w:rPr>
          <w:rFonts w:ascii="Times New Roman" w:hAnsi="Times New Roman" w:cs="Times New Roman"/>
          <w:i/>
          <w:iCs/>
          <w:sz w:val="24"/>
          <w:szCs w:val="24"/>
        </w:rPr>
        <w:t>dulcis</w:t>
      </w:r>
      <w:proofErr w:type="spellEnd"/>
      <w:r w:rsidRPr="00563EAA">
        <w:rPr>
          <w:rFonts w:ascii="Times New Roman" w:hAnsi="Times New Roman" w:cs="Times New Roman"/>
          <w:sz w:val="24"/>
          <w:szCs w:val="24"/>
        </w:rPr>
        <w:t xml:space="preserve">. Traditionally consumed as vine tea in East Asia, it has attracted considerable scientific interest due to its diverse pharmacological properties (Wu </w:t>
      </w:r>
      <w:r w:rsidRPr="00563EAA">
        <w:rPr>
          <w:rFonts w:ascii="Times New Roman" w:hAnsi="Times New Roman" w:cs="Times New Roman"/>
          <w:i/>
          <w:sz w:val="24"/>
          <w:szCs w:val="24"/>
        </w:rPr>
        <w:t>et al</w:t>
      </w:r>
      <w:r w:rsidRPr="00563EAA">
        <w:rPr>
          <w:rFonts w:ascii="Times New Roman" w:hAnsi="Times New Roman" w:cs="Times New Roman"/>
          <w:sz w:val="24"/>
          <w:szCs w:val="24"/>
        </w:rPr>
        <w:t xml:space="preserve">., 2013). Its identification in </w:t>
      </w:r>
      <w:proofErr w:type="spellStart"/>
      <w:r w:rsidRPr="00563EAA">
        <w:rPr>
          <w:rFonts w:ascii="Times New Roman" w:hAnsi="Times New Roman" w:cs="Times New Roman"/>
          <w:i/>
          <w:iCs/>
          <w:sz w:val="24"/>
          <w:szCs w:val="24"/>
        </w:rPr>
        <w:t>Hedyotis</w:t>
      </w:r>
      <w:proofErr w:type="spellEnd"/>
      <w:r w:rsidRPr="00563EAA">
        <w:rPr>
          <w:rFonts w:ascii="Times New Roman" w:hAnsi="Times New Roman" w:cs="Times New Roman"/>
          <w:i/>
          <w:iCs/>
          <w:sz w:val="24"/>
          <w:szCs w:val="24"/>
        </w:rPr>
        <w:t xml:space="preserve"> </w:t>
      </w:r>
      <w:proofErr w:type="spellStart"/>
      <w:r w:rsidRPr="00563EAA">
        <w:rPr>
          <w:rFonts w:ascii="Times New Roman" w:hAnsi="Times New Roman" w:cs="Times New Roman"/>
          <w:i/>
          <w:iCs/>
          <w:sz w:val="24"/>
          <w:szCs w:val="24"/>
        </w:rPr>
        <w:t>purpurascens</w:t>
      </w:r>
      <w:proofErr w:type="spellEnd"/>
      <w:r w:rsidRPr="00563EAA">
        <w:rPr>
          <w:rFonts w:ascii="Times New Roman" w:hAnsi="Times New Roman" w:cs="Times New Roman"/>
          <w:sz w:val="24"/>
          <w:szCs w:val="24"/>
        </w:rPr>
        <w:t xml:space="preserve"> further enhances the chemotaxonomic and </w:t>
      </w:r>
      <w:proofErr w:type="spellStart"/>
      <w:r w:rsidRPr="00563EAA">
        <w:rPr>
          <w:rFonts w:ascii="Times New Roman" w:hAnsi="Times New Roman" w:cs="Times New Roman"/>
          <w:sz w:val="24"/>
          <w:szCs w:val="24"/>
        </w:rPr>
        <w:t>pharmacognostic</w:t>
      </w:r>
      <w:proofErr w:type="spellEnd"/>
      <w:r w:rsidRPr="00563EAA">
        <w:rPr>
          <w:rFonts w:ascii="Times New Roman" w:hAnsi="Times New Roman" w:cs="Times New Roman"/>
          <w:sz w:val="24"/>
          <w:szCs w:val="24"/>
        </w:rPr>
        <w:t xml:space="preserve"> relevance of the species.</w:t>
      </w:r>
    </w:p>
    <w:p w14:paraId="76506D91" w14:textId="77777777" w:rsidR="003B2206" w:rsidRPr="00563EAA" w:rsidRDefault="003B2206" w:rsidP="00563EAA">
      <w:pPr>
        <w:spacing w:line="360" w:lineRule="auto"/>
        <w:jc w:val="center"/>
        <w:rPr>
          <w:rFonts w:ascii="Times New Roman" w:hAnsi="Times New Roman" w:cs="Times New Roman"/>
          <w:b/>
          <w:sz w:val="24"/>
          <w:szCs w:val="24"/>
        </w:rPr>
      </w:pPr>
      <w:r w:rsidRPr="00563EAA">
        <w:rPr>
          <w:rFonts w:ascii="Times New Roman" w:hAnsi="Times New Roman" w:cs="Times New Roman"/>
          <w:b/>
          <w:sz w:val="24"/>
          <w:szCs w:val="24"/>
        </w:rPr>
        <w:t xml:space="preserve">Figure 3: Structure of </w:t>
      </w:r>
      <w:proofErr w:type="spellStart"/>
      <w:r w:rsidRPr="00563EAA">
        <w:rPr>
          <w:rFonts w:ascii="Times New Roman" w:hAnsi="Times New Roman" w:cs="Times New Roman"/>
          <w:b/>
          <w:sz w:val="24"/>
          <w:szCs w:val="24"/>
        </w:rPr>
        <w:t>Ampelopsin</w:t>
      </w:r>
      <w:proofErr w:type="spellEnd"/>
    </w:p>
    <w:p w14:paraId="06883E4D" w14:textId="77777777" w:rsidR="003B2206" w:rsidRPr="00563EAA" w:rsidRDefault="003B2206" w:rsidP="00563EAA">
      <w:pPr>
        <w:spacing w:line="360" w:lineRule="auto"/>
        <w:ind w:firstLine="720"/>
        <w:jc w:val="center"/>
        <w:rPr>
          <w:rFonts w:ascii="Times New Roman" w:hAnsi="Times New Roman" w:cs="Times New Roman"/>
          <w:sz w:val="24"/>
          <w:szCs w:val="24"/>
        </w:rPr>
      </w:pPr>
      <w:r w:rsidRPr="00563EAA">
        <w:rPr>
          <w:rFonts w:ascii="Times New Roman" w:hAnsi="Times New Roman" w:cs="Times New Roman"/>
          <w:noProof/>
          <w:sz w:val="24"/>
          <w:szCs w:val="24"/>
        </w:rPr>
        <w:drawing>
          <wp:inline distT="0" distB="0" distL="0" distR="0" wp14:anchorId="2E5F02EF" wp14:editId="0E005ED2">
            <wp:extent cx="2143125" cy="2143125"/>
            <wp:effectExtent l="19050" t="19050" r="28575" b="28575"/>
            <wp:docPr id="7" name="Picture 1" descr="C:\Users\admin\Desktop\Ampelops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Ampelopsin.png"/>
                    <pic:cNvPicPr>
                      <a:picLocks noChangeAspect="1" noChangeArrowheads="1"/>
                    </pic:cNvPicPr>
                  </pic:nvPicPr>
                  <pic:blipFill>
                    <a:blip r:embed="rId9"/>
                    <a:srcRect/>
                    <a:stretch>
                      <a:fillRect/>
                    </a:stretch>
                  </pic:blipFill>
                  <pic:spPr bwMode="auto">
                    <a:xfrm>
                      <a:off x="0" y="0"/>
                      <a:ext cx="2143125" cy="2143125"/>
                    </a:xfrm>
                    <a:prstGeom prst="rect">
                      <a:avLst/>
                    </a:prstGeom>
                    <a:noFill/>
                    <a:ln w="3175">
                      <a:solidFill>
                        <a:schemeClr val="tx1"/>
                      </a:solidFill>
                      <a:miter lim="800000"/>
                      <a:headEnd/>
                      <a:tailEnd/>
                    </a:ln>
                  </pic:spPr>
                </pic:pic>
              </a:graphicData>
            </a:graphic>
          </wp:inline>
        </w:drawing>
      </w:r>
    </w:p>
    <w:p w14:paraId="33CAD5BB" w14:textId="77777777" w:rsidR="008210CF" w:rsidRPr="00563EAA" w:rsidRDefault="00477489" w:rsidP="00563EAA">
      <w:pPr>
        <w:pStyle w:val="NormalWeb"/>
        <w:spacing w:before="0" w:beforeAutospacing="0" w:after="0" w:afterAutospacing="0" w:line="360" w:lineRule="auto"/>
        <w:ind w:firstLine="720"/>
        <w:jc w:val="both"/>
      </w:pPr>
      <w:r w:rsidRPr="00563EAA">
        <w:t xml:space="preserve">Phenolic compounds are extensively acknowledged for their anti-inflammatory properties, primarily attributed to the suppression of cyclooxygenase pathways and mitigation of oxidative stress. </w:t>
      </w:r>
      <w:proofErr w:type="spellStart"/>
      <w:r w:rsidRPr="00563EAA">
        <w:t>Ampelopsin</w:t>
      </w:r>
      <w:proofErr w:type="spellEnd"/>
      <w:r w:rsidRPr="00563EAA">
        <w:t xml:space="preserve"> (dihydromyricetin) has been documented to exert significant antioxidant and anti-inflammatory activities through regulation of the NF-</w:t>
      </w:r>
      <w:proofErr w:type="spellStart"/>
      <w:r w:rsidRPr="00563EAA">
        <w:t>κB</w:t>
      </w:r>
      <w:proofErr w:type="spellEnd"/>
      <w:r w:rsidRPr="00563EAA">
        <w:t xml:space="preserve"> signaling pathway (Zhang </w:t>
      </w:r>
      <w:r w:rsidRPr="00563EAA">
        <w:rPr>
          <w:i/>
        </w:rPr>
        <w:t>et al</w:t>
      </w:r>
      <w:r w:rsidRPr="00563EAA">
        <w:t xml:space="preserve">., 2018). Additionally, accumulating evidence indicates that DHM can safeguard neuronal cells from oxidative and inflammatory injury, underscoring its potential </w:t>
      </w:r>
      <w:r w:rsidRPr="00563EAA">
        <w:lastRenderedPageBreak/>
        <w:t xml:space="preserve">therapeutic significance in neurodegenerative disorders (Sun </w:t>
      </w:r>
      <w:r w:rsidRPr="00563EAA">
        <w:rPr>
          <w:i/>
        </w:rPr>
        <w:t>et al</w:t>
      </w:r>
      <w:r w:rsidRPr="00563EAA">
        <w:t xml:space="preserve">., 2022). Further investigations have also demonstrated its hepatoprotective, neuroprotective, and anticancer effects, largely mediated by the induction of apoptosis and modulation of mitochondrial signaling mechanisms (Wu </w:t>
      </w:r>
      <w:r w:rsidRPr="00563EAA">
        <w:rPr>
          <w:i/>
        </w:rPr>
        <w:t>et al</w:t>
      </w:r>
      <w:r w:rsidRPr="00563EAA">
        <w:t xml:space="preserve">., 2013; Zuo </w:t>
      </w:r>
      <w:r w:rsidRPr="00563EAA">
        <w:rPr>
          <w:i/>
        </w:rPr>
        <w:t>et al</w:t>
      </w:r>
      <w:r w:rsidRPr="00563EAA">
        <w:t xml:space="preserve">., 2018; Chen </w:t>
      </w:r>
      <w:r w:rsidRPr="00563EAA">
        <w:rPr>
          <w:i/>
        </w:rPr>
        <w:t>et al</w:t>
      </w:r>
      <w:r w:rsidRPr="00563EAA">
        <w:t>., 2015).</w:t>
      </w:r>
    </w:p>
    <w:p w14:paraId="077644E6" w14:textId="77777777" w:rsidR="00477489" w:rsidRPr="00563EAA" w:rsidRDefault="00477489" w:rsidP="00563EAA">
      <w:pPr>
        <w:pStyle w:val="NormalWeb"/>
        <w:spacing w:before="0" w:beforeAutospacing="0" w:after="0" w:afterAutospacing="0" w:line="360" w:lineRule="auto"/>
        <w:ind w:firstLine="720"/>
        <w:jc w:val="both"/>
      </w:pPr>
      <w:r w:rsidRPr="00563EAA">
        <w:t xml:space="preserve">The notably high peak area percentage (42.96%) suggests that </w:t>
      </w:r>
      <w:proofErr w:type="spellStart"/>
      <w:r w:rsidRPr="00563EAA">
        <w:t>ampelopsin</w:t>
      </w:r>
      <w:proofErr w:type="spellEnd"/>
      <w:r w:rsidRPr="00563EAA">
        <w:t xml:space="preserve"> could be considered a promising chemical marker for the quality control and standardization of this species. Marker-based standardization approaches are increasingly advocated in herbal drug validation to maintain reproducibility and ensure batch-to-batch uniformity (Li </w:t>
      </w:r>
      <w:r w:rsidRPr="00563EAA">
        <w:rPr>
          <w:i/>
        </w:rPr>
        <w:t>et al</w:t>
      </w:r>
      <w:r w:rsidRPr="00563EAA">
        <w:t>., 2008).</w:t>
      </w:r>
    </w:p>
    <w:p w14:paraId="5F3DD67D" w14:textId="77777777" w:rsidR="006074F1" w:rsidRPr="00563EAA" w:rsidRDefault="006074F1" w:rsidP="00563EAA">
      <w:pPr>
        <w:spacing w:after="0" w:line="360" w:lineRule="auto"/>
        <w:jc w:val="both"/>
        <w:rPr>
          <w:rFonts w:ascii="Times New Roman" w:hAnsi="Times New Roman" w:cs="Times New Roman"/>
          <w:sz w:val="24"/>
          <w:szCs w:val="24"/>
        </w:rPr>
      </w:pPr>
      <w:r w:rsidRPr="00563EAA">
        <w:rPr>
          <w:rFonts w:ascii="Times New Roman" w:hAnsi="Times New Roman" w:cs="Times New Roman"/>
          <w:b/>
          <w:sz w:val="24"/>
          <w:szCs w:val="24"/>
        </w:rPr>
        <w:t>3.3 Interpretation of Minor Peaks and Phytochemical Diversity</w:t>
      </w:r>
    </w:p>
    <w:p w14:paraId="625A5652" w14:textId="77777777" w:rsidR="006074F1" w:rsidRPr="00563EAA" w:rsidRDefault="00257EDD"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Polyphenolic-rich plant extracts typically exhibit synergistic biological activity, where minor compounds enhance or modulate the activity of major constituents (Wagner &amp; Ulrich-Merzenich, 2009). </w:t>
      </w:r>
      <w:r w:rsidR="006074F1" w:rsidRPr="00563EAA">
        <w:rPr>
          <w:rFonts w:ascii="Times New Roman" w:hAnsi="Times New Roman" w:cs="Times New Roman"/>
          <w:sz w:val="24"/>
          <w:szCs w:val="24"/>
        </w:rPr>
        <w:t xml:space="preserve">Although </w:t>
      </w:r>
      <w:proofErr w:type="spellStart"/>
      <w:r w:rsidR="006074F1" w:rsidRPr="00563EAA">
        <w:rPr>
          <w:rFonts w:ascii="Times New Roman" w:hAnsi="Times New Roman" w:cs="Times New Roman"/>
          <w:sz w:val="24"/>
          <w:szCs w:val="24"/>
        </w:rPr>
        <w:t>Ampelopsin</w:t>
      </w:r>
      <w:proofErr w:type="spellEnd"/>
      <w:r w:rsidR="006074F1" w:rsidRPr="00563EAA">
        <w:rPr>
          <w:rFonts w:ascii="Times New Roman" w:hAnsi="Times New Roman" w:cs="Times New Roman"/>
          <w:sz w:val="24"/>
          <w:szCs w:val="24"/>
        </w:rPr>
        <w:t xml:space="preserve"> dominated the chromatographic profile, other peaks collectively accounted for approximately 57% of the total area, indicating a chemically diverse extract. Peaks observed at 2.769 min (12.08%) and 17.833 min (7.907%) represent substantial secondary constituents that warrant future isolation and structural elucidation.</w:t>
      </w:r>
    </w:p>
    <w:p w14:paraId="3EAE6A9F" w14:textId="77777777" w:rsidR="006074F1" w:rsidRPr="00563EAA" w:rsidRDefault="006074F1" w:rsidP="006A73BC">
      <w:pPr>
        <w:spacing w:after="0" w:line="360" w:lineRule="auto"/>
        <w:jc w:val="both"/>
        <w:rPr>
          <w:rFonts w:ascii="Times New Roman" w:hAnsi="Times New Roman" w:cs="Times New Roman"/>
          <w:b/>
          <w:sz w:val="24"/>
          <w:szCs w:val="24"/>
        </w:rPr>
      </w:pPr>
      <w:r w:rsidRPr="00563EAA">
        <w:rPr>
          <w:rFonts w:ascii="Times New Roman" w:hAnsi="Times New Roman" w:cs="Times New Roman"/>
          <w:b/>
          <w:sz w:val="24"/>
          <w:szCs w:val="24"/>
        </w:rPr>
        <w:t>3.4 FTIR Spectral Analysis and Functional Group Characterization</w:t>
      </w:r>
    </w:p>
    <w:p w14:paraId="443D1FA4" w14:textId="6CD85C39" w:rsidR="006074F1" w:rsidRDefault="005901B9" w:rsidP="006A73BC">
      <w:pPr>
        <w:spacing w:after="0" w:line="360" w:lineRule="auto"/>
        <w:ind w:firstLine="720"/>
        <w:jc w:val="both"/>
        <w:rPr>
          <w:rFonts w:ascii="Times New Roman" w:hAnsi="Times New Roman" w:cs="Times New Roman"/>
          <w:sz w:val="24"/>
          <w:szCs w:val="24"/>
        </w:rPr>
      </w:pPr>
      <w:r w:rsidRPr="005901B9">
        <w:rPr>
          <w:rFonts w:ascii="Times New Roman" w:hAnsi="Times New Roman" w:cs="Times New Roman"/>
          <w:sz w:val="24"/>
          <w:szCs w:val="24"/>
        </w:rPr>
        <w:t>The FTIR spectrum revealed prominent absorption bands corresponding to hydroxyl (3365.17 cm</w:t>
      </w:r>
      <w:r w:rsidRPr="005901B9">
        <w:rPr>
          <w:rFonts w:ascii="Cambria Math" w:hAnsi="Cambria Math" w:cs="Cambria Math"/>
          <w:sz w:val="24"/>
          <w:szCs w:val="24"/>
        </w:rPr>
        <w:t>⁻</w:t>
      </w:r>
      <w:r w:rsidRPr="005901B9">
        <w:rPr>
          <w:rFonts w:ascii="Times New Roman" w:hAnsi="Times New Roman" w:cs="Times New Roman"/>
          <w:sz w:val="24"/>
          <w:szCs w:val="24"/>
        </w:rPr>
        <w:t>¹), aliphatic C–H (2972.73 and 2924.52 cm</w:t>
      </w:r>
      <w:r w:rsidRPr="005901B9">
        <w:rPr>
          <w:rFonts w:ascii="Cambria Math" w:hAnsi="Cambria Math" w:cs="Cambria Math"/>
          <w:sz w:val="24"/>
          <w:szCs w:val="24"/>
        </w:rPr>
        <w:t>⁻</w:t>
      </w:r>
      <w:r w:rsidRPr="005901B9">
        <w:rPr>
          <w:rFonts w:ascii="Times New Roman" w:hAnsi="Times New Roman" w:cs="Times New Roman"/>
          <w:sz w:val="24"/>
          <w:szCs w:val="24"/>
        </w:rPr>
        <w:t>¹), carbonyl and conjugated C=C groups (1667.16 and 1514.81 cm</w:t>
      </w:r>
      <w:r w:rsidRPr="005901B9">
        <w:rPr>
          <w:rFonts w:ascii="Cambria Math" w:hAnsi="Cambria Math" w:cs="Cambria Math"/>
          <w:sz w:val="24"/>
          <w:szCs w:val="24"/>
        </w:rPr>
        <w:t>⁻</w:t>
      </w:r>
      <w:r w:rsidRPr="005901B9">
        <w:rPr>
          <w:rFonts w:ascii="Times New Roman" w:hAnsi="Times New Roman" w:cs="Times New Roman"/>
          <w:sz w:val="24"/>
          <w:szCs w:val="24"/>
        </w:rPr>
        <w:t>¹), and C–O/C–N stretching vibrations (1268.93–1038.48 cm</w:t>
      </w:r>
      <w:r w:rsidRPr="005901B9">
        <w:rPr>
          <w:rFonts w:ascii="Cambria Math" w:hAnsi="Cambria Math" w:cs="Cambria Math"/>
          <w:sz w:val="24"/>
          <w:szCs w:val="24"/>
        </w:rPr>
        <w:t>⁻</w:t>
      </w:r>
      <w:r w:rsidRPr="005901B9">
        <w:rPr>
          <w:rFonts w:ascii="Times New Roman" w:hAnsi="Times New Roman" w:cs="Times New Roman"/>
          <w:sz w:val="24"/>
          <w:szCs w:val="24"/>
        </w:rPr>
        <w:t xml:space="preserve">¹), indicating the presence of phenolic and aromatic constituents. The broad O–H stretching band confirms hydrogen-bonded hydroxyl groups’ characteristic of polyphenolic compounds. These functional features are consistent with flavonoid structures, particularly </w:t>
      </w:r>
      <w:proofErr w:type="spellStart"/>
      <w:r w:rsidRPr="005901B9">
        <w:rPr>
          <w:rFonts w:ascii="Times New Roman" w:hAnsi="Times New Roman" w:cs="Times New Roman"/>
          <w:sz w:val="24"/>
          <w:szCs w:val="24"/>
        </w:rPr>
        <w:t>ampelopsin</w:t>
      </w:r>
      <w:proofErr w:type="spellEnd"/>
      <w:r w:rsidRPr="005901B9">
        <w:rPr>
          <w:rFonts w:ascii="Times New Roman" w:hAnsi="Times New Roman" w:cs="Times New Roman"/>
          <w:sz w:val="24"/>
          <w:szCs w:val="24"/>
        </w:rPr>
        <w:t xml:space="preserve"> (dihydromyricetin), which contains multiple hydroxyl substituents and aromatic rings. Thus, the FTIR profile substantiates the occurrence of bioactive flavonoids and supports the chromatographic identificati</w:t>
      </w:r>
      <w:r>
        <w:rPr>
          <w:rFonts w:ascii="Times New Roman" w:hAnsi="Times New Roman" w:cs="Times New Roman"/>
          <w:sz w:val="24"/>
          <w:szCs w:val="24"/>
        </w:rPr>
        <w:t xml:space="preserve">on of </w:t>
      </w:r>
      <w:proofErr w:type="spellStart"/>
      <w:r>
        <w:rPr>
          <w:rFonts w:ascii="Times New Roman" w:hAnsi="Times New Roman" w:cs="Times New Roman"/>
          <w:sz w:val="24"/>
          <w:szCs w:val="24"/>
        </w:rPr>
        <w:t>ampelopsin</w:t>
      </w:r>
      <w:proofErr w:type="spellEnd"/>
      <w:r>
        <w:rPr>
          <w:rFonts w:ascii="Times New Roman" w:hAnsi="Times New Roman" w:cs="Times New Roman"/>
          <w:sz w:val="24"/>
          <w:szCs w:val="24"/>
        </w:rPr>
        <w:t xml:space="preserve"> in the extract</w:t>
      </w:r>
      <w:r w:rsidR="006074F1" w:rsidRPr="00563EAA">
        <w:rPr>
          <w:rFonts w:ascii="Times New Roman" w:hAnsi="Times New Roman" w:cs="Times New Roman"/>
          <w:sz w:val="24"/>
          <w:szCs w:val="24"/>
        </w:rPr>
        <w:t>.</w:t>
      </w:r>
      <w:r w:rsidR="003B2206" w:rsidRPr="00563EAA">
        <w:rPr>
          <w:rFonts w:ascii="Times New Roman" w:hAnsi="Times New Roman" w:cs="Times New Roman"/>
          <w:sz w:val="24"/>
          <w:szCs w:val="24"/>
        </w:rPr>
        <w:t xml:space="preserve"> (</w:t>
      </w:r>
      <w:r w:rsidR="00311F46">
        <w:rPr>
          <w:rFonts w:ascii="Times New Roman" w:hAnsi="Times New Roman" w:cs="Times New Roman"/>
          <w:sz w:val="24"/>
          <w:szCs w:val="24"/>
        </w:rPr>
        <w:t xml:space="preserve">Table: </w:t>
      </w:r>
      <w:r w:rsidR="00474040">
        <w:rPr>
          <w:rFonts w:ascii="Times New Roman" w:hAnsi="Times New Roman" w:cs="Times New Roman"/>
          <w:sz w:val="24"/>
          <w:szCs w:val="24"/>
        </w:rPr>
        <w:t>3</w:t>
      </w:r>
      <w:r w:rsidR="00311F46">
        <w:rPr>
          <w:rFonts w:ascii="Times New Roman" w:hAnsi="Times New Roman" w:cs="Times New Roman"/>
          <w:sz w:val="24"/>
          <w:szCs w:val="24"/>
        </w:rPr>
        <w:t xml:space="preserve">; </w:t>
      </w:r>
      <w:r w:rsidR="003B2206" w:rsidRPr="00563EAA">
        <w:rPr>
          <w:rFonts w:ascii="Times New Roman" w:hAnsi="Times New Roman" w:cs="Times New Roman"/>
          <w:sz w:val="24"/>
          <w:szCs w:val="24"/>
        </w:rPr>
        <w:t>Fig</w:t>
      </w:r>
      <w:r w:rsidR="00311F46" w:rsidRPr="00563EAA">
        <w:rPr>
          <w:rFonts w:ascii="Times New Roman" w:hAnsi="Times New Roman" w:cs="Times New Roman"/>
          <w:sz w:val="24"/>
          <w:szCs w:val="24"/>
        </w:rPr>
        <w:t>: 4</w:t>
      </w:r>
      <w:r w:rsidR="003B2206" w:rsidRPr="00563EAA">
        <w:rPr>
          <w:rFonts w:ascii="Times New Roman" w:hAnsi="Times New Roman" w:cs="Times New Roman"/>
          <w:sz w:val="24"/>
          <w:szCs w:val="24"/>
        </w:rPr>
        <w:t>)</w:t>
      </w:r>
    </w:p>
    <w:p w14:paraId="77F3B429" w14:textId="77777777" w:rsidR="006A73BC" w:rsidRPr="00563EAA" w:rsidRDefault="006A73BC" w:rsidP="006A73BC">
      <w:pPr>
        <w:spacing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The FTIR findings complement the HPLC data by confirming functional groups typically associated with flavonoids.  Infrared fingerprinting serves as a rapid authentication tool for herbal materials and is widely employed in </w:t>
      </w:r>
      <w:proofErr w:type="spellStart"/>
      <w:r w:rsidRPr="00563EAA">
        <w:rPr>
          <w:rFonts w:ascii="Times New Roman" w:hAnsi="Times New Roman" w:cs="Times New Roman"/>
          <w:sz w:val="24"/>
          <w:szCs w:val="24"/>
        </w:rPr>
        <w:t>pharmacognostic</w:t>
      </w:r>
      <w:proofErr w:type="spellEnd"/>
      <w:r w:rsidRPr="00563EAA">
        <w:rPr>
          <w:rFonts w:ascii="Times New Roman" w:hAnsi="Times New Roman" w:cs="Times New Roman"/>
          <w:sz w:val="24"/>
          <w:szCs w:val="24"/>
        </w:rPr>
        <w:t xml:space="preserve"> standardization (Kumar </w:t>
      </w:r>
      <w:r w:rsidRPr="006A73BC">
        <w:rPr>
          <w:rFonts w:ascii="Times New Roman" w:hAnsi="Times New Roman" w:cs="Times New Roman"/>
          <w:i/>
          <w:sz w:val="24"/>
          <w:szCs w:val="24"/>
        </w:rPr>
        <w:t>et al</w:t>
      </w:r>
      <w:r w:rsidRPr="00563EAA">
        <w:rPr>
          <w:rFonts w:ascii="Times New Roman" w:hAnsi="Times New Roman" w:cs="Times New Roman"/>
          <w:sz w:val="24"/>
          <w:szCs w:val="24"/>
        </w:rPr>
        <w:t>., 2014). Combining chromatographic profiling with FTIR functional group analysis enhances analytical confidence and reduces the possibility of misidentification. Such integrated approaches are recommended for herbal drug authentication and quality control (World Health Organization, 2011). Although extended calibration would enhance precision, the present validation confirms method suitability for phytochemical screening.</w:t>
      </w:r>
    </w:p>
    <w:p w14:paraId="5B538413" w14:textId="77777777" w:rsidR="006A73BC" w:rsidRPr="00563EAA" w:rsidRDefault="006A73BC" w:rsidP="006A73BC">
      <w:pPr>
        <w:spacing w:after="0" w:line="360" w:lineRule="auto"/>
        <w:ind w:firstLine="720"/>
        <w:jc w:val="both"/>
        <w:rPr>
          <w:rFonts w:ascii="Times New Roman" w:hAnsi="Times New Roman" w:cs="Times New Roman"/>
          <w:sz w:val="24"/>
          <w:szCs w:val="24"/>
        </w:rPr>
      </w:pPr>
    </w:p>
    <w:p w14:paraId="2DFEBE6C" w14:textId="77777777" w:rsidR="006A73BC" w:rsidRDefault="006A73BC" w:rsidP="00563EAA">
      <w:pPr>
        <w:spacing w:after="0" w:line="360" w:lineRule="auto"/>
        <w:jc w:val="center"/>
        <w:rPr>
          <w:rFonts w:ascii="Times New Roman" w:hAnsi="Times New Roman" w:cs="Times New Roman"/>
          <w:b/>
          <w:sz w:val="24"/>
          <w:szCs w:val="24"/>
        </w:rPr>
      </w:pPr>
    </w:p>
    <w:p w14:paraId="20DBEFD5" w14:textId="77777777" w:rsidR="00862F0B" w:rsidRPr="00563EAA" w:rsidRDefault="00862F0B" w:rsidP="00563EAA">
      <w:pPr>
        <w:spacing w:after="0" w:line="360" w:lineRule="auto"/>
        <w:jc w:val="center"/>
        <w:rPr>
          <w:rFonts w:ascii="Times New Roman" w:hAnsi="Times New Roman" w:cs="Times New Roman"/>
          <w:b/>
          <w:sz w:val="24"/>
          <w:szCs w:val="24"/>
        </w:rPr>
      </w:pPr>
      <w:r w:rsidRPr="00563EAA">
        <w:rPr>
          <w:rFonts w:ascii="Times New Roman" w:hAnsi="Times New Roman" w:cs="Times New Roman"/>
          <w:b/>
          <w:sz w:val="24"/>
          <w:szCs w:val="24"/>
        </w:rPr>
        <w:t>Fig</w:t>
      </w:r>
      <w:r w:rsidR="003B2206" w:rsidRPr="00563EAA">
        <w:rPr>
          <w:rFonts w:ascii="Times New Roman" w:hAnsi="Times New Roman" w:cs="Times New Roman"/>
          <w:b/>
          <w:sz w:val="24"/>
          <w:szCs w:val="24"/>
        </w:rPr>
        <w:t>ure 4</w:t>
      </w:r>
      <w:r w:rsidRPr="00563EAA">
        <w:rPr>
          <w:rFonts w:ascii="Times New Roman" w:hAnsi="Times New Roman" w:cs="Times New Roman"/>
          <w:b/>
          <w:sz w:val="24"/>
          <w:szCs w:val="24"/>
        </w:rPr>
        <w:t>: FTIR spectrum of ethanolic leaf extract</w:t>
      </w:r>
    </w:p>
    <w:p w14:paraId="308C7381" w14:textId="77777777" w:rsidR="00311F46" w:rsidRDefault="00862F0B" w:rsidP="00311F46">
      <w:pPr>
        <w:spacing w:after="0" w:line="360" w:lineRule="auto"/>
        <w:jc w:val="center"/>
        <w:rPr>
          <w:rFonts w:ascii="Times New Roman" w:hAnsi="Times New Roman" w:cs="Times New Roman"/>
          <w:sz w:val="24"/>
          <w:szCs w:val="24"/>
        </w:rPr>
      </w:pPr>
      <w:r w:rsidRPr="00563EAA">
        <w:rPr>
          <w:rFonts w:ascii="Times New Roman" w:hAnsi="Times New Roman" w:cs="Times New Roman"/>
          <w:noProof/>
          <w:sz w:val="24"/>
          <w:szCs w:val="24"/>
        </w:rPr>
        <w:drawing>
          <wp:inline distT="0" distB="0" distL="0" distR="0" wp14:anchorId="3F426984" wp14:editId="71D6D4E0">
            <wp:extent cx="4972050" cy="3734549"/>
            <wp:effectExtent l="19050" t="19050" r="19050" b="18301"/>
            <wp:docPr id="5" name="Picture 2" descr="C:\Users\admin\Downloads\Screenshot 2026-02-18 1817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Screenshot 2026-02-18 181755.png"/>
                    <pic:cNvPicPr>
                      <a:picLocks noChangeAspect="1" noChangeArrowheads="1"/>
                    </pic:cNvPicPr>
                  </pic:nvPicPr>
                  <pic:blipFill>
                    <a:blip r:embed="rId10"/>
                    <a:srcRect/>
                    <a:stretch>
                      <a:fillRect/>
                    </a:stretch>
                  </pic:blipFill>
                  <pic:spPr bwMode="auto">
                    <a:xfrm>
                      <a:off x="0" y="0"/>
                      <a:ext cx="4972050" cy="3734549"/>
                    </a:xfrm>
                    <a:prstGeom prst="rect">
                      <a:avLst/>
                    </a:prstGeom>
                    <a:noFill/>
                    <a:ln w="3175">
                      <a:solidFill>
                        <a:schemeClr val="tx1"/>
                      </a:solidFill>
                      <a:miter lim="800000"/>
                      <a:headEnd/>
                      <a:tailEnd/>
                    </a:ln>
                  </pic:spPr>
                </pic:pic>
              </a:graphicData>
            </a:graphic>
          </wp:inline>
        </w:drawing>
      </w:r>
      <w:r w:rsidR="00E02E0E" w:rsidRPr="00563EAA">
        <w:rPr>
          <w:rFonts w:ascii="Times New Roman" w:hAnsi="Times New Roman" w:cs="Times New Roman"/>
          <w:sz w:val="24"/>
          <w:szCs w:val="24"/>
        </w:rPr>
        <w:t xml:space="preserve">  </w:t>
      </w:r>
    </w:p>
    <w:p w14:paraId="1737ED63" w14:textId="764BC86E" w:rsidR="00311F46" w:rsidRPr="00311F46" w:rsidRDefault="00311F46" w:rsidP="006A73BC">
      <w:pPr>
        <w:spacing w:after="0" w:line="360" w:lineRule="auto"/>
        <w:jc w:val="center"/>
        <w:rPr>
          <w:rFonts w:ascii="Times New Roman" w:hAnsi="Times New Roman" w:cs="Times New Roman"/>
          <w:b/>
          <w:sz w:val="24"/>
          <w:szCs w:val="24"/>
        </w:rPr>
      </w:pPr>
      <w:r w:rsidRPr="00311F46">
        <w:rPr>
          <w:rFonts w:ascii="Times New Roman" w:hAnsi="Times New Roman" w:cs="Times New Roman"/>
          <w:b/>
          <w:sz w:val="24"/>
          <w:szCs w:val="24"/>
        </w:rPr>
        <w:t xml:space="preserve">Table </w:t>
      </w:r>
      <w:r w:rsidR="00474040">
        <w:rPr>
          <w:rFonts w:ascii="Times New Roman" w:hAnsi="Times New Roman" w:cs="Times New Roman"/>
          <w:b/>
          <w:sz w:val="24"/>
          <w:szCs w:val="24"/>
        </w:rPr>
        <w:t>3</w:t>
      </w:r>
      <w:r w:rsidRPr="00311F46">
        <w:rPr>
          <w:rFonts w:ascii="Times New Roman" w:hAnsi="Times New Roman" w:cs="Times New Roman"/>
          <w:b/>
          <w:sz w:val="24"/>
          <w:szCs w:val="24"/>
        </w:rPr>
        <w:t>: Table represents the functional groups in FTIR</w:t>
      </w:r>
    </w:p>
    <w:tbl>
      <w:tblPr>
        <w:tblStyle w:val="TableGrid"/>
        <w:tblW w:w="0" w:type="auto"/>
        <w:jc w:val="center"/>
        <w:tblLook w:val="04A0" w:firstRow="1" w:lastRow="0" w:firstColumn="1" w:lastColumn="0" w:noHBand="0" w:noVBand="1"/>
      </w:tblPr>
      <w:tblGrid>
        <w:gridCol w:w="770"/>
        <w:gridCol w:w="3658"/>
        <w:gridCol w:w="2250"/>
        <w:gridCol w:w="2565"/>
      </w:tblGrid>
      <w:tr w:rsidR="008D4C61" w:rsidRPr="00311F46" w14:paraId="2070F5AE" w14:textId="77777777" w:rsidTr="005901B9">
        <w:trPr>
          <w:trHeight w:val="20"/>
          <w:jc w:val="center"/>
        </w:trPr>
        <w:tc>
          <w:tcPr>
            <w:tcW w:w="0" w:type="auto"/>
            <w:vAlign w:val="center"/>
          </w:tcPr>
          <w:p w14:paraId="579ABA6B"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b/>
                <w:sz w:val="24"/>
                <w:szCs w:val="24"/>
              </w:rPr>
              <w:t>S.NO</w:t>
            </w:r>
          </w:p>
        </w:tc>
        <w:tc>
          <w:tcPr>
            <w:tcW w:w="3658" w:type="dxa"/>
            <w:vAlign w:val="center"/>
          </w:tcPr>
          <w:p w14:paraId="65EE7156"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b/>
                <w:sz w:val="24"/>
                <w:szCs w:val="24"/>
              </w:rPr>
              <w:t>FUNCTIONAL GROUP/ASSINGMENT</w:t>
            </w:r>
          </w:p>
        </w:tc>
        <w:tc>
          <w:tcPr>
            <w:tcW w:w="2250" w:type="dxa"/>
            <w:vAlign w:val="center"/>
          </w:tcPr>
          <w:p w14:paraId="077EE19D"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b/>
                <w:sz w:val="24"/>
                <w:szCs w:val="24"/>
              </w:rPr>
              <w:t>TYPES OF INTENSITY</w:t>
            </w:r>
          </w:p>
        </w:tc>
        <w:tc>
          <w:tcPr>
            <w:tcW w:w="2565" w:type="dxa"/>
            <w:vAlign w:val="center"/>
          </w:tcPr>
          <w:p w14:paraId="29A1F0B2"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b/>
                <w:sz w:val="24"/>
                <w:szCs w:val="24"/>
              </w:rPr>
              <w:t>CHARACTERISTIC ABSORPTION</w:t>
            </w:r>
          </w:p>
          <w:p w14:paraId="449B9A08"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b/>
                <w:sz w:val="24"/>
                <w:szCs w:val="24"/>
              </w:rPr>
              <w:t>(cm-1)</w:t>
            </w:r>
          </w:p>
        </w:tc>
      </w:tr>
      <w:tr w:rsidR="008D4C61" w:rsidRPr="00311F46" w14:paraId="321D7A6A" w14:textId="77777777" w:rsidTr="005901B9">
        <w:trPr>
          <w:trHeight w:val="20"/>
          <w:jc w:val="center"/>
        </w:trPr>
        <w:tc>
          <w:tcPr>
            <w:tcW w:w="0" w:type="auto"/>
            <w:vAlign w:val="center"/>
          </w:tcPr>
          <w:p w14:paraId="288DE6B5"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w:t>
            </w:r>
          </w:p>
        </w:tc>
        <w:tc>
          <w:tcPr>
            <w:tcW w:w="3658" w:type="dxa"/>
            <w:vAlign w:val="center"/>
          </w:tcPr>
          <w:p w14:paraId="66D88711" w14:textId="77777777" w:rsid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Phenols &amp; Alcohols</w:t>
            </w:r>
          </w:p>
          <w:p w14:paraId="1BC284CC"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O-H (free), usually sharp</w:t>
            </w:r>
          </w:p>
          <w:p w14:paraId="106D55FC"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O-H (H-Bonded),  usually broad</w:t>
            </w:r>
          </w:p>
        </w:tc>
        <w:tc>
          <w:tcPr>
            <w:tcW w:w="2250" w:type="dxa"/>
            <w:vAlign w:val="center"/>
          </w:tcPr>
          <w:p w14:paraId="4D887026"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Stretching Vibration,</w:t>
            </w:r>
          </w:p>
          <w:p w14:paraId="06434636"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H-bonded- Strong</w:t>
            </w:r>
          </w:p>
        </w:tc>
        <w:tc>
          <w:tcPr>
            <w:tcW w:w="2565" w:type="dxa"/>
            <w:vAlign w:val="center"/>
          </w:tcPr>
          <w:p w14:paraId="5DE94860" w14:textId="77777777" w:rsidR="00311F46" w:rsidRPr="00311F46" w:rsidRDefault="00311F46" w:rsidP="005901B9">
            <w:pPr>
              <w:jc w:val="center"/>
              <w:rPr>
                <w:rFonts w:ascii="Times New Roman" w:hAnsi="Times New Roman" w:cs="Times New Roman"/>
                <w:sz w:val="24"/>
                <w:szCs w:val="24"/>
              </w:rPr>
            </w:pPr>
          </w:p>
          <w:p w14:paraId="598A8502"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3365.17</w:t>
            </w:r>
          </w:p>
        </w:tc>
      </w:tr>
      <w:tr w:rsidR="008D4C61" w:rsidRPr="00311F46" w14:paraId="34146661" w14:textId="77777777" w:rsidTr="005901B9">
        <w:trPr>
          <w:trHeight w:val="20"/>
          <w:jc w:val="center"/>
        </w:trPr>
        <w:tc>
          <w:tcPr>
            <w:tcW w:w="0" w:type="auto"/>
            <w:vAlign w:val="center"/>
          </w:tcPr>
          <w:p w14:paraId="2FEE026F"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2</w:t>
            </w:r>
          </w:p>
        </w:tc>
        <w:tc>
          <w:tcPr>
            <w:tcW w:w="3658" w:type="dxa"/>
            <w:vAlign w:val="center"/>
          </w:tcPr>
          <w:p w14:paraId="58E03291"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Alkanes</w:t>
            </w:r>
          </w:p>
          <w:p w14:paraId="2C00C124"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CH3, CH2, CH</w:t>
            </w:r>
          </w:p>
        </w:tc>
        <w:tc>
          <w:tcPr>
            <w:tcW w:w="2250" w:type="dxa"/>
            <w:vAlign w:val="center"/>
          </w:tcPr>
          <w:p w14:paraId="33FE3B1A"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Stretching Vibration, Strong</w:t>
            </w:r>
          </w:p>
        </w:tc>
        <w:tc>
          <w:tcPr>
            <w:tcW w:w="2565" w:type="dxa"/>
            <w:vAlign w:val="center"/>
          </w:tcPr>
          <w:p w14:paraId="3B2E10B0"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2972.73</w:t>
            </w:r>
          </w:p>
          <w:p w14:paraId="71430B46"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2924.52</w:t>
            </w:r>
          </w:p>
        </w:tc>
      </w:tr>
      <w:tr w:rsidR="008D4C61" w:rsidRPr="00311F46" w14:paraId="160E46D8" w14:textId="77777777" w:rsidTr="005901B9">
        <w:trPr>
          <w:trHeight w:val="20"/>
          <w:jc w:val="center"/>
        </w:trPr>
        <w:tc>
          <w:tcPr>
            <w:tcW w:w="0" w:type="auto"/>
            <w:vAlign w:val="center"/>
          </w:tcPr>
          <w:p w14:paraId="0DA86B16"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3</w:t>
            </w:r>
          </w:p>
        </w:tc>
        <w:tc>
          <w:tcPr>
            <w:tcW w:w="3658" w:type="dxa"/>
            <w:vAlign w:val="center"/>
          </w:tcPr>
          <w:p w14:paraId="1120E849"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Carboxylic Acids &amp; Derivatives</w:t>
            </w:r>
          </w:p>
          <w:p w14:paraId="367C0253"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O-H (Very broad)</w:t>
            </w:r>
          </w:p>
        </w:tc>
        <w:tc>
          <w:tcPr>
            <w:tcW w:w="2250" w:type="dxa"/>
            <w:vAlign w:val="center"/>
          </w:tcPr>
          <w:p w14:paraId="4E7200C5"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Stretching Vibration</w:t>
            </w:r>
            <w:r w:rsidR="008D4C61">
              <w:rPr>
                <w:rFonts w:ascii="Times New Roman" w:hAnsi="Times New Roman" w:cs="Times New Roman"/>
                <w:sz w:val="24"/>
                <w:szCs w:val="24"/>
              </w:rPr>
              <w:t xml:space="preserve">, </w:t>
            </w:r>
            <w:r w:rsidRPr="00311F46">
              <w:rPr>
                <w:rFonts w:ascii="Times New Roman" w:hAnsi="Times New Roman" w:cs="Times New Roman"/>
                <w:sz w:val="24"/>
                <w:szCs w:val="24"/>
              </w:rPr>
              <w:t>Strong</w:t>
            </w:r>
          </w:p>
        </w:tc>
        <w:tc>
          <w:tcPr>
            <w:tcW w:w="2565" w:type="dxa"/>
            <w:vAlign w:val="center"/>
          </w:tcPr>
          <w:p w14:paraId="06945E83" w14:textId="77777777" w:rsidR="00311F46" w:rsidRPr="00311F46" w:rsidRDefault="00311F46" w:rsidP="005901B9">
            <w:pPr>
              <w:jc w:val="center"/>
              <w:rPr>
                <w:rFonts w:ascii="Times New Roman" w:hAnsi="Times New Roman" w:cs="Times New Roman"/>
                <w:sz w:val="24"/>
                <w:szCs w:val="24"/>
              </w:rPr>
            </w:pPr>
          </w:p>
          <w:p w14:paraId="04FA6C02"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2562.9</w:t>
            </w:r>
          </w:p>
        </w:tc>
      </w:tr>
      <w:tr w:rsidR="008D4C61" w:rsidRPr="00311F46" w14:paraId="1E6114C1" w14:textId="77777777" w:rsidTr="005901B9">
        <w:trPr>
          <w:trHeight w:val="20"/>
          <w:jc w:val="center"/>
        </w:trPr>
        <w:tc>
          <w:tcPr>
            <w:tcW w:w="0" w:type="auto"/>
            <w:vAlign w:val="center"/>
          </w:tcPr>
          <w:p w14:paraId="3CC09633"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4</w:t>
            </w:r>
          </w:p>
        </w:tc>
        <w:tc>
          <w:tcPr>
            <w:tcW w:w="3658" w:type="dxa"/>
            <w:vAlign w:val="center"/>
          </w:tcPr>
          <w:p w14:paraId="434EF22D"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Aldehydes</w:t>
            </w:r>
          </w:p>
          <w:p w14:paraId="46AD8569"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H-C=O</w:t>
            </w:r>
          </w:p>
        </w:tc>
        <w:tc>
          <w:tcPr>
            <w:tcW w:w="2250" w:type="dxa"/>
            <w:vAlign w:val="center"/>
          </w:tcPr>
          <w:p w14:paraId="09E3D78D"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C-H Stretch off C=O</w:t>
            </w:r>
          </w:p>
        </w:tc>
        <w:tc>
          <w:tcPr>
            <w:tcW w:w="2565" w:type="dxa"/>
            <w:vAlign w:val="center"/>
          </w:tcPr>
          <w:p w14:paraId="04D0FDDD" w14:textId="77777777" w:rsidR="00311F46" w:rsidRPr="00311F46" w:rsidRDefault="00311F46" w:rsidP="005901B9">
            <w:pPr>
              <w:jc w:val="center"/>
              <w:rPr>
                <w:rFonts w:ascii="Times New Roman" w:hAnsi="Times New Roman" w:cs="Times New Roman"/>
                <w:sz w:val="24"/>
                <w:szCs w:val="24"/>
              </w:rPr>
            </w:pPr>
          </w:p>
          <w:p w14:paraId="60A7BF41"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2359.48</w:t>
            </w:r>
          </w:p>
        </w:tc>
      </w:tr>
      <w:tr w:rsidR="008D4C61" w:rsidRPr="00311F46" w14:paraId="7DAF7CCC" w14:textId="77777777" w:rsidTr="005901B9">
        <w:trPr>
          <w:trHeight w:val="20"/>
          <w:jc w:val="center"/>
        </w:trPr>
        <w:tc>
          <w:tcPr>
            <w:tcW w:w="0" w:type="auto"/>
            <w:vAlign w:val="center"/>
          </w:tcPr>
          <w:p w14:paraId="0D65F86C"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5</w:t>
            </w:r>
          </w:p>
        </w:tc>
        <w:tc>
          <w:tcPr>
            <w:tcW w:w="3658" w:type="dxa"/>
            <w:vAlign w:val="center"/>
          </w:tcPr>
          <w:p w14:paraId="1BF80594"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Arenes</w:t>
            </w:r>
          </w:p>
          <w:p w14:paraId="14FAB70A"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C=C(in ring) (2 bands)</w:t>
            </w:r>
          </w:p>
          <w:p w14:paraId="714CBDEA"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sz w:val="24"/>
                <w:szCs w:val="24"/>
              </w:rPr>
              <w:t>(3 if conjugated)</w:t>
            </w:r>
          </w:p>
        </w:tc>
        <w:tc>
          <w:tcPr>
            <w:tcW w:w="2250" w:type="dxa"/>
            <w:vAlign w:val="center"/>
          </w:tcPr>
          <w:p w14:paraId="281EBE8F"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Stretch</w:t>
            </w:r>
            <w:r w:rsidR="008D4C61">
              <w:rPr>
                <w:rFonts w:ascii="Times New Roman" w:hAnsi="Times New Roman" w:cs="Times New Roman"/>
                <w:sz w:val="24"/>
                <w:szCs w:val="24"/>
              </w:rPr>
              <w:t>ing Vibration, mi</w:t>
            </w:r>
            <w:r w:rsidRPr="00311F46">
              <w:rPr>
                <w:rFonts w:ascii="Times New Roman" w:hAnsi="Times New Roman" w:cs="Times New Roman"/>
                <w:sz w:val="24"/>
                <w:szCs w:val="24"/>
              </w:rPr>
              <w:t>d-weak</w:t>
            </w:r>
          </w:p>
        </w:tc>
        <w:tc>
          <w:tcPr>
            <w:tcW w:w="2565" w:type="dxa"/>
            <w:vAlign w:val="center"/>
          </w:tcPr>
          <w:p w14:paraId="3E8133DD"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1514.81</w:t>
            </w:r>
          </w:p>
        </w:tc>
      </w:tr>
      <w:tr w:rsidR="008D4C61" w:rsidRPr="00311F46" w14:paraId="33FE04F4" w14:textId="77777777" w:rsidTr="005901B9">
        <w:trPr>
          <w:trHeight w:val="20"/>
          <w:jc w:val="center"/>
        </w:trPr>
        <w:tc>
          <w:tcPr>
            <w:tcW w:w="0" w:type="auto"/>
            <w:vAlign w:val="center"/>
          </w:tcPr>
          <w:p w14:paraId="5053A44E"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6</w:t>
            </w:r>
          </w:p>
        </w:tc>
        <w:tc>
          <w:tcPr>
            <w:tcW w:w="3658" w:type="dxa"/>
            <w:vAlign w:val="center"/>
          </w:tcPr>
          <w:p w14:paraId="33D32A77" w14:textId="77777777" w:rsidR="00311F46" w:rsidRPr="008D4C61"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Alkenes</w:t>
            </w:r>
          </w:p>
          <w:p w14:paraId="4710E0CF" w14:textId="77777777" w:rsidR="00311F46" w:rsidRPr="008D4C61" w:rsidRDefault="00311F46" w:rsidP="005901B9">
            <w:pPr>
              <w:rPr>
                <w:rFonts w:ascii="Times New Roman" w:hAnsi="Times New Roman" w:cs="Times New Roman"/>
                <w:b/>
                <w:sz w:val="24"/>
                <w:szCs w:val="24"/>
              </w:rPr>
            </w:pPr>
            <w:r w:rsidRPr="00311F46">
              <w:rPr>
                <w:rFonts w:ascii="Times New Roman" w:hAnsi="Times New Roman" w:cs="Times New Roman"/>
                <w:sz w:val="24"/>
                <w:szCs w:val="24"/>
              </w:rPr>
              <w:t>C=C</w:t>
            </w:r>
          </w:p>
        </w:tc>
        <w:tc>
          <w:tcPr>
            <w:tcW w:w="2250" w:type="dxa"/>
            <w:vAlign w:val="center"/>
          </w:tcPr>
          <w:p w14:paraId="6D8D4D46"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Stretching Vibration, Variation</w:t>
            </w:r>
          </w:p>
        </w:tc>
        <w:tc>
          <w:tcPr>
            <w:tcW w:w="2565" w:type="dxa"/>
            <w:vAlign w:val="center"/>
          </w:tcPr>
          <w:p w14:paraId="60DA5BBB"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1667.16</w:t>
            </w:r>
          </w:p>
        </w:tc>
      </w:tr>
      <w:tr w:rsidR="008D4C61" w:rsidRPr="00311F46" w14:paraId="367C674D" w14:textId="77777777" w:rsidTr="005901B9">
        <w:trPr>
          <w:trHeight w:val="20"/>
          <w:jc w:val="center"/>
        </w:trPr>
        <w:tc>
          <w:tcPr>
            <w:tcW w:w="0" w:type="auto"/>
            <w:vAlign w:val="center"/>
          </w:tcPr>
          <w:p w14:paraId="3310CD52"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7</w:t>
            </w:r>
          </w:p>
        </w:tc>
        <w:tc>
          <w:tcPr>
            <w:tcW w:w="3658" w:type="dxa"/>
            <w:vAlign w:val="center"/>
          </w:tcPr>
          <w:p w14:paraId="26A1A3F9"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Aromatic Alkanes compounds</w:t>
            </w:r>
          </w:p>
          <w:p w14:paraId="221C517D"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CH2 &amp; CH3 deformation</w:t>
            </w:r>
          </w:p>
        </w:tc>
        <w:tc>
          <w:tcPr>
            <w:tcW w:w="2250" w:type="dxa"/>
            <w:vAlign w:val="center"/>
          </w:tcPr>
          <w:p w14:paraId="336EED92"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Bending Vibration, Medium</w:t>
            </w:r>
          </w:p>
        </w:tc>
        <w:tc>
          <w:tcPr>
            <w:tcW w:w="2565" w:type="dxa"/>
            <w:vAlign w:val="center"/>
          </w:tcPr>
          <w:p w14:paraId="419CC69E" w14:textId="77777777" w:rsidR="00311F46" w:rsidRPr="00311F46" w:rsidRDefault="00311F46" w:rsidP="005901B9">
            <w:pPr>
              <w:jc w:val="center"/>
              <w:rPr>
                <w:rFonts w:ascii="Times New Roman" w:hAnsi="Times New Roman" w:cs="Times New Roman"/>
                <w:b/>
                <w:sz w:val="24"/>
                <w:szCs w:val="24"/>
              </w:rPr>
            </w:pPr>
            <w:r w:rsidRPr="00311F46">
              <w:rPr>
                <w:rFonts w:ascii="Times New Roman" w:hAnsi="Times New Roman" w:cs="Times New Roman"/>
                <w:sz w:val="24"/>
                <w:szCs w:val="24"/>
              </w:rPr>
              <w:t>1455.99</w:t>
            </w:r>
          </w:p>
        </w:tc>
      </w:tr>
      <w:tr w:rsidR="008D4C61" w:rsidRPr="00311F46" w14:paraId="146FFAB7" w14:textId="77777777" w:rsidTr="005901B9">
        <w:trPr>
          <w:trHeight w:val="20"/>
          <w:jc w:val="center"/>
        </w:trPr>
        <w:tc>
          <w:tcPr>
            <w:tcW w:w="0" w:type="auto"/>
            <w:vAlign w:val="center"/>
          </w:tcPr>
          <w:p w14:paraId="5D93CEE3"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8</w:t>
            </w:r>
          </w:p>
        </w:tc>
        <w:tc>
          <w:tcPr>
            <w:tcW w:w="3658" w:type="dxa"/>
            <w:vAlign w:val="center"/>
          </w:tcPr>
          <w:p w14:paraId="0A74B31C"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Aldehydes &amp; Ketones</w:t>
            </w:r>
          </w:p>
          <w:p w14:paraId="3A07E814" w14:textId="77777777" w:rsidR="00311F46" w:rsidRPr="00311F46" w:rsidRDefault="00C25E1A" w:rsidP="005901B9">
            <w:pPr>
              <w:rPr>
                <w:rFonts w:ascii="Times New Roman" w:hAnsi="Times New Roman" w:cs="Times New Roman"/>
                <w:sz w:val="24"/>
                <w:szCs w:val="24"/>
              </w:rPr>
            </w:pPr>
            <w:r w:rsidRPr="00311F46">
              <w:rPr>
                <w:rFonts w:ascii="Times New Roman" w:hAnsi="Times New Roman" w:cs="Times New Roman"/>
                <w:sz w:val="24"/>
                <w:szCs w:val="24"/>
              </w:rPr>
              <w:t>CH2</w:t>
            </w:r>
          </w:p>
        </w:tc>
        <w:tc>
          <w:tcPr>
            <w:tcW w:w="2250" w:type="dxa"/>
            <w:vAlign w:val="center"/>
          </w:tcPr>
          <w:p w14:paraId="5C5F15DD" w14:textId="77777777" w:rsidR="00311F46" w:rsidRPr="00311F46" w:rsidRDefault="008D4C61" w:rsidP="005901B9">
            <w:pPr>
              <w:rPr>
                <w:rFonts w:ascii="Times New Roman" w:hAnsi="Times New Roman" w:cs="Times New Roman"/>
                <w:sz w:val="24"/>
                <w:szCs w:val="24"/>
              </w:rPr>
            </w:pPr>
            <w:r>
              <w:rPr>
                <w:rFonts w:ascii="Times New Roman" w:hAnsi="Times New Roman" w:cs="Times New Roman"/>
                <w:sz w:val="24"/>
                <w:szCs w:val="24"/>
              </w:rPr>
              <w:t xml:space="preserve">Bending Vibration, </w:t>
            </w:r>
            <w:r w:rsidR="00311F46" w:rsidRPr="00311F46">
              <w:rPr>
                <w:rFonts w:ascii="Times New Roman" w:hAnsi="Times New Roman" w:cs="Times New Roman"/>
                <w:sz w:val="24"/>
                <w:szCs w:val="24"/>
              </w:rPr>
              <w:t>Medium</w:t>
            </w:r>
          </w:p>
        </w:tc>
        <w:tc>
          <w:tcPr>
            <w:tcW w:w="2565" w:type="dxa"/>
            <w:vAlign w:val="center"/>
          </w:tcPr>
          <w:p w14:paraId="46D6ADE1" w14:textId="77777777" w:rsidR="00311F46" w:rsidRPr="00311F46" w:rsidRDefault="00311F46" w:rsidP="005901B9">
            <w:pPr>
              <w:jc w:val="center"/>
              <w:rPr>
                <w:rFonts w:ascii="Times New Roman" w:hAnsi="Times New Roman" w:cs="Times New Roman"/>
                <w:sz w:val="24"/>
                <w:szCs w:val="24"/>
              </w:rPr>
            </w:pPr>
          </w:p>
          <w:p w14:paraId="34D96E79" w14:textId="77777777" w:rsidR="00311F46" w:rsidRPr="00311F46" w:rsidRDefault="00C25E1A" w:rsidP="005901B9">
            <w:pPr>
              <w:jc w:val="center"/>
              <w:rPr>
                <w:rFonts w:ascii="Times New Roman" w:hAnsi="Times New Roman" w:cs="Times New Roman"/>
                <w:sz w:val="24"/>
                <w:szCs w:val="24"/>
              </w:rPr>
            </w:pPr>
            <w:r w:rsidRPr="00311F46">
              <w:rPr>
                <w:rFonts w:ascii="Times New Roman" w:hAnsi="Times New Roman" w:cs="Times New Roman"/>
                <w:sz w:val="24"/>
                <w:szCs w:val="24"/>
              </w:rPr>
              <w:t>1417.42</w:t>
            </w:r>
          </w:p>
        </w:tc>
      </w:tr>
      <w:tr w:rsidR="008D4C61" w:rsidRPr="00311F46" w14:paraId="04D8B78D" w14:textId="77777777" w:rsidTr="005901B9">
        <w:trPr>
          <w:trHeight w:val="20"/>
          <w:jc w:val="center"/>
        </w:trPr>
        <w:tc>
          <w:tcPr>
            <w:tcW w:w="0" w:type="auto"/>
            <w:vAlign w:val="center"/>
          </w:tcPr>
          <w:p w14:paraId="26F20165"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9</w:t>
            </w:r>
          </w:p>
        </w:tc>
        <w:tc>
          <w:tcPr>
            <w:tcW w:w="3658" w:type="dxa"/>
            <w:vAlign w:val="center"/>
          </w:tcPr>
          <w:p w14:paraId="2D2C3B09"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Alkanes</w:t>
            </w:r>
          </w:p>
          <w:p w14:paraId="14E19CB7"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lastRenderedPageBreak/>
              <w:t>CH3</w:t>
            </w:r>
          </w:p>
        </w:tc>
        <w:tc>
          <w:tcPr>
            <w:tcW w:w="2250" w:type="dxa"/>
            <w:vAlign w:val="center"/>
          </w:tcPr>
          <w:p w14:paraId="2E45E728" w14:textId="77777777" w:rsidR="00311F46" w:rsidRPr="00311F46" w:rsidRDefault="008D4C61" w:rsidP="005901B9">
            <w:pPr>
              <w:rPr>
                <w:rFonts w:ascii="Times New Roman" w:hAnsi="Times New Roman" w:cs="Times New Roman"/>
                <w:sz w:val="24"/>
                <w:szCs w:val="24"/>
              </w:rPr>
            </w:pPr>
            <w:r>
              <w:rPr>
                <w:rFonts w:ascii="Times New Roman" w:hAnsi="Times New Roman" w:cs="Times New Roman"/>
                <w:sz w:val="24"/>
                <w:szCs w:val="24"/>
              </w:rPr>
              <w:lastRenderedPageBreak/>
              <w:t xml:space="preserve">Bending </w:t>
            </w:r>
            <w:r w:rsidR="00311F46" w:rsidRPr="00311F46">
              <w:rPr>
                <w:rFonts w:ascii="Times New Roman" w:hAnsi="Times New Roman" w:cs="Times New Roman"/>
                <w:sz w:val="24"/>
                <w:szCs w:val="24"/>
              </w:rPr>
              <w:t>Vibration,</w:t>
            </w:r>
            <w:r>
              <w:rPr>
                <w:rFonts w:ascii="Times New Roman" w:hAnsi="Times New Roman" w:cs="Times New Roman"/>
                <w:sz w:val="24"/>
                <w:szCs w:val="24"/>
              </w:rPr>
              <w:t xml:space="preserve"> </w:t>
            </w:r>
            <w:r w:rsidR="00311F46" w:rsidRPr="00311F46">
              <w:rPr>
                <w:rFonts w:ascii="Times New Roman" w:hAnsi="Times New Roman" w:cs="Times New Roman"/>
                <w:sz w:val="24"/>
                <w:szCs w:val="24"/>
              </w:rPr>
              <w:lastRenderedPageBreak/>
              <w:t>CH3 Deformation</w:t>
            </w:r>
          </w:p>
        </w:tc>
        <w:tc>
          <w:tcPr>
            <w:tcW w:w="2565" w:type="dxa"/>
            <w:vAlign w:val="center"/>
          </w:tcPr>
          <w:p w14:paraId="4AC1B8BB"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lastRenderedPageBreak/>
              <w:t>1375</w:t>
            </w:r>
          </w:p>
        </w:tc>
      </w:tr>
      <w:tr w:rsidR="008D4C61" w:rsidRPr="00311F46" w14:paraId="0AED9A1F" w14:textId="77777777" w:rsidTr="005901B9">
        <w:trPr>
          <w:trHeight w:val="20"/>
          <w:jc w:val="center"/>
        </w:trPr>
        <w:tc>
          <w:tcPr>
            <w:tcW w:w="0" w:type="auto"/>
            <w:vAlign w:val="center"/>
          </w:tcPr>
          <w:p w14:paraId="090658FE"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10</w:t>
            </w:r>
          </w:p>
        </w:tc>
        <w:tc>
          <w:tcPr>
            <w:tcW w:w="3658" w:type="dxa"/>
            <w:vAlign w:val="center"/>
          </w:tcPr>
          <w:p w14:paraId="5390C7A9" w14:textId="77777777" w:rsidR="00311F46" w:rsidRPr="00311F46" w:rsidRDefault="008D4C61" w:rsidP="005901B9">
            <w:pPr>
              <w:rPr>
                <w:rFonts w:ascii="Times New Roman" w:hAnsi="Times New Roman" w:cs="Times New Roman"/>
                <w:b/>
                <w:sz w:val="24"/>
                <w:szCs w:val="24"/>
              </w:rPr>
            </w:pPr>
            <w:r>
              <w:rPr>
                <w:rFonts w:ascii="Times New Roman" w:hAnsi="Times New Roman" w:cs="Times New Roman"/>
                <w:b/>
                <w:sz w:val="24"/>
                <w:szCs w:val="24"/>
              </w:rPr>
              <w:t xml:space="preserve">Carboxylic Acids &amp; </w:t>
            </w:r>
            <w:r w:rsidR="00311F46" w:rsidRPr="00311F46">
              <w:rPr>
                <w:rFonts w:ascii="Times New Roman" w:hAnsi="Times New Roman" w:cs="Times New Roman"/>
                <w:b/>
                <w:sz w:val="24"/>
                <w:szCs w:val="24"/>
              </w:rPr>
              <w:t>Derivatives</w:t>
            </w:r>
          </w:p>
          <w:p w14:paraId="744891DB"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O-C (sometimes 2-peaks))</w:t>
            </w:r>
          </w:p>
        </w:tc>
        <w:tc>
          <w:tcPr>
            <w:tcW w:w="2250" w:type="dxa"/>
            <w:vAlign w:val="center"/>
          </w:tcPr>
          <w:p w14:paraId="1F107B3E"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Stretching Vibration</w:t>
            </w:r>
            <w:r w:rsidR="008D4C61">
              <w:rPr>
                <w:rFonts w:ascii="Times New Roman" w:hAnsi="Times New Roman" w:cs="Times New Roman"/>
                <w:sz w:val="24"/>
                <w:szCs w:val="24"/>
              </w:rPr>
              <w:t xml:space="preserve">, </w:t>
            </w:r>
            <w:r w:rsidRPr="00311F46">
              <w:rPr>
                <w:rFonts w:ascii="Times New Roman" w:hAnsi="Times New Roman" w:cs="Times New Roman"/>
                <w:sz w:val="24"/>
                <w:szCs w:val="24"/>
              </w:rPr>
              <w:t>Medium</w:t>
            </w:r>
          </w:p>
        </w:tc>
        <w:tc>
          <w:tcPr>
            <w:tcW w:w="2565" w:type="dxa"/>
            <w:vAlign w:val="center"/>
          </w:tcPr>
          <w:p w14:paraId="5654B697" w14:textId="77777777" w:rsidR="00311F46" w:rsidRPr="00311F46" w:rsidRDefault="00311F46" w:rsidP="009A7832">
            <w:pPr>
              <w:jc w:val="center"/>
              <w:rPr>
                <w:rFonts w:ascii="Times New Roman" w:hAnsi="Times New Roman" w:cs="Times New Roman"/>
                <w:sz w:val="24"/>
                <w:szCs w:val="24"/>
              </w:rPr>
            </w:pPr>
            <w:r w:rsidRPr="00311F46">
              <w:rPr>
                <w:rFonts w:ascii="Times New Roman" w:hAnsi="Times New Roman" w:cs="Times New Roman"/>
                <w:sz w:val="24"/>
                <w:szCs w:val="24"/>
              </w:rPr>
              <w:t>1268.93</w:t>
            </w:r>
          </w:p>
        </w:tc>
      </w:tr>
      <w:tr w:rsidR="008D4C61" w:rsidRPr="00311F46" w14:paraId="39150A87" w14:textId="77777777" w:rsidTr="005901B9">
        <w:trPr>
          <w:trHeight w:val="20"/>
          <w:jc w:val="center"/>
        </w:trPr>
        <w:tc>
          <w:tcPr>
            <w:tcW w:w="0" w:type="auto"/>
            <w:vAlign w:val="center"/>
          </w:tcPr>
          <w:p w14:paraId="583E53E1"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11</w:t>
            </w:r>
          </w:p>
        </w:tc>
        <w:tc>
          <w:tcPr>
            <w:tcW w:w="3658" w:type="dxa"/>
            <w:vAlign w:val="center"/>
          </w:tcPr>
          <w:p w14:paraId="6A24B68D" w14:textId="77777777" w:rsidR="00311F46" w:rsidRPr="008D4C61"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Amines</w:t>
            </w:r>
          </w:p>
          <w:p w14:paraId="1D7C3AEF"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C-N</w:t>
            </w:r>
          </w:p>
        </w:tc>
        <w:tc>
          <w:tcPr>
            <w:tcW w:w="2250" w:type="dxa"/>
            <w:vAlign w:val="center"/>
          </w:tcPr>
          <w:p w14:paraId="41ED9207"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Stretching Vibration,  Medium Strong</w:t>
            </w:r>
          </w:p>
        </w:tc>
        <w:tc>
          <w:tcPr>
            <w:tcW w:w="2565" w:type="dxa"/>
            <w:vAlign w:val="center"/>
          </w:tcPr>
          <w:p w14:paraId="52080104"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1153.22</w:t>
            </w:r>
          </w:p>
          <w:p w14:paraId="181BD491"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1080.91</w:t>
            </w:r>
          </w:p>
          <w:p w14:paraId="7EB6778B"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1038.48</w:t>
            </w:r>
          </w:p>
        </w:tc>
      </w:tr>
      <w:tr w:rsidR="008D4C61" w:rsidRPr="00311F46" w14:paraId="51A59B9B" w14:textId="77777777" w:rsidTr="005901B9">
        <w:trPr>
          <w:trHeight w:val="20"/>
          <w:jc w:val="center"/>
        </w:trPr>
        <w:tc>
          <w:tcPr>
            <w:tcW w:w="0" w:type="auto"/>
            <w:vAlign w:val="center"/>
          </w:tcPr>
          <w:p w14:paraId="7741C0C5"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12</w:t>
            </w:r>
          </w:p>
        </w:tc>
        <w:tc>
          <w:tcPr>
            <w:tcW w:w="3658" w:type="dxa"/>
            <w:vAlign w:val="center"/>
          </w:tcPr>
          <w:p w14:paraId="308D3CB4"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Arenes</w:t>
            </w:r>
          </w:p>
          <w:p w14:paraId="355E980A" w14:textId="77777777" w:rsidR="00311F46" w:rsidRPr="00311F46" w:rsidRDefault="00311F46" w:rsidP="005901B9">
            <w:pPr>
              <w:rPr>
                <w:rFonts w:ascii="Times New Roman" w:hAnsi="Times New Roman" w:cs="Times New Roman"/>
                <w:sz w:val="24"/>
                <w:szCs w:val="24"/>
              </w:rPr>
            </w:pPr>
            <w:r w:rsidRPr="00311F46">
              <w:rPr>
                <w:rFonts w:ascii="Times New Roman" w:hAnsi="Times New Roman" w:cs="Times New Roman"/>
                <w:sz w:val="24"/>
                <w:szCs w:val="24"/>
              </w:rPr>
              <w:t>C-H bending&amp; ring puckering</w:t>
            </w:r>
          </w:p>
        </w:tc>
        <w:tc>
          <w:tcPr>
            <w:tcW w:w="2250" w:type="dxa"/>
            <w:vAlign w:val="center"/>
          </w:tcPr>
          <w:p w14:paraId="08FB7886"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Bending Vibration, strong-Medium</w:t>
            </w:r>
          </w:p>
        </w:tc>
        <w:tc>
          <w:tcPr>
            <w:tcW w:w="2565" w:type="dxa"/>
            <w:vAlign w:val="center"/>
          </w:tcPr>
          <w:p w14:paraId="324B6BB2"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878.41</w:t>
            </w:r>
          </w:p>
          <w:p w14:paraId="126F5C4A"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808.03</w:t>
            </w:r>
          </w:p>
          <w:p w14:paraId="55344771"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771.38</w:t>
            </w:r>
          </w:p>
        </w:tc>
      </w:tr>
      <w:tr w:rsidR="008D4C61" w:rsidRPr="00311F46" w14:paraId="4E773E30" w14:textId="77777777" w:rsidTr="005901B9">
        <w:trPr>
          <w:trHeight w:val="20"/>
          <w:jc w:val="center"/>
        </w:trPr>
        <w:tc>
          <w:tcPr>
            <w:tcW w:w="0" w:type="auto"/>
            <w:vAlign w:val="center"/>
          </w:tcPr>
          <w:p w14:paraId="594F762E"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13</w:t>
            </w:r>
          </w:p>
        </w:tc>
        <w:tc>
          <w:tcPr>
            <w:tcW w:w="3658" w:type="dxa"/>
            <w:vAlign w:val="center"/>
          </w:tcPr>
          <w:p w14:paraId="587599A0"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b/>
                <w:sz w:val="24"/>
                <w:szCs w:val="24"/>
              </w:rPr>
              <w:t>Alkynes</w:t>
            </w:r>
          </w:p>
          <w:p w14:paraId="329383F0" w14:textId="77777777" w:rsidR="00311F46" w:rsidRPr="00311F46" w:rsidRDefault="00311F46" w:rsidP="005901B9">
            <w:pPr>
              <w:rPr>
                <w:rFonts w:ascii="Times New Roman" w:hAnsi="Times New Roman" w:cs="Times New Roman"/>
                <w:b/>
                <w:sz w:val="24"/>
                <w:szCs w:val="24"/>
              </w:rPr>
            </w:pPr>
            <w:r w:rsidRPr="00311F46">
              <w:rPr>
                <w:rFonts w:ascii="Times New Roman" w:hAnsi="Times New Roman" w:cs="Times New Roman"/>
                <w:sz w:val="24"/>
                <w:szCs w:val="24"/>
              </w:rPr>
              <w:t>C-H Deformation</w:t>
            </w:r>
          </w:p>
        </w:tc>
        <w:tc>
          <w:tcPr>
            <w:tcW w:w="2250" w:type="dxa"/>
            <w:vAlign w:val="center"/>
          </w:tcPr>
          <w:p w14:paraId="60396ED8"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Bending Vibration, Strong</w:t>
            </w:r>
          </w:p>
        </w:tc>
        <w:tc>
          <w:tcPr>
            <w:tcW w:w="2565" w:type="dxa"/>
            <w:vAlign w:val="center"/>
          </w:tcPr>
          <w:p w14:paraId="165E3A73" w14:textId="77777777" w:rsidR="00311F46" w:rsidRPr="00311F46" w:rsidRDefault="00311F46" w:rsidP="005901B9">
            <w:pPr>
              <w:jc w:val="center"/>
              <w:rPr>
                <w:rFonts w:ascii="Times New Roman" w:hAnsi="Times New Roman" w:cs="Times New Roman"/>
                <w:sz w:val="24"/>
                <w:szCs w:val="24"/>
              </w:rPr>
            </w:pPr>
          </w:p>
          <w:p w14:paraId="37F5096C" w14:textId="77777777" w:rsidR="00311F46" w:rsidRPr="00311F46" w:rsidRDefault="00311F46" w:rsidP="005901B9">
            <w:pPr>
              <w:jc w:val="center"/>
              <w:rPr>
                <w:rFonts w:ascii="Times New Roman" w:hAnsi="Times New Roman" w:cs="Times New Roman"/>
                <w:sz w:val="24"/>
                <w:szCs w:val="24"/>
              </w:rPr>
            </w:pPr>
            <w:r w:rsidRPr="00311F46">
              <w:rPr>
                <w:rFonts w:ascii="Times New Roman" w:hAnsi="Times New Roman" w:cs="Times New Roman"/>
                <w:sz w:val="24"/>
                <w:szCs w:val="24"/>
              </w:rPr>
              <w:t>626.752</w:t>
            </w:r>
          </w:p>
        </w:tc>
      </w:tr>
    </w:tbl>
    <w:p w14:paraId="4F999BFE" w14:textId="77777777" w:rsidR="006074F1" w:rsidRPr="00563EAA" w:rsidRDefault="00E02E0E" w:rsidP="006A73BC">
      <w:pPr>
        <w:spacing w:after="0" w:line="360" w:lineRule="auto"/>
        <w:jc w:val="center"/>
        <w:rPr>
          <w:rFonts w:ascii="Times New Roman" w:hAnsi="Times New Roman" w:cs="Times New Roman"/>
          <w:sz w:val="24"/>
          <w:szCs w:val="24"/>
        </w:rPr>
      </w:pPr>
      <w:r w:rsidRPr="00563EAA">
        <w:rPr>
          <w:rFonts w:ascii="Times New Roman" w:hAnsi="Times New Roman" w:cs="Times New Roman"/>
          <w:sz w:val="24"/>
          <w:szCs w:val="24"/>
        </w:rPr>
        <w:t xml:space="preserve">  </w:t>
      </w:r>
    </w:p>
    <w:p w14:paraId="53022FF8" w14:textId="77777777" w:rsidR="00994EC3" w:rsidRPr="00563EAA" w:rsidRDefault="00994EC3" w:rsidP="00563EAA">
      <w:pPr>
        <w:pStyle w:val="z-BottomofForm"/>
        <w:spacing w:line="360" w:lineRule="auto"/>
        <w:jc w:val="both"/>
        <w:rPr>
          <w:rFonts w:ascii="Times New Roman" w:hAnsi="Times New Roman" w:cs="Times New Roman"/>
          <w:sz w:val="24"/>
          <w:szCs w:val="24"/>
        </w:rPr>
      </w:pPr>
      <w:r w:rsidRPr="00563EAA">
        <w:rPr>
          <w:rFonts w:ascii="Times New Roman" w:hAnsi="Times New Roman" w:cs="Times New Roman"/>
          <w:sz w:val="24"/>
          <w:szCs w:val="24"/>
        </w:rPr>
        <w:t>Bottom of Form</w:t>
      </w:r>
    </w:p>
    <w:p w14:paraId="15F72EFD" w14:textId="77777777" w:rsidR="001F17EB" w:rsidRPr="00563EAA" w:rsidRDefault="001D4FA9"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4</w:t>
      </w:r>
      <w:r w:rsidR="001F17EB" w:rsidRPr="00563EAA">
        <w:rPr>
          <w:rFonts w:ascii="Times New Roman" w:hAnsi="Times New Roman" w:cs="Times New Roman"/>
          <w:color w:val="auto"/>
          <w:sz w:val="24"/>
          <w:szCs w:val="24"/>
        </w:rPr>
        <w:t>. Conclusion</w:t>
      </w:r>
    </w:p>
    <w:p w14:paraId="46D256FB" w14:textId="77777777" w:rsidR="00477489" w:rsidRPr="00563EAA" w:rsidRDefault="00477489" w:rsidP="00563EAA">
      <w:pPr>
        <w:spacing w:after="0" w:line="360" w:lineRule="auto"/>
        <w:jc w:val="both"/>
        <w:rPr>
          <w:rFonts w:ascii="Times New Roman" w:hAnsi="Times New Roman" w:cs="Times New Roman"/>
          <w:sz w:val="24"/>
          <w:szCs w:val="24"/>
        </w:rPr>
      </w:pPr>
      <w:r w:rsidRPr="00563EAA">
        <w:rPr>
          <w:rFonts w:ascii="Times New Roman" w:hAnsi="Times New Roman" w:cs="Times New Roman"/>
          <w:sz w:val="24"/>
          <w:szCs w:val="24"/>
        </w:rPr>
        <w:tab/>
        <w:t>HPLC analysis gives vital information about the extract's biological significance by allowing for the accurate identification and quantification of its bioactive ingredients. The identification and comparison of retention times with reference standards demonstrate the existence of pharmacologically important substances. Quantitative calculation using peak area confirms the contribution of main ingredients to observed biological activity. Thus, HPLC profiling not only validates the phytochemical composition but also enhances the relationship between chemical markers and medicinal potential, confirming the species' reliability and uniformity.</w:t>
      </w:r>
    </w:p>
    <w:p w14:paraId="0E5FC86F" w14:textId="77777777" w:rsidR="008210CF" w:rsidRPr="00563EAA" w:rsidRDefault="008210CF" w:rsidP="00563EAA">
      <w:pPr>
        <w:spacing w:after="0" w:line="360" w:lineRule="auto"/>
        <w:jc w:val="both"/>
        <w:rPr>
          <w:rFonts w:ascii="Times New Roman" w:hAnsi="Times New Roman" w:cs="Times New Roman"/>
          <w:sz w:val="24"/>
          <w:szCs w:val="24"/>
        </w:rPr>
      </w:pPr>
      <w:r w:rsidRPr="00563EAA">
        <w:rPr>
          <w:rFonts w:ascii="Times New Roman" w:hAnsi="Times New Roman" w:cs="Times New Roman"/>
          <w:sz w:val="24"/>
          <w:szCs w:val="24"/>
        </w:rPr>
        <w:tab/>
        <w:t>FTIR analysis provides biological insight by identifying functional groups associated with bioactive phytochemicals in the extract. The presence of phenolic, hydroxyl, carbonyl, and aromatic groups suggests compounds with antioxidant and anti-inflammatory potential. Thus, FTIR supports the biochemical basis of the plant’s therapeutic activity and complements chromatographic findings.</w:t>
      </w:r>
    </w:p>
    <w:p w14:paraId="0B98F75C" w14:textId="77777777" w:rsidR="001F17EB" w:rsidRPr="00563EAA" w:rsidRDefault="00563DF2" w:rsidP="00563EAA">
      <w:pPr>
        <w:spacing w:after="0" w:line="360" w:lineRule="auto"/>
        <w:ind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Integrated HPLC and FTIR investigations indicate a consistent phytochemical profile for </w:t>
      </w:r>
      <w:proofErr w:type="spellStart"/>
      <w:r w:rsidRPr="005901B9">
        <w:rPr>
          <w:rFonts w:ascii="Times New Roman" w:hAnsi="Times New Roman" w:cs="Times New Roman"/>
          <w:i/>
          <w:sz w:val="24"/>
          <w:szCs w:val="24"/>
        </w:rPr>
        <w:t>Hedyotis</w:t>
      </w:r>
      <w:proofErr w:type="spellEnd"/>
      <w:r w:rsidRPr="005901B9">
        <w:rPr>
          <w:rFonts w:ascii="Times New Roman" w:hAnsi="Times New Roman" w:cs="Times New Roman"/>
          <w:i/>
          <w:sz w:val="24"/>
          <w:szCs w:val="24"/>
        </w:rPr>
        <w:t xml:space="preserve"> </w:t>
      </w:r>
      <w:proofErr w:type="spellStart"/>
      <w:r w:rsidRPr="005901B9">
        <w:rPr>
          <w:rFonts w:ascii="Times New Roman" w:hAnsi="Times New Roman" w:cs="Times New Roman"/>
          <w:i/>
          <w:sz w:val="24"/>
          <w:szCs w:val="24"/>
        </w:rPr>
        <w:t>purpurascens</w:t>
      </w:r>
      <w:proofErr w:type="spellEnd"/>
      <w:r w:rsidRPr="00563EAA">
        <w:rPr>
          <w:rFonts w:ascii="Times New Roman" w:hAnsi="Times New Roman" w:cs="Times New Roman"/>
          <w:sz w:val="24"/>
          <w:szCs w:val="24"/>
        </w:rPr>
        <w:t xml:space="preserve"> ethanolic leaf extract. The proven existence of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in </w:t>
      </w:r>
      <w:r w:rsidRPr="005901B9">
        <w:rPr>
          <w:rFonts w:ascii="Times New Roman" w:hAnsi="Times New Roman" w:cs="Times New Roman"/>
          <w:i/>
          <w:sz w:val="24"/>
          <w:szCs w:val="24"/>
        </w:rPr>
        <w:t>H. purpurascens</w:t>
      </w:r>
      <w:r w:rsidRPr="00563EAA">
        <w:rPr>
          <w:rFonts w:ascii="Times New Roman" w:hAnsi="Times New Roman" w:cs="Times New Roman"/>
          <w:sz w:val="24"/>
          <w:szCs w:val="24"/>
        </w:rPr>
        <w:t xml:space="preserve"> suggests that it may have medicinal potential and the confirmation of </w:t>
      </w:r>
      <w:proofErr w:type="spellStart"/>
      <w:r w:rsidRPr="00563EAA">
        <w:rPr>
          <w:rFonts w:ascii="Times New Roman" w:hAnsi="Times New Roman" w:cs="Times New Roman"/>
          <w:sz w:val="24"/>
          <w:szCs w:val="24"/>
        </w:rPr>
        <w:t>Ampelopsin</w:t>
      </w:r>
      <w:proofErr w:type="spellEnd"/>
      <w:r w:rsidRPr="00563EAA">
        <w:rPr>
          <w:rFonts w:ascii="Times New Roman" w:hAnsi="Times New Roman" w:cs="Times New Roman"/>
          <w:sz w:val="24"/>
          <w:szCs w:val="24"/>
        </w:rPr>
        <w:t xml:space="preserve">, as well as the existence of various functional groups, lends support to additional pharmacological research. </w:t>
      </w:r>
    </w:p>
    <w:p w14:paraId="06563E45" w14:textId="77777777" w:rsidR="001F17EB" w:rsidRPr="00563EAA" w:rsidRDefault="001F17EB" w:rsidP="00563EAA">
      <w:pPr>
        <w:pStyle w:val="Heading2"/>
        <w:spacing w:before="0" w:line="360" w:lineRule="auto"/>
        <w:jc w:val="both"/>
        <w:rPr>
          <w:rFonts w:ascii="Times New Roman" w:hAnsi="Times New Roman" w:cs="Times New Roman"/>
          <w:color w:val="auto"/>
          <w:sz w:val="24"/>
          <w:szCs w:val="24"/>
        </w:rPr>
      </w:pPr>
      <w:r w:rsidRPr="00563EAA">
        <w:rPr>
          <w:rFonts w:ascii="Times New Roman" w:hAnsi="Times New Roman" w:cs="Times New Roman"/>
          <w:color w:val="auto"/>
          <w:sz w:val="24"/>
          <w:szCs w:val="24"/>
        </w:rPr>
        <w:t>References</w:t>
      </w:r>
    </w:p>
    <w:p w14:paraId="359F993C" w14:textId="77777777" w:rsidR="000715A4" w:rsidRPr="00563EAA" w:rsidRDefault="000715A4" w:rsidP="00563EAA">
      <w:pPr>
        <w:spacing w:after="0" w:line="360" w:lineRule="auto"/>
        <w:jc w:val="both"/>
        <w:rPr>
          <w:rFonts w:ascii="Times New Roman" w:hAnsi="Times New Roman" w:cs="Times New Roman"/>
          <w:sz w:val="24"/>
          <w:szCs w:val="24"/>
        </w:rPr>
      </w:pPr>
      <w:r w:rsidRPr="00563EAA">
        <w:rPr>
          <w:rFonts w:ascii="Times New Roman" w:hAnsi="Times New Roman" w:cs="Times New Roman"/>
          <w:sz w:val="24"/>
          <w:szCs w:val="24"/>
        </w:rPr>
        <w:tab/>
        <w:t xml:space="preserve">Betty, T., Malini, R. P., Vasini, V., &amp; Sumathi, P. (2024). Analysis of bioactive compounds in </w:t>
      </w:r>
      <w:proofErr w:type="spellStart"/>
      <w:r w:rsidRPr="00563EAA">
        <w:rPr>
          <w:rFonts w:ascii="Times New Roman" w:hAnsi="Times New Roman" w:cs="Times New Roman"/>
          <w:i/>
          <w:iCs/>
          <w:sz w:val="24"/>
          <w:szCs w:val="24"/>
        </w:rPr>
        <w:t>Hedyotis</w:t>
      </w:r>
      <w:proofErr w:type="spellEnd"/>
      <w:r w:rsidRPr="00563EAA">
        <w:rPr>
          <w:rFonts w:ascii="Times New Roman" w:hAnsi="Times New Roman" w:cs="Times New Roman"/>
          <w:i/>
          <w:iCs/>
          <w:sz w:val="24"/>
          <w:szCs w:val="24"/>
        </w:rPr>
        <w:t xml:space="preserve"> </w:t>
      </w:r>
      <w:proofErr w:type="spellStart"/>
      <w:r w:rsidRPr="00563EAA">
        <w:rPr>
          <w:rFonts w:ascii="Times New Roman" w:hAnsi="Times New Roman" w:cs="Times New Roman"/>
          <w:i/>
          <w:iCs/>
          <w:sz w:val="24"/>
          <w:szCs w:val="24"/>
        </w:rPr>
        <w:t>purpurascens</w:t>
      </w:r>
      <w:proofErr w:type="spellEnd"/>
      <w:r w:rsidRPr="00563EAA">
        <w:rPr>
          <w:rFonts w:ascii="Times New Roman" w:hAnsi="Times New Roman" w:cs="Times New Roman"/>
          <w:sz w:val="24"/>
          <w:szCs w:val="24"/>
        </w:rPr>
        <w:t xml:space="preserve"> inflorescence using HPLC and FTIR techniques. </w:t>
      </w:r>
      <w:r w:rsidRPr="00563EAA">
        <w:rPr>
          <w:rFonts w:ascii="Times New Roman" w:hAnsi="Times New Roman" w:cs="Times New Roman"/>
          <w:i/>
          <w:iCs/>
          <w:sz w:val="24"/>
          <w:szCs w:val="24"/>
        </w:rPr>
        <w:t xml:space="preserve">Journal of </w:t>
      </w:r>
      <w:proofErr w:type="spellStart"/>
      <w:r w:rsidRPr="00563EAA">
        <w:rPr>
          <w:rFonts w:ascii="Times New Roman" w:hAnsi="Times New Roman" w:cs="Times New Roman"/>
          <w:i/>
          <w:iCs/>
          <w:sz w:val="24"/>
          <w:szCs w:val="24"/>
        </w:rPr>
        <w:t>Xidian</w:t>
      </w:r>
      <w:proofErr w:type="spellEnd"/>
      <w:r w:rsidRPr="00563EAA">
        <w:rPr>
          <w:rFonts w:ascii="Times New Roman" w:hAnsi="Times New Roman" w:cs="Times New Roman"/>
          <w:i/>
          <w:iCs/>
          <w:sz w:val="24"/>
          <w:szCs w:val="24"/>
        </w:rPr>
        <w:t xml:space="preserve"> University, 18</w:t>
      </w:r>
      <w:r w:rsidRPr="00563EAA">
        <w:rPr>
          <w:rFonts w:ascii="Times New Roman" w:hAnsi="Times New Roman" w:cs="Times New Roman"/>
          <w:sz w:val="24"/>
          <w:szCs w:val="24"/>
        </w:rPr>
        <w:t xml:space="preserve">(4). </w:t>
      </w:r>
      <w:hyperlink r:id="rId11" w:tgtFrame="_new" w:history="1">
        <w:r w:rsidRPr="00563EAA">
          <w:rPr>
            <w:rStyle w:val="Hyperlink"/>
            <w:rFonts w:ascii="Times New Roman" w:hAnsi="Times New Roman" w:cs="Times New Roman"/>
            <w:color w:val="auto"/>
            <w:sz w:val="24"/>
            <w:szCs w:val="24"/>
          </w:rPr>
          <w:t>https://doi.org/10.5281/zenodo.10936152</w:t>
        </w:r>
      </w:hyperlink>
    </w:p>
    <w:p w14:paraId="46C6672B"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Chen, S., Zhao, X., Wan, J., Ran, L., Qin, Y., Wang, X., Gao, Y., Shu, F., Zhang, Y., Liu, P., Zhang, Q., Zhu, J., &amp; Mi, M. (2015). Dihydromyricetin improves glucose and lipid </w:t>
      </w:r>
      <w:r w:rsidRPr="00563EAA">
        <w:rPr>
          <w:rFonts w:ascii="Times New Roman" w:hAnsi="Times New Roman" w:cs="Times New Roman"/>
          <w:sz w:val="24"/>
          <w:szCs w:val="24"/>
        </w:rPr>
        <w:lastRenderedPageBreak/>
        <w:t>metabolism and exerts anti-inflammatory effects in nonalcoholic fatty liver disease: A randomized controlled trial. </w:t>
      </w:r>
      <w:r w:rsidRPr="00563EAA">
        <w:rPr>
          <w:rFonts w:ascii="Times New Roman" w:hAnsi="Times New Roman" w:cs="Times New Roman"/>
          <w:i/>
          <w:iCs/>
          <w:sz w:val="24"/>
          <w:szCs w:val="24"/>
        </w:rPr>
        <w:t>Pharmacological research</w:t>
      </w:r>
      <w:r w:rsidRPr="00563EAA">
        <w:rPr>
          <w:rFonts w:ascii="Times New Roman" w:hAnsi="Times New Roman" w:cs="Times New Roman"/>
          <w:sz w:val="24"/>
          <w:szCs w:val="24"/>
        </w:rPr>
        <w:t>, </w:t>
      </w:r>
      <w:r w:rsidRPr="00563EAA">
        <w:rPr>
          <w:rFonts w:ascii="Times New Roman" w:hAnsi="Times New Roman" w:cs="Times New Roman"/>
          <w:iCs/>
          <w:sz w:val="24"/>
          <w:szCs w:val="24"/>
        </w:rPr>
        <w:t>99</w:t>
      </w:r>
      <w:r w:rsidRPr="00563EAA">
        <w:rPr>
          <w:rFonts w:ascii="Times New Roman" w:hAnsi="Times New Roman" w:cs="Times New Roman"/>
          <w:sz w:val="24"/>
          <w:szCs w:val="24"/>
        </w:rPr>
        <w:t xml:space="preserve">, 74–81. </w:t>
      </w:r>
      <w:hyperlink r:id="rId12" w:history="1">
        <w:r w:rsidRPr="00563EAA">
          <w:rPr>
            <w:rStyle w:val="Hyperlink"/>
            <w:rFonts w:ascii="Times New Roman" w:hAnsi="Times New Roman" w:cs="Times New Roman"/>
            <w:color w:val="auto"/>
            <w:sz w:val="24"/>
            <w:szCs w:val="24"/>
          </w:rPr>
          <w:t>https://doi.org/10.1016/j.phrs.2015.05.009</w:t>
        </w:r>
      </w:hyperlink>
    </w:p>
    <w:p w14:paraId="4470A454"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Dai, J., &amp; Mumper, R. J. (2010). Plant phenolics: extraction, analysis and their antioxidant and anticancer properties. </w:t>
      </w:r>
      <w:r w:rsidRPr="00563EAA">
        <w:rPr>
          <w:rFonts w:ascii="Times New Roman" w:hAnsi="Times New Roman" w:cs="Times New Roman"/>
          <w:i/>
          <w:iCs/>
          <w:sz w:val="24"/>
          <w:szCs w:val="24"/>
        </w:rPr>
        <w:t>Molecules (Basel, Switzerland)</w:t>
      </w:r>
      <w:r w:rsidRPr="00563EAA">
        <w:rPr>
          <w:rFonts w:ascii="Times New Roman" w:hAnsi="Times New Roman" w:cs="Times New Roman"/>
          <w:sz w:val="24"/>
          <w:szCs w:val="24"/>
        </w:rPr>
        <w:t>, </w:t>
      </w:r>
      <w:r w:rsidRPr="00563EAA">
        <w:rPr>
          <w:rFonts w:ascii="Times New Roman" w:hAnsi="Times New Roman" w:cs="Times New Roman"/>
          <w:i/>
          <w:iCs/>
          <w:sz w:val="24"/>
          <w:szCs w:val="24"/>
        </w:rPr>
        <w:t>15</w:t>
      </w:r>
      <w:r w:rsidRPr="00563EAA">
        <w:rPr>
          <w:rFonts w:ascii="Times New Roman" w:hAnsi="Times New Roman" w:cs="Times New Roman"/>
          <w:sz w:val="24"/>
          <w:szCs w:val="24"/>
        </w:rPr>
        <w:t xml:space="preserve">(10), 7313–7352. </w:t>
      </w:r>
      <w:hyperlink r:id="rId13" w:history="1">
        <w:r w:rsidRPr="00563EAA">
          <w:rPr>
            <w:rStyle w:val="Hyperlink"/>
            <w:rFonts w:ascii="Times New Roman" w:hAnsi="Times New Roman" w:cs="Times New Roman"/>
            <w:color w:val="auto"/>
            <w:sz w:val="24"/>
            <w:szCs w:val="24"/>
          </w:rPr>
          <w:t>https://doi.org/10.3390/molecules15107313</w:t>
        </w:r>
      </w:hyperlink>
      <w:r w:rsidRPr="00563EAA">
        <w:rPr>
          <w:rFonts w:ascii="Times New Roman" w:hAnsi="Times New Roman" w:cs="Times New Roman"/>
          <w:sz w:val="24"/>
          <w:szCs w:val="24"/>
        </w:rPr>
        <w:t>.</w:t>
      </w:r>
    </w:p>
    <w:p w14:paraId="305CFDD6"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Gouveia, S., &amp; Castilho, P. C. (2011). </w:t>
      </w:r>
      <w:proofErr w:type="spellStart"/>
      <w:r w:rsidRPr="00563EAA">
        <w:rPr>
          <w:rFonts w:ascii="Times New Roman" w:hAnsi="Times New Roman" w:cs="Times New Roman"/>
          <w:sz w:val="24"/>
          <w:szCs w:val="24"/>
        </w:rPr>
        <w:t>Characterisation</w:t>
      </w:r>
      <w:proofErr w:type="spellEnd"/>
      <w:r w:rsidRPr="00563EAA">
        <w:rPr>
          <w:rFonts w:ascii="Times New Roman" w:hAnsi="Times New Roman" w:cs="Times New Roman"/>
          <w:sz w:val="24"/>
          <w:szCs w:val="24"/>
        </w:rPr>
        <w:t xml:space="preserve"> of phenolic acid derivatives and flavonoids from different morphological parts of </w:t>
      </w:r>
      <w:proofErr w:type="spellStart"/>
      <w:r w:rsidRPr="00563EAA">
        <w:rPr>
          <w:rFonts w:ascii="Times New Roman" w:hAnsi="Times New Roman" w:cs="Times New Roman"/>
          <w:sz w:val="24"/>
          <w:szCs w:val="24"/>
        </w:rPr>
        <w:t>Helichrysum</w:t>
      </w:r>
      <w:proofErr w:type="spellEnd"/>
      <w:r w:rsidRPr="00563EAA">
        <w:rPr>
          <w:rFonts w:ascii="Times New Roman" w:hAnsi="Times New Roman" w:cs="Times New Roman"/>
          <w:sz w:val="24"/>
          <w:szCs w:val="24"/>
        </w:rPr>
        <w:t xml:space="preserve"> </w:t>
      </w:r>
      <w:proofErr w:type="spellStart"/>
      <w:r w:rsidRPr="00563EAA">
        <w:rPr>
          <w:rFonts w:ascii="Times New Roman" w:hAnsi="Times New Roman" w:cs="Times New Roman"/>
          <w:sz w:val="24"/>
          <w:szCs w:val="24"/>
        </w:rPr>
        <w:t>obconicum</w:t>
      </w:r>
      <w:proofErr w:type="spellEnd"/>
      <w:r w:rsidRPr="00563EAA">
        <w:rPr>
          <w:rFonts w:ascii="Times New Roman" w:hAnsi="Times New Roman" w:cs="Times New Roman"/>
          <w:sz w:val="24"/>
          <w:szCs w:val="24"/>
        </w:rPr>
        <w:t xml:space="preserve"> by a RP-HPLC-DAD</w:t>
      </w:r>
      <w:proofErr w:type="gramStart"/>
      <w:r w:rsidRPr="00563EAA">
        <w:rPr>
          <w:rFonts w:ascii="Times New Roman" w:hAnsi="Times New Roman" w:cs="Times New Roman"/>
          <w:sz w:val="24"/>
          <w:szCs w:val="24"/>
        </w:rPr>
        <w:t>-(</w:t>
      </w:r>
      <w:proofErr w:type="gramEnd"/>
      <w:r w:rsidRPr="00563EAA">
        <w:rPr>
          <w:rFonts w:ascii="Times New Roman" w:hAnsi="Times New Roman" w:cs="Times New Roman"/>
          <w:sz w:val="24"/>
          <w:szCs w:val="24"/>
        </w:rPr>
        <w:t>-)-ESI-</w:t>
      </w:r>
      <w:proofErr w:type="spellStart"/>
      <w:r w:rsidRPr="00563EAA">
        <w:rPr>
          <w:rFonts w:ascii="Times New Roman" w:hAnsi="Times New Roman" w:cs="Times New Roman"/>
          <w:sz w:val="24"/>
          <w:szCs w:val="24"/>
        </w:rPr>
        <w:t>MS</w:t>
      </w:r>
      <w:r w:rsidRPr="00563EAA">
        <w:rPr>
          <w:rFonts w:ascii="Times New Roman" w:hAnsi="Times New Roman" w:cs="Times New Roman"/>
          <w:sz w:val="24"/>
          <w:szCs w:val="24"/>
          <w:vertAlign w:val="superscript"/>
        </w:rPr>
        <w:t>n</w:t>
      </w:r>
      <w:proofErr w:type="spellEnd"/>
      <w:r w:rsidRPr="00563EAA">
        <w:rPr>
          <w:rFonts w:ascii="Times New Roman" w:hAnsi="Times New Roman" w:cs="Times New Roman"/>
          <w:sz w:val="24"/>
          <w:szCs w:val="24"/>
        </w:rPr>
        <w:t> method. </w:t>
      </w:r>
      <w:r w:rsidRPr="00563EAA">
        <w:rPr>
          <w:rFonts w:ascii="Times New Roman" w:hAnsi="Times New Roman" w:cs="Times New Roman"/>
          <w:i/>
          <w:iCs/>
          <w:sz w:val="24"/>
          <w:szCs w:val="24"/>
        </w:rPr>
        <w:t>Food chemistry</w:t>
      </w:r>
      <w:r w:rsidRPr="00563EAA">
        <w:rPr>
          <w:rFonts w:ascii="Times New Roman" w:hAnsi="Times New Roman" w:cs="Times New Roman"/>
          <w:sz w:val="24"/>
          <w:szCs w:val="24"/>
        </w:rPr>
        <w:t>, </w:t>
      </w:r>
      <w:r w:rsidRPr="00563EAA">
        <w:rPr>
          <w:rFonts w:ascii="Times New Roman" w:hAnsi="Times New Roman" w:cs="Times New Roman"/>
          <w:i/>
          <w:iCs/>
          <w:sz w:val="24"/>
          <w:szCs w:val="24"/>
        </w:rPr>
        <w:t>129</w:t>
      </w:r>
      <w:r w:rsidRPr="00563EAA">
        <w:rPr>
          <w:rFonts w:ascii="Times New Roman" w:hAnsi="Times New Roman" w:cs="Times New Roman"/>
          <w:sz w:val="24"/>
          <w:szCs w:val="24"/>
        </w:rPr>
        <w:t xml:space="preserve">(2), 333–344. </w:t>
      </w:r>
      <w:hyperlink r:id="rId14" w:history="1">
        <w:r w:rsidRPr="00563EAA">
          <w:rPr>
            <w:rStyle w:val="Hyperlink"/>
            <w:rFonts w:ascii="Times New Roman" w:hAnsi="Times New Roman" w:cs="Times New Roman"/>
            <w:color w:val="auto"/>
            <w:sz w:val="24"/>
            <w:szCs w:val="24"/>
          </w:rPr>
          <w:t>https://doi.org/10.1016/j.foodchem.2011.04.078</w:t>
        </w:r>
      </w:hyperlink>
      <w:r w:rsidRPr="00563EAA">
        <w:rPr>
          <w:rFonts w:ascii="Times New Roman" w:hAnsi="Times New Roman" w:cs="Times New Roman"/>
          <w:sz w:val="24"/>
          <w:szCs w:val="24"/>
        </w:rPr>
        <w:t>.</w:t>
      </w:r>
    </w:p>
    <w:p w14:paraId="7A82D3FB"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 xml:space="preserve">Ignat, I., Volf, I., &amp; Popa, V. I. (2011). A critical review of methods for </w:t>
      </w:r>
      <w:proofErr w:type="spellStart"/>
      <w:r w:rsidRPr="00563EAA">
        <w:rPr>
          <w:rFonts w:ascii="Times New Roman" w:hAnsi="Times New Roman" w:cs="Times New Roman"/>
          <w:sz w:val="24"/>
          <w:szCs w:val="24"/>
        </w:rPr>
        <w:t>characterisation</w:t>
      </w:r>
      <w:proofErr w:type="spellEnd"/>
      <w:r w:rsidRPr="00563EAA">
        <w:rPr>
          <w:rFonts w:ascii="Times New Roman" w:hAnsi="Times New Roman" w:cs="Times New Roman"/>
          <w:sz w:val="24"/>
          <w:szCs w:val="24"/>
        </w:rPr>
        <w:t xml:space="preserve"> of polyphenolic compounds in fruits and vegetables. </w:t>
      </w:r>
      <w:r w:rsidRPr="00563EAA">
        <w:rPr>
          <w:rFonts w:ascii="Times New Roman" w:hAnsi="Times New Roman" w:cs="Times New Roman"/>
          <w:i/>
          <w:iCs/>
          <w:sz w:val="24"/>
          <w:szCs w:val="24"/>
        </w:rPr>
        <w:t>Food chemistry</w:t>
      </w:r>
      <w:r w:rsidRPr="00563EAA">
        <w:rPr>
          <w:rFonts w:ascii="Times New Roman" w:hAnsi="Times New Roman" w:cs="Times New Roman"/>
          <w:sz w:val="24"/>
          <w:szCs w:val="24"/>
        </w:rPr>
        <w:t>, </w:t>
      </w:r>
      <w:r w:rsidRPr="00563EAA">
        <w:rPr>
          <w:rFonts w:ascii="Times New Roman" w:hAnsi="Times New Roman" w:cs="Times New Roman"/>
          <w:i/>
          <w:iCs/>
          <w:sz w:val="24"/>
          <w:szCs w:val="24"/>
        </w:rPr>
        <w:t>126</w:t>
      </w:r>
      <w:r w:rsidRPr="00563EAA">
        <w:rPr>
          <w:rFonts w:ascii="Times New Roman" w:hAnsi="Times New Roman" w:cs="Times New Roman"/>
          <w:sz w:val="24"/>
          <w:szCs w:val="24"/>
        </w:rPr>
        <w:t xml:space="preserve">(4), 1821–1835. </w:t>
      </w:r>
      <w:hyperlink r:id="rId15" w:history="1">
        <w:r w:rsidRPr="00563EAA">
          <w:rPr>
            <w:rStyle w:val="Hyperlink"/>
            <w:rFonts w:ascii="Times New Roman" w:hAnsi="Times New Roman" w:cs="Times New Roman"/>
            <w:color w:val="auto"/>
            <w:sz w:val="24"/>
            <w:szCs w:val="24"/>
          </w:rPr>
          <w:t>https://doi.org/10.1016/j.foodchem.2010.12.026</w:t>
        </w:r>
      </w:hyperlink>
      <w:r w:rsidRPr="00563EAA">
        <w:rPr>
          <w:rFonts w:ascii="Times New Roman" w:hAnsi="Times New Roman" w:cs="Times New Roman"/>
          <w:sz w:val="24"/>
          <w:szCs w:val="24"/>
        </w:rPr>
        <w:t>.</w:t>
      </w:r>
    </w:p>
    <w:p w14:paraId="080B2AD7"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Li, S., Han, Q., Qiao, C., Song, J., Lung Cheng, C., &amp; Xu, H. (2008). Chemical markers for the quality control of herbal medicines: an overview. </w:t>
      </w:r>
      <w:r w:rsidRPr="00563EAA">
        <w:rPr>
          <w:rFonts w:ascii="Times New Roman" w:hAnsi="Times New Roman" w:cs="Times New Roman"/>
          <w:i/>
          <w:iCs/>
          <w:sz w:val="24"/>
          <w:szCs w:val="24"/>
        </w:rPr>
        <w:t>Chinese medicine</w:t>
      </w:r>
      <w:r w:rsidRPr="00563EAA">
        <w:rPr>
          <w:rFonts w:ascii="Times New Roman" w:hAnsi="Times New Roman" w:cs="Times New Roman"/>
          <w:sz w:val="24"/>
          <w:szCs w:val="24"/>
        </w:rPr>
        <w:t>, </w:t>
      </w:r>
      <w:r w:rsidRPr="00563EAA">
        <w:rPr>
          <w:rFonts w:ascii="Times New Roman" w:hAnsi="Times New Roman" w:cs="Times New Roman"/>
          <w:i/>
          <w:iCs/>
          <w:sz w:val="24"/>
          <w:szCs w:val="24"/>
        </w:rPr>
        <w:t>3</w:t>
      </w:r>
      <w:r w:rsidRPr="00563EAA">
        <w:rPr>
          <w:rFonts w:ascii="Times New Roman" w:hAnsi="Times New Roman" w:cs="Times New Roman"/>
          <w:sz w:val="24"/>
          <w:szCs w:val="24"/>
        </w:rPr>
        <w:t xml:space="preserve">, 7. </w:t>
      </w:r>
      <w:hyperlink r:id="rId16" w:history="1">
        <w:r w:rsidRPr="00563EAA">
          <w:rPr>
            <w:rStyle w:val="Hyperlink"/>
            <w:rFonts w:ascii="Times New Roman" w:hAnsi="Times New Roman" w:cs="Times New Roman"/>
            <w:color w:val="auto"/>
            <w:sz w:val="24"/>
            <w:szCs w:val="24"/>
          </w:rPr>
          <w:t>https://doi.org/10.1186/1749-8546-3-7</w:t>
        </w:r>
      </w:hyperlink>
      <w:r w:rsidRPr="00563EAA">
        <w:rPr>
          <w:rFonts w:ascii="Times New Roman" w:hAnsi="Times New Roman" w:cs="Times New Roman"/>
          <w:sz w:val="24"/>
          <w:szCs w:val="24"/>
        </w:rPr>
        <w:t>.</w:t>
      </w:r>
    </w:p>
    <w:p w14:paraId="2F7727E3"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shd w:val="clear" w:color="auto" w:fill="FFFFFF"/>
        </w:rPr>
      </w:pPr>
      <w:r w:rsidRPr="00563EAA">
        <w:rPr>
          <w:rFonts w:ascii="Times New Roman" w:hAnsi="Times New Roman" w:cs="Times New Roman"/>
          <w:sz w:val="24"/>
          <w:szCs w:val="24"/>
          <w:shd w:val="clear" w:color="auto" w:fill="FFFFFF"/>
        </w:rPr>
        <w:t>Newman, D. J., &amp; Cragg, G. M. (2020). Natural Products as Sources of New Drugs over the Nearly Four Decades from 01/1981 to 09/2019. </w:t>
      </w:r>
      <w:r w:rsidRPr="00563EAA">
        <w:rPr>
          <w:rFonts w:ascii="Times New Roman" w:hAnsi="Times New Roman" w:cs="Times New Roman"/>
          <w:i/>
          <w:iCs/>
          <w:sz w:val="24"/>
          <w:szCs w:val="24"/>
          <w:shd w:val="clear" w:color="auto" w:fill="FFFFFF"/>
        </w:rPr>
        <w:t>Journal of natural products</w:t>
      </w:r>
      <w:r w:rsidRPr="00563EAA">
        <w:rPr>
          <w:rFonts w:ascii="Times New Roman" w:hAnsi="Times New Roman" w:cs="Times New Roman"/>
          <w:sz w:val="24"/>
          <w:szCs w:val="24"/>
          <w:shd w:val="clear" w:color="auto" w:fill="FFFFFF"/>
        </w:rPr>
        <w:t>, </w:t>
      </w:r>
      <w:r w:rsidRPr="00563EAA">
        <w:rPr>
          <w:rFonts w:ascii="Times New Roman" w:hAnsi="Times New Roman" w:cs="Times New Roman"/>
          <w:i/>
          <w:iCs/>
          <w:sz w:val="24"/>
          <w:szCs w:val="24"/>
          <w:shd w:val="clear" w:color="auto" w:fill="FFFFFF"/>
        </w:rPr>
        <w:t>83</w:t>
      </w:r>
      <w:r w:rsidRPr="00563EAA">
        <w:rPr>
          <w:rFonts w:ascii="Times New Roman" w:hAnsi="Times New Roman" w:cs="Times New Roman"/>
          <w:sz w:val="24"/>
          <w:szCs w:val="24"/>
          <w:shd w:val="clear" w:color="auto" w:fill="FFFFFF"/>
        </w:rPr>
        <w:t xml:space="preserve">(3), 770–803. </w:t>
      </w:r>
      <w:hyperlink r:id="rId17" w:history="1">
        <w:r w:rsidRPr="00563EAA">
          <w:rPr>
            <w:rStyle w:val="Hyperlink"/>
            <w:rFonts w:ascii="Times New Roman" w:hAnsi="Times New Roman" w:cs="Times New Roman"/>
            <w:color w:val="auto"/>
            <w:sz w:val="24"/>
            <w:szCs w:val="24"/>
            <w:shd w:val="clear" w:color="auto" w:fill="FFFFFF"/>
          </w:rPr>
          <w:t>https://doi.org/10.1021/acs.jnatprod.9b01285</w:t>
        </w:r>
      </w:hyperlink>
    </w:p>
    <w:p w14:paraId="094208A2"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Singh, P. K., Singh, J., Medhi, T., &amp; Kumar, A. (2022). Phytochemical Screening, Quantification, FT-IR Analysis, and </w:t>
      </w:r>
      <w:r w:rsidRPr="00563EAA">
        <w:rPr>
          <w:rFonts w:ascii="Times New Roman" w:hAnsi="Times New Roman" w:cs="Times New Roman"/>
          <w:i/>
          <w:iCs/>
          <w:sz w:val="24"/>
          <w:szCs w:val="24"/>
        </w:rPr>
        <w:t>In Silico</w:t>
      </w:r>
      <w:r w:rsidRPr="00563EAA">
        <w:rPr>
          <w:rFonts w:ascii="Times New Roman" w:hAnsi="Times New Roman" w:cs="Times New Roman"/>
          <w:sz w:val="24"/>
          <w:szCs w:val="24"/>
        </w:rPr>
        <w:t> Characterization of Potential Bio-active Compounds Identified in HR-LC/MS Analysis of the Polyherbal Formulation from Northeast India. </w:t>
      </w:r>
      <w:r w:rsidRPr="00563EAA">
        <w:rPr>
          <w:rFonts w:ascii="Times New Roman" w:hAnsi="Times New Roman" w:cs="Times New Roman"/>
          <w:i/>
          <w:iCs/>
          <w:sz w:val="24"/>
          <w:szCs w:val="24"/>
        </w:rPr>
        <w:t>ACS omega</w:t>
      </w:r>
      <w:r w:rsidRPr="00563EAA">
        <w:rPr>
          <w:rFonts w:ascii="Times New Roman" w:hAnsi="Times New Roman" w:cs="Times New Roman"/>
          <w:sz w:val="24"/>
          <w:szCs w:val="24"/>
        </w:rPr>
        <w:t>, </w:t>
      </w:r>
      <w:r w:rsidRPr="00563EAA">
        <w:rPr>
          <w:rFonts w:ascii="Times New Roman" w:hAnsi="Times New Roman" w:cs="Times New Roman"/>
          <w:i/>
          <w:iCs/>
          <w:sz w:val="24"/>
          <w:szCs w:val="24"/>
        </w:rPr>
        <w:t>7</w:t>
      </w:r>
      <w:r w:rsidRPr="00563EAA">
        <w:rPr>
          <w:rFonts w:ascii="Times New Roman" w:hAnsi="Times New Roman" w:cs="Times New Roman"/>
          <w:sz w:val="24"/>
          <w:szCs w:val="24"/>
        </w:rPr>
        <w:t xml:space="preserve">(37), 33067–33078. </w:t>
      </w:r>
      <w:hyperlink r:id="rId18" w:history="1">
        <w:r w:rsidRPr="00563EAA">
          <w:rPr>
            <w:rStyle w:val="Hyperlink"/>
            <w:rFonts w:ascii="Times New Roman" w:hAnsi="Times New Roman" w:cs="Times New Roman"/>
            <w:color w:val="auto"/>
            <w:sz w:val="24"/>
            <w:szCs w:val="24"/>
          </w:rPr>
          <w:t>https://doi.org/10.1021/acsomega.2c03117</w:t>
        </w:r>
      </w:hyperlink>
      <w:r w:rsidRPr="00563EAA">
        <w:rPr>
          <w:rFonts w:ascii="Times New Roman" w:hAnsi="Times New Roman" w:cs="Times New Roman"/>
          <w:sz w:val="24"/>
          <w:szCs w:val="24"/>
        </w:rPr>
        <w:t>.</w:t>
      </w:r>
    </w:p>
    <w:p w14:paraId="4551E82C"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Snyder, L. R., Kirkland, J. J., &amp; Dolan, J. W. (2010). Introduction to modern liquid chromatography (3rd ed.). Wiley.</w:t>
      </w:r>
    </w:p>
    <w:p w14:paraId="7244B819"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Stuart, B. (2015). Infrared spectroscopy: Fundamentals and applications. Wiley.</w:t>
      </w:r>
    </w:p>
    <w:p w14:paraId="5157884C"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shd w:val="clear" w:color="auto" w:fill="FFFFFF"/>
        </w:rPr>
        <w:t>Sun, Y., Liu, S., Yang, S., Chen, C., Yang, Y., Lin, M., Liu, C., Wang, W., Zhou, X., Ai, Q., Wang, W., &amp; Chen, N. (2022). Mechanism of Dihydromyricetin on Inflammatory Diseases. </w:t>
      </w:r>
      <w:r w:rsidRPr="00563EAA">
        <w:rPr>
          <w:rFonts w:ascii="Times New Roman" w:hAnsi="Times New Roman" w:cs="Times New Roman"/>
          <w:i/>
          <w:iCs/>
          <w:sz w:val="24"/>
          <w:szCs w:val="24"/>
          <w:shd w:val="clear" w:color="auto" w:fill="FFFFFF"/>
        </w:rPr>
        <w:t>Frontiers in pharmacology</w:t>
      </w:r>
      <w:r w:rsidRPr="00563EAA">
        <w:rPr>
          <w:rFonts w:ascii="Times New Roman" w:hAnsi="Times New Roman" w:cs="Times New Roman"/>
          <w:sz w:val="24"/>
          <w:szCs w:val="24"/>
          <w:shd w:val="clear" w:color="auto" w:fill="FFFFFF"/>
        </w:rPr>
        <w:t>, </w:t>
      </w:r>
      <w:r w:rsidRPr="00563EAA">
        <w:rPr>
          <w:rFonts w:ascii="Times New Roman" w:hAnsi="Times New Roman" w:cs="Times New Roman"/>
          <w:i/>
          <w:iCs/>
          <w:sz w:val="24"/>
          <w:szCs w:val="24"/>
          <w:shd w:val="clear" w:color="auto" w:fill="FFFFFF"/>
        </w:rPr>
        <w:t>12</w:t>
      </w:r>
      <w:r w:rsidRPr="00563EAA">
        <w:rPr>
          <w:rFonts w:ascii="Times New Roman" w:hAnsi="Times New Roman" w:cs="Times New Roman"/>
          <w:sz w:val="24"/>
          <w:szCs w:val="24"/>
          <w:shd w:val="clear" w:color="auto" w:fill="FFFFFF"/>
        </w:rPr>
        <w:t xml:space="preserve">, 794563. </w:t>
      </w:r>
      <w:hyperlink r:id="rId19" w:history="1">
        <w:r w:rsidRPr="00563EAA">
          <w:rPr>
            <w:rStyle w:val="Hyperlink"/>
            <w:rFonts w:ascii="Times New Roman" w:hAnsi="Times New Roman" w:cs="Times New Roman"/>
            <w:color w:val="auto"/>
            <w:sz w:val="24"/>
            <w:szCs w:val="24"/>
            <w:shd w:val="clear" w:color="auto" w:fill="FFFFFF"/>
          </w:rPr>
          <w:t>https://doi.org/10.3389/fphar.2021.794563</w:t>
        </w:r>
      </w:hyperlink>
      <w:r w:rsidRPr="00563EAA">
        <w:rPr>
          <w:rFonts w:ascii="Times New Roman" w:hAnsi="Times New Roman" w:cs="Times New Roman"/>
          <w:sz w:val="24"/>
          <w:szCs w:val="24"/>
          <w:shd w:val="clear" w:color="auto" w:fill="FFFFFF"/>
        </w:rPr>
        <w:tab/>
        <w:t>Wu, S., Liu, B., Zhang, Q., Liu, J., Zhou, W., Wang, C., Li, M., Bao, S., &amp; Zhu, R. (2013). Dihydromyricetin reduced Bcl-2 expression via p53 in human hepatoma HepG2 cells. </w:t>
      </w:r>
      <w:proofErr w:type="spellStart"/>
      <w:r w:rsidRPr="00563EAA">
        <w:rPr>
          <w:rFonts w:ascii="Times New Roman" w:hAnsi="Times New Roman" w:cs="Times New Roman"/>
          <w:i/>
          <w:iCs/>
          <w:sz w:val="24"/>
          <w:szCs w:val="24"/>
          <w:shd w:val="clear" w:color="auto" w:fill="FFFFFF"/>
        </w:rPr>
        <w:t>PloS</w:t>
      </w:r>
      <w:proofErr w:type="spellEnd"/>
      <w:r w:rsidRPr="00563EAA">
        <w:rPr>
          <w:rFonts w:ascii="Times New Roman" w:hAnsi="Times New Roman" w:cs="Times New Roman"/>
          <w:i/>
          <w:iCs/>
          <w:sz w:val="24"/>
          <w:szCs w:val="24"/>
          <w:shd w:val="clear" w:color="auto" w:fill="FFFFFF"/>
        </w:rPr>
        <w:t xml:space="preserve"> one</w:t>
      </w:r>
      <w:r w:rsidRPr="00563EAA">
        <w:rPr>
          <w:rFonts w:ascii="Times New Roman" w:hAnsi="Times New Roman" w:cs="Times New Roman"/>
          <w:sz w:val="24"/>
          <w:szCs w:val="24"/>
          <w:shd w:val="clear" w:color="auto" w:fill="FFFFFF"/>
        </w:rPr>
        <w:t>, </w:t>
      </w:r>
      <w:r w:rsidRPr="00563EAA">
        <w:rPr>
          <w:rFonts w:ascii="Times New Roman" w:hAnsi="Times New Roman" w:cs="Times New Roman"/>
          <w:i/>
          <w:iCs/>
          <w:sz w:val="24"/>
          <w:szCs w:val="24"/>
          <w:shd w:val="clear" w:color="auto" w:fill="FFFFFF"/>
        </w:rPr>
        <w:t>8</w:t>
      </w:r>
      <w:r w:rsidRPr="00563EAA">
        <w:rPr>
          <w:rFonts w:ascii="Times New Roman" w:hAnsi="Times New Roman" w:cs="Times New Roman"/>
          <w:sz w:val="24"/>
          <w:szCs w:val="24"/>
          <w:shd w:val="clear" w:color="auto" w:fill="FFFFFF"/>
        </w:rPr>
        <w:t xml:space="preserve">(11), e76886. </w:t>
      </w:r>
      <w:hyperlink r:id="rId20" w:history="1">
        <w:r w:rsidRPr="00563EAA">
          <w:rPr>
            <w:rStyle w:val="Hyperlink"/>
            <w:rFonts w:ascii="Times New Roman" w:hAnsi="Times New Roman" w:cs="Times New Roman"/>
            <w:color w:val="auto"/>
            <w:sz w:val="24"/>
            <w:szCs w:val="24"/>
            <w:shd w:val="clear" w:color="auto" w:fill="FFFFFF"/>
          </w:rPr>
          <w:t>https://doi.org/10.1371/journal.pone.0076886</w:t>
        </w:r>
      </w:hyperlink>
    </w:p>
    <w:p w14:paraId="2614B722"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lastRenderedPageBreak/>
        <w:t>Wagner, H., &amp; Ulrich-Merzenich, G. (2009). Synergy research: approaching a new generation of phytopharmaceuticals. </w:t>
      </w:r>
      <w:proofErr w:type="gramStart"/>
      <w:r w:rsidRPr="00563EAA">
        <w:rPr>
          <w:rFonts w:ascii="Times New Roman" w:hAnsi="Times New Roman" w:cs="Times New Roman"/>
          <w:i/>
          <w:iCs/>
          <w:sz w:val="24"/>
          <w:szCs w:val="24"/>
        </w:rPr>
        <w:t>Phytomedicine :</w:t>
      </w:r>
      <w:proofErr w:type="gramEnd"/>
      <w:r w:rsidRPr="00563EAA">
        <w:rPr>
          <w:rFonts w:ascii="Times New Roman" w:hAnsi="Times New Roman" w:cs="Times New Roman"/>
          <w:i/>
          <w:iCs/>
          <w:sz w:val="24"/>
          <w:szCs w:val="24"/>
        </w:rPr>
        <w:t xml:space="preserve"> international journal of phytotherapy and phytopharmacology</w:t>
      </w:r>
      <w:r w:rsidRPr="00563EAA">
        <w:rPr>
          <w:rFonts w:ascii="Times New Roman" w:hAnsi="Times New Roman" w:cs="Times New Roman"/>
          <w:sz w:val="24"/>
          <w:szCs w:val="24"/>
        </w:rPr>
        <w:t>, </w:t>
      </w:r>
      <w:r w:rsidRPr="00563EAA">
        <w:rPr>
          <w:rFonts w:ascii="Times New Roman" w:hAnsi="Times New Roman" w:cs="Times New Roman"/>
          <w:i/>
          <w:iCs/>
          <w:sz w:val="24"/>
          <w:szCs w:val="24"/>
        </w:rPr>
        <w:t>16</w:t>
      </w:r>
      <w:r w:rsidRPr="00563EAA">
        <w:rPr>
          <w:rFonts w:ascii="Times New Roman" w:hAnsi="Times New Roman" w:cs="Times New Roman"/>
          <w:sz w:val="24"/>
          <w:szCs w:val="24"/>
        </w:rPr>
        <w:t xml:space="preserve">(2-3), 97–110. </w:t>
      </w:r>
      <w:hyperlink r:id="rId21" w:history="1">
        <w:r w:rsidRPr="00563EAA">
          <w:rPr>
            <w:rStyle w:val="Hyperlink"/>
            <w:rFonts w:ascii="Times New Roman" w:hAnsi="Times New Roman" w:cs="Times New Roman"/>
            <w:color w:val="auto"/>
            <w:sz w:val="24"/>
            <w:szCs w:val="24"/>
          </w:rPr>
          <w:t>https://doi.org/10.1016/j.phymed.2008.12.018</w:t>
        </w:r>
      </w:hyperlink>
      <w:r w:rsidRPr="00563EAA">
        <w:rPr>
          <w:rFonts w:ascii="Times New Roman" w:hAnsi="Times New Roman" w:cs="Times New Roman"/>
          <w:sz w:val="24"/>
          <w:szCs w:val="24"/>
        </w:rPr>
        <w:t>.</w:t>
      </w:r>
    </w:p>
    <w:p w14:paraId="03C25FEF" w14:textId="77777777" w:rsidR="00437358" w:rsidRPr="00563EAA" w:rsidRDefault="00437358" w:rsidP="00563EAA">
      <w:pPr>
        <w:pStyle w:val="ListParagraph"/>
        <w:spacing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rPr>
        <w:t>World Health Organization. (2011). Quality control methods for herbal materials. WHO Press.</w:t>
      </w:r>
    </w:p>
    <w:p w14:paraId="52E6F95D" w14:textId="77777777" w:rsidR="00437358" w:rsidRPr="00563EAA" w:rsidRDefault="00437358" w:rsidP="00563EAA">
      <w:pPr>
        <w:pStyle w:val="ListParagraph"/>
        <w:spacing w:after="0" w:line="360" w:lineRule="auto"/>
        <w:ind w:left="0" w:firstLine="720"/>
        <w:jc w:val="both"/>
        <w:rPr>
          <w:rFonts w:ascii="Times New Roman" w:hAnsi="Times New Roman" w:cs="Times New Roman"/>
          <w:sz w:val="24"/>
          <w:szCs w:val="24"/>
        </w:rPr>
      </w:pPr>
      <w:r w:rsidRPr="00563EAA">
        <w:rPr>
          <w:rFonts w:ascii="Times New Roman" w:hAnsi="Times New Roman" w:cs="Times New Roman"/>
          <w:sz w:val="24"/>
          <w:szCs w:val="24"/>
          <w:shd w:val="clear" w:color="auto" w:fill="FFFFFF"/>
        </w:rPr>
        <w:t>Zuo, Y., Xu, Q., Lu, Y., Sun, D., Wang, K., Lei, Y., Liang, X., &amp; Li, Y. (2018). Dihydromyricetin induces apoptosis in a human choriocarcinoma cell line. </w:t>
      </w:r>
      <w:r w:rsidRPr="00563EAA">
        <w:rPr>
          <w:rFonts w:ascii="Times New Roman" w:hAnsi="Times New Roman" w:cs="Times New Roman"/>
          <w:i/>
          <w:iCs/>
          <w:sz w:val="24"/>
          <w:szCs w:val="24"/>
          <w:shd w:val="clear" w:color="auto" w:fill="FFFFFF"/>
        </w:rPr>
        <w:t>Oncology letters</w:t>
      </w:r>
      <w:r w:rsidRPr="00563EAA">
        <w:rPr>
          <w:rFonts w:ascii="Times New Roman" w:hAnsi="Times New Roman" w:cs="Times New Roman"/>
          <w:sz w:val="24"/>
          <w:szCs w:val="24"/>
          <w:shd w:val="clear" w:color="auto" w:fill="FFFFFF"/>
        </w:rPr>
        <w:t>, </w:t>
      </w:r>
      <w:r w:rsidRPr="00563EAA">
        <w:rPr>
          <w:rFonts w:ascii="Times New Roman" w:hAnsi="Times New Roman" w:cs="Times New Roman"/>
          <w:i/>
          <w:iCs/>
          <w:sz w:val="24"/>
          <w:szCs w:val="24"/>
          <w:shd w:val="clear" w:color="auto" w:fill="FFFFFF"/>
        </w:rPr>
        <w:t>16</w:t>
      </w:r>
      <w:r w:rsidRPr="00563EAA">
        <w:rPr>
          <w:rFonts w:ascii="Times New Roman" w:hAnsi="Times New Roman" w:cs="Times New Roman"/>
          <w:sz w:val="24"/>
          <w:szCs w:val="24"/>
          <w:shd w:val="clear" w:color="auto" w:fill="FFFFFF"/>
        </w:rPr>
        <w:t xml:space="preserve">(4), 4229–4234. </w:t>
      </w:r>
      <w:hyperlink r:id="rId22" w:history="1">
        <w:r w:rsidRPr="00563EAA">
          <w:rPr>
            <w:rStyle w:val="Hyperlink"/>
            <w:rFonts w:ascii="Times New Roman" w:hAnsi="Times New Roman" w:cs="Times New Roman"/>
            <w:color w:val="auto"/>
            <w:sz w:val="24"/>
            <w:szCs w:val="24"/>
            <w:shd w:val="clear" w:color="auto" w:fill="FFFFFF"/>
          </w:rPr>
          <w:t>https://doi.org/10.3892/ol.2018.9220</w:t>
        </w:r>
      </w:hyperlink>
      <w:r w:rsidRPr="00563EAA">
        <w:rPr>
          <w:rFonts w:ascii="Times New Roman" w:hAnsi="Times New Roman" w:cs="Times New Roman"/>
          <w:sz w:val="24"/>
          <w:szCs w:val="24"/>
        </w:rPr>
        <w:t xml:space="preserve">. </w:t>
      </w:r>
    </w:p>
    <w:p w14:paraId="01F93EB4"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51E731AB"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2D694265"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3A24DBEE"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33161EFD"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72AFAE78" w14:textId="77777777" w:rsidR="003A261F" w:rsidRPr="00563EAA" w:rsidRDefault="003A261F" w:rsidP="00563EAA">
      <w:pPr>
        <w:spacing w:line="360" w:lineRule="auto"/>
        <w:ind w:firstLine="720"/>
        <w:jc w:val="both"/>
        <w:rPr>
          <w:rFonts w:ascii="Times New Roman" w:hAnsi="Times New Roman" w:cs="Times New Roman"/>
          <w:sz w:val="24"/>
          <w:szCs w:val="24"/>
        </w:rPr>
      </w:pPr>
    </w:p>
    <w:p w14:paraId="58C51446" w14:textId="77777777" w:rsidR="00862F0B" w:rsidRPr="00563EAA" w:rsidRDefault="00862F0B" w:rsidP="00563EAA">
      <w:pPr>
        <w:spacing w:line="360" w:lineRule="auto"/>
        <w:jc w:val="both"/>
        <w:rPr>
          <w:rFonts w:ascii="Times New Roman" w:hAnsi="Times New Roman" w:cs="Times New Roman"/>
          <w:sz w:val="24"/>
          <w:szCs w:val="24"/>
        </w:rPr>
      </w:pPr>
    </w:p>
    <w:p w14:paraId="1BA7A3D0" w14:textId="77777777" w:rsidR="00862F0B" w:rsidRPr="00563EAA" w:rsidRDefault="00862F0B" w:rsidP="00563EAA">
      <w:pPr>
        <w:spacing w:line="360" w:lineRule="auto"/>
        <w:jc w:val="both"/>
        <w:rPr>
          <w:rFonts w:ascii="Times New Roman" w:hAnsi="Times New Roman" w:cs="Times New Roman"/>
          <w:sz w:val="24"/>
          <w:szCs w:val="24"/>
        </w:rPr>
      </w:pPr>
    </w:p>
    <w:p w14:paraId="09442900" w14:textId="77777777" w:rsidR="00862F0B" w:rsidRPr="00563EAA" w:rsidRDefault="00862F0B" w:rsidP="00563EAA">
      <w:pPr>
        <w:spacing w:line="360" w:lineRule="auto"/>
        <w:jc w:val="both"/>
        <w:rPr>
          <w:rFonts w:ascii="Times New Roman" w:hAnsi="Times New Roman" w:cs="Times New Roman"/>
          <w:sz w:val="24"/>
          <w:szCs w:val="24"/>
        </w:rPr>
      </w:pPr>
    </w:p>
    <w:p w14:paraId="16E58E97" w14:textId="77777777" w:rsidR="00862F0B" w:rsidRPr="00563EAA" w:rsidRDefault="00862F0B" w:rsidP="00563EAA">
      <w:pPr>
        <w:spacing w:line="360" w:lineRule="auto"/>
        <w:jc w:val="both"/>
        <w:rPr>
          <w:rFonts w:ascii="Times New Roman" w:hAnsi="Times New Roman" w:cs="Times New Roman"/>
          <w:sz w:val="24"/>
          <w:szCs w:val="24"/>
        </w:rPr>
      </w:pPr>
    </w:p>
    <w:p w14:paraId="7F9BE30F" w14:textId="77777777" w:rsidR="00862F0B" w:rsidRPr="00563EAA" w:rsidRDefault="00862F0B" w:rsidP="00563EAA">
      <w:pPr>
        <w:spacing w:line="360" w:lineRule="auto"/>
        <w:jc w:val="both"/>
        <w:rPr>
          <w:rFonts w:ascii="Times New Roman" w:hAnsi="Times New Roman" w:cs="Times New Roman"/>
          <w:sz w:val="24"/>
          <w:szCs w:val="24"/>
        </w:rPr>
      </w:pPr>
    </w:p>
    <w:p w14:paraId="1A62BD19" w14:textId="77777777" w:rsidR="00862F0B" w:rsidRPr="00563EAA" w:rsidRDefault="00862F0B" w:rsidP="00563EAA">
      <w:pPr>
        <w:spacing w:after="0" w:line="360" w:lineRule="auto"/>
        <w:ind w:firstLine="720"/>
        <w:jc w:val="both"/>
        <w:rPr>
          <w:rFonts w:ascii="Times New Roman" w:hAnsi="Times New Roman" w:cs="Times New Roman"/>
          <w:sz w:val="24"/>
          <w:szCs w:val="24"/>
        </w:rPr>
      </w:pPr>
    </w:p>
    <w:sectPr w:rsidR="00862F0B" w:rsidRPr="00563EAA" w:rsidSect="00BB7418">
      <w:headerReference w:type="even" r:id="rId23"/>
      <w:headerReference w:type="default" r:id="rId24"/>
      <w:footerReference w:type="even" r:id="rId25"/>
      <w:footerReference w:type="default" r:id="rId26"/>
      <w:headerReference w:type="first" r:id="rId27"/>
      <w:footerReference w:type="first" r:id="rId2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9B262" w14:textId="77777777" w:rsidR="0030296D" w:rsidRDefault="0030296D" w:rsidP="00D24FF2">
      <w:pPr>
        <w:spacing w:after="0" w:line="240" w:lineRule="auto"/>
      </w:pPr>
      <w:r>
        <w:separator/>
      </w:r>
    </w:p>
  </w:endnote>
  <w:endnote w:type="continuationSeparator" w:id="0">
    <w:p w14:paraId="08AA534C" w14:textId="77777777" w:rsidR="0030296D" w:rsidRDefault="0030296D" w:rsidP="00D24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9E359" w14:textId="77777777" w:rsidR="00D24FF2" w:rsidRDefault="00D24F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5F071" w14:textId="77777777" w:rsidR="00D24FF2" w:rsidRDefault="00D24F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9A070" w14:textId="77777777" w:rsidR="00D24FF2" w:rsidRDefault="00D24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35862" w14:textId="77777777" w:rsidR="0030296D" w:rsidRDefault="0030296D" w:rsidP="00D24FF2">
      <w:pPr>
        <w:spacing w:after="0" w:line="240" w:lineRule="auto"/>
      </w:pPr>
      <w:r>
        <w:separator/>
      </w:r>
    </w:p>
  </w:footnote>
  <w:footnote w:type="continuationSeparator" w:id="0">
    <w:p w14:paraId="0AAF928D" w14:textId="77777777" w:rsidR="0030296D" w:rsidRDefault="0030296D" w:rsidP="00D24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3EF8D" w14:textId="792DA50A" w:rsidR="00D24FF2" w:rsidRDefault="00D24FF2">
    <w:pPr>
      <w:pStyle w:val="Header"/>
    </w:pPr>
    <w:r>
      <w:rPr>
        <w:noProof/>
      </w:rPr>
      <w:pict w14:anchorId="44A140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35.3pt;height:100.9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0CB1A" w14:textId="217FAA57" w:rsidR="00D24FF2" w:rsidRDefault="00D24FF2">
    <w:pPr>
      <w:pStyle w:val="Header"/>
    </w:pPr>
    <w:r>
      <w:rPr>
        <w:noProof/>
      </w:rPr>
      <w:pict w14:anchorId="26C2FD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35.3pt;height:100.9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59850" w14:textId="7170A8AE" w:rsidR="00D24FF2" w:rsidRDefault="00D24FF2">
    <w:pPr>
      <w:pStyle w:val="Header"/>
    </w:pPr>
    <w:r>
      <w:rPr>
        <w:noProof/>
      </w:rPr>
      <w:pict w14:anchorId="229CB8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535.3pt;height:100.9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2334E"/>
    <w:multiLevelType w:val="hybridMultilevel"/>
    <w:tmpl w:val="FCCA91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F17EB"/>
    <w:rsid w:val="00046747"/>
    <w:rsid w:val="00053365"/>
    <w:rsid w:val="000715A4"/>
    <w:rsid w:val="00161344"/>
    <w:rsid w:val="00171393"/>
    <w:rsid w:val="00196FA2"/>
    <w:rsid w:val="001A218D"/>
    <w:rsid w:val="001A6749"/>
    <w:rsid w:val="001D4FA9"/>
    <w:rsid w:val="001F17EB"/>
    <w:rsid w:val="00257EDD"/>
    <w:rsid w:val="002A5434"/>
    <w:rsid w:val="002D65FC"/>
    <w:rsid w:val="0030296D"/>
    <w:rsid w:val="00311F46"/>
    <w:rsid w:val="003807AB"/>
    <w:rsid w:val="003947A5"/>
    <w:rsid w:val="003A261F"/>
    <w:rsid w:val="003B2206"/>
    <w:rsid w:val="00410ED9"/>
    <w:rsid w:val="00437358"/>
    <w:rsid w:val="00474040"/>
    <w:rsid w:val="00477489"/>
    <w:rsid w:val="004C1E0B"/>
    <w:rsid w:val="004E0737"/>
    <w:rsid w:val="0054478B"/>
    <w:rsid w:val="00563686"/>
    <w:rsid w:val="00563DF2"/>
    <w:rsid w:val="00563EAA"/>
    <w:rsid w:val="005901B9"/>
    <w:rsid w:val="006074F1"/>
    <w:rsid w:val="00623CFD"/>
    <w:rsid w:val="006A73BC"/>
    <w:rsid w:val="006E693A"/>
    <w:rsid w:val="00716998"/>
    <w:rsid w:val="008210CF"/>
    <w:rsid w:val="00860D09"/>
    <w:rsid w:val="00862F0B"/>
    <w:rsid w:val="008D4C61"/>
    <w:rsid w:val="0094386A"/>
    <w:rsid w:val="00951C9F"/>
    <w:rsid w:val="00994EC3"/>
    <w:rsid w:val="009A7832"/>
    <w:rsid w:val="009F7AEC"/>
    <w:rsid w:val="00A40DC1"/>
    <w:rsid w:val="00AB70A0"/>
    <w:rsid w:val="00B86D6C"/>
    <w:rsid w:val="00BB7418"/>
    <w:rsid w:val="00BC537D"/>
    <w:rsid w:val="00C25E1A"/>
    <w:rsid w:val="00C359E1"/>
    <w:rsid w:val="00C67113"/>
    <w:rsid w:val="00D24FF2"/>
    <w:rsid w:val="00D45EF0"/>
    <w:rsid w:val="00E02E0E"/>
    <w:rsid w:val="00E351AD"/>
    <w:rsid w:val="00E50BBF"/>
    <w:rsid w:val="00E6378B"/>
    <w:rsid w:val="00E93CC7"/>
    <w:rsid w:val="00F74F53"/>
    <w:rsid w:val="00FB2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334494"/>
  <w15:docId w15:val="{7804FF3C-E84D-404B-8403-E2F8871F2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1393"/>
  </w:style>
  <w:style w:type="paragraph" w:styleId="Heading1">
    <w:name w:val="heading 1"/>
    <w:basedOn w:val="Normal"/>
    <w:next w:val="Normal"/>
    <w:link w:val="Heading1Char"/>
    <w:uiPriority w:val="9"/>
    <w:qFormat/>
    <w:rsid w:val="001F17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17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94E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7E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F17E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63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686"/>
    <w:rPr>
      <w:rFonts w:ascii="Tahoma" w:hAnsi="Tahoma" w:cs="Tahoma"/>
      <w:sz w:val="16"/>
      <w:szCs w:val="16"/>
    </w:rPr>
  </w:style>
  <w:style w:type="character" w:customStyle="1" w:styleId="Heading3Char">
    <w:name w:val="Heading 3 Char"/>
    <w:basedOn w:val="DefaultParagraphFont"/>
    <w:link w:val="Heading3"/>
    <w:uiPriority w:val="9"/>
    <w:semiHidden/>
    <w:rsid w:val="00994EC3"/>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94E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94EC3"/>
    <w:rPr>
      <w:b/>
      <w:bCs/>
    </w:rPr>
  </w:style>
  <w:style w:type="character" w:customStyle="1" w:styleId="whitespace-normal">
    <w:name w:val="whitespace-normal"/>
    <w:basedOn w:val="DefaultParagraphFont"/>
    <w:rsid w:val="00994EC3"/>
  </w:style>
  <w:style w:type="character" w:styleId="Emphasis">
    <w:name w:val="Emphasis"/>
    <w:basedOn w:val="DefaultParagraphFont"/>
    <w:uiPriority w:val="20"/>
    <w:qFormat/>
    <w:rsid w:val="00994EC3"/>
    <w:rPr>
      <w:i/>
      <w:iCs/>
    </w:rPr>
  </w:style>
  <w:style w:type="paragraph" w:styleId="z-TopofForm">
    <w:name w:val="HTML Top of Form"/>
    <w:basedOn w:val="Normal"/>
    <w:next w:val="Normal"/>
    <w:link w:val="z-TopofFormChar"/>
    <w:hidden/>
    <w:uiPriority w:val="99"/>
    <w:semiHidden/>
    <w:unhideWhenUsed/>
    <w:rsid w:val="00994EC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94EC3"/>
    <w:rPr>
      <w:rFonts w:ascii="Arial" w:eastAsia="Times New Roman" w:hAnsi="Arial" w:cs="Arial"/>
      <w:vanish/>
      <w:sz w:val="16"/>
      <w:szCs w:val="16"/>
    </w:rPr>
  </w:style>
  <w:style w:type="paragraph" w:customStyle="1" w:styleId="placeholder">
    <w:name w:val="placeholder"/>
    <w:basedOn w:val="Normal"/>
    <w:rsid w:val="00994EC3"/>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94EC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94EC3"/>
    <w:rPr>
      <w:rFonts w:ascii="Arial" w:eastAsia="Times New Roman" w:hAnsi="Arial" w:cs="Arial"/>
      <w:vanish/>
      <w:sz w:val="16"/>
      <w:szCs w:val="16"/>
    </w:rPr>
  </w:style>
  <w:style w:type="character" w:styleId="Hyperlink">
    <w:name w:val="Hyperlink"/>
    <w:basedOn w:val="DefaultParagraphFont"/>
    <w:uiPriority w:val="99"/>
    <w:unhideWhenUsed/>
    <w:rsid w:val="004E0737"/>
    <w:rPr>
      <w:color w:val="0000FF" w:themeColor="hyperlink"/>
      <w:u w:val="single"/>
    </w:rPr>
  </w:style>
  <w:style w:type="paragraph" w:styleId="ListParagraph">
    <w:name w:val="List Paragraph"/>
    <w:basedOn w:val="Normal"/>
    <w:uiPriority w:val="34"/>
    <w:qFormat/>
    <w:rsid w:val="00437358"/>
    <w:pPr>
      <w:ind w:left="720"/>
      <w:contextualSpacing/>
    </w:pPr>
  </w:style>
  <w:style w:type="table" w:styleId="TableGrid">
    <w:name w:val="Table Grid"/>
    <w:basedOn w:val="TableNormal"/>
    <w:uiPriority w:val="59"/>
    <w:rsid w:val="00311F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C1E0B"/>
    <w:rPr>
      <w:color w:val="605E5C"/>
      <w:shd w:val="clear" w:color="auto" w:fill="E1DFDD"/>
    </w:rPr>
  </w:style>
  <w:style w:type="paragraph" w:styleId="Header">
    <w:name w:val="header"/>
    <w:basedOn w:val="Normal"/>
    <w:link w:val="HeaderChar"/>
    <w:uiPriority w:val="99"/>
    <w:unhideWhenUsed/>
    <w:rsid w:val="00D24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FF2"/>
  </w:style>
  <w:style w:type="paragraph" w:styleId="Footer">
    <w:name w:val="footer"/>
    <w:basedOn w:val="Normal"/>
    <w:link w:val="FooterChar"/>
    <w:uiPriority w:val="99"/>
    <w:unhideWhenUsed/>
    <w:rsid w:val="00D24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7890">
      <w:bodyDiv w:val="1"/>
      <w:marLeft w:val="0"/>
      <w:marRight w:val="0"/>
      <w:marTop w:val="0"/>
      <w:marBottom w:val="0"/>
      <w:divBdr>
        <w:top w:val="none" w:sz="0" w:space="0" w:color="auto"/>
        <w:left w:val="none" w:sz="0" w:space="0" w:color="auto"/>
        <w:bottom w:val="none" w:sz="0" w:space="0" w:color="auto"/>
        <w:right w:val="none" w:sz="0" w:space="0" w:color="auto"/>
      </w:divBdr>
    </w:div>
    <w:div w:id="513497990">
      <w:bodyDiv w:val="1"/>
      <w:marLeft w:val="0"/>
      <w:marRight w:val="0"/>
      <w:marTop w:val="0"/>
      <w:marBottom w:val="0"/>
      <w:divBdr>
        <w:top w:val="none" w:sz="0" w:space="0" w:color="auto"/>
        <w:left w:val="none" w:sz="0" w:space="0" w:color="auto"/>
        <w:bottom w:val="none" w:sz="0" w:space="0" w:color="auto"/>
        <w:right w:val="none" w:sz="0" w:space="0" w:color="auto"/>
      </w:divBdr>
      <w:divsChild>
        <w:div w:id="1824079730">
          <w:marLeft w:val="0"/>
          <w:marRight w:val="0"/>
          <w:marTop w:val="0"/>
          <w:marBottom w:val="0"/>
          <w:divBdr>
            <w:top w:val="none" w:sz="0" w:space="0" w:color="auto"/>
            <w:left w:val="none" w:sz="0" w:space="0" w:color="auto"/>
            <w:bottom w:val="none" w:sz="0" w:space="0" w:color="auto"/>
            <w:right w:val="none" w:sz="0" w:space="0" w:color="auto"/>
          </w:divBdr>
          <w:divsChild>
            <w:div w:id="1066956768">
              <w:marLeft w:val="0"/>
              <w:marRight w:val="0"/>
              <w:marTop w:val="0"/>
              <w:marBottom w:val="0"/>
              <w:divBdr>
                <w:top w:val="none" w:sz="0" w:space="0" w:color="auto"/>
                <w:left w:val="none" w:sz="0" w:space="0" w:color="auto"/>
                <w:bottom w:val="none" w:sz="0" w:space="0" w:color="auto"/>
                <w:right w:val="none" w:sz="0" w:space="0" w:color="auto"/>
              </w:divBdr>
              <w:divsChild>
                <w:div w:id="2100712686">
                  <w:marLeft w:val="0"/>
                  <w:marRight w:val="0"/>
                  <w:marTop w:val="0"/>
                  <w:marBottom w:val="0"/>
                  <w:divBdr>
                    <w:top w:val="none" w:sz="0" w:space="0" w:color="auto"/>
                    <w:left w:val="none" w:sz="0" w:space="0" w:color="auto"/>
                    <w:bottom w:val="none" w:sz="0" w:space="0" w:color="auto"/>
                    <w:right w:val="none" w:sz="0" w:space="0" w:color="auto"/>
                  </w:divBdr>
                  <w:divsChild>
                    <w:div w:id="468322318">
                      <w:marLeft w:val="0"/>
                      <w:marRight w:val="0"/>
                      <w:marTop w:val="0"/>
                      <w:marBottom w:val="0"/>
                      <w:divBdr>
                        <w:top w:val="none" w:sz="0" w:space="0" w:color="auto"/>
                        <w:left w:val="none" w:sz="0" w:space="0" w:color="auto"/>
                        <w:bottom w:val="none" w:sz="0" w:space="0" w:color="auto"/>
                        <w:right w:val="none" w:sz="0" w:space="0" w:color="auto"/>
                      </w:divBdr>
                      <w:divsChild>
                        <w:div w:id="109863116">
                          <w:marLeft w:val="0"/>
                          <w:marRight w:val="0"/>
                          <w:marTop w:val="0"/>
                          <w:marBottom w:val="0"/>
                          <w:divBdr>
                            <w:top w:val="none" w:sz="0" w:space="0" w:color="auto"/>
                            <w:left w:val="none" w:sz="0" w:space="0" w:color="auto"/>
                            <w:bottom w:val="none" w:sz="0" w:space="0" w:color="auto"/>
                            <w:right w:val="none" w:sz="0" w:space="0" w:color="auto"/>
                          </w:divBdr>
                          <w:divsChild>
                            <w:div w:id="662394222">
                              <w:marLeft w:val="0"/>
                              <w:marRight w:val="0"/>
                              <w:marTop w:val="0"/>
                              <w:marBottom w:val="0"/>
                              <w:divBdr>
                                <w:top w:val="none" w:sz="0" w:space="0" w:color="auto"/>
                                <w:left w:val="none" w:sz="0" w:space="0" w:color="auto"/>
                                <w:bottom w:val="none" w:sz="0" w:space="0" w:color="auto"/>
                                <w:right w:val="none" w:sz="0" w:space="0" w:color="auto"/>
                              </w:divBdr>
                              <w:divsChild>
                                <w:div w:id="322855106">
                                  <w:marLeft w:val="0"/>
                                  <w:marRight w:val="0"/>
                                  <w:marTop w:val="0"/>
                                  <w:marBottom w:val="0"/>
                                  <w:divBdr>
                                    <w:top w:val="none" w:sz="0" w:space="0" w:color="auto"/>
                                    <w:left w:val="none" w:sz="0" w:space="0" w:color="auto"/>
                                    <w:bottom w:val="none" w:sz="0" w:space="0" w:color="auto"/>
                                    <w:right w:val="none" w:sz="0" w:space="0" w:color="auto"/>
                                  </w:divBdr>
                                  <w:divsChild>
                                    <w:div w:id="1815294096">
                                      <w:marLeft w:val="0"/>
                                      <w:marRight w:val="0"/>
                                      <w:marTop w:val="0"/>
                                      <w:marBottom w:val="0"/>
                                      <w:divBdr>
                                        <w:top w:val="none" w:sz="0" w:space="0" w:color="auto"/>
                                        <w:left w:val="none" w:sz="0" w:space="0" w:color="auto"/>
                                        <w:bottom w:val="none" w:sz="0" w:space="0" w:color="auto"/>
                                        <w:right w:val="none" w:sz="0" w:space="0" w:color="auto"/>
                                      </w:divBdr>
                                      <w:divsChild>
                                        <w:div w:id="1049453848">
                                          <w:marLeft w:val="0"/>
                                          <w:marRight w:val="0"/>
                                          <w:marTop w:val="0"/>
                                          <w:marBottom w:val="0"/>
                                          <w:divBdr>
                                            <w:top w:val="none" w:sz="0" w:space="0" w:color="auto"/>
                                            <w:left w:val="none" w:sz="0" w:space="0" w:color="auto"/>
                                            <w:bottom w:val="none" w:sz="0" w:space="0" w:color="auto"/>
                                            <w:right w:val="none" w:sz="0" w:space="0" w:color="auto"/>
                                          </w:divBdr>
                                          <w:divsChild>
                                            <w:div w:id="1207450019">
                                              <w:marLeft w:val="0"/>
                                              <w:marRight w:val="0"/>
                                              <w:marTop w:val="0"/>
                                              <w:marBottom w:val="0"/>
                                              <w:divBdr>
                                                <w:top w:val="none" w:sz="0" w:space="0" w:color="auto"/>
                                                <w:left w:val="none" w:sz="0" w:space="0" w:color="auto"/>
                                                <w:bottom w:val="none" w:sz="0" w:space="0" w:color="auto"/>
                                                <w:right w:val="none" w:sz="0" w:space="0" w:color="auto"/>
                                              </w:divBdr>
                                              <w:divsChild>
                                                <w:div w:id="1557664324">
                                                  <w:marLeft w:val="0"/>
                                                  <w:marRight w:val="0"/>
                                                  <w:marTop w:val="0"/>
                                                  <w:marBottom w:val="0"/>
                                                  <w:divBdr>
                                                    <w:top w:val="none" w:sz="0" w:space="0" w:color="auto"/>
                                                    <w:left w:val="none" w:sz="0" w:space="0" w:color="auto"/>
                                                    <w:bottom w:val="none" w:sz="0" w:space="0" w:color="auto"/>
                                                    <w:right w:val="none" w:sz="0" w:space="0" w:color="auto"/>
                                                  </w:divBdr>
                                                  <w:divsChild>
                                                    <w:div w:id="2116705012">
                                                      <w:marLeft w:val="0"/>
                                                      <w:marRight w:val="0"/>
                                                      <w:marTop w:val="0"/>
                                                      <w:marBottom w:val="0"/>
                                                      <w:divBdr>
                                                        <w:top w:val="none" w:sz="0" w:space="0" w:color="auto"/>
                                                        <w:left w:val="none" w:sz="0" w:space="0" w:color="auto"/>
                                                        <w:bottom w:val="none" w:sz="0" w:space="0" w:color="auto"/>
                                                        <w:right w:val="none" w:sz="0" w:space="0" w:color="auto"/>
                                                      </w:divBdr>
                                                      <w:divsChild>
                                                        <w:div w:id="1868367862">
                                                          <w:marLeft w:val="0"/>
                                                          <w:marRight w:val="0"/>
                                                          <w:marTop w:val="0"/>
                                                          <w:marBottom w:val="0"/>
                                                          <w:divBdr>
                                                            <w:top w:val="none" w:sz="0" w:space="0" w:color="auto"/>
                                                            <w:left w:val="none" w:sz="0" w:space="0" w:color="auto"/>
                                                            <w:bottom w:val="none" w:sz="0" w:space="0" w:color="auto"/>
                                                            <w:right w:val="none" w:sz="0" w:space="0" w:color="auto"/>
                                                          </w:divBdr>
                                                          <w:divsChild>
                                                            <w:div w:id="76484639">
                                                              <w:marLeft w:val="0"/>
                                                              <w:marRight w:val="0"/>
                                                              <w:marTop w:val="0"/>
                                                              <w:marBottom w:val="0"/>
                                                              <w:divBdr>
                                                                <w:top w:val="none" w:sz="0" w:space="0" w:color="auto"/>
                                                                <w:left w:val="none" w:sz="0" w:space="0" w:color="auto"/>
                                                                <w:bottom w:val="none" w:sz="0" w:space="0" w:color="auto"/>
                                                                <w:right w:val="none" w:sz="0" w:space="0" w:color="auto"/>
                                                              </w:divBdr>
                                                              <w:divsChild>
                                                                <w:div w:id="3223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7786378">
                                      <w:marLeft w:val="0"/>
                                      <w:marRight w:val="0"/>
                                      <w:marTop w:val="0"/>
                                      <w:marBottom w:val="0"/>
                                      <w:divBdr>
                                        <w:top w:val="none" w:sz="0" w:space="0" w:color="auto"/>
                                        <w:left w:val="none" w:sz="0" w:space="0" w:color="auto"/>
                                        <w:bottom w:val="none" w:sz="0" w:space="0" w:color="auto"/>
                                        <w:right w:val="none" w:sz="0" w:space="0" w:color="auto"/>
                                      </w:divBdr>
                                      <w:divsChild>
                                        <w:div w:id="1214343969">
                                          <w:marLeft w:val="0"/>
                                          <w:marRight w:val="0"/>
                                          <w:marTop w:val="0"/>
                                          <w:marBottom w:val="0"/>
                                          <w:divBdr>
                                            <w:top w:val="none" w:sz="0" w:space="0" w:color="auto"/>
                                            <w:left w:val="none" w:sz="0" w:space="0" w:color="auto"/>
                                            <w:bottom w:val="none" w:sz="0" w:space="0" w:color="auto"/>
                                            <w:right w:val="none" w:sz="0" w:space="0" w:color="auto"/>
                                          </w:divBdr>
                                          <w:divsChild>
                                            <w:div w:id="1386179026">
                                              <w:marLeft w:val="0"/>
                                              <w:marRight w:val="0"/>
                                              <w:marTop w:val="0"/>
                                              <w:marBottom w:val="0"/>
                                              <w:divBdr>
                                                <w:top w:val="none" w:sz="0" w:space="0" w:color="auto"/>
                                                <w:left w:val="none" w:sz="0" w:space="0" w:color="auto"/>
                                                <w:bottom w:val="none" w:sz="0" w:space="0" w:color="auto"/>
                                                <w:right w:val="none" w:sz="0" w:space="0" w:color="auto"/>
                                              </w:divBdr>
                                              <w:divsChild>
                                                <w:div w:id="1556501856">
                                                  <w:marLeft w:val="0"/>
                                                  <w:marRight w:val="0"/>
                                                  <w:marTop w:val="0"/>
                                                  <w:marBottom w:val="0"/>
                                                  <w:divBdr>
                                                    <w:top w:val="none" w:sz="0" w:space="0" w:color="auto"/>
                                                    <w:left w:val="none" w:sz="0" w:space="0" w:color="auto"/>
                                                    <w:bottom w:val="none" w:sz="0" w:space="0" w:color="auto"/>
                                                    <w:right w:val="none" w:sz="0" w:space="0" w:color="auto"/>
                                                  </w:divBdr>
                                                  <w:divsChild>
                                                    <w:div w:id="333267311">
                                                      <w:marLeft w:val="0"/>
                                                      <w:marRight w:val="0"/>
                                                      <w:marTop w:val="0"/>
                                                      <w:marBottom w:val="0"/>
                                                      <w:divBdr>
                                                        <w:top w:val="none" w:sz="0" w:space="0" w:color="auto"/>
                                                        <w:left w:val="none" w:sz="0" w:space="0" w:color="auto"/>
                                                        <w:bottom w:val="none" w:sz="0" w:space="0" w:color="auto"/>
                                                        <w:right w:val="none" w:sz="0" w:space="0" w:color="auto"/>
                                                      </w:divBdr>
                                                      <w:divsChild>
                                                        <w:div w:id="1258102983">
                                                          <w:marLeft w:val="0"/>
                                                          <w:marRight w:val="0"/>
                                                          <w:marTop w:val="0"/>
                                                          <w:marBottom w:val="0"/>
                                                          <w:divBdr>
                                                            <w:top w:val="none" w:sz="0" w:space="0" w:color="auto"/>
                                                            <w:left w:val="none" w:sz="0" w:space="0" w:color="auto"/>
                                                            <w:bottom w:val="none" w:sz="0" w:space="0" w:color="auto"/>
                                                            <w:right w:val="none" w:sz="0" w:space="0" w:color="auto"/>
                                                          </w:divBdr>
                                                          <w:divsChild>
                                                            <w:div w:id="1054041571">
                                                              <w:marLeft w:val="0"/>
                                                              <w:marRight w:val="0"/>
                                                              <w:marTop w:val="0"/>
                                                              <w:marBottom w:val="0"/>
                                                              <w:divBdr>
                                                                <w:top w:val="none" w:sz="0" w:space="0" w:color="auto"/>
                                                                <w:left w:val="none" w:sz="0" w:space="0" w:color="auto"/>
                                                                <w:bottom w:val="none" w:sz="0" w:space="0" w:color="auto"/>
                                                                <w:right w:val="none" w:sz="0" w:space="0" w:color="auto"/>
                                                              </w:divBdr>
                                                              <w:divsChild>
                                                                <w:div w:id="897545376">
                                                                  <w:marLeft w:val="0"/>
                                                                  <w:marRight w:val="0"/>
                                                                  <w:marTop w:val="0"/>
                                                                  <w:marBottom w:val="0"/>
                                                                  <w:divBdr>
                                                                    <w:top w:val="none" w:sz="0" w:space="0" w:color="auto"/>
                                                                    <w:left w:val="none" w:sz="0" w:space="0" w:color="auto"/>
                                                                    <w:bottom w:val="none" w:sz="0" w:space="0" w:color="auto"/>
                                                                    <w:right w:val="none" w:sz="0" w:space="0" w:color="auto"/>
                                                                  </w:divBdr>
                                                                  <w:divsChild>
                                                                    <w:div w:id="2129005884">
                                                                      <w:marLeft w:val="0"/>
                                                                      <w:marRight w:val="0"/>
                                                                      <w:marTop w:val="0"/>
                                                                      <w:marBottom w:val="0"/>
                                                                      <w:divBdr>
                                                                        <w:top w:val="none" w:sz="0" w:space="0" w:color="auto"/>
                                                                        <w:left w:val="none" w:sz="0" w:space="0" w:color="auto"/>
                                                                        <w:bottom w:val="none" w:sz="0" w:space="0" w:color="auto"/>
                                                                        <w:right w:val="none" w:sz="0" w:space="0" w:color="auto"/>
                                                                      </w:divBdr>
                                                                      <w:divsChild>
                                                                        <w:div w:id="61370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142135">
      <w:bodyDiv w:val="1"/>
      <w:marLeft w:val="0"/>
      <w:marRight w:val="0"/>
      <w:marTop w:val="0"/>
      <w:marBottom w:val="0"/>
      <w:divBdr>
        <w:top w:val="none" w:sz="0" w:space="0" w:color="auto"/>
        <w:left w:val="none" w:sz="0" w:space="0" w:color="auto"/>
        <w:bottom w:val="none" w:sz="0" w:space="0" w:color="auto"/>
        <w:right w:val="none" w:sz="0" w:space="0" w:color="auto"/>
      </w:divBdr>
    </w:div>
    <w:div w:id="579758401">
      <w:bodyDiv w:val="1"/>
      <w:marLeft w:val="0"/>
      <w:marRight w:val="0"/>
      <w:marTop w:val="0"/>
      <w:marBottom w:val="0"/>
      <w:divBdr>
        <w:top w:val="none" w:sz="0" w:space="0" w:color="auto"/>
        <w:left w:val="none" w:sz="0" w:space="0" w:color="auto"/>
        <w:bottom w:val="none" w:sz="0" w:space="0" w:color="auto"/>
        <w:right w:val="none" w:sz="0" w:space="0" w:color="auto"/>
      </w:divBdr>
    </w:div>
    <w:div w:id="214665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90/molecules15107313" TargetMode="External"/><Relationship Id="rId18" Type="http://schemas.openxmlformats.org/officeDocument/2006/relationships/hyperlink" Target="https://doi.org/10.1021/acsomega.2c03117"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i.org/10.1016/j.phymed.2008.12.018" TargetMode="External"/><Relationship Id="rId7" Type="http://schemas.openxmlformats.org/officeDocument/2006/relationships/image" Target="media/image1.png"/><Relationship Id="rId12" Type="http://schemas.openxmlformats.org/officeDocument/2006/relationships/hyperlink" Target="https://doi.org/10.1016/j.phrs.2015.05.009" TargetMode="External"/><Relationship Id="rId17" Type="http://schemas.openxmlformats.org/officeDocument/2006/relationships/hyperlink" Target="https://doi.org/10.1021/acs.jnatprod.9b0128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86/1749-8546-3-7" TargetMode="External"/><Relationship Id="rId20" Type="http://schemas.openxmlformats.org/officeDocument/2006/relationships/hyperlink" Target="https://doi.org/10.1371/journal.pone.007688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281/zenodo.10936152"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1016/j.foodchem.2010.12.02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doi.org/10.3389/fphar.2021.79456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foodchem.2011.04.078" TargetMode="External"/><Relationship Id="rId22" Type="http://schemas.openxmlformats.org/officeDocument/2006/relationships/hyperlink" Target="https://doi.org/10.3892/ol.2018.9220"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10</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SDI 1084</cp:lastModifiedBy>
  <cp:revision>28</cp:revision>
  <dcterms:created xsi:type="dcterms:W3CDTF">2026-02-18T12:40:00Z</dcterms:created>
  <dcterms:modified xsi:type="dcterms:W3CDTF">2026-02-25T08:10:00Z</dcterms:modified>
</cp:coreProperties>
</file>